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B9789F">
      <w:pPr>
        <w:adjustRightInd w:val="0"/>
        <w:snapToGrid w:val="0"/>
        <w:jc w:val="center"/>
        <w:outlineLvl w:val="0"/>
        <w:rPr>
          <w:rFonts w:hint="default" w:ascii="Times New Roman" w:hAnsi="Times New Roman" w:eastAsia="宋体" w:cs="Times New Roman"/>
          <w:b/>
          <w:bCs/>
          <w:color w:val="auto"/>
          <w:sz w:val="44"/>
          <w:szCs w:val="44"/>
          <w:highlight w:val="none"/>
          <w:lang w:val="en-US" w:eastAsia="zh-CN"/>
        </w:rPr>
      </w:pPr>
      <w:r>
        <w:rPr>
          <w:rFonts w:hint="eastAsia" w:ascii="Times New Roman" w:hAnsi="Times New Roman" w:eastAsia="宋体" w:cs="Times New Roman"/>
          <w:b/>
          <w:bCs/>
          <w:color w:val="auto"/>
          <w:sz w:val="44"/>
          <w:szCs w:val="44"/>
          <w:highlight w:val="none"/>
          <w:lang w:val="en-US" w:eastAsia="zh-CN"/>
        </w:rPr>
        <w:t xml:space="preserve"> </w:t>
      </w:r>
    </w:p>
    <w:p w14:paraId="3779854B">
      <w:pPr>
        <w:adjustRightInd w:val="0"/>
        <w:snapToGrid w:val="0"/>
        <w:jc w:val="center"/>
        <w:outlineLvl w:val="0"/>
        <w:rPr>
          <w:rFonts w:hint="default" w:ascii="Times New Roman" w:hAnsi="Times New Roman" w:eastAsia="宋体" w:cs="Times New Roman"/>
          <w:b/>
          <w:bCs/>
          <w:color w:val="auto"/>
          <w:sz w:val="21"/>
          <w:szCs w:val="21"/>
          <w:highlight w:val="none"/>
        </w:rPr>
      </w:pPr>
    </w:p>
    <w:p w14:paraId="7852301E">
      <w:pPr>
        <w:pStyle w:val="29"/>
        <w:rPr>
          <w:rFonts w:hint="default"/>
          <w:color w:val="auto"/>
        </w:rPr>
      </w:pPr>
    </w:p>
    <w:p w14:paraId="2A79CF91">
      <w:pPr>
        <w:adjustRightInd w:val="0"/>
        <w:snapToGrid w:val="0"/>
        <w:ind w:left="0" w:leftChars="0" w:firstLine="0" w:firstLineChars="0"/>
        <w:jc w:val="center"/>
        <w:outlineLvl w:val="0"/>
        <w:rPr>
          <w:rFonts w:hint="default" w:ascii="Times New Roman" w:hAnsi="Times New Roman" w:eastAsia="宋体" w:cs="Times New Roman"/>
          <w:b/>
          <w:bCs/>
          <w:color w:val="auto"/>
          <w:sz w:val="72"/>
          <w:szCs w:val="72"/>
          <w:highlight w:val="none"/>
        </w:rPr>
      </w:pPr>
      <w:r>
        <w:rPr>
          <w:rFonts w:hint="default" w:ascii="Times New Roman" w:hAnsi="Times New Roman" w:eastAsia="宋体" w:cs="Times New Roman"/>
          <w:b/>
          <w:bCs/>
          <w:color w:val="auto"/>
          <w:sz w:val="72"/>
          <w:szCs w:val="72"/>
          <w:highlight w:val="none"/>
        </w:rPr>
        <w:t>建设项目环境影响报告表</w:t>
      </w:r>
    </w:p>
    <w:p w14:paraId="3D899DD4">
      <w:pPr>
        <w:adjustRightInd w:val="0"/>
        <w:snapToGrid w:val="0"/>
        <w:spacing w:before="192" w:beforeLines="80"/>
        <w:ind w:left="0" w:leftChars="0" w:firstLine="0" w:firstLineChars="0"/>
        <w:jc w:val="center"/>
        <w:rPr>
          <w:rFonts w:hint="default" w:ascii="Times New Roman" w:hAnsi="Times New Roman" w:eastAsia="宋体" w:cs="Times New Roman"/>
          <w:b/>
          <w:bCs/>
          <w:color w:val="auto"/>
          <w:sz w:val="48"/>
          <w:szCs w:val="48"/>
          <w:highlight w:val="none"/>
        </w:rPr>
      </w:pPr>
      <w:r>
        <w:rPr>
          <w:rFonts w:hint="default" w:ascii="Times New Roman" w:hAnsi="Times New Roman" w:eastAsia="宋体" w:cs="Times New Roman"/>
          <w:b/>
          <w:bCs/>
          <w:color w:val="auto"/>
          <w:sz w:val="48"/>
          <w:szCs w:val="48"/>
          <w:highlight w:val="none"/>
        </w:rPr>
        <w:t>（污染影响类）</w:t>
      </w:r>
    </w:p>
    <w:p w14:paraId="2CAFB361">
      <w:pPr>
        <w:pStyle w:val="15"/>
        <w:ind w:left="0" w:leftChars="0" w:firstLine="0" w:firstLineChars="0"/>
        <w:jc w:val="center"/>
        <w:rPr>
          <w:rFonts w:hint="default" w:ascii="Times New Roman" w:hAnsi="Times New Roman" w:eastAsia="宋体" w:cs="Times New Roman"/>
          <w:color w:val="auto"/>
        </w:rPr>
      </w:pPr>
    </w:p>
    <w:p w14:paraId="220B1C42">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14:paraId="7DFD3CC7">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14:paraId="3B2E383E">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color w:val="auto"/>
        </w:rPr>
      </w:pPr>
    </w:p>
    <w:p w14:paraId="0EA6B472">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14:paraId="2B9971C9">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14:paraId="13C74DB7">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14:paraId="5AFC0783">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40"/>
          <w:szCs w:val="40"/>
          <w:highlight w:val="none"/>
        </w:rPr>
      </w:pPr>
    </w:p>
    <w:p w14:paraId="28C7F053">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jc w:val="both"/>
        <w:textAlignment w:val="auto"/>
        <w:rPr>
          <w:rFonts w:hint="default" w:ascii="Times New Roman" w:hAnsi="Times New Roman" w:eastAsia="宋体" w:cs="Times New Roman"/>
          <w:b/>
          <w:bCs/>
          <w:color w:val="auto"/>
          <w:sz w:val="32"/>
          <w:szCs w:val="32"/>
          <w:u w:val="single"/>
          <w:lang w:val="en-US" w:eastAsia="zh-CN"/>
        </w:rPr>
      </w:pPr>
      <w:r>
        <w:rPr>
          <w:rFonts w:hint="default" w:ascii="Times New Roman" w:hAnsi="Times New Roman" w:eastAsia="宋体" w:cs="Times New Roman"/>
          <w:b/>
          <w:bCs/>
          <w:color w:val="auto"/>
          <w:sz w:val="32"/>
          <w:szCs w:val="32"/>
          <w:highlight w:val="none"/>
        </w:rPr>
        <w:t>项目名称：</w:t>
      </w:r>
      <w:r>
        <w:rPr>
          <w:rFonts w:hint="eastAsia" w:ascii="Times New Roman" w:hAnsi="Times New Roman" w:eastAsia="宋体" w:cs="Times New Roman"/>
          <w:b/>
          <w:bCs/>
          <w:color w:val="auto"/>
          <w:sz w:val="32"/>
          <w:szCs w:val="32"/>
          <w:highlight w:val="none"/>
          <w:u w:val="single"/>
          <w:lang w:val="en-US" w:eastAsia="zh-CN"/>
        </w:rPr>
        <w:t xml:space="preserve"> </w:t>
      </w:r>
      <w:r>
        <w:rPr>
          <w:rFonts w:hint="eastAsia" w:cs="Times New Roman"/>
          <w:b/>
          <w:bCs/>
          <w:color w:val="auto"/>
          <w:sz w:val="32"/>
          <w:szCs w:val="32"/>
          <w:highlight w:val="none"/>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工业气体建设项目（原宝鸡渭河电石公司</w:t>
      </w:r>
      <w:r>
        <w:rPr>
          <w:rFonts w:hint="eastAsia"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 xml:space="preserve">  </w:t>
      </w:r>
    </w:p>
    <w:p w14:paraId="2DFE06B5">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1606" w:firstLineChars="500"/>
        <w:jc w:val="both"/>
        <w:textAlignment w:val="auto"/>
        <w:rPr>
          <w:rFonts w:hint="default" w:ascii="Times New Roman" w:hAnsi="Times New Roman" w:eastAsia="宋体" w:cs="Times New Roman"/>
          <w:b/>
          <w:bCs/>
          <w:color w:val="auto"/>
          <w:sz w:val="32"/>
          <w:szCs w:val="32"/>
          <w:highlight w:val="none"/>
          <w:u w:val="single"/>
          <w:lang w:val="en-US" w:eastAsia="zh-CN"/>
        </w:rPr>
      </w:pPr>
      <w:r>
        <w:rPr>
          <w:rFonts w:hint="eastAsia"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异地</w:t>
      </w:r>
      <w:r>
        <w:rPr>
          <w:rFonts w:hint="eastAsia" w:cs="Times New Roman"/>
          <w:b/>
          <w:bCs/>
          <w:color w:val="auto"/>
          <w:sz w:val="32"/>
          <w:szCs w:val="32"/>
          <w:u w:val="single"/>
          <w:lang w:val="en-US" w:eastAsia="zh-CN"/>
        </w:rPr>
        <w:t>搬</w:t>
      </w:r>
      <w:r>
        <w:rPr>
          <w:rFonts w:hint="eastAsia" w:ascii="Times New Roman" w:hAnsi="Times New Roman" w:eastAsia="宋体" w:cs="Times New Roman"/>
          <w:b/>
          <w:bCs/>
          <w:color w:val="auto"/>
          <w:sz w:val="32"/>
          <w:szCs w:val="32"/>
          <w:u w:val="single"/>
          <w:lang w:val="en-US" w:eastAsia="zh-CN"/>
        </w:rPr>
        <w:t>迁项目）（重大变动）</w:t>
      </w:r>
      <w:r>
        <w:rPr>
          <w:rFonts w:hint="eastAsia"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 xml:space="preserve">     </w:t>
      </w:r>
    </w:p>
    <w:p w14:paraId="69B5C94E">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jc w:val="both"/>
        <w:textAlignment w:val="auto"/>
        <w:rPr>
          <w:rFonts w:hint="default" w:ascii="Times New Roman" w:hAnsi="Times New Roman" w:eastAsia="宋体" w:cs="Times New Roman"/>
          <w:b/>
          <w:bCs/>
          <w:color w:val="auto"/>
          <w:sz w:val="32"/>
          <w:szCs w:val="32"/>
          <w:u w:val="single"/>
          <w:lang w:val="en-US" w:eastAsia="zh-CN"/>
        </w:rPr>
      </w:pPr>
      <w:r>
        <w:rPr>
          <w:rFonts w:hint="default" w:ascii="Times New Roman" w:hAnsi="Times New Roman" w:eastAsia="宋体" w:cs="Times New Roman"/>
          <w:b/>
          <w:bCs/>
          <w:color w:val="auto"/>
          <w:sz w:val="32"/>
          <w:szCs w:val="32"/>
          <w:highlight w:val="none"/>
        </w:rPr>
        <w:t>建设单位：</w:t>
      </w:r>
      <w:r>
        <w:rPr>
          <w:rFonts w:hint="default" w:ascii="Times New Roman" w:hAnsi="Times New Roman" w:eastAsia="宋体" w:cs="Times New Roman"/>
          <w:b/>
          <w:bCs/>
          <w:color w:val="auto"/>
          <w:sz w:val="32"/>
          <w:szCs w:val="32"/>
          <w:highlight w:val="none"/>
          <w:u w:val="single"/>
          <w:lang w:val="en-US" w:eastAsia="zh-CN"/>
        </w:rPr>
        <w:t xml:space="preserve"> </w:t>
      </w:r>
      <w:r>
        <w:rPr>
          <w:rFonts w:hint="eastAsia" w:ascii="Times New Roman" w:hAnsi="Times New Roman" w:eastAsia="宋体" w:cs="Times New Roman"/>
          <w:b/>
          <w:bCs/>
          <w:color w:val="auto"/>
          <w:sz w:val="32"/>
          <w:szCs w:val="32"/>
          <w:highlight w:val="none"/>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宝鸡渭河气体有限公司</w:t>
      </w:r>
      <w:r>
        <w:rPr>
          <w:rFonts w:hint="default"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 xml:space="preserve">          </w:t>
      </w:r>
    </w:p>
    <w:p w14:paraId="257247EB">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textAlignment w:val="auto"/>
        <w:rPr>
          <w:rFonts w:hint="default" w:ascii="Times New Roman" w:hAnsi="Times New Roman" w:eastAsia="宋体" w:cs="Times New Roman"/>
          <w:b/>
          <w:bCs/>
          <w:color w:val="auto"/>
          <w:sz w:val="32"/>
          <w:szCs w:val="32"/>
          <w:u w:val="single"/>
          <w:lang w:val="en-US" w:eastAsia="zh-CN"/>
        </w:rPr>
      </w:pPr>
      <w:r>
        <w:rPr>
          <w:rFonts w:hint="default" w:ascii="Times New Roman" w:hAnsi="Times New Roman" w:eastAsia="宋体" w:cs="Times New Roman"/>
          <w:b/>
          <w:bCs/>
          <w:color w:val="auto"/>
          <w:sz w:val="32"/>
          <w:szCs w:val="32"/>
          <w:highlight w:val="none"/>
        </w:rPr>
        <w:t>编制日期：</w:t>
      </w:r>
      <w:r>
        <w:rPr>
          <w:rFonts w:hint="default"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 xml:space="preserve">     </w:t>
      </w:r>
      <w:r>
        <w:rPr>
          <w:rFonts w:hint="default" w:ascii="Times New Roman" w:hAnsi="Times New Roman" w:eastAsia="宋体" w:cs="Times New Roman"/>
          <w:b/>
          <w:bCs/>
          <w:color w:val="auto"/>
          <w:sz w:val="32"/>
          <w:szCs w:val="32"/>
          <w:u w:val="single"/>
          <w:lang w:val="en-US" w:eastAsia="zh-CN"/>
        </w:rPr>
        <w:t xml:space="preserve"> 二〇二</w:t>
      </w:r>
      <w:r>
        <w:rPr>
          <w:rFonts w:hint="eastAsia" w:ascii="Times New Roman" w:hAnsi="Times New Roman" w:eastAsia="宋体" w:cs="Times New Roman"/>
          <w:b/>
          <w:bCs/>
          <w:color w:val="auto"/>
          <w:sz w:val="32"/>
          <w:szCs w:val="32"/>
          <w:u w:val="single"/>
          <w:lang w:val="en-US" w:eastAsia="zh-CN"/>
        </w:rPr>
        <w:t>五</w:t>
      </w:r>
      <w:r>
        <w:rPr>
          <w:rFonts w:hint="default" w:ascii="Times New Roman" w:hAnsi="Times New Roman" w:eastAsia="宋体" w:cs="Times New Roman"/>
          <w:b/>
          <w:bCs/>
          <w:color w:val="auto"/>
          <w:sz w:val="32"/>
          <w:szCs w:val="32"/>
          <w:u w:val="single"/>
          <w:lang w:val="en-US" w:eastAsia="zh-CN"/>
        </w:rPr>
        <w:t>年</w:t>
      </w:r>
      <w:r>
        <w:rPr>
          <w:rFonts w:hint="eastAsia" w:cs="Times New Roman"/>
          <w:b/>
          <w:bCs/>
          <w:color w:val="auto"/>
          <w:sz w:val="32"/>
          <w:szCs w:val="32"/>
          <w:u w:val="single"/>
          <w:lang w:val="en-US" w:eastAsia="zh-CN"/>
        </w:rPr>
        <w:t>九</w:t>
      </w:r>
      <w:r>
        <w:rPr>
          <w:rFonts w:hint="default" w:ascii="Times New Roman" w:hAnsi="Times New Roman" w:eastAsia="宋体" w:cs="Times New Roman"/>
          <w:b/>
          <w:bCs/>
          <w:color w:val="auto"/>
          <w:sz w:val="32"/>
          <w:szCs w:val="32"/>
          <w:u w:val="single"/>
          <w:lang w:val="en-US" w:eastAsia="zh-CN"/>
        </w:rPr>
        <w:t xml:space="preserve">月  </w:t>
      </w:r>
      <w:r>
        <w:rPr>
          <w:rFonts w:hint="eastAsia" w:ascii="Times New Roman" w:hAnsi="Times New Roman" w:eastAsia="宋体" w:cs="Times New Roman"/>
          <w:b/>
          <w:bCs/>
          <w:color w:val="auto"/>
          <w:sz w:val="32"/>
          <w:szCs w:val="32"/>
          <w:u w:val="single"/>
          <w:lang w:val="en-US" w:eastAsia="zh-CN"/>
        </w:rPr>
        <w:t xml:space="preserve">  </w:t>
      </w:r>
      <w:r>
        <w:rPr>
          <w:rFonts w:hint="default" w:ascii="Times New Roman" w:hAnsi="Times New Roman" w:eastAsia="宋体" w:cs="Times New Roman"/>
          <w:b/>
          <w:bCs/>
          <w:color w:val="auto"/>
          <w:sz w:val="32"/>
          <w:szCs w:val="32"/>
          <w:u w:val="single"/>
          <w:lang w:val="en-US" w:eastAsia="zh-CN"/>
        </w:rPr>
        <w:t xml:space="preserve">    </w:t>
      </w:r>
      <w:r>
        <w:rPr>
          <w:rFonts w:hint="eastAsia" w:ascii="Times New Roman" w:hAnsi="Times New Roman" w:eastAsia="宋体" w:cs="Times New Roman"/>
          <w:b/>
          <w:bCs/>
          <w:color w:val="auto"/>
          <w:sz w:val="32"/>
          <w:szCs w:val="32"/>
          <w:u w:val="single"/>
          <w:lang w:val="en-US" w:eastAsia="zh-CN"/>
        </w:rPr>
        <w:t xml:space="preserve">  </w:t>
      </w:r>
      <w:r>
        <w:rPr>
          <w:rFonts w:hint="default" w:ascii="Times New Roman" w:hAnsi="Times New Roman" w:eastAsia="宋体" w:cs="Times New Roman"/>
          <w:b/>
          <w:bCs/>
          <w:color w:val="auto"/>
          <w:sz w:val="32"/>
          <w:szCs w:val="32"/>
          <w:u w:val="single"/>
          <w:lang w:val="en-US" w:eastAsia="zh-CN"/>
        </w:rPr>
        <w:t xml:space="preserve">    </w:t>
      </w:r>
    </w:p>
    <w:p w14:paraId="5A9578FC">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u w:val="single"/>
        </w:rPr>
      </w:pPr>
    </w:p>
    <w:p w14:paraId="4594742A">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14:paraId="325CC0AA">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36"/>
          <w:szCs w:val="36"/>
          <w:highlight w:val="none"/>
        </w:rPr>
      </w:pPr>
    </w:p>
    <w:p w14:paraId="72A7EE7F">
      <w:pPr>
        <w:pStyle w:val="29"/>
        <w:keepNext w:val="0"/>
        <w:keepLines w:val="0"/>
        <w:pageBreakBefore w:val="0"/>
        <w:widowControl w:val="0"/>
        <w:kinsoku/>
        <w:wordWrap/>
        <w:overflowPunct/>
        <w:topLinePunct w:val="0"/>
        <w:autoSpaceDE/>
        <w:autoSpaceDN/>
        <w:bidi w:val="0"/>
        <w:spacing w:after="0" w:line="240" w:lineRule="atLeast"/>
        <w:ind w:left="0" w:leftChars="0" w:firstLine="0" w:firstLineChars="0"/>
        <w:jc w:val="center"/>
        <w:textAlignment w:val="auto"/>
        <w:rPr>
          <w:rFonts w:hint="eastAsia" w:ascii="Times New Roman" w:hAnsi="Times New Roman" w:eastAsia="宋体" w:cs="Times New Roman"/>
          <w:color w:val="auto"/>
          <w:lang w:val="en-US" w:eastAsia="zh-CN"/>
        </w:rPr>
      </w:pPr>
    </w:p>
    <w:p w14:paraId="3D80273A">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outlineLvl w:val="9"/>
        <w:rPr>
          <w:rFonts w:hint="default" w:ascii="Times New Roman" w:hAnsi="Times New Roman" w:eastAsia="宋体" w:cs="Times New Roman"/>
          <w:b/>
          <w:bCs/>
          <w:color w:val="auto"/>
          <w:highlight w:val="none"/>
        </w:rPr>
      </w:pPr>
    </w:p>
    <w:p w14:paraId="04D1AEC1">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outlineLvl w:val="9"/>
        <w:rPr>
          <w:rFonts w:hint="default" w:ascii="Times New Roman" w:hAnsi="Times New Roman" w:eastAsia="宋体" w:cs="Times New Roman"/>
          <w:b/>
          <w:bCs/>
          <w:color w:val="auto"/>
          <w:sz w:val="36"/>
          <w:szCs w:val="36"/>
          <w:highlight w:val="none"/>
        </w:rPr>
      </w:pPr>
    </w:p>
    <w:p w14:paraId="5F35D627">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outlineLvl w:val="9"/>
        <w:rPr>
          <w:rFonts w:hint="default" w:ascii="Times New Roman" w:hAnsi="Times New Roman" w:eastAsia="宋体" w:cs="Times New Roman"/>
          <w:b/>
          <w:bCs/>
          <w:color w:val="auto"/>
          <w:sz w:val="36"/>
          <w:szCs w:val="36"/>
          <w:highlight w:val="none"/>
        </w:rPr>
      </w:pPr>
    </w:p>
    <w:p w14:paraId="771A4A5B">
      <w:pPr>
        <w:keepNext w:val="0"/>
        <w:keepLines w:val="0"/>
        <w:pageBreakBefore w:val="0"/>
        <w:widowControl w:val="0"/>
        <w:kinsoku/>
        <w:wordWrap/>
        <w:overflowPunct/>
        <w:topLinePunct w:val="0"/>
        <w:autoSpaceDE/>
        <w:autoSpaceDN/>
        <w:bidi w:val="0"/>
        <w:spacing w:line="240" w:lineRule="atLeast"/>
        <w:ind w:left="0" w:leftChars="0" w:firstLine="0" w:firstLineChars="0"/>
        <w:jc w:val="center"/>
        <w:textAlignment w:val="auto"/>
        <w:outlineLvl w:val="9"/>
        <w:rPr>
          <w:rFonts w:hint="default" w:ascii="Times New Roman" w:hAnsi="Times New Roman" w:eastAsia="宋体" w:cs="Times New Roman"/>
          <w:b/>
          <w:bCs/>
          <w:color w:val="auto"/>
          <w:highlight w:val="none"/>
        </w:rPr>
      </w:pPr>
    </w:p>
    <w:p w14:paraId="02EDC405">
      <w:pPr>
        <w:adjustRightInd w:val="0"/>
        <w:snapToGrid w:val="0"/>
        <w:spacing w:line="288" w:lineRule="auto"/>
        <w:ind w:left="0" w:leftChars="0" w:firstLine="0" w:firstLineChars="0"/>
        <w:jc w:val="center"/>
        <w:rPr>
          <w:rFonts w:hint="default" w:ascii="Times New Roman" w:hAnsi="Times New Roman" w:eastAsia="宋体" w:cs="Times New Roman"/>
          <w:b/>
          <w:bCs/>
          <w:color w:val="auto"/>
          <w:sz w:val="36"/>
          <w:szCs w:val="36"/>
          <w:highlight w:val="none"/>
        </w:rPr>
      </w:pPr>
      <w:r>
        <w:rPr>
          <w:rFonts w:hint="default" w:ascii="Times New Roman" w:hAnsi="Times New Roman" w:eastAsia="宋体" w:cs="Times New Roman"/>
          <w:b/>
          <w:bCs/>
          <w:color w:val="auto"/>
          <w:sz w:val="36"/>
          <w:szCs w:val="36"/>
          <w:highlight w:val="none"/>
        </w:rPr>
        <w:t>中华人民共和国生态环境部制</w:t>
      </w:r>
    </w:p>
    <w:p w14:paraId="745392FD">
      <w:pPr>
        <w:pStyle w:val="29"/>
        <w:rPr>
          <w:rFonts w:hint="default" w:ascii="Times New Roman" w:hAnsi="Times New Roman" w:eastAsia="宋体" w:cs="Times New Roman"/>
          <w:b/>
          <w:bCs/>
          <w:color w:val="auto"/>
          <w:sz w:val="36"/>
          <w:szCs w:val="36"/>
          <w:highlight w:val="none"/>
        </w:rPr>
      </w:pPr>
    </w:p>
    <w:p w14:paraId="3886FF54">
      <w:pPr>
        <w:rPr>
          <w:rFonts w:hint="default"/>
          <w:color w:val="auto"/>
        </w:rPr>
      </w:pPr>
    </w:p>
    <w:p w14:paraId="77E637EA">
      <w:pPr>
        <w:pStyle w:val="29"/>
        <w:rPr>
          <w:rFonts w:hint="default"/>
          <w:color w:val="auto"/>
        </w:rPr>
      </w:pPr>
    </w:p>
    <w:p w14:paraId="31218F86">
      <w:pPr>
        <w:pStyle w:val="29"/>
        <w:rPr>
          <w:rFonts w:hint="eastAsia"/>
          <w:color w:val="auto"/>
          <w:lang w:eastAsia="zh-CN"/>
        </w:rPr>
        <w:sectPr>
          <w:headerReference r:id="rId5" w:type="default"/>
          <w:footerReference r:id="rId6" w:type="default"/>
          <w:pgSz w:w="11906" w:h="16838"/>
          <w:pgMar w:top="1247" w:right="1247" w:bottom="1247" w:left="1587" w:header="567" w:footer="567" w:gutter="0"/>
          <w:pgBorders>
            <w:top w:val="none" w:sz="0" w:space="0"/>
            <w:left w:val="none" w:sz="0" w:space="0"/>
            <w:bottom w:val="none" w:sz="0" w:space="0"/>
            <w:right w:val="none" w:sz="0" w:space="0"/>
          </w:pgBorders>
          <w:pgNumType w:fmt="decimal"/>
          <w:cols w:space="720" w:num="1"/>
          <w:docGrid w:linePitch="312" w:charSpace="0"/>
        </w:sectPr>
      </w:pPr>
    </w:p>
    <w:p w14:paraId="114211A4">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jc w:val="center"/>
        <w:textAlignment w:val="auto"/>
        <w:outlineLvl w:val="0"/>
        <w:rPr>
          <w:rFonts w:hint="default" w:ascii="Times New Roman" w:hAnsi="Times New Roman" w:eastAsia="宋体" w:cs="Times New Roman"/>
          <w:b/>
          <w:bCs/>
          <w:snapToGrid w:val="0"/>
          <w:color w:val="auto"/>
          <w:sz w:val="30"/>
          <w:szCs w:val="30"/>
          <w:highlight w:val="none"/>
        </w:rPr>
      </w:pPr>
      <w:bookmarkStart w:id="0" w:name="_Toc12788"/>
      <w:bookmarkStart w:id="1" w:name="_Toc6906"/>
      <w:bookmarkStart w:id="2" w:name="_Toc10482"/>
      <w:bookmarkStart w:id="3" w:name="_Toc9899"/>
      <w:bookmarkStart w:id="4" w:name="_Toc15857"/>
      <w:bookmarkStart w:id="5" w:name="_Toc27645"/>
      <w:bookmarkStart w:id="6" w:name="_Toc2696"/>
      <w:r>
        <w:rPr>
          <w:rFonts w:hint="eastAsia" w:ascii="黑体" w:hAnsi="黑体" w:eastAsia="黑体" w:cs="黑体"/>
          <w:b w:val="0"/>
          <w:bCs w:val="0"/>
          <w:snapToGrid w:val="0"/>
          <w:color w:val="auto"/>
          <w:sz w:val="30"/>
          <w:szCs w:val="30"/>
          <w:highlight w:val="none"/>
        </w:rPr>
        <w:t>一、建设项目基本情况</w:t>
      </w:r>
      <w:bookmarkEnd w:id="0"/>
      <w:bookmarkEnd w:id="1"/>
    </w:p>
    <w:tbl>
      <w:tblPr>
        <w:tblStyle w:val="30"/>
        <w:tblW w:w="524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1438"/>
        <w:gridCol w:w="3096"/>
        <w:gridCol w:w="1826"/>
        <w:gridCol w:w="3209"/>
      </w:tblGrid>
      <w:tr w14:paraId="198B3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578" w:hRule="atLeast"/>
          <w:jc w:val="center"/>
        </w:trPr>
        <w:tc>
          <w:tcPr>
            <w:tcW w:w="1436" w:type="dxa"/>
            <w:noWrap w:val="0"/>
            <w:tcMar>
              <w:top w:w="16" w:type="dxa"/>
              <w:left w:w="16" w:type="dxa"/>
              <w:right w:w="16" w:type="dxa"/>
            </w:tcMar>
            <w:vAlign w:val="center"/>
          </w:tcPr>
          <w:p w14:paraId="0199356F">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w:t>
            </w:r>
          </w:p>
          <w:p w14:paraId="335355F8">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名称</w:t>
            </w:r>
          </w:p>
        </w:tc>
        <w:tc>
          <w:tcPr>
            <w:tcW w:w="8121" w:type="dxa"/>
            <w:gridSpan w:val="3"/>
            <w:noWrap w:val="0"/>
            <w:vAlign w:val="center"/>
          </w:tcPr>
          <w:p w14:paraId="7AC7320D">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工业气体建设项目（原宝鸡渭河电石公司异地搬迁项目）（重大变动）</w:t>
            </w:r>
          </w:p>
        </w:tc>
      </w:tr>
      <w:tr w14:paraId="6A513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427" w:hRule="atLeast"/>
          <w:jc w:val="center"/>
        </w:trPr>
        <w:tc>
          <w:tcPr>
            <w:tcW w:w="1436" w:type="dxa"/>
            <w:noWrap w:val="0"/>
            <w:tcMar>
              <w:top w:w="16" w:type="dxa"/>
              <w:left w:w="16" w:type="dxa"/>
              <w:right w:w="16" w:type="dxa"/>
            </w:tcMar>
            <w:vAlign w:val="center"/>
          </w:tcPr>
          <w:p w14:paraId="39B317DD">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项目代码</w:t>
            </w:r>
          </w:p>
        </w:tc>
        <w:tc>
          <w:tcPr>
            <w:tcW w:w="8121" w:type="dxa"/>
            <w:gridSpan w:val="3"/>
            <w:noWrap w:val="0"/>
            <w:vAlign w:val="center"/>
          </w:tcPr>
          <w:p w14:paraId="57D59BE8">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lang w:val="en-US" w:eastAsia="zh-CN"/>
              </w:rPr>
              <w:t>2019-610363-26-03-062186</w:t>
            </w:r>
          </w:p>
        </w:tc>
      </w:tr>
      <w:tr w14:paraId="736A2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36" w:type="dxa"/>
            <w:noWrap w:val="0"/>
            <w:tcMar>
              <w:top w:w="16" w:type="dxa"/>
              <w:left w:w="16" w:type="dxa"/>
              <w:right w:w="16" w:type="dxa"/>
            </w:tcMar>
            <w:vAlign w:val="center"/>
          </w:tcPr>
          <w:p w14:paraId="6D91C13A">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建设单位</w:t>
            </w:r>
          </w:p>
          <w:p w14:paraId="007F0DBB">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联系人</w:t>
            </w:r>
          </w:p>
        </w:tc>
        <w:tc>
          <w:tcPr>
            <w:tcW w:w="3092" w:type="dxa"/>
            <w:noWrap w:val="0"/>
            <w:vAlign w:val="center"/>
          </w:tcPr>
          <w:p w14:paraId="72C51790">
            <w:pPr>
              <w:pStyle w:val="52"/>
              <w:bidi w:val="0"/>
              <w:ind w:left="-24" w:leftChars="-10" w:right="-24" w:rightChars="-10" w:firstLine="0" w:firstLineChars="0"/>
              <w:rPr>
                <w:rFonts w:hint="default" w:ascii="Times New Roman" w:hAnsi="Times New Roman" w:eastAsia="宋体" w:cs="Times New Roman"/>
                <w:bCs w:val="0"/>
                <w:color w:val="000000" w:themeColor="text1"/>
                <w:kern w:val="2"/>
                <w:sz w:val="24"/>
                <w:szCs w:val="24"/>
                <w:highlight w:val="none"/>
                <w:lang w:val="en-US" w:eastAsia="zh-CN" w:bidi="ar-SA"/>
                <w14:textFill>
                  <w14:solidFill>
                    <w14:schemeClr w14:val="tx1"/>
                  </w14:solidFill>
                </w14:textFill>
              </w:rPr>
            </w:pPr>
          </w:p>
        </w:tc>
        <w:tc>
          <w:tcPr>
            <w:tcW w:w="1824" w:type="dxa"/>
            <w:noWrap w:val="0"/>
            <w:vAlign w:val="center"/>
          </w:tcPr>
          <w:p w14:paraId="2F534A8E">
            <w:pPr>
              <w:pStyle w:val="52"/>
              <w:bidi w:val="0"/>
              <w:ind w:left="-24" w:leftChars="-10" w:right="-24" w:rightChars="-10" w:firstLine="0" w:firstLineChars="0"/>
              <w:rPr>
                <w:rFonts w:hint="default" w:ascii="Times New Roman" w:hAnsi="Times New Roman" w:eastAsia="宋体" w:cs="Times New Roman"/>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联系方式</w:t>
            </w:r>
          </w:p>
        </w:tc>
        <w:tc>
          <w:tcPr>
            <w:tcW w:w="3205" w:type="dxa"/>
            <w:noWrap w:val="0"/>
            <w:vAlign w:val="center"/>
          </w:tcPr>
          <w:p w14:paraId="3A87A976">
            <w:pPr>
              <w:pStyle w:val="52"/>
              <w:bidi w:val="0"/>
              <w:ind w:left="-24" w:leftChars="-10" w:right="-24" w:rightChars="-10" w:firstLine="0" w:firstLineChars="0"/>
              <w:rPr>
                <w:rFonts w:hint="default" w:ascii="Times New Roman" w:hAnsi="Times New Roman" w:eastAsia="宋体" w:cs="Times New Roman"/>
                <w:bCs w:val="0"/>
                <w:color w:val="000000" w:themeColor="text1"/>
                <w:kern w:val="2"/>
                <w:sz w:val="24"/>
                <w:szCs w:val="24"/>
                <w:highlight w:val="none"/>
                <w:lang w:val="en-US" w:eastAsia="zh-CN" w:bidi="ar-SA"/>
                <w14:textFill>
                  <w14:solidFill>
                    <w14:schemeClr w14:val="tx1"/>
                  </w14:solidFill>
                </w14:textFill>
              </w:rPr>
            </w:pPr>
            <w:bookmarkStart w:id="36" w:name="_GoBack"/>
            <w:bookmarkEnd w:id="36"/>
          </w:p>
        </w:tc>
      </w:tr>
      <w:tr w14:paraId="0B27DA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36" w:type="dxa"/>
            <w:noWrap w:val="0"/>
            <w:tcMar>
              <w:top w:w="16" w:type="dxa"/>
              <w:left w:w="16" w:type="dxa"/>
              <w:right w:w="16" w:type="dxa"/>
            </w:tcMar>
            <w:vAlign w:val="center"/>
          </w:tcPr>
          <w:p w14:paraId="47390F51">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建设地点</w:t>
            </w:r>
          </w:p>
        </w:tc>
        <w:tc>
          <w:tcPr>
            <w:tcW w:w="8121" w:type="dxa"/>
            <w:gridSpan w:val="3"/>
            <w:noWrap w:val="0"/>
            <w:vAlign w:val="center"/>
          </w:tcPr>
          <w:p w14:paraId="510630EB">
            <w:pPr>
              <w:keepNext w:val="0"/>
              <w:keepLines w:val="0"/>
              <w:pageBreakBefore w:val="0"/>
              <w:kinsoku/>
              <w:wordWrap/>
              <w:overflowPunct/>
              <w:topLinePunct w:val="0"/>
              <w:autoSpaceDE/>
              <w:autoSpaceDN/>
              <w:bidi w:val="0"/>
              <w:spacing w:line="240" w:lineRule="atLeast"/>
              <w:ind w:firstLine="0" w:firstLineChars="0"/>
              <w:jc w:val="center"/>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u w:val="none"/>
                <w:lang w:eastAsia="zh-CN"/>
              </w:rPr>
              <w:t>陕西省宝鸡市凤翔高新区长青工业园</w:t>
            </w:r>
          </w:p>
        </w:tc>
      </w:tr>
      <w:tr w14:paraId="744302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36" w:type="dxa"/>
            <w:noWrap w:val="0"/>
            <w:tcMar>
              <w:top w:w="16" w:type="dxa"/>
              <w:left w:w="16" w:type="dxa"/>
              <w:right w:w="16" w:type="dxa"/>
            </w:tcMar>
            <w:vAlign w:val="center"/>
          </w:tcPr>
          <w:p w14:paraId="7FFD242D">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地理坐标</w:t>
            </w:r>
          </w:p>
        </w:tc>
        <w:tc>
          <w:tcPr>
            <w:tcW w:w="8121" w:type="dxa"/>
            <w:gridSpan w:val="3"/>
            <w:noWrap w:val="0"/>
            <w:vAlign w:val="center"/>
          </w:tcPr>
          <w:p w14:paraId="318BDE77">
            <w:pPr>
              <w:keepNext w:val="0"/>
              <w:keepLines w:val="0"/>
              <w:pageBreakBefore w:val="0"/>
              <w:kinsoku/>
              <w:wordWrap/>
              <w:overflowPunct/>
              <w:topLinePunct w:val="0"/>
              <w:autoSpaceDE/>
              <w:autoSpaceDN/>
              <w:bidi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0"/>
                <w:sz w:val="24"/>
              </w:rPr>
              <w:t>（</w:t>
            </w:r>
            <w:r>
              <w:rPr>
                <w:rFonts w:hint="default" w:ascii="Times New Roman" w:hAnsi="Times New Roman" w:eastAsia="宋体" w:cs="Times New Roman"/>
                <w:color w:val="auto"/>
                <w:spacing w:val="0"/>
                <w:sz w:val="24"/>
                <w:u w:val="single"/>
              </w:rPr>
              <w:t>107</w:t>
            </w:r>
            <w:r>
              <w:rPr>
                <w:rFonts w:hint="default" w:ascii="Times New Roman" w:hAnsi="Times New Roman" w:eastAsia="宋体" w:cs="Times New Roman"/>
                <w:color w:val="auto"/>
                <w:spacing w:val="0"/>
                <w:sz w:val="24"/>
              </w:rPr>
              <w:t>度</w:t>
            </w:r>
            <w:r>
              <w:rPr>
                <w:rFonts w:hint="eastAsia" w:ascii="Times New Roman" w:hAnsi="Times New Roman" w:eastAsia="宋体" w:cs="Times New Roman"/>
                <w:color w:val="auto"/>
                <w:spacing w:val="0"/>
                <w:sz w:val="24"/>
                <w:u w:val="single"/>
                <w:lang w:val="en-US" w:eastAsia="zh-CN"/>
              </w:rPr>
              <w:t>27</w:t>
            </w:r>
            <w:r>
              <w:rPr>
                <w:rFonts w:hint="default" w:ascii="Times New Roman" w:hAnsi="Times New Roman" w:eastAsia="宋体" w:cs="Times New Roman"/>
                <w:color w:val="auto"/>
                <w:spacing w:val="0"/>
                <w:sz w:val="24"/>
              </w:rPr>
              <w:t>分</w:t>
            </w:r>
            <w:r>
              <w:rPr>
                <w:rFonts w:hint="eastAsia" w:ascii="Times New Roman" w:hAnsi="Times New Roman" w:eastAsia="宋体" w:cs="Times New Roman"/>
                <w:color w:val="auto"/>
                <w:spacing w:val="0"/>
                <w:sz w:val="24"/>
                <w:u w:val="single"/>
                <w:lang w:val="en-US" w:eastAsia="zh-CN"/>
              </w:rPr>
              <w:t>2</w:t>
            </w:r>
            <w:r>
              <w:rPr>
                <w:rFonts w:hint="default" w:ascii="Times New Roman" w:hAnsi="Times New Roman" w:eastAsia="宋体" w:cs="Times New Roman"/>
                <w:color w:val="auto"/>
                <w:spacing w:val="0"/>
                <w:sz w:val="24"/>
                <w:u w:val="single"/>
              </w:rPr>
              <w:t>.050</w:t>
            </w:r>
            <w:r>
              <w:rPr>
                <w:rFonts w:hint="default" w:ascii="Times New Roman" w:hAnsi="Times New Roman" w:eastAsia="宋体" w:cs="Times New Roman"/>
                <w:color w:val="auto"/>
                <w:spacing w:val="0"/>
                <w:sz w:val="24"/>
              </w:rPr>
              <w:t>秒，</w:t>
            </w:r>
            <w:r>
              <w:rPr>
                <w:rFonts w:hint="default" w:ascii="Times New Roman" w:hAnsi="Times New Roman" w:eastAsia="宋体" w:cs="Times New Roman"/>
                <w:color w:val="auto"/>
                <w:spacing w:val="0"/>
                <w:sz w:val="24"/>
                <w:u w:val="single"/>
              </w:rPr>
              <w:t>34</w:t>
            </w:r>
            <w:r>
              <w:rPr>
                <w:rFonts w:hint="default" w:ascii="Times New Roman" w:hAnsi="Times New Roman" w:eastAsia="宋体" w:cs="Times New Roman"/>
                <w:color w:val="auto"/>
                <w:spacing w:val="0"/>
                <w:sz w:val="24"/>
              </w:rPr>
              <w:t>度</w:t>
            </w:r>
            <w:r>
              <w:rPr>
                <w:rFonts w:hint="eastAsia" w:ascii="Times New Roman" w:hAnsi="Times New Roman" w:eastAsia="宋体" w:cs="Times New Roman"/>
                <w:color w:val="auto"/>
                <w:spacing w:val="0"/>
                <w:sz w:val="24"/>
                <w:u w:val="single"/>
                <w:lang w:val="en-US" w:eastAsia="zh-CN"/>
              </w:rPr>
              <w:t>30</w:t>
            </w:r>
            <w:r>
              <w:rPr>
                <w:rFonts w:hint="default" w:ascii="Times New Roman" w:hAnsi="Times New Roman" w:eastAsia="宋体" w:cs="Times New Roman"/>
                <w:color w:val="auto"/>
                <w:spacing w:val="0"/>
                <w:sz w:val="24"/>
              </w:rPr>
              <w:t>分</w:t>
            </w:r>
            <w:r>
              <w:rPr>
                <w:rFonts w:hint="eastAsia" w:ascii="Times New Roman" w:hAnsi="Times New Roman" w:eastAsia="宋体" w:cs="Times New Roman"/>
                <w:color w:val="auto"/>
                <w:spacing w:val="0"/>
                <w:sz w:val="24"/>
                <w:u w:val="single"/>
                <w:lang w:val="en-US" w:eastAsia="zh-CN"/>
              </w:rPr>
              <w:t>27</w:t>
            </w:r>
            <w:r>
              <w:rPr>
                <w:rFonts w:hint="default" w:ascii="Times New Roman" w:hAnsi="Times New Roman" w:eastAsia="宋体" w:cs="Times New Roman"/>
                <w:color w:val="auto"/>
                <w:spacing w:val="0"/>
                <w:sz w:val="24"/>
                <w:u w:val="single"/>
              </w:rPr>
              <w:t>.380</w:t>
            </w:r>
            <w:r>
              <w:rPr>
                <w:rFonts w:hint="default" w:ascii="Times New Roman" w:hAnsi="Times New Roman" w:eastAsia="宋体" w:cs="Times New Roman"/>
                <w:color w:val="auto"/>
                <w:spacing w:val="0"/>
                <w:sz w:val="24"/>
              </w:rPr>
              <w:t>秒）</w:t>
            </w:r>
          </w:p>
        </w:tc>
      </w:tr>
      <w:tr w14:paraId="5741A1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36" w:type="dxa"/>
            <w:noWrap w:val="0"/>
            <w:tcMar>
              <w:top w:w="16" w:type="dxa"/>
              <w:left w:w="16" w:type="dxa"/>
              <w:right w:w="16" w:type="dxa"/>
            </w:tcMar>
            <w:vAlign w:val="center"/>
          </w:tcPr>
          <w:p w14:paraId="22FE0F75">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国民经济</w:t>
            </w:r>
          </w:p>
          <w:p w14:paraId="7CADE696">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行业类别</w:t>
            </w:r>
          </w:p>
        </w:tc>
        <w:tc>
          <w:tcPr>
            <w:tcW w:w="3092" w:type="dxa"/>
            <w:noWrap w:val="0"/>
            <w:vAlign w:val="center"/>
          </w:tcPr>
          <w:p w14:paraId="2C1B8AFA">
            <w:pPr>
              <w:keepNext w:val="0"/>
              <w:keepLines w:val="0"/>
              <w:pageBreakBefore w:val="0"/>
              <w:kinsoku/>
              <w:wordWrap/>
              <w:overflowPunct/>
              <w:topLinePunct w:val="0"/>
              <w:autoSpaceDE/>
              <w:autoSpaceDN/>
              <w:bidi w:val="0"/>
              <w:adjustRightInd w:val="0"/>
              <w:snapToGrid w:val="0"/>
              <w:spacing w:line="240" w:lineRule="atLeast"/>
              <w:ind w:firstLine="0" w:firstLineChars="0"/>
              <w:jc w:val="both"/>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C2619 其他基础化学原料制造</w:t>
            </w:r>
          </w:p>
          <w:p w14:paraId="28F00F5D">
            <w:pPr>
              <w:keepNext w:val="0"/>
              <w:keepLines w:val="0"/>
              <w:pageBreakBefore w:val="0"/>
              <w:kinsoku/>
              <w:wordWrap/>
              <w:overflowPunct/>
              <w:topLinePunct w:val="0"/>
              <w:autoSpaceDE/>
              <w:autoSpaceDN/>
              <w:bidi w:val="0"/>
              <w:adjustRightInd w:val="0"/>
              <w:snapToGrid w:val="0"/>
              <w:spacing w:line="240" w:lineRule="atLeast"/>
              <w:ind w:firstLine="0" w:firstLineChars="0"/>
              <w:jc w:val="both"/>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G594危险化学品仓储</w:t>
            </w:r>
          </w:p>
          <w:p w14:paraId="21C05419">
            <w:pPr>
              <w:keepNext w:val="0"/>
              <w:keepLines w:val="0"/>
              <w:pageBreakBefore w:val="0"/>
              <w:kinsoku/>
              <w:wordWrap/>
              <w:overflowPunct/>
              <w:topLinePunct w:val="0"/>
              <w:autoSpaceDE/>
              <w:autoSpaceDN/>
              <w:bidi w:val="0"/>
              <w:adjustRightInd w:val="0"/>
              <w:snapToGrid w:val="0"/>
              <w:spacing w:line="240" w:lineRule="atLeas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Cs w:val="21"/>
                <w:lang w:eastAsia="zh-CN"/>
              </w:rPr>
              <w:t>G5941油气仓储</w:t>
            </w:r>
          </w:p>
        </w:tc>
        <w:tc>
          <w:tcPr>
            <w:tcW w:w="1824" w:type="dxa"/>
            <w:noWrap w:val="0"/>
            <w:vAlign w:val="center"/>
          </w:tcPr>
          <w:p w14:paraId="35C092A9">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bookmarkStart w:id="7" w:name="_Hlk49843745"/>
            <w:r>
              <w:rPr>
                <w:rFonts w:hint="default" w:ascii="Times New Roman" w:hAnsi="Times New Roman" w:eastAsia="宋体" w:cs="Times New Roman"/>
                <w:b/>
                <w:bCs/>
                <w:color w:val="auto"/>
                <w:sz w:val="24"/>
                <w:szCs w:val="24"/>
                <w:highlight w:val="none"/>
              </w:rPr>
              <w:t>建设项目</w:t>
            </w:r>
          </w:p>
          <w:p w14:paraId="2EFD4F35">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行业类别</w:t>
            </w:r>
            <w:bookmarkEnd w:id="7"/>
          </w:p>
        </w:tc>
        <w:tc>
          <w:tcPr>
            <w:tcW w:w="3205" w:type="dxa"/>
            <w:noWrap w:val="0"/>
            <w:vAlign w:val="center"/>
          </w:tcPr>
          <w:p w14:paraId="1B6CA528">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eastAsia"/>
                <w:color w:val="auto"/>
                <w:sz w:val="24"/>
              </w:rPr>
            </w:pPr>
            <w:r>
              <w:rPr>
                <w:rFonts w:hint="eastAsia"/>
                <w:color w:val="auto"/>
                <w:sz w:val="24"/>
              </w:rPr>
              <w:t>二十三、化学原料和化学制品制造业26-44基础化学原料制造261 -单纯物理分离、物理提纯、混合、分装的（不产生废水或挥发性有机物的除外）</w:t>
            </w:r>
          </w:p>
          <w:p w14:paraId="08240DBE">
            <w:pPr>
              <w:keepNext w:val="0"/>
              <w:keepLines w:val="0"/>
              <w:pageBreakBefore w:val="0"/>
              <w:kinsoku/>
              <w:wordWrap/>
              <w:overflowPunct/>
              <w:topLinePunct w:val="0"/>
              <w:autoSpaceDE/>
              <w:autoSpaceDN/>
              <w:bidi w:val="0"/>
              <w:adjustRightInd w:val="0"/>
              <w:snapToGrid w:val="0"/>
              <w:spacing w:line="240" w:lineRule="atLeast"/>
              <w:ind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kern w:val="0"/>
                <w:sz w:val="24"/>
                <w:szCs w:val="24"/>
                <w:lang w:val="en-US" w:eastAsia="zh-CN" w:bidi="ar"/>
              </w:rPr>
              <w:t>五十三</w:t>
            </w:r>
            <w:r>
              <w:rPr>
                <w:rFonts w:hint="default" w:ascii="Times New Roman" w:hAnsi="Times New Roman" w:eastAsia="宋体" w:cs="Times New Roman"/>
                <w:color w:val="auto"/>
                <w:kern w:val="0"/>
                <w:sz w:val="24"/>
                <w:szCs w:val="24"/>
                <w:lang w:val="en-US" w:eastAsia="zh-CN" w:bidi="ar"/>
              </w:rPr>
              <w:t>、</w:t>
            </w:r>
            <w:r>
              <w:rPr>
                <w:rFonts w:hint="eastAsia" w:eastAsia="宋体" w:cs="Times New Roman"/>
                <w:color w:val="auto"/>
                <w:kern w:val="0"/>
                <w:sz w:val="24"/>
                <w:szCs w:val="24"/>
                <w:lang w:val="en-US" w:eastAsia="zh-CN" w:bidi="ar"/>
              </w:rPr>
              <w:t>装卸搬运和仓储业59-149、危化品仓储594（不含加油站的油库；不含加气站的气库）-其他（含有毒、有害、危险品的仓储；含液化天然气库）</w:t>
            </w:r>
          </w:p>
        </w:tc>
      </w:tr>
      <w:tr w14:paraId="220DB5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36" w:type="dxa"/>
            <w:noWrap w:val="0"/>
            <w:tcMar>
              <w:top w:w="16" w:type="dxa"/>
              <w:left w:w="16" w:type="dxa"/>
              <w:right w:w="16" w:type="dxa"/>
            </w:tcMar>
            <w:vAlign w:val="center"/>
          </w:tcPr>
          <w:p w14:paraId="24854E52">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建设性质</w:t>
            </w:r>
          </w:p>
        </w:tc>
        <w:tc>
          <w:tcPr>
            <w:tcW w:w="3092" w:type="dxa"/>
            <w:noWrap w:val="0"/>
            <w:vAlign w:val="center"/>
          </w:tcPr>
          <w:p w14:paraId="49DF6699">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14:paraId="1432CBF8">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14:paraId="21636E77">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14:paraId="68BE23DD">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824" w:type="dxa"/>
            <w:noWrap w:val="0"/>
            <w:vAlign w:val="center"/>
          </w:tcPr>
          <w:p w14:paraId="44AAA909">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w:t>
            </w:r>
          </w:p>
          <w:p w14:paraId="7A477EC2">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申报情形</w:t>
            </w:r>
          </w:p>
        </w:tc>
        <w:tc>
          <w:tcPr>
            <w:tcW w:w="3205" w:type="dxa"/>
            <w:noWrap w:val="0"/>
            <w:vAlign w:val="center"/>
          </w:tcPr>
          <w:p w14:paraId="3B3450DC">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首次申报项目</w:t>
            </w:r>
          </w:p>
          <w:p w14:paraId="5CB8C365">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14:paraId="4A25DA54">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超五年重新审核项目</w:t>
            </w:r>
          </w:p>
          <w:p w14:paraId="0857315E">
            <w:pPr>
              <w:keepNext w:val="0"/>
              <w:keepLines w:val="0"/>
              <w:pageBreakBefore w:val="0"/>
              <w:kinsoku/>
              <w:wordWrap/>
              <w:overflowPunct/>
              <w:topLinePunct w:val="0"/>
              <w:autoSpaceDE/>
              <w:autoSpaceDN/>
              <w:bidi w:val="0"/>
              <w:spacing w:line="240" w:lineRule="atLeast"/>
              <w:ind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重大变动重新报批项目</w:t>
            </w:r>
          </w:p>
        </w:tc>
      </w:tr>
      <w:tr w14:paraId="5D3999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36" w:type="dxa"/>
            <w:noWrap w:val="0"/>
            <w:tcMar>
              <w:top w:w="16" w:type="dxa"/>
              <w:left w:w="16" w:type="dxa"/>
              <w:right w:w="16" w:type="dxa"/>
            </w:tcMar>
            <w:vAlign w:val="center"/>
          </w:tcPr>
          <w:p w14:paraId="4F45CE9A">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项目审批（核准/备案）部门</w:t>
            </w:r>
          </w:p>
        </w:tc>
        <w:tc>
          <w:tcPr>
            <w:tcW w:w="3092" w:type="dxa"/>
            <w:noWrap w:val="0"/>
            <w:vAlign w:val="center"/>
          </w:tcPr>
          <w:p w14:paraId="67116601">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凤翔高新技术产业开发区</w:t>
            </w:r>
          </w:p>
          <w:p w14:paraId="52A67ACA">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管理委员会</w:t>
            </w:r>
          </w:p>
        </w:tc>
        <w:tc>
          <w:tcPr>
            <w:tcW w:w="1824" w:type="dxa"/>
            <w:noWrap w:val="0"/>
            <w:vAlign w:val="center"/>
          </w:tcPr>
          <w:p w14:paraId="50E4BF21">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项目审批（核准/</w:t>
            </w:r>
          </w:p>
          <w:p w14:paraId="5F8D91A0">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备案）文号</w:t>
            </w:r>
          </w:p>
        </w:tc>
        <w:tc>
          <w:tcPr>
            <w:tcW w:w="3205" w:type="dxa"/>
            <w:noWrap w:val="0"/>
            <w:vAlign w:val="center"/>
          </w:tcPr>
          <w:p w14:paraId="14EC914F">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14:paraId="32A68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36" w:type="dxa"/>
            <w:noWrap w:val="0"/>
            <w:tcMar>
              <w:top w:w="16" w:type="dxa"/>
              <w:left w:w="16" w:type="dxa"/>
              <w:right w:w="16" w:type="dxa"/>
            </w:tcMar>
            <w:vAlign w:val="center"/>
          </w:tcPr>
          <w:p w14:paraId="1D23F7A8">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总投资</w:t>
            </w:r>
          </w:p>
          <w:p w14:paraId="6443D029">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（万元）</w:t>
            </w:r>
          </w:p>
        </w:tc>
        <w:tc>
          <w:tcPr>
            <w:tcW w:w="3092" w:type="dxa"/>
            <w:noWrap w:val="0"/>
            <w:vAlign w:val="center"/>
          </w:tcPr>
          <w:p w14:paraId="75C1D758">
            <w:pPr>
              <w:keepNext w:val="0"/>
              <w:keepLines w:val="0"/>
              <w:pageBreakBefore w:val="0"/>
              <w:widowControl/>
              <w:suppressLineNumbers w:val="0"/>
              <w:kinsoku/>
              <w:wordWrap/>
              <w:overflowPunct/>
              <w:topLinePunct w:val="0"/>
              <w:autoSpaceDE/>
              <w:autoSpaceDN/>
              <w:bidi w:val="0"/>
              <w:spacing w:line="240" w:lineRule="atLeast"/>
              <w:ind w:firstLine="0" w:firstLineChars="0"/>
              <w:jc w:val="center"/>
              <w:textAlignment w:val="auto"/>
              <w:rPr>
                <w:rFonts w:hint="default" w:ascii="Times New Roman" w:hAnsi="Times New Roman" w:eastAsia="宋体" w:cs="Times New Roman"/>
                <w:color w:val="auto"/>
                <w:sz w:val="24"/>
                <w:szCs w:val="24"/>
                <w:highlight w:val="red"/>
                <w:lang w:val="en-US" w:eastAsia="zh-CN"/>
              </w:rPr>
            </w:pPr>
            <w:r>
              <w:rPr>
                <w:rFonts w:hint="eastAsia" w:cs="Times New Roman"/>
                <w:color w:val="auto"/>
                <w:sz w:val="24"/>
                <w:szCs w:val="24"/>
                <w:highlight w:val="none"/>
                <w:lang w:val="en-US" w:eastAsia="zh-CN"/>
              </w:rPr>
              <w:t>18000</w:t>
            </w:r>
          </w:p>
        </w:tc>
        <w:tc>
          <w:tcPr>
            <w:tcW w:w="1824" w:type="dxa"/>
            <w:noWrap w:val="0"/>
            <w:tcMar>
              <w:top w:w="16" w:type="dxa"/>
              <w:left w:w="16" w:type="dxa"/>
              <w:right w:w="16" w:type="dxa"/>
            </w:tcMar>
            <w:vAlign w:val="center"/>
          </w:tcPr>
          <w:p w14:paraId="0559F1EE">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环保投资（万元）</w:t>
            </w:r>
          </w:p>
        </w:tc>
        <w:tc>
          <w:tcPr>
            <w:tcW w:w="3205" w:type="dxa"/>
            <w:noWrap w:val="0"/>
            <w:vAlign w:val="center"/>
          </w:tcPr>
          <w:p w14:paraId="267F230A">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red"/>
                <w:lang w:val="en-US" w:eastAsia="zh-CN"/>
              </w:rPr>
            </w:pPr>
            <w:r>
              <w:rPr>
                <w:rFonts w:hint="eastAsia" w:cs="Times New Roman"/>
                <w:color w:val="auto"/>
                <w:sz w:val="24"/>
                <w:szCs w:val="24"/>
                <w:highlight w:val="none"/>
                <w:lang w:val="en-US" w:eastAsia="zh-CN"/>
              </w:rPr>
              <w:t>264</w:t>
            </w:r>
          </w:p>
        </w:tc>
      </w:tr>
      <w:tr w14:paraId="40F3D6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36" w:type="dxa"/>
            <w:noWrap w:val="0"/>
            <w:tcMar>
              <w:top w:w="16" w:type="dxa"/>
              <w:left w:w="16" w:type="dxa"/>
              <w:right w:w="16" w:type="dxa"/>
            </w:tcMar>
            <w:vAlign w:val="center"/>
          </w:tcPr>
          <w:p w14:paraId="5A175BBC">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环保投资占比（%）</w:t>
            </w:r>
          </w:p>
        </w:tc>
        <w:tc>
          <w:tcPr>
            <w:tcW w:w="3092" w:type="dxa"/>
            <w:noWrap w:val="0"/>
            <w:vAlign w:val="center"/>
          </w:tcPr>
          <w:p w14:paraId="1B67996F">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1.47</w:t>
            </w:r>
          </w:p>
        </w:tc>
        <w:tc>
          <w:tcPr>
            <w:tcW w:w="1824" w:type="dxa"/>
            <w:noWrap w:val="0"/>
            <w:tcMar>
              <w:top w:w="16" w:type="dxa"/>
              <w:left w:w="16" w:type="dxa"/>
              <w:right w:w="16" w:type="dxa"/>
            </w:tcMar>
            <w:vAlign w:val="center"/>
          </w:tcPr>
          <w:p w14:paraId="5E51BBB2">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施工工期</w:t>
            </w:r>
          </w:p>
        </w:tc>
        <w:tc>
          <w:tcPr>
            <w:tcW w:w="3205" w:type="dxa"/>
            <w:noWrap w:val="0"/>
            <w:vAlign w:val="center"/>
          </w:tcPr>
          <w:p w14:paraId="7818FB58">
            <w:pPr>
              <w:keepNext w:val="0"/>
              <w:keepLines w:val="0"/>
              <w:pageBreakBefore w:val="0"/>
              <w:kinsoku/>
              <w:wordWrap/>
              <w:overflowPunct/>
              <w:topLinePunct w:val="0"/>
              <w:autoSpaceDE/>
              <w:autoSpaceDN/>
              <w:bidi w:val="0"/>
              <w:adjustRightInd w:val="0"/>
              <w:snapToGrid w:val="0"/>
              <w:spacing w:line="240" w:lineRule="atLeast"/>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en-US" w:eastAsia="zh-CN"/>
              </w:rPr>
              <w:t>个月</w:t>
            </w:r>
          </w:p>
        </w:tc>
      </w:tr>
      <w:tr w14:paraId="56B55F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436" w:type="dxa"/>
            <w:noWrap w:val="0"/>
            <w:tcMar>
              <w:top w:w="16" w:type="dxa"/>
              <w:left w:w="16" w:type="dxa"/>
              <w:right w:w="16" w:type="dxa"/>
            </w:tcMar>
            <w:vAlign w:val="center"/>
          </w:tcPr>
          <w:p w14:paraId="457E1D7F">
            <w:pPr>
              <w:keepNext w:val="0"/>
              <w:keepLines w:val="0"/>
              <w:pageBreakBefore w:val="0"/>
              <w:widowControl w:val="0"/>
              <w:kinsoku/>
              <w:wordWrap/>
              <w:overflowPunct/>
              <w:topLinePunct w:val="0"/>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是否开工建设</w:t>
            </w:r>
          </w:p>
        </w:tc>
        <w:tc>
          <w:tcPr>
            <w:tcW w:w="3092" w:type="dxa"/>
            <w:noWrap w:val="0"/>
            <w:vAlign w:val="center"/>
          </w:tcPr>
          <w:p w14:paraId="3B15E54B">
            <w:pPr>
              <w:keepNext w:val="0"/>
              <w:keepLines w:val="0"/>
              <w:pageBreakBefore w:val="0"/>
              <w:kinsoku/>
              <w:wordWrap/>
              <w:overflowPunct/>
              <w:topLinePunct w:val="0"/>
              <w:bidi w:val="0"/>
              <w:adjustRightInd w:val="0"/>
              <w:snapToGrid w:val="0"/>
              <w:spacing w:line="240" w:lineRule="atLeast"/>
              <w:ind w:left="0" w:leftChars="0" w:firstLine="0" w:firstLine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14:paraId="758FBEA3">
            <w:pPr>
              <w:keepNext w:val="0"/>
              <w:keepLines w:val="0"/>
              <w:pageBreakBefore w:val="0"/>
              <w:kinsoku/>
              <w:wordWrap/>
              <w:overflowPunct/>
              <w:topLinePunct w:val="0"/>
              <w:bidi w:val="0"/>
              <w:adjustRightInd w:val="0"/>
              <w:snapToGrid w:val="0"/>
              <w:spacing w:line="240" w:lineRule="atLeast"/>
              <w:ind w:left="0" w:leftChars="0" w:firstLine="0" w:firstLineChars="0"/>
              <w:jc w:val="left"/>
              <w:textAlignment w:val="auto"/>
              <w:rPr>
                <w:rFonts w:hint="default" w:eastAsia="宋体"/>
                <w:color w:val="auto"/>
                <w:lang w:val="en-US" w:eastAsia="zh-CN"/>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p>
        </w:tc>
        <w:tc>
          <w:tcPr>
            <w:tcW w:w="1824" w:type="dxa"/>
            <w:noWrap w:val="0"/>
            <w:tcMar>
              <w:top w:w="16" w:type="dxa"/>
              <w:left w:w="16" w:type="dxa"/>
              <w:right w:w="16" w:type="dxa"/>
            </w:tcMar>
            <w:vAlign w:val="center"/>
          </w:tcPr>
          <w:p w14:paraId="0F4C306A">
            <w:pPr>
              <w:keepNext w:val="0"/>
              <w:keepLines w:val="0"/>
              <w:pageBreakBefore w:val="0"/>
              <w:kinsoku/>
              <w:wordWrap/>
              <w:overflowPunct/>
              <w:topLinePunct w:val="0"/>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b/>
                <w:bCs/>
                <w:color w:val="auto"/>
                <w:spacing w:val="-6"/>
                <w:sz w:val="24"/>
                <w:szCs w:val="24"/>
                <w:highlight w:val="none"/>
              </w:rPr>
              <w:t>用地（用海）</w:t>
            </w:r>
          </w:p>
          <w:p w14:paraId="6605A4D8">
            <w:pPr>
              <w:keepNext w:val="0"/>
              <w:keepLines w:val="0"/>
              <w:pageBreakBefore w:val="0"/>
              <w:kinsoku/>
              <w:wordWrap/>
              <w:overflowPunct/>
              <w:topLinePunct w:val="0"/>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6"/>
                <w:sz w:val="24"/>
                <w:szCs w:val="24"/>
                <w:highlight w:val="none"/>
              </w:rPr>
              <w:t>面积（m</w:t>
            </w:r>
            <w:r>
              <w:rPr>
                <w:rFonts w:hint="default" w:ascii="Times New Roman" w:hAnsi="Times New Roman" w:eastAsia="宋体" w:cs="Times New Roman"/>
                <w:b/>
                <w:bCs/>
                <w:color w:val="auto"/>
                <w:spacing w:val="-6"/>
                <w:sz w:val="24"/>
                <w:szCs w:val="24"/>
                <w:highlight w:val="none"/>
                <w:vertAlign w:val="superscript"/>
              </w:rPr>
              <w:t>2</w:t>
            </w:r>
            <w:r>
              <w:rPr>
                <w:rFonts w:hint="default" w:ascii="Times New Roman" w:hAnsi="Times New Roman" w:eastAsia="宋体" w:cs="Times New Roman"/>
                <w:b/>
                <w:bCs/>
                <w:color w:val="auto"/>
                <w:spacing w:val="-6"/>
                <w:sz w:val="24"/>
                <w:szCs w:val="24"/>
                <w:highlight w:val="none"/>
              </w:rPr>
              <w:t>）</w:t>
            </w:r>
          </w:p>
        </w:tc>
        <w:tc>
          <w:tcPr>
            <w:tcW w:w="3205" w:type="dxa"/>
            <w:noWrap w:val="0"/>
            <w:vAlign w:val="center"/>
          </w:tcPr>
          <w:p w14:paraId="60DBD4AD">
            <w:pPr>
              <w:keepNext w:val="0"/>
              <w:keepLines w:val="0"/>
              <w:pageBreakBefore w:val="0"/>
              <w:kinsoku/>
              <w:wordWrap/>
              <w:overflowPunct/>
              <w:topLinePunct w:val="0"/>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50319</w:t>
            </w:r>
          </w:p>
        </w:tc>
      </w:tr>
      <w:tr w14:paraId="7BCA1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36" w:type="dxa"/>
            <w:noWrap w:val="0"/>
            <w:vAlign w:val="center"/>
          </w:tcPr>
          <w:p w14:paraId="59B7BECF">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专项评价设置情况</w:t>
            </w:r>
          </w:p>
        </w:tc>
        <w:tc>
          <w:tcPr>
            <w:tcW w:w="8121" w:type="dxa"/>
            <w:gridSpan w:val="3"/>
            <w:noWrap w:val="0"/>
            <w:vAlign w:val="center"/>
          </w:tcPr>
          <w:p w14:paraId="633AE896">
            <w:pPr>
              <w:adjustRightInd w:val="0"/>
              <w:snapToGrid w:val="0"/>
              <w:spacing w:line="360" w:lineRule="auto"/>
              <w:ind w:left="0" w:leftChars="0" w:firstLine="480" w:firstLineChars="200"/>
              <w:jc w:val="both"/>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根据生态环境部发布的《建设项目环境影响评价分类管理名录》（2021年版）和《建设项目环境影响报告表编制技术指南（污染影响类）（试行）》（环办环评〔2020〕33号）（以下简称编制指南），本项目为基础化学原料制造项目，属于以污染影响为主要特征的建设项目，不涉及环境敏感区，按照编制指南要求，本项目需设置环境风险专项评价，详见下表</w:t>
            </w:r>
            <w:r>
              <w:rPr>
                <w:rFonts w:hint="eastAsia" w:ascii="Times New Roman" w:hAnsi="Times New Roman" w:eastAsia="宋体" w:cs="Times New Roman"/>
                <w:color w:val="auto"/>
                <w:kern w:val="0"/>
                <w:sz w:val="24"/>
                <w:szCs w:val="24"/>
                <w:highlight w:val="none"/>
                <w:lang w:val="en-US" w:eastAsia="zh-CN"/>
              </w:rPr>
              <w:t>1-1</w:t>
            </w:r>
            <w:r>
              <w:rPr>
                <w:rFonts w:hint="default" w:ascii="Times New Roman" w:hAnsi="Times New Roman" w:eastAsia="宋体" w:cs="Times New Roman"/>
                <w:color w:val="auto"/>
                <w:kern w:val="0"/>
                <w:sz w:val="24"/>
                <w:szCs w:val="24"/>
                <w:highlight w:val="none"/>
                <w:lang w:val="en-US" w:eastAsia="zh-CN"/>
              </w:rPr>
              <w:t>。</w:t>
            </w:r>
          </w:p>
          <w:p w14:paraId="334E8A09">
            <w:pPr>
              <w:adjustRightInd w:val="0"/>
              <w:snapToGrid w:val="0"/>
              <w:spacing w:line="360" w:lineRule="exact"/>
              <w:jc w:val="center"/>
              <w:rPr>
                <w:rFonts w:hint="default" w:ascii="Times New Roman" w:hAnsi="Times New Roman" w:eastAsia="宋体" w:cs="Times New Roman"/>
                <w:color w:val="auto"/>
                <w:highlight w:val="none"/>
              </w:rPr>
            </w:pPr>
            <w:r>
              <w:rPr>
                <w:rStyle w:val="97"/>
                <w:rFonts w:hint="default" w:ascii="Times New Roman" w:hAnsi="Times New Roman" w:cs="Times New Roman"/>
                <w:color w:val="auto"/>
                <w:sz w:val="21"/>
                <w:szCs w:val="18"/>
                <w:highlight w:val="none"/>
              </w:rPr>
              <w:t>表1-1</w:t>
            </w:r>
            <w:r>
              <w:rPr>
                <w:rStyle w:val="97"/>
                <w:rFonts w:hint="eastAsia" w:ascii="Times New Roman" w:hAnsi="Times New Roman" w:eastAsia="宋体" w:cs="Times New Roman"/>
                <w:color w:val="auto"/>
                <w:sz w:val="21"/>
                <w:szCs w:val="18"/>
                <w:highlight w:val="none"/>
                <w:lang w:val="en-US" w:eastAsia="zh-CN"/>
              </w:rPr>
              <w:t xml:space="preserve"> </w:t>
            </w:r>
            <w:r>
              <w:rPr>
                <w:rFonts w:hint="default" w:ascii="Times New Roman" w:hAnsi="Times New Roman" w:eastAsia="宋体" w:cs="Times New Roman"/>
                <w:b/>
                <w:bCs/>
                <w:color w:val="auto"/>
                <w:sz w:val="21"/>
                <w:szCs w:val="18"/>
                <w:highlight w:val="none"/>
              </w:rPr>
              <w:t xml:space="preserve">  专项评价设置情况分析表</w:t>
            </w:r>
          </w:p>
          <w:tbl>
            <w:tblPr>
              <w:tblStyle w:val="31"/>
              <w:tblW w:w="790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3243"/>
              <w:gridCol w:w="2480"/>
              <w:gridCol w:w="1080"/>
            </w:tblGrid>
            <w:tr w14:paraId="5185D1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100" w:type="dxa"/>
                  <w:tcBorders>
                    <w:tl2br w:val="nil"/>
                    <w:tr2bl w:val="nil"/>
                  </w:tcBorders>
                  <w:noWrap w:val="0"/>
                  <w:vAlign w:val="center"/>
                </w:tcPr>
                <w:p w14:paraId="5F8972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专项评价的类别</w:t>
                  </w:r>
                </w:p>
              </w:tc>
              <w:tc>
                <w:tcPr>
                  <w:tcW w:w="3243" w:type="dxa"/>
                  <w:tcBorders>
                    <w:tl2br w:val="nil"/>
                    <w:tr2bl w:val="nil"/>
                  </w:tcBorders>
                  <w:noWrap w:val="0"/>
                  <w:vAlign w:val="center"/>
                </w:tcPr>
                <w:p w14:paraId="30E0CC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设置原则</w:t>
                  </w:r>
                </w:p>
              </w:tc>
              <w:tc>
                <w:tcPr>
                  <w:tcW w:w="2480" w:type="dxa"/>
                  <w:tcBorders>
                    <w:tl2br w:val="nil"/>
                    <w:tr2bl w:val="nil"/>
                  </w:tcBorders>
                  <w:noWrap w:val="0"/>
                  <w:vAlign w:val="center"/>
                </w:tcPr>
                <w:p w14:paraId="2E0933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1080" w:type="dxa"/>
                  <w:tcBorders>
                    <w:tl2br w:val="nil"/>
                    <w:tr2bl w:val="nil"/>
                  </w:tcBorders>
                  <w:noWrap w:val="0"/>
                  <w:vAlign w:val="center"/>
                </w:tcPr>
                <w:p w14:paraId="50CCE5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是否设置专项评价</w:t>
                  </w:r>
                </w:p>
              </w:tc>
            </w:tr>
            <w:tr w14:paraId="5F296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100" w:type="dxa"/>
                  <w:tcBorders>
                    <w:tl2br w:val="nil"/>
                    <w:tr2bl w:val="nil"/>
                  </w:tcBorders>
                  <w:noWrap w:val="0"/>
                  <w:vAlign w:val="center"/>
                </w:tcPr>
                <w:p w14:paraId="082CD0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tc>
              <w:tc>
                <w:tcPr>
                  <w:tcW w:w="3243" w:type="dxa"/>
                  <w:tcBorders>
                    <w:tl2br w:val="nil"/>
                    <w:tr2bl w:val="nil"/>
                  </w:tcBorders>
                  <w:noWrap w:val="0"/>
                  <w:vAlign w:val="center"/>
                </w:tcPr>
                <w:p w14:paraId="2AD451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排放废气含有毒有害污染物、二噁英、苯并[a]芘、氰化物、氯气且厂界外500米范围内有环境空气保护目标的建设项目</w:t>
                  </w:r>
                  <w:r>
                    <w:rPr>
                      <w:rFonts w:hint="eastAsia" w:ascii="Times New Roman" w:hAnsi="Times New Roman" w:eastAsia="宋体" w:cs="Times New Roman"/>
                      <w:color w:val="auto"/>
                      <w:sz w:val="21"/>
                      <w:szCs w:val="21"/>
                      <w:highlight w:val="none"/>
                      <w:lang w:eastAsia="zh-CN"/>
                    </w:rPr>
                    <w:t>。</w:t>
                  </w:r>
                </w:p>
              </w:tc>
              <w:tc>
                <w:tcPr>
                  <w:tcW w:w="2480" w:type="dxa"/>
                  <w:tcBorders>
                    <w:tl2br w:val="nil"/>
                    <w:tr2bl w:val="nil"/>
                  </w:tcBorders>
                  <w:noWrap w:val="0"/>
                  <w:vAlign w:val="center"/>
                </w:tcPr>
                <w:p w14:paraId="3D50D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经分析，本项目不涉及《有毒有害大气污染物名录》中规定的</w:t>
                  </w:r>
                  <w:r>
                    <w:rPr>
                      <w:rFonts w:hint="default" w:ascii="Times New Roman" w:hAnsi="Times New Roman" w:eastAsia="宋体" w:cs="Times New Roman"/>
                      <w:color w:val="auto"/>
                      <w:sz w:val="21"/>
                      <w:szCs w:val="21"/>
                      <w:highlight w:val="none"/>
                      <w:lang w:val="en-US" w:eastAsia="zh-CN"/>
                    </w:rPr>
                    <w:t>有毒有害污染物排放。</w:t>
                  </w:r>
                </w:p>
              </w:tc>
              <w:tc>
                <w:tcPr>
                  <w:tcW w:w="1080" w:type="dxa"/>
                  <w:tcBorders>
                    <w:tl2br w:val="nil"/>
                    <w:tr2bl w:val="nil"/>
                  </w:tcBorders>
                  <w:noWrap w:val="0"/>
                  <w:vAlign w:val="center"/>
                </w:tcPr>
                <w:p w14:paraId="326B8F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3B099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100" w:type="dxa"/>
                  <w:tcBorders>
                    <w:tl2br w:val="nil"/>
                    <w:tr2bl w:val="nil"/>
                  </w:tcBorders>
                  <w:noWrap w:val="0"/>
                  <w:vAlign w:val="center"/>
                </w:tcPr>
                <w:p w14:paraId="2E8150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3243" w:type="dxa"/>
                  <w:tcBorders>
                    <w:tl2br w:val="nil"/>
                    <w:tr2bl w:val="nil"/>
                  </w:tcBorders>
                  <w:noWrap w:val="0"/>
                  <w:vAlign w:val="center"/>
                </w:tcPr>
                <w:p w14:paraId="0C09F1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新增工业废水直排建设项目（槽罐车外送污水处理厂的除外）；</w:t>
                  </w:r>
                </w:p>
                <w:p w14:paraId="7AA442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新增废水直排的污水集中处理厂</w:t>
                  </w:r>
                  <w:r>
                    <w:rPr>
                      <w:rFonts w:hint="eastAsia" w:ascii="Times New Roman" w:hAnsi="Times New Roman" w:eastAsia="宋体" w:cs="Times New Roman"/>
                      <w:color w:val="auto"/>
                      <w:sz w:val="21"/>
                      <w:szCs w:val="21"/>
                      <w:highlight w:val="none"/>
                      <w:lang w:eastAsia="zh-CN"/>
                    </w:rPr>
                    <w:t>。</w:t>
                  </w:r>
                </w:p>
              </w:tc>
              <w:tc>
                <w:tcPr>
                  <w:tcW w:w="2480" w:type="dxa"/>
                  <w:tcBorders>
                    <w:tl2br w:val="nil"/>
                    <w:tr2bl w:val="nil"/>
                  </w:tcBorders>
                  <w:noWrap w:val="0"/>
                  <w:vAlign w:val="center"/>
                </w:tcPr>
                <w:p w14:paraId="457CBC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本项目无工业废水</w:t>
                  </w:r>
                  <w:r>
                    <w:rPr>
                      <w:rFonts w:hint="default" w:ascii="Times New Roman" w:hAnsi="Times New Roman" w:eastAsia="宋体" w:cs="Times New Roman"/>
                      <w:color w:val="auto"/>
                      <w:sz w:val="21"/>
                      <w:szCs w:val="21"/>
                      <w:highlight w:val="none"/>
                      <w:lang w:val="en-US" w:eastAsia="zh-CN"/>
                    </w:rPr>
                    <w:t>直接外排。</w:t>
                  </w:r>
                </w:p>
              </w:tc>
              <w:tc>
                <w:tcPr>
                  <w:tcW w:w="1080" w:type="dxa"/>
                  <w:tcBorders>
                    <w:tl2br w:val="nil"/>
                    <w:tr2bl w:val="nil"/>
                  </w:tcBorders>
                  <w:noWrap w:val="0"/>
                  <w:vAlign w:val="center"/>
                </w:tcPr>
                <w:p w14:paraId="3D1976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337AD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00" w:type="dxa"/>
                  <w:tcBorders>
                    <w:tl2br w:val="nil"/>
                    <w:tr2bl w:val="nil"/>
                  </w:tcBorders>
                  <w:noWrap w:val="0"/>
                  <w:vAlign w:val="center"/>
                </w:tcPr>
                <w:p w14:paraId="0E0A0E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w:t>
                  </w:r>
                </w:p>
              </w:tc>
              <w:tc>
                <w:tcPr>
                  <w:tcW w:w="3243" w:type="dxa"/>
                  <w:tcBorders>
                    <w:tl2br w:val="nil"/>
                    <w:tr2bl w:val="nil"/>
                  </w:tcBorders>
                  <w:noWrap w:val="0"/>
                  <w:vAlign w:val="center"/>
                </w:tcPr>
                <w:p w14:paraId="3FE2BB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有毒有害和易燃易爆危险物质存储量超过临界量的建设项目</w:t>
                  </w:r>
                  <w:r>
                    <w:rPr>
                      <w:rFonts w:hint="eastAsia" w:ascii="Times New Roman" w:hAnsi="Times New Roman" w:eastAsia="宋体" w:cs="Times New Roman"/>
                      <w:color w:val="auto"/>
                      <w:sz w:val="21"/>
                      <w:szCs w:val="21"/>
                      <w:highlight w:val="none"/>
                      <w:lang w:eastAsia="zh-CN"/>
                    </w:rPr>
                    <w:t>。</w:t>
                  </w:r>
                </w:p>
              </w:tc>
              <w:tc>
                <w:tcPr>
                  <w:tcW w:w="2480" w:type="dxa"/>
                  <w:tcBorders>
                    <w:tl2br w:val="nil"/>
                    <w:tr2bl w:val="nil"/>
                  </w:tcBorders>
                  <w:noWrap w:val="0"/>
                  <w:vAlign w:val="center"/>
                </w:tcPr>
                <w:p w14:paraId="6AC701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本项目涉及《建设项目环境风险评价技术导则》（HJ 169-2018）附录B“乙炔、丙烷、液化石油气、液化石油气残液、润滑油和废润滑油”储存，乙炔、丙烷、液化石油气、液化石油气残液、润滑油和废润滑油最大在线量分别为0.8t、50.6t、49.4t、0.06t、3t、1.2t，乙炔、丙烷、液化石油气的临界量均为10t，液化石油气残液、润滑油和废润滑油的临界量分别为5t、2500t、2500t，由此得出Q值为10.09368，判定Q值大于1，故设置风险专项评价。</w:t>
                  </w:r>
                </w:p>
              </w:tc>
              <w:tc>
                <w:tcPr>
                  <w:tcW w:w="1080" w:type="dxa"/>
                  <w:tcBorders>
                    <w:tl2br w:val="nil"/>
                    <w:tr2bl w:val="nil"/>
                  </w:tcBorders>
                  <w:noWrap w:val="0"/>
                  <w:vAlign w:val="center"/>
                </w:tcPr>
                <w:p w14:paraId="7274F1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是</w:t>
                  </w:r>
                </w:p>
              </w:tc>
            </w:tr>
            <w:tr w14:paraId="4A9A2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00" w:type="dxa"/>
                  <w:tcBorders>
                    <w:tl2br w:val="nil"/>
                    <w:tr2bl w:val="nil"/>
                  </w:tcBorders>
                  <w:noWrap w:val="0"/>
                  <w:vAlign w:val="center"/>
                </w:tcPr>
                <w:p w14:paraId="46865A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w:t>
                  </w:r>
                </w:p>
              </w:tc>
              <w:tc>
                <w:tcPr>
                  <w:tcW w:w="3243" w:type="dxa"/>
                  <w:tcBorders>
                    <w:tl2br w:val="nil"/>
                    <w:tr2bl w:val="nil"/>
                  </w:tcBorders>
                  <w:noWrap w:val="0"/>
                  <w:vAlign w:val="center"/>
                </w:tcPr>
                <w:p w14:paraId="11063E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取水口下游500米范围内有重要水生生物的自然产卵场、索饵场、越冬场和洄游通道的新增河道取水的污染类建设项目</w:t>
                  </w:r>
                  <w:r>
                    <w:rPr>
                      <w:rFonts w:hint="eastAsia" w:ascii="Times New Roman" w:hAnsi="Times New Roman" w:eastAsia="宋体" w:cs="Times New Roman"/>
                      <w:color w:val="auto"/>
                      <w:sz w:val="21"/>
                      <w:szCs w:val="21"/>
                      <w:highlight w:val="none"/>
                      <w:lang w:eastAsia="zh-CN"/>
                    </w:rPr>
                    <w:t>。</w:t>
                  </w:r>
                </w:p>
              </w:tc>
              <w:tc>
                <w:tcPr>
                  <w:tcW w:w="2480" w:type="dxa"/>
                  <w:tcBorders>
                    <w:tl2br w:val="nil"/>
                    <w:tr2bl w:val="nil"/>
                  </w:tcBorders>
                  <w:noWrap w:val="0"/>
                  <w:vAlign w:val="center"/>
                </w:tcPr>
                <w:p w14:paraId="227827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本项目不涉及河道取水</w:t>
                  </w:r>
                  <w:r>
                    <w:rPr>
                      <w:rFonts w:hint="default" w:ascii="Times New Roman" w:hAnsi="Times New Roman" w:eastAsia="宋体" w:cs="Times New Roman"/>
                      <w:color w:val="auto"/>
                      <w:sz w:val="21"/>
                      <w:szCs w:val="21"/>
                      <w:highlight w:val="none"/>
                      <w:lang w:eastAsia="zh-CN"/>
                    </w:rPr>
                    <w:t>。</w:t>
                  </w:r>
                </w:p>
              </w:tc>
              <w:tc>
                <w:tcPr>
                  <w:tcW w:w="1080" w:type="dxa"/>
                  <w:tcBorders>
                    <w:tl2br w:val="nil"/>
                    <w:tr2bl w:val="nil"/>
                  </w:tcBorders>
                  <w:noWrap w:val="0"/>
                  <w:vAlign w:val="center"/>
                </w:tcPr>
                <w:p w14:paraId="326929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666B6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100" w:type="dxa"/>
                  <w:tcBorders>
                    <w:tl2br w:val="nil"/>
                    <w:tr2bl w:val="nil"/>
                  </w:tcBorders>
                  <w:noWrap w:val="0"/>
                  <w:vAlign w:val="center"/>
                </w:tcPr>
                <w:p w14:paraId="7E0811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海洋</w:t>
                  </w:r>
                </w:p>
              </w:tc>
              <w:tc>
                <w:tcPr>
                  <w:tcW w:w="3243" w:type="dxa"/>
                  <w:tcBorders>
                    <w:tl2br w:val="nil"/>
                    <w:tr2bl w:val="nil"/>
                  </w:tcBorders>
                  <w:noWrap w:val="0"/>
                  <w:vAlign w:val="center"/>
                </w:tcPr>
                <w:p w14:paraId="695243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直接向海排放污染物的海洋工程建设项目</w:t>
                  </w:r>
                  <w:r>
                    <w:rPr>
                      <w:rFonts w:hint="default" w:ascii="Times New Roman" w:hAnsi="Times New Roman" w:eastAsia="宋体" w:cs="Times New Roman"/>
                      <w:color w:val="auto"/>
                      <w:sz w:val="21"/>
                      <w:szCs w:val="21"/>
                      <w:highlight w:val="none"/>
                      <w:lang w:eastAsia="zh-CN"/>
                    </w:rPr>
                    <w:t>。</w:t>
                  </w:r>
                </w:p>
              </w:tc>
              <w:tc>
                <w:tcPr>
                  <w:tcW w:w="2480" w:type="dxa"/>
                  <w:tcBorders>
                    <w:tl2br w:val="nil"/>
                    <w:tr2bl w:val="nil"/>
                  </w:tcBorders>
                  <w:noWrap w:val="0"/>
                  <w:vAlign w:val="center"/>
                </w:tcPr>
                <w:p w14:paraId="2059E8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本项目不属于海洋工程建设项目。</w:t>
                  </w:r>
                </w:p>
              </w:tc>
              <w:tc>
                <w:tcPr>
                  <w:tcW w:w="1080" w:type="dxa"/>
                  <w:tcBorders>
                    <w:tl2br w:val="nil"/>
                    <w:tr2bl w:val="nil"/>
                  </w:tcBorders>
                  <w:noWrap w:val="0"/>
                  <w:vAlign w:val="center"/>
                </w:tcPr>
                <w:p w14:paraId="68C211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3A158B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903" w:type="dxa"/>
                  <w:gridSpan w:val="4"/>
                  <w:tcBorders>
                    <w:tl2br w:val="nil"/>
                    <w:tr2bl w:val="nil"/>
                  </w:tcBorders>
                  <w:noWrap w:val="0"/>
                  <w:vAlign w:val="center"/>
                </w:tcPr>
                <w:p w14:paraId="5D531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注：1.废气中有毒有害污染物指纳入《有毒有害大气污染物名录》的污染物（不包括无排放标准的污染物）。</w:t>
                  </w:r>
                </w:p>
                <w:p w14:paraId="56D2E4A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2.环境空气保护目标指自然保护区、风景名胜区、居住区、文化区和农村地区中人群较集中的区域。</w:t>
                  </w:r>
                </w:p>
                <w:p w14:paraId="18D7897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3.临界量及其计算方法可参考《建设项目环境风险评价技术导则》（HJ169）附录B、附录C。</w:t>
                  </w:r>
                </w:p>
              </w:tc>
            </w:tr>
          </w:tbl>
          <w:p w14:paraId="5433172B">
            <w:pPr>
              <w:keepNext w:val="0"/>
              <w:keepLines w:val="0"/>
              <w:pageBreakBefore w:val="0"/>
              <w:kinsoku/>
              <w:wordWrap/>
              <w:overflowPunct/>
              <w:topLinePunct w:val="0"/>
              <w:autoSpaceDE w:val="0"/>
              <w:autoSpaceDN w:val="0"/>
              <w:bidi w:val="0"/>
              <w:adjustRightInd w:val="0"/>
              <w:snapToGrid w:val="0"/>
              <w:spacing w:line="240" w:lineRule="atLeast"/>
              <w:ind w:left="0" w:leftChars="0" w:firstLine="0" w:firstLineChars="0"/>
              <w:jc w:val="both"/>
              <w:textAlignment w:val="auto"/>
              <w:rPr>
                <w:rFonts w:hint="default" w:ascii="Times New Roman" w:hAnsi="Times New Roman" w:eastAsia="宋体" w:cs="Times New Roman"/>
                <w:color w:val="auto"/>
                <w:kern w:val="0"/>
                <w:sz w:val="24"/>
                <w:szCs w:val="24"/>
                <w:highlight w:val="none"/>
                <w:lang w:val="en-US" w:eastAsia="zh-CN"/>
              </w:rPr>
            </w:pPr>
          </w:p>
          <w:p w14:paraId="69008120">
            <w:pPr>
              <w:pStyle w:val="20"/>
              <w:ind w:left="0" w:leftChars="0" w:firstLine="480" w:firstLineChars="200"/>
              <w:rPr>
                <w:rFonts w:hint="default"/>
                <w:lang w:val="en-US" w:eastAsia="zh-CN"/>
              </w:rPr>
            </w:pPr>
            <w:r>
              <w:rPr>
                <w:rFonts w:hint="default"/>
                <w:sz w:val="24"/>
                <w:szCs w:val="24"/>
                <w:lang w:val="en-US" w:eastAsia="zh-CN"/>
              </w:rPr>
              <w:t>由上述</w:t>
            </w:r>
            <w:r>
              <w:rPr>
                <w:rFonts w:hint="eastAsia"/>
                <w:sz w:val="24"/>
                <w:szCs w:val="24"/>
                <w:lang w:val="en-US" w:eastAsia="zh-CN"/>
              </w:rPr>
              <w:t>分析</w:t>
            </w:r>
            <w:r>
              <w:rPr>
                <w:rFonts w:hint="default"/>
                <w:sz w:val="24"/>
                <w:szCs w:val="24"/>
                <w:lang w:val="en-US" w:eastAsia="zh-CN"/>
              </w:rPr>
              <w:t>可知，本项目需设置环境风险专项评价。</w:t>
            </w:r>
          </w:p>
        </w:tc>
      </w:tr>
      <w:tr w14:paraId="389A31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70" w:hRule="atLeast"/>
          <w:jc w:val="center"/>
        </w:trPr>
        <w:tc>
          <w:tcPr>
            <w:tcW w:w="1436" w:type="dxa"/>
            <w:noWrap w:val="0"/>
            <w:vAlign w:val="center"/>
          </w:tcPr>
          <w:p w14:paraId="59541377">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规划情况</w:t>
            </w:r>
          </w:p>
        </w:tc>
        <w:tc>
          <w:tcPr>
            <w:tcW w:w="8121" w:type="dxa"/>
            <w:gridSpan w:val="3"/>
            <w:noWrap w:val="0"/>
            <w:vAlign w:val="center"/>
          </w:tcPr>
          <w:p w14:paraId="19EDB938">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规划名称：</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凤翔高新技术产业开发区总体规划</w:t>
            </w:r>
            <w:r>
              <w:rPr>
                <w:rFonts w:hint="eastAsia" w:ascii="Times New Roman" w:hAnsi="Times New Roman" w:eastAsia="宋体" w:cs="Times New Roman"/>
                <w:color w:val="auto"/>
                <w:kern w:val="2"/>
                <w:sz w:val="24"/>
                <w:szCs w:val="24"/>
                <w:highlight w:val="none"/>
                <w:lang w:val="en-US" w:eastAsia="zh-CN" w:bidi="ar-SA"/>
              </w:rPr>
              <w:t>（2019-2035）（修编）</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rPr>
              <w:t>；</w:t>
            </w:r>
          </w:p>
          <w:p w14:paraId="7953C318">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color w:val="auto"/>
                <w:sz w:val="24"/>
              </w:rPr>
            </w:pPr>
            <w:r>
              <w:rPr>
                <w:rFonts w:hint="default" w:ascii="Times New Roman" w:hAnsi="Times New Roman" w:cs="Times New Roman"/>
                <w:color w:val="auto"/>
                <w:sz w:val="24"/>
              </w:rPr>
              <w:t>审批机关：</w:t>
            </w:r>
            <w:r>
              <w:rPr>
                <w:rFonts w:hint="default" w:ascii="Times New Roman" w:hAnsi="Times New Roman" w:cs="Times New Roman"/>
                <w:color w:val="auto"/>
                <w:sz w:val="24"/>
                <w:lang w:val="en-US" w:eastAsia="zh-CN"/>
              </w:rPr>
              <w:t>凤翔县人民政府</w:t>
            </w:r>
            <w:r>
              <w:rPr>
                <w:rFonts w:hint="default" w:ascii="Times New Roman" w:hAnsi="Times New Roman" w:cs="Times New Roman"/>
                <w:color w:val="auto"/>
                <w:sz w:val="24"/>
              </w:rPr>
              <w:t>；</w:t>
            </w:r>
          </w:p>
          <w:p w14:paraId="425412D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审批文件及文号：</w:t>
            </w:r>
            <w:r>
              <w:rPr>
                <w:rFonts w:hint="default" w:ascii="Times New Roman" w:hAnsi="Times New Roman" w:cs="Times New Roman"/>
                <w:color w:val="auto"/>
                <w:sz w:val="24"/>
                <w:lang w:val="en-US" w:eastAsia="zh-CN"/>
              </w:rPr>
              <w:t>凤翔县人民政府关于对《凤翔高新技术产业开发区总体规划</w:t>
            </w:r>
          </w:p>
          <w:p w14:paraId="51CB9E2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lang w:val="en-US" w:eastAsia="zh-CN"/>
              </w:rPr>
              <w:t>（2015-2030）》的批复</w:t>
            </w:r>
            <w:r>
              <w:rPr>
                <w:rFonts w:hint="default" w:ascii="Times New Roman" w:hAnsi="Times New Roman" w:cs="Times New Roman"/>
                <w:color w:val="auto"/>
                <w:sz w:val="24"/>
              </w:rPr>
              <w:t>。</w:t>
            </w:r>
          </w:p>
        </w:tc>
      </w:tr>
      <w:tr w14:paraId="5ECF26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2247" w:hRule="atLeast"/>
          <w:jc w:val="center"/>
        </w:trPr>
        <w:tc>
          <w:tcPr>
            <w:tcW w:w="1436" w:type="dxa"/>
            <w:noWrap w:val="0"/>
            <w:vAlign w:val="center"/>
          </w:tcPr>
          <w:p w14:paraId="7B601ECD">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规划环境影响评价情况</w:t>
            </w:r>
          </w:p>
        </w:tc>
        <w:tc>
          <w:tcPr>
            <w:tcW w:w="8121" w:type="dxa"/>
            <w:gridSpan w:val="3"/>
            <w:noWrap w:val="0"/>
            <w:vAlign w:val="center"/>
          </w:tcPr>
          <w:p w14:paraId="235FF35B">
            <w:pPr>
              <w:autoSpaceDE w:val="0"/>
              <w:autoSpaceDN w:val="0"/>
              <w:adjustRightInd w:val="0"/>
              <w:snapToGrid w:val="0"/>
              <w:spacing w:line="360" w:lineRule="auto"/>
              <w:ind w:left="0" w:leftChars="0" w:firstLine="0" w:firstLineChars="0"/>
              <w:jc w:val="both"/>
              <w:rPr>
                <w:rFonts w:hint="default"/>
                <w:color w:val="auto"/>
                <w:sz w:val="24"/>
                <w:szCs w:val="24"/>
              </w:rPr>
            </w:pPr>
            <w:r>
              <w:rPr>
                <w:rFonts w:hint="default"/>
                <w:color w:val="auto"/>
                <w:sz w:val="24"/>
                <w:szCs w:val="24"/>
              </w:rPr>
              <w:t>规划环评：《</w:t>
            </w:r>
            <w:r>
              <w:rPr>
                <w:rFonts w:hint="default" w:ascii="Times New Roman" w:hAnsi="Times New Roman" w:cs="Times New Roman"/>
                <w:color w:val="auto"/>
                <w:sz w:val="24"/>
              </w:rPr>
              <w:t>凤翔高新技术产业开发区总体规划</w:t>
            </w:r>
            <w:r>
              <w:rPr>
                <w:rFonts w:hint="eastAsia" w:ascii="Times New Roman" w:hAnsi="Times New Roman" w:eastAsia="宋体" w:cs="Times New Roman"/>
                <w:color w:val="auto"/>
                <w:kern w:val="2"/>
                <w:sz w:val="24"/>
                <w:szCs w:val="24"/>
                <w:highlight w:val="none"/>
                <w:lang w:val="en-US" w:eastAsia="zh-CN" w:bidi="ar-SA"/>
              </w:rPr>
              <w:t>（2019-2035）（修编）</w:t>
            </w:r>
            <w:r>
              <w:rPr>
                <w:rFonts w:hint="default"/>
                <w:color w:val="auto"/>
                <w:sz w:val="24"/>
                <w:szCs w:val="24"/>
              </w:rPr>
              <w:t>环境影响报告书》；</w:t>
            </w:r>
          </w:p>
          <w:p w14:paraId="72C401AF">
            <w:pPr>
              <w:autoSpaceDE w:val="0"/>
              <w:autoSpaceDN w:val="0"/>
              <w:adjustRightInd w:val="0"/>
              <w:snapToGrid w:val="0"/>
              <w:spacing w:line="360" w:lineRule="auto"/>
              <w:ind w:left="0" w:leftChars="0" w:firstLine="0" w:firstLineChars="0"/>
              <w:jc w:val="both"/>
              <w:rPr>
                <w:rFonts w:hint="default"/>
                <w:color w:val="auto"/>
                <w:sz w:val="24"/>
                <w:szCs w:val="24"/>
              </w:rPr>
            </w:pPr>
            <w:r>
              <w:rPr>
                <w:rFonts w:hint="default"/>
                <w:color w:val="auto"/>
                <w:sz w:val="24"/>
                <w:szCs w:val="24"/>
              </w:rPr>
              <w:t>召集审查机关：</w:t>
            </w:r>
            <w:r>
              <w:rPr>
                <w:rFonts w:hint="eastAsia" w:ascii="Times New Roman" w:hAnsi="Times New Roman" w:eastAsia="宋体" w:cs="Times New Roman"/>
                <w:color w:val="auto"/>
                <w:kern w:val="2"/>
                <w:sz w:val="24"/>
                <w:szCs w:val="24"/>
                <w:highlight w:val="none"/>
                <w:lang w:val="en-US" w:eastAsia="zh-CN" w:bidi="ar-SA"/>
              </w:rPr>
              <w:t>陕西省生态环境厅</w:t>
            </w:r>
            <w:r>
              <w:rPr>
                <w:rFonts w:hint="default"/>
                <w:color w:val="auto"/>
                <w:sz w:val="24"/>
                <w:szCs w:val="24"/>
              </w:rPr>
              <w:t>；</w:t>
            </w:r>
          </w:p>
          <w:p w14:paraId="06F39E6E">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both"/>
              <w:textAlignment w:val="auto"/>
              <w:rPr>
                <w:rFonts w:hint="default" w:ascii="Times New Roman" w:hAnsi="Times New Roman" w:eastAsia="宋体"/>
                <w:color w:val="auto"/>
                <w:kern w:val="2"/>
                <w:sz w:val="24"/>
                <w:szCs w:val="24"/>
                <w:lang w:val="en-US" w:eastAsia="zh-CN" w:bidi="ar-SA"/>
              </w:rPr>
            </w:pPr>
            <w:r>
              <w:rPr>
                <w:rFonts w:hint="default"/>
                <w:color w:val="auto"/>
                <w:sz w:val="24"/>
                <w:szCs w:val="24"/>
              </w:rPr>
              <w:t>审查文件及文号：</w:t>
            </w:r>
            <w:r>
              <w:rPr>
                <w:rFonts w:hint="eastAsia" w:ascii="Times New Roman" w:hAnsi="Times New Roman" w:eastAsia="宋体" w:cs="Times New Roman"/>
                <w:color w:val="auto"/>
                <w:kern w:val="2"/>
                <w:sz w:val="24"/>
                <w:szCs w:val="24"/>
                <w:highlight w:val="none"/>
                <w:lang w:val="en-US" w:eastAsia="zh-CN" w:bidi="ar-SA"/>
              </w:rPr>
              <w:t>陕西省生态环境厅关于《凤翔高新技术产业开发区规划（2019-2035）（修编）环境影响报告书审查意见的函》</w:t>
            </w:r>
            <w:r>
              <w:rPr>
                <w:rFonts w:hint="default"/>
                <w:color w:val="auto"/>
                <w:sz w:val="24"/>
                <w:szCs w:val="24"/>
              </w:rPr>
              <w:t>（</w:t>
            </w:r>
            <w:r>
              <w:rPr>
                <w:rFonts w:hint="default"/>
                <w:color w:val="auto"/>
                <w:sz w:val="24"/>
                <w:szCs w:val="24"/>
                <w:lang w:val="en-US" w:eastAsia="zh-CN"/>
              </w:rPr>
              <w:t>陕环环评函</w:t>
            </w:r>
            <w:r>
              <w:rPr>
                <w:rFonts w:hint="default"/>
                <w:color w:val="auto"/>
                <w:sz w:val="24"/>
                <w:szCs w:val="24"/>
              </w:rPr>
              <w:t>〔</w:t>
            </w:r>
            <w:r>
              <w:rPr>
                <w:rFonts w:hint="eastAsia"/>
                <w:color w:val="auto"/>
                <w:sz w:val="24"/>
                <w:szCs w:val="24"/>
                <w:lang w:val="en-US" w:eastAsia="zh-CN"/>
              </w:rPr>
              <w:t>2020</w:t>
            </w:r>
            <w:r>
              <w:rPr>
                <w:rFonts w:hint="default"/>
                <w:color w:val="auto"/>
                <w:sz w:val="24"/>
                <w:szCs w:val="24"/>
              </w:rPr>
              <w:t>〕</w:t>
            </w:r>
            <w:r>
              <w:rPr>
                <w:rFonts w:hint="eastAsia"/>
                <w:color w:val="auto"/>
                <w:sz w:val="24"/>
                <w:szCs w:val="24"/>
                <w:lang w:val="en-US" w:eastAsia="zh-CN"/>
              </w:rPr>
              <w:t>54</w:t>
            </w:r>
            <w:r>
              <w:rPr>
                <w:rFonts w:hint="default"/>
                <w:color w:val="auto"/>
                <w:sz w:val="24"/>
                <w:szCs w:val="24"/>
              </w:rPr>
              <w:t>号）。</w:t>
            </w:r>
          </w:p>
        </w:tc>
      </w:tr>
      <w:tr w14:paraId="24422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36" w:type="dxa"/>
            <w:noWrap w:val="0"/>
            <w:vAlign w:val="center"/>
          </w:tcPr>
          <w:p w14:paraId="2A3464F2">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规划及规划环境影响评价符合性分析</w:t>
            </w:r>
          </w:p>
        </w:tc>
        <w:tc>
          <w:tcPr>
            <w:tcW w:w="8121" w:type="dxa"/>
            <w:gridSpan w:val="3"/>
            <w:noWrap w:val="0"/>
            <w:vAlign w:val="center"/>
          </w:tcPr>
          <w:p w14:paraId="77672E0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拟建厂址位于凤翔高新区长青工业园，凤翔县高新区长青工业园委托陕西中晟规划设计研究院有限公司于2008年编制完成了《凤翔长青工业区总体规划》，该总体规划以凤人发〔2008〕19号文件（凤翔县人大常委会关于批准《凤翔长青工业区总体规划》的决定，2008年7月16日县十六届人大常委会第五次会议通过）批准同意。宝鸡市环境保护局于2008年11月5日对《凤翔长青工业区总体规划环境影响报告书》进行了批复（宝市环函〔2008〕212号）。2019年凤翔高新技术产业开发区编制了《凤翔高新技术产业开发区总体规划（2019-2035）（修编）》，2020年7月，陕西省生态环境厅组织的专家组，对凤翔高新区总体规划（修编）环境影响评价《报告书》进行认真审查，规划环评顺利通过专家技术评审。本项目与《凤翔高新技术产业开发区总体规划（2019-2035）（修编）》</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cs="Times New Roman"/>
                <w:color w:val="auto"/>
                <w:sz w:val="24"/>
              </w:rPr>
              <w:t>凤翔高新技术产业开发区总体规划</w:t>
            </w:r>
            <w:r>
              <w:rPr>
                <w:rFonts w:hint="eastAsia" w:ascii="Times New Roman" w:hAnsi="Times New Roman" w:eastAsia="宋体" w:cs="Times New Roman"/>
                <w:color w:val="auto"/>
                <w:kern w:val="2"/>
                <w:sz w:val="24"/>
                <w:szCs w:val="24"/>
                <w:highlight w:val="none"/>
                <w:lang w:val="en-US" w:eastAsia="zh-CN" w:bidi="ar-SA"/>
              </w:rPr>
              <w:t>（2019-2035）（修编）</w:t>
            </w:r>
            <w:r>
              <w:rPr>
                <w:rFonts w:hint="default"/>
                <w:color w:val="auto"/>
                <w:sz w:val="24"/>
                <w:szCs w:val="24"/>
              </w:rPr>
              <w:t>环境影响报告书</w:t>
            </w:r>
            <w:r>
              <w:rPr>
                <w:rFonts w:hint="eastAsia" w:ascii="Times New Roman" w:hAnsi="Times New Roman" w:eastAsia="宋体" w:cs="Times New Roman"/>
                <w:b w:val="0"/>
                <w:bCs w:val="0"/>
                <w:color w:val="auto"/>
                <w:kern w:val="0"/>
                <w:sz w:val="24"/>
                <w:szCs w:val="24"/>
                <w:highlight w:val="none"/>
                <w:lang w:val="en-US" w:eastAsia="zh-CN"/>
              </w:rPr>
              <w:t>》及审查意见</w:t>
            </w:r>
            <w:r>
              <w:rPr>
                <w:rFonts w:hint="default" w:ascii="Times New Roman" w:hAnsi="Times New Roman" w:eastAsia="宋体" w:cs="Times New Roman"/>
                <w:b w:val="0"/>
                <w:bCs w:val="0"/>
                <w:color w:val="auto"/>
                <w:kern w:val="0"/>
                <w:sz w:val="24"/>
                <w:szCs w:val="24"/>
                <w:highlight w:val="none"/>
                <w:lang w:val="en-US" w:eastAsia="zh-CN"/>
              </w:rPr>
              <w:t>的符合性分析见表 1</w:t>
            </w:r>
            <w:r>
              <w:rPr>
                <w:rFonts w:hint="eastAsia" w:ascii="Times New Roman" w:hAnsi="Times New Roman" w:eastAsia="宋体" w:cs="Times New Roman"/>
                <w:b w:val="0"/>
                <w:bCs w:val="0"/>
                <w:color w:val="auto"/>
                <w:kern w:val="0"/>
                <w:sz w:val="24"/>
                <w:szCs w:val="24"/>
                <w:highlight w:val="none"/>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w:t>
            </w:r>
          </w:p>
          <w:p w14:paraId="43D17BB1">
            <w:pPr>
              <w:adjustRightInd w:val="0"/>
              <w:snapToGrid w:val="0"/>
              <w:spacing w:line="240" w:lineRule="auto"/>
              <w:jc w:val="center"/>
              <w:rPr>
                <w:rStyle w:val="97"/>
                <w:rFonts w:hint="default" w:ascii="Times New Roman" w:hAnsi="Times New Roman" w:eastAsia="宋体" w:cs="Times New Roman"/>
                <w:color w:val="auto"/>
                <w:sz w:val="21"/>
                <w:szCs w:val="18"/>
                <w:highlight w:val="none"/>
                <w:lang w:val="en-US" w:eastAsia="zh-CN"/>
              </w:rPr>
            </w:pPr>
            <w:r>
              <w:rPr>
                <w:rStyle w:val="97"/>
                <w:rFonts w:hint="default" w:ascii="Times New Roman" w:hAnsi="Times New Roman" w:eastAsia="宋体" w:cs="Times New Roman"/>
                <w:color w:val="auto"/>
                <w:sz w:val="21"/>
                <w:szCs w:val="18"/>
                <w:highlight w:val="none"/>
                <w:lang w:val="en-US" w:eastAsia="zh-CN"/>
              </w:rPr>
              <w:t>表1</w:t>
            </w:r>
            <w:r>
              <w:rPr>
                <w:rStyle w:val="97"/>
                <w:rFonts w:hint="eastAsia" w:ascii="Times New Roman" w:hAnsi="Times New Roman" w:eastAsia="宋体" w:cs="Times New Roman"/>
                <w:color w:val="auto"/>
                <w:sz w:val="21"/>
                <w:szCs w:val="18"/>
                <w:highlight w:val="none"/>
                <w:lang w:val="en-US" w:eastAsia="zh-CN"/>
              </w:rPr>
              <w:t xml:space="preserve">-2 </w:t>
            </w:r>
            <w:r>
              <w:rPr>
                <w:rStyle w:val="97"/>
                <w:rFonts w:hint="default" w:ascii="Times New Roman" w:hAnsi="Times New Roman" w:eastAsia="宋体" w:cs="Times New Roman"/>
                <w:color w:val="auto"/>
                <w:sz w:val="21"/>
                <w:szCs w:val="18"/>
                <w:highlight w:val="none"/>
                <w:lang w:val="en-US" w:eastAsia="zh-CN"/>
              </w:rPr>
              <w:t xml:space="preserve"> 项目与规划环评及审查意见的符合性分析</w:t>
            </w:r>
          </w:p>
          <w:tbl>
            <w:tblPr>
              <w:tblStyle w:val="30"/>
              <w:tblW w:w="495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81"/>
              <w:gridCol w:w="3309"/>
              <w:gridCol w:w="2176"/>
              <w:gridCol w:w="746"/>
            </w:tblGrid>
            <w:tr w14:paraId="74684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82" w:type="pct"/>
                  <w:tcBorders>
                    <w:tl2br w:val="nil"/>
                    <w:tr2bl w:val="nil"/>
                  </w:tcBorders>
                  <w:noWrap w:val="0"/>
                  <w:vAlign w:val="center"/>
                </w:tcPr>
                <w:p w14:paraId="5AB56C2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分析判定</w:t>
                  </w:r>
                </w:p>
                <w:p w14:paraId="7DB3643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color w:val="auto"/>
                      <w:sz w:val="21"/>
                      <w:szCs w:val="21"/>
                      <w:lang w:val="en-US" w:eastAsia="zh-CN"/>
                    </w:rPr>
                    <w:t>内容</w:t>
                  </w:r>
                </w:p>
              </w:tc>
              <w:tc>
                <w:tcPr>
                  <w:tcW w:w="2492" w:type="pct"/>
                  <w:gridSpan w:val="2"/>
                  <w:tcBorders>
                    <w:tl2br w:val="nil"/>
                    <w:tr2bl w:val="nil"/>
                  </w:tcBorders>
                  <w:noWrap w:val="0"/>
                  <w:vAlign w:val="center"/>
                </w:tcPr>
                <w:p w14:paraId="191F47F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政策规定</w:t>
                  </w:r>
                </w:p>
              </w:tc>
              <w:tc>
                <w:tcPr>
                  <w:tcW w:w="1359" w:type="pct"/>
                  <w:tcBorders>
                    <w:tl2br w:val="nil"/>
                    <w:tr2bl w:val="nil"/>
                  </w:tcBorders>
                  <w:noWrap w:val="0"/>
                  <w:vAlign w:val="center"/>
                </w:tcPr>
                <w:p w14:paraId="196E398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本项目情况</w:t>
                  </w:r>
                </w:p>
              </w:tc>
              <w:tc>
                <w:tcPr>
                  <w:tcW w:w="466" w:type="pct"/>
                  <w:tcBorders>
                    <w:tl2br w:val="nil"/>
                    <w:tr2bl w:val="nil"/>
                  </w:tcBorders>
                  <w:noWrap w:val="0"/>
                  <w:vAlign w:val="center"/>
                </w:tcPr>
                <w:p w14:paraId="03D07B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符合性</w:t>
                  </w:r>
                </w:p>
              </w:tc>
            </w:tr>
            <w:tr w14:paraId="1C39F6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2" w:type="pct"/>
                  <w:tcBorders>
                    <w:tl2br w:val="nil"/>
                    <w:tr2bl w:val="nil"/>
                  </w:tcBorders>
                  <w:noWrap w:val="0"/>
                  <w:vAlign w:val="center"/>
                </w:tcPr>
                <w:p w14:paraId="26A9628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《凤翔高新技术产业开发区总体规划（2019-2035）（修编）》</w:t>
                  </w:r>
                </w:p>
              </w:tc>
              <w:tc>
                <w:tcPr>
                  <w:tcW w:w="2492" w:type="pct"/>
                  <w:gridSpan w:val="2"/>
                  <w:tcBorders>
                    <w:tl2br w:val="nil"/>
                    <w:tr2bl w:val="nil"/>
                  </w:tcBorders>
                  <w:noWrap w:val="0"/>
                  <w:vAlign w:val="center"/>
                </w:tcPr>
                <w:p w14:paraId="05D82E3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按照产业发展方向，将长青工业园分为七个产业专业片区。其中：热电能源区：北至规划范围，南至电厂一路，西至千河路，东至宝冯公路以东至规划范围，面积约357.42公顷，围绕国电宝鸡第二发电有限责任公司，发展热电能源产业。金属新材料产业区：北至罗钵寺二路，南至铁三路，西至千河路，东至宝冯公路，面积约373.55公顷，位于宝中铁路两侧，重点发展铅、锌金属新材料产业。循环经济产业区：A 区北至凤陈路，南至阎家务干沟，西至工业西路，东至冯家山干渠，面积约594.51公顷；B区北至电厂一路，南至罗钵寺二路，西至千河路，东至宝冯公路，面积约182.15公顷。重点发展C1化工、甲醇相关下游产品、专用化学品、高附加值精细化工及新材料、无机化工、医药化工，以及相关的节能环保、资源利用等配套产业。中小企业孵化区：北至凤陈公路，南至西府大道，西至冯家山干渠，东至凤马尹路，面积约134.04公顷，位于西府大道西段的南侧，以研发、孵化功能为主，重要引进创新创业企业。汽车零部件产业区：北至电子中路及电子北路，南至凤马尹路，西至工业一路，东至规划范围界线，面积约179.81公顷，重点生产汽车整车制造的轻量化产品以及汽车电子类产品。电子元器件产业区：北至凤马尹路，南至电子南路，西至规划范围界线，东至宝汉高速，面积约91.15公顷，重点研发和生产消费电子所需传感器和集成电路以及汽车电子零配件。生活服务区：北至规划范围界线，南至凤陈公路，西至西街二路，东至工业一路，面积约251.50公顷，依托陈村镇镇区现状，对用地进行整合，发展集居住、行政、文化和生活生产配套服务等功能于一体的生活服务区。</w:t>
                  </w:r>
                </w:p>
              </w:tc>
              <w:tc>
                <w:tcPr>
                  <w:tcW w:w="1359" w:type="pct"/>
                  <w:tcBorders>
                    <w:tl2br w:val="nil"/>
                    <w:tr2bl w:val="nil"/>
                  </w:tcBorders>
                  <w:noWrap w:val="0"/>
                  <w:vAlign w:val="center"/>
                </w:tcPr>
                <w:p w14:paraId="6EC3727F">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本项目位于循环经济产业B区，主要发展产业为化工、甲醇相关下游产品、专用化学品、高附加值精细化工及新材料、无机化工、医药化工，以及相关的节能环保、资源利用等配套产业。本项目主要</w:t>
                  </w:r>
                  <w:r>
                    <w:rPr>
                      <w:rFonts w:hint="eastAsia" w:ascii="Times New Roman" w:hAnsi="Times New Roman" w:cs="Times New Roman"/>
                      <w:color w:val="auto"/>
                      <w:sz w:val="21"/>
                      <w:szCs w:val="21"/>
                      <w:lang w:val="en-US" w:eastAsia="zh-CN"/>
                    </w:rPr>
                    <w:t>进行工业气体、医用气体的</w:t>
                  </w:r>
                  <w:r>
                    <w:rPr>
                      <w:rFonts w:hint="default" w:ascii="Times New Roman" w:hAnsi="Times New Roman" w:cs="Times New Roman"/>
                      <w:color w:val="auto"/>
                      <w:sz w:val="21"/>
                      <w:szCs w:val="21"/>
                      <w:lang w:val="en-US" w:eastAsia="zh-CN"/>
                    </w:rPr>
                    <w:t>生产、存储及充装销售，</w:t>
                  </w:r>
                  <w:r>
                    <w:rPr>
                      <w:rFonts w:hint="eastAsia" w:ascii="Times New Roman" w:hAnsi="Times New Roman" w:eastAsia="宋体" w:cs="Times New Roman"/>
                      <w:color w:val="auto"/>
                      <w:sz w:val="21"/>
                      <w:szCs w:val="21"/>
                      <w:vertAlign w:val="baseline"/>
                      <w:lang w:val="en-US" w:eastAsia="zh-CN"/>
                    </w:rPr>
                    <w:t>根据《国民经济行业分类》（GB/T4754-2017），本项目属于</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其他基础化学原料制造项目（C2619）</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lang w:val="en-US" w:eastAsia="zh-CN"/>
                    </w:rPr>
                    <w:t>，属于化工</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符合园区产业定位及园区发展规划。</w:t>
                  </w:r>
                </w:p>
                <w:p w14:paraId="35711C51">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lang w:val="en-US" w:eastAsia="zh-CN"/>
                    </w:rPr>
                  </w:pPr>
                </w:p>
              </w:tc>
              <w:tc>
                <w:tcPr>
                  <w:tcW w:w="466" w:type="pct"/>
                  <w:tcBorders>
                    <w:tl2br w:val="nil"/>
                    <w:tr2bl w:val="nil"/>
                  </w:tcBorders>
                  <w:noWrap w:val="0"/>
                  <w:vAlign w:val="center"/>
                </w:tcPr>
                <w:p w14:paraId="25EC409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14:paraId="2C493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8" w:hRule="atLeast"/>
                <w:jc w:val="center"/>
              </w:trPr>
              <w:tc>
                <w:tcPr>
                  <w:tcW w:w="682" w:type="pct"/>
                  <w:vMerge w:val="restart"/>
                  <w:tcBorders>
                    <w:tl2br w:val="nil"/>
                    <w:tr2bl w:val="nil"/>
                  </w:tcBorders>
                  <w:noWrap w:val="0"/>
                  <w:vAlign w:val="center"/>
                </w:tcPr>
                <w:p w14:paraId="5437F8E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《凤翔高新技术产业开发区总体规划（2019-2035）（修编）环境影响报告书》及审查意见</w:t>
                  </w:r>
                </w:p>
              </w:tc>
              <w:tc>
                <w:tcPr>
                  <w:tcW w:w="2492" w:type="pct"/>
                  <w:gridSpan w:val="2"/>
                  <w:tcBorders>
                    <w:tl2br w:val="nil"/>
                    <w:tr2bl w:val="nil"/>
                  </w:tcBorders>
                  <w:noWrap w:val="0"/>
                  <w:vAlign w:val="center"/>
                </w:tcPr>
                <w:p w14:paraId="2B431D3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规划建设用地范围包括科技生态新城、西凤酒城（上版规划称为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柳林工业园</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）、长青工业园三个片区，建设用地范围总面积28.57km</w:t>
                  </w:r>
                  <w:r>
                    <w:rPr>
                      <w:rFonts w:hint="eastAsia"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eastAsia="zh-CN"/>
                    </w:rPr>
                    <w:t>。其中，科技生态新城东至秦公路，西至秦正路，北至凤北路，南至西府大道，总面积3.64km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cs="Times New Roman"/>
                      <w:color w:val="auto"/>
                      <w:sz w:val="21"/>
                      <w:szCs w:val="21"/>
                      <w:lang w:eastAsia="zh-CN"/>
                    </w:rPr>
                    <w:t>；西凤酒城东至合凤高速，北临小韩庄和罗家庄，西临唐家山和塬村</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南临大唐村，总面积为8.48km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cs="Times New Roman"/>
                      <w:color w:val="auto"/>
                      <w:sz w:val="21"/>
                      <w:szCs w:val="21"/>
                      <w:lang w:eastAsia="zh-CN"/>
                    </w:rPr>
                    <w:t>；长青工业园东至西府大道，西至千河东岸，北至凤陈公路，南至宝麟铁路，总面积为16.45km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cs="Times New Roman"/>
                      <w:color w:val="auto"/>
                      <w:sz w:val="21"/>
                      <w:szCs w:val="21"/>
                      <w:lang w:eastAsia="zh-CN"/>
                    </w:rPr>
                    <w:t>。长青工业园</w:t>
                  </w:r>
                  <w:r>
                    <w:rPr>
                      <w:rFonts w:hint="eastAsia" w:ascii="Times New Roman" w:hAnsi="Times New Roman" w:cs="Times New Roman"/>
                      <w:color w:val="auto"/>
                      <w:sz w:val="21"/>
                      <w:szCs w:val="21"/>
                      <w:lang w:val="en-US" w:eastAsia="zh-CN"/>
                    </w:rPr>
                    <w:t>分为热电能源区、新材料产业区、循环经济产业区和生活服务区四个片区，循环经济产业区重点发展C1化工、甲醇相关下游产品、专用化学品、高附加值精细化工及新材料、无机化工、医药化工，以及相关的节能环保、资源利用等配套产业。</w:t>
                  </w:r>
                </w:p>
              </w:tc>
              <w:tc>
                <w:tcPr>
                  <w:tcW w:w="1359" w:type="pct"/>
                  <w:tcBorders>
                    <w:tl2br w:val="nil"/>
                    <w:tr2bl w:val="nil"/>
                  </w:tcBorders>
                  <w:noWrap w:val="0"/>
                  <w:vAlign w:val="center"/>
                </w:tcPr>
                <w:p w14:paraId="2B7FCBA8">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本项目位于循环经济产业B区，主要发展产业为化工、甲醇相关下游产品、专用化学品、高附加值精细化工及新材料、无机化工、医药化工，以及相关的节能环保、资源利用等配套产业。本项目主要</w:t>
                  </w:r>
                  <w:r>
                    <w:rPr>
                      <w:rFonts w:hint="eastAsia" w:ascii="Times New Roman" w:hAnsi="Times New Roman" w:cs="Times New Roman"/>
                      <w:color w:val="auto"/>
                      <w:sz w:val="21"/>
                      <w:szCs w:val="21"/>
                      <w:lang w:val="en-US" w:eastAsia="zh-CN"/>
                    </w:rPr>
                    <w:t>进行工业气体、医用气体的</w:t>
                  </w:r>
                  <w:r>
                    <w:rPr>
                      <w:rFonts w:hint="default" w:ascii="Times New Roman" w:hAnsi="Times New Roman" w:cs="Times New Roman"/>
                      <w:color w:val="auto"/>
                      <w:sz w:val="21"/>
                      <w:szCs w:val="21"/>
                      <w:lang w:val="en-US" w:eastAsia="zh-CN"/>
                    </w:rPr>
                    <w:t>生产、存储及充装销售，</w:t>
                  </w:r>
                  <w:r>
                    <w:rPr>
                      <w:rFonts w:hint="eastAsia" w:ascii="Times New Roman" w:hAnsi="Times New Roman" w:eastAsia="宋体" w:cs="Times New Roman"/>
                      <w:color w:val="auto"/>
                      <w:sz w:val="21"/>
                      <w:szCs w:val="21"/>
                      <w:vertAlign w:val="baseline"/>
                      <w:lang w:val="en-US" w:eastAsia="zh-CN"/>
                    </w:rPr>
                    <w:t>根据《国民经济行业分类》（GB/T4754-2017），本项目属于</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其他基础化学原料制造项目（C2619）</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lang w:val="en-US" w:eastAsia="zh-CN"/>
                    </w:rPr>
                    <w:t>，属于化工</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符合园区产业定位及园区发展规划。</w:t>
                  </w:r>
                </w:p>
              </w:tc>
              <w:tc>
                <w:tcPr>
                  <w:tcW w:w="466" w:type="pct"/>
                  <w:tcBorders>
                    <w:tl2br w:val="nil"/>
                    <w:tr2bl w:val="nil"/>
                  </w:tcBorders>
                  <w:noWrap w:val="0"/>
                  <w:vAlign w:val="center"/>
                </w:tcPr>
                <w:p w14:paraId="4EDAD8A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14:paraId="29404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2" w:type="pct"/>
                  <w:vMerge w:val="continue"/>
                  <w:tcBorders>
                    <w:tl2br w:val="nil"/>
                    <w:tr2bl w:val="nil"/>
                  </w:tcBorders>
                  <w:noWrap w:val="0"/>
                  <w:vAlign w:val="center"/>
                </w:tcPr>
                <w:p w14:paraId="6B2A31F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p>
              </w:tc>
              <w:tc>
                <w:tcPr>
                  <w:tcW w:w="425" w:type="pct"/>
                  <w:tcBorders>
                    <w:tl2br w:val="nil"/>
                    <w:tr2bl w:val="nil"/>
                  </w:tcBorders>
                  <w:noWrap w:val="0"/>
                  <w:vAlign w:val="center"/>
                </w:tcPr>
                <w:p w14:paraId="43A75CD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规划环评</w:t>
                  </w:r>
                </w:p>
                <w:p w14:paraId="171634A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报告书中关于</w:t>
                  </w:r>
                </w:p>
                <w:p w14:paraId="5C776DA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入区</w:t>
                  </w:r>
                </w:p>
                <w:p w14:paraId="04B63E9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项目</w:t>
                  </w:r>
                </w:p>
                <w:p w14:paraId="0AD5CB8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准入</w:t>
                  </w:r>
                </w:p>
                <w:p w14:paraId="2E554FE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建议</w:t>
                  </w:r>
                </w:p>
              </w:tc>
              <w:tc>
                <w:tcPr>
                  <w:tcW w:w="2067" w:type="pct"/>
                  <w:tcBorders>
                    <w:tl2br w:val="nil"/>
                    <w:tr2bl w:val="nil"/>
                  </w:tcBorders>
                  <w:noWrap w:val="0"/>
                  <w:vAlign w:val="center"/>
                </w:tcPr>
                <w:p w14:paraId="40BF8C6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⑴</w:t>
                  </w:r>
                  <w:r>
                    <w:rPr>
                      <w:rFonts w:hint="default" w:ascii="Times New Roman" w:hAnsi="Times New Roman" w:cs="Times New Roman"/>
                      <w:color w:val="auto"/>
                      <w:sz w:val="21"/>
                      <w:szCs w:val="21"/>
                      <w:lang w:eastAsia="zh-CN"/>
                    </w:rPr>
                    <w:t>符合现行国家产业政策、行业准入条件</w:t>
                  </w:r>
                  <w:r>
                    <w:rPr>
                      <w:rFonts w:hint="eastAsia" w:ascii="Times New Roman" w:hAnsi="Times New Roman" w:cs="Times New Roman"/>
                      <w:color w:val="auto"/>
                      <w:sz w:val="21"/>
                      <w:szCs w:val="21"/>
                      <w:lang w:eastAsia="zh-CN"/>
                    </w:rPr>
                    <w:t>。⑵符合长青工业园总体规划，满足规划中的环境目标。⑶符合清洁生产要求⑷优先发展以当地资源为依托，生产技术水平高、附加值高、低能耗、低污染的能源化工项目，引导企业采用国际国内先进的环保工艺和技术，严格控制工业污染。⑸严格执行环境影响评价制度和”三同时制度。</w:t>
                  </w:r>
                </w:p>
              </w:tc>
              <w:tc>
                <w:tcPr>
                  <w:tcW w:w="1359" w:type="pct"/>
                  <w:tcBorders>
                    <w:tl2br w:val="nil"/>
                    <w:tr2bl w:val="nil"/>
                  </w:tcBorders>
                  <w:noWrap w:val="0"/>
                  <w:vAlign w:val="center"/>
                </w:tcPr>
                <w:p w14:paraId="1BBF2EC9">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本项目符合《产业结构调整指导目录（2024年本）》，该项目已取得凤翔高新技术产业开发区立项备案，符合国家产业政策；符合长青工业园总体规划。项目在设计及实施过程中落实清洁生产、环评要求。</w:t>
                  </w:r>
                </w:p>
              </w:tc>
              <w:tc>
                <w:tcPr>
                  <w:tcW w:w="466" w:type="pct"/>
                  <w:tcBorders>
                    <w:tl2br w:val="nil"/>
                    <w:tr2bl w:val="nil"/>
                  </w:tcBorders>
                  <w:noWrap w:val="0"/>
                  <w:vAlign w:val="center"/>
                </w:tcPr>
                <w:p w14:paraId="2BA8439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14:paraId="47688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82" w:type="pct"/>
                  <w:vMerge w:val="continue"/>
                  <w:tcBorders>
                    <w:tl2br w:val="nil"/>
                    <w:tr2bl w:val="nil"/>
                  </w:tcBorders>
                  <w:noWrap w:val="0"/>
                  <w:vAlign w:val="center"/>
                </w:tcPr>
                <w:p w14:paraId="15DACA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p>
              </w:tc>
              <w:tc>
                <w:tcPr>
                  <w:tcW w:w="425" w:type="pct"/>
                  <w:vMerge w:val="restart"/>
                  <w:tcBorders>
                    <w:tl2br w:val="nil"/>
                    <w:tr2bl w:val="nil"/>
                  </w:tcBorders>
                  <w:noWrap w:val="0"/>
                  <w:vAlign w:val="center"/>
                </w:tcPr>
                <w:p w14:paraId="199E0E6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规划</w:t>
                  </w:r>
                </w:p>
                <w:p w14:paraId="19BD493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环评</w:t>
                  </w:r>
                </w:p>
                <w:p w14:paraId="6287DE4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审查</w:t>
                  </w:r>
                </w:p>
                <w:p w14:paraId="1A8870F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意见</w:t>
                  </w:r>
                </w:p>
              </w:tc>
              <w:tc>
                <w:tcPr>
                  <w:tcW w:w="2067" w:type="pct"/>
                  <w:tcBorders>
                    <w:tl2br w:val="nil"/>
                    <w:tr2bl w:val="nil"/>
                  </w:tcBorders>
                  <w:noWrap w:val="0"/>
                  <w:vAlign w:val="center"/>
                </w:tcPr>
                <w:p w14:paraId="4BEB850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㈠优化产业布局，细化准入要求。严格落实《国务院关于促进国家高新技术产业开发区高质量发展的若干意见》（国发〔2020〕7号）的相关要求，牢牢把握”高”和”新”，优化产业定位，合理布局，按照”减量化、再利用、资源化”的原则发展循环经济。落实”治污降霾”行动方案相关要求，结合区域发展定位、开发布局以及生态环境保护目标，制定高新区鼓励发展的、禁止或限制的产业准入清单，并落实《报告书》提出的环境准入和保护要求。高新区现有煤化工、铅锌冶炼项目禁止新增产能，同时禁止引入燃煤发电、燃煤热电联产、燃煤集中供热、石油化工、煤化工、焦化、铅锌冶炼等项目，禁止新建、扩建使用高V</w:t>
                  </w:r>
                  <w:r>
                    <w:rPr>
                      <w:rFonts w:hint="eastAsia" w:ascii="Times New Roman" w:hAnsi="Times New Roman" w:cs="Times New Roman"/>
                      <w:color w:val="auto"/>
                      <w:sz w:val="21"/>
                      <w:szCs w:val="21"/>
                      <w:lang w:val="en-US" w:eastAsia="zh-CN"/>
                    </w:rPr>
                    <w:t>O</w:t>
                  </w:r>
                  <w:r>
                    <w:rPr>
                      <w:rFonts w:hint="eastAsia" w:ascii="Times New Roman" w:hAnsi="Times New Roman" w:cs="Times New Roman"/>
                      <w:color w:val="auto"/>
                      <w:sz w:val="21"/>
                      <w:szCs w:val="21"/>
                      <w:lang w:eastAsia="zh-CN"/>
                    </w:rPr>
                    <w:t>Cs含量物料的印刷项目；入园企业应符合国家及地方相关政策要求；严禁对已划定的禁止开发区进行开发。</w:t>
                  </w:r>
                </w:p>
              </w:tc>
              <w:tc>
                <w:tcPr>
                  <w:tcW w:w="1359" w:type="pct"/>
                  <w:tcBorders>
                    <w:tl2br w:val="nil"/>
                    <w:tr2bl w:val="nil"/>
                  </w:tcBorders>
                  <w:noWrap w:val="0"/>
                  <w:vAlign w:val="center"/>
                </w:tcPr>
                <w:p w14:paraId="3E3544C5">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w:t>
                  </w:r>
                  <w:r>
                    <w:rPr>
                      <w:rFonts w:hint="eastAsia" w:ascii="Times New Roman" w:hAnsi="Times New Roman" w:eastAsia="宋体" w:cs="Times New Roman"/>
                      <w:color w:val="auto"/>
                      <w:sz w:val="21"/>
                      <w:szCs w:val="21"/>
                      <w:lang w:val="en-US" w:eastAsia="zh-CN"/>
                    </w:rPr>
                    <w:t>陕西省凤翔高新技术产业开发区</w:t>
                  </w:r>
                  <w:r>
                    <w:rPr>
                      <w:rFonts w:hint="default" w:ascii="Times New Roman" w:hAnsi="Times New Roman" w:cs="Times New Roman"/>
                      <w:color w:val="auto"/>
                      <w:sz w:val="21"/>
                      <w:szCs w:val="21"/>
                      <w:lang w:eastAsia="zh-CN"/>
                    </w:rPr>
                    <w:t>长青工业园</w:t>
                  </w:r>
                  <w:r>
                    <w:rPr>
                      <w:rFonts w:hint="default" w:ascii="Times New Roman" w:hAnsi="Times New Roman" w:cs="Times New Roman"/>
                      <w:color w:val="auto"/>
                      <w:sz w:val="21"/>
                      <w:szCs w:val="21"/>
                      <w:lang w:val="en-US" w:eastAsia="zh-CN"/>
                    </w:rPr>
                    <w:t>循环经济产业B区，主要发展产业为化工、甲醇相关下游产品、专用化学品、高附加值精细化工及新材料、无机化工、医药化工，以及相关的节能环保、资源利用等配套产业。本项目</w:t>
                  </w:r>
                  <w:r>
                    <w:rPr>
                      <w:rFonts w:hint="eastAsia" w:ascii="Times New Roman" w:hAnsi="Times New Roman" w:cs="Times New Roman"/>
                      <w:color w:val="auto"/>
                      <w:sz w:val="21"/>
                      <w:szCs w:val="21"/>
                      <w:lang w:val="en-US" w:eastAsia="zh-CN"/>
                    </w:rPr>
                    <w:t>为异地搬迁改造项目，</w:t>
                  </w:r>
                  <w:r>
                    <w:rPr>
                      <w:rFonts w:hint="default" w:ascii="Times New Roman" w:hAnsi="Times New Roman" w:cs="Times New Roman"/>
                      <w:color w:val="auto"/>
                      <w:sz w:val="21"/>
                      <w:szCs w:val="21"/>
                      <w:lang w:val="en-US" w:eastAsia="zh-CN"/>
                    </w:rPr>
                    <w:t>主要</w:t>
                  </w:r>
                  <w:r>
                    <w:rPr>
                      <w:rFonts w:hint="eastAsia" w:ascii="Times New Roman" w:hAnsi="Times New Roman" w:cs="Times New Roman"/>
                      <w:color w:val="auto"/>
                      <w:sz w:val="21"/>
                      <w:szCs w:val="21"/>
                      <w:lang w:val="en-US" w:eastAsia="zh-CN"/>
                    </w:rPr>
                    <w:t>进行工业气体、医用气体的</w:t>
                  </w:r>
                  <w:r>
                    <w:rPr>
                      <w:rFonts w:hint="default" w:ascii="Times New Roman" w:hAnsi="Times New Roman" w:cs="Times New Roman"/>
                      <w:color w:val="auto"/>
                      <w:sz w:val="21"/>
                      <w:szCs w:val="21"/>
                      <w:lang w:val="en-US" w:eastAsia="zh-CN"/>
                    </w:rPr>
                    <w:t>生产、存储及充装销售，</w:t>
                  </w:r>
                  <w:r>
                    <w:rPr>
                      <w:rFonts w:hint="eastAsia" w:ascii="Times New Roman" w:hAnsi="Times New Roman" w:eastAsia="宋体" w:cs="Times New Roman"/>
                      <w:color w:val="auto"/>
                      <w:sz w:val="21"/>
                      <w:szCs w:val="21"/>
                      <w:vertAlign w:val="baseline"/>
                      <w:lang w:val="en-US" w:eastAsia="zh-CN"/>
                    </w:rPr>
                    <w:t>根据《国民经济行业分类》（GB/T4754-2017），本项目属于</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其他基础化学原料制造项目（C2619）</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lang w:val="en-US" w:eastAsia="zh-CN"/>
                    </w:rPr>
                    <w:t>，属于化工</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符合园区产业定位及园区发展规划。</w:t>
                  </w:r>
                </w:p>
                <w:p w14:paraId="62024ADE">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color w:val="auto"/>
                      <w:sz w:val="21"/>
                      <w:szCs w:val="21"/>
                      <w:lang w:val="en-US" w:eastAsia="zh-CN"/>
                    </w:rPr>
                  </w:pPr>
                </w:p>
              </w:tc>
              <w:tc>
                <w:tcPr>
                  <w:tcW w:w="466" w:type="pct"/>
                  <w:tcBorders>
                    <w:tl2br w:val="nil"/>
                    <w:tr2bl w:val="nil"/>
                  </w:tcBorders>
                  <w:noWrap w:val="0"/>
                  <w:vAlign w:val="center"/>
                </w:tcPr>
                <w:p w14:paraId="0030D92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14:paraId="130F5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8" w:hRule="atLeast"/>
                <w:jc w:val="center"/>
              </w:trPr>
              <w:tc>
                <w:tcPr>
                  <w:tcW w:w="682" w:type="pct"/>
                  <w:vMerge w:val="continue"/>
                  <w:tcBorders>
                    <w:tl2br w:val="nil"/>
                    <w:tr2bl w:val="nil"/>
                  </w:tcBorders>
                  <w:noWrap w:val="0"/>
                  <w:vAlign w:val="center"/>
                </w:tcPr>
                <w:p w14:paraId="2BCEE21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p>
              </w:tc>
              <w:tc>
                <w:tcPr>
                  <w:tcW w:w="425" w:type="pct"/>
                  <w:vMerge w:val="continue"/>
                  <w:tcBorders>
                    <w:tl2br w:val="nil"/>
                    <w:tr2bl w:val="nil"/>
                  </w:tcBorders>
                  <w:noWrap w:val="0"/>
                  <w:vAlign w:val="center"/>
                </w:tcPr>
                <w:p w14:paraId="3C37574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lang w:eastAsia="zh-CN"/>
                    </w:rPr>
                  </w:pPr>
                </w:p>
              </w:tc>
              <w:tc>
                <w:tcPr>
                  <w:tcW w:w="2067" w:type="pct"/>
                  <w:tcBorders>
                    <w:tl2br w:val="nil"/>
                    <w:tr2bl w:val="nil"/>
                  </w:tcBorders>
                  <w:noWrap w:val="0"/>
                  <w:vAlign w:val="center"/>
                </w:tcPr>
                <w:p w14:paraId="717494B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五、拟入区建设项目，应结合《报告书》提出的指导意见做好环境影响评价工作，落实《报告书》提出的要求，重点开展工程分析、环境影响评价和环保措施的可行性论证，强化环境监测和环境保护相关措施的落实。《报告书》中规划协调性分析、环境现状、污染源调查等资料可供建设项目环评共享，相应评价内容可结合更新情况予以简化。</w:t>
                  </w:r>
                </w:p>
              </w:tc>
              <w:tc>
                <w:tcPr>
                  <w:tcW w:w="1359" w:type="pct"/>
                  <w:tcBorders>
                    <w:tl2br w:val="nil"/>
                    <w:tr2bl w:val="nil"/>
                  </w:tcBorders>
                  <w:noWrap w:val="0"/>
                  <w:vAlign w:val="center"/>
                </w:tcPr>
                <w:p w14:paraId="01718F79">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w:t>
                  </w:r>
                  <w:r>
                    <w:rPr>
                      <w:rFonts w:hint="eastAsia" w:cs="Times New Roman"/>
                      <w:color w:val="auto"/>
                      <w:sz w:val="21"/>
                      <w:szCs w:val="21"/>
                      <w:lang w:val="en-US" w:eastAsia="zh-CN"/>
                    </w:rPr>
                    <w:t>新建</w:t>
                  </w:r>
                  <w:r>
                    <w:rPr>
                      <w:rFonts w:hint="eastAsia" w:ascii="Times New Roman" w:hAnsi="Times New Roman" w:cs="Times New Roman"/>
                      <w:color w:val="auto"/>
                      <w:sz w:val="21"/>
                      <w:szCs w:val="21"/>
                      <w:lang w:val="en-US" w:eastAsia="zh-CN"/>
                    </w:rPr>
                    <w:t>危废贮存库，危险废物分类收集后委托有资质的公司合理处置。</w:t>
                  </w:r>
                </w:p>
                <w:p w14:paraId="5399E587">
                  <w:pPr>
                    <w:pStyle w:val="20"/>
                    <w:spacing w:line="240" w:lineRule="auto"/>
                    <w:ind w:left="0" w:leftChars="0" w:firstLine="0" w:firstLineChars="0"/>
                    <w:jc w:val="both"/>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建设项目采用的生产工艺成熟，项目工艺废水排入园区污水管线</w:t>
                  </w:r>
                  <w:r>
                    <w:rPr>
                      <w:rFonts w:hint="eastAsia" w:cs="Times New Roman"/>
                      <w:color w:val="auto"/>
                      <w:sz w:val="21"/>
                      <w:szCs w:val="21"/>
                      <w:lang w:val="en-US" w:eastAsia="zh-CN"/>
                    </w:rPr>
                    <w:t>后</w:t>
                  </w:r>
                  <w:r>
                    <w:rPr>
                      <w:rFonts w:hint="eastAsia" w:ascii="Times New Roman" w:hAnsi="Times New Roman" w:cs="Times New Roman"/>
                      <w:color w:val="auto"/>
                      <w:sz w:val="21"/>
                      <w:szCs w:val="21"/>
                      <w:lang w:val="en-US" w:eastAsia="zh-CN"/>
                    </w:rPr>
                    <w:t>进入长青工业园污水处理厂（宝鸡天龙污水处理有限公司）处理。企业</w:t>
                  </w:r>
                  <w:r>
                    <w:rPr>
                      <w:rFonts w:hint="eastAsia" w:cs="Times New Roman"/>
                      <w:color w:val="auto"/>
                      <w:sz w:val="21"/>
                      <w:szCs w:val="21"/>
                      <w:lang w:val="en-US" w:eastAsia="zh-CN"/>
                    </w:rPr>
                    <w:t>对</w:t>
                  </w:r>
                  <w:r>
                    <w:rPr>
                      <w:rFonts w:hint="eastAsia" w:ascii="Times New Roman" w:hAnsi="Times New Roman" w:cs="Times New Roman"/>
                      <w:color w:val="auto"/>
                      <w:sz w:val="21"/>
                      <w:szCs w:val="21"/>
                      <w:lang w:val="en-US" w:eastAsia="zh-CN"/>
                    </w:rPr>
                    <w:t>废气、废水、噪声采取相应治理措施后能够达标排放，固</w:t>
                  </w:r>
                  <w:r>
                    <w:rPr>
                      <w:rFonts w:hint="eastAsia" w:cs="Times New Roman"/>
                      <w:color w:val="auto"/>
                      <w:sz w:val="21"/>
                      <w:szCs w:val="21"/>
                      <w:lang w:val="en-US" w:eastAsia="zh-CN"/>
                    </w:rPr>
                    <w:t>体</w:t>
                  </w:r>
                  <w:r>
                    <w:rPr>
                      <w:rFonts w:hint="eastAsia" w:ascii="Times New Roman" w:hAnsi="Times New Roman" w:cs="Times New Roman"/>
                      <w:color w:val="auto"/>
                      <w:sz w:val="21"/>
                      <w:szCs w:val="21"/>
                      <w:lang w:val="en-US" w:eastAsia="zh-CN"/>
                    </w:rPr>
                    <w:t>废物得到合理处置。</w:t>
                  </w:r>
                </w:p>
              </w:tc>
              <w:tc>
                <w:tcPr>
                  <w:tcW w:w="466" w:type="pct"/>
                  <w:tcBorders>
                    <w:tl2br w:val="nil"/>
                    <w:tr2bl w:val="nil"/>
                  </w:tcBorders>
                  <w:noWrap w:val="0"/>
                  <w:vAlign w:val="center"/>
                </w:tcPr>
                <w:p w14:paraId="22F3CE2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bl>
          <w:p w14:paraId="3F826457">
            <w:pPr>
              <w:pStyle w:val="20"/>
              <w:rPr>
                <w:rFonts w:hint="default"/>
                <w:lang w:val="en-US" w:eastAsia="zh-CN"/>
              </w:rPr>
            </w:pPr>
          </w:p>
        </w:tc>
      </w:tr>
      <w:tr w14:paraId="5C1E7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436" w:type="dxa"/>
            <w:noWrap w:val="0"/>
            <w:vAlign w:val="center"/>
          </w:tcPr>
          <w:p w14:paraId="76081084">
            <w:pPr>
              <w:keepNext w:val="0"/>
              <w:keepLines w:val="0"/>
              <w:pageBreakBefore w:val="0"/>
              <w:widowControl w:val="0"/>
              <w:kinsoku/>
              <w:wordWrap/>
              <w:overflowPunct/>
              <w:topLinePunct w:val="0"/>
              <w:autoSpaceDE w:val="0"/>
              <w:autoSpaceDN w:val="0"/>
              <w:bidi w:val="0"/>
              <w:adjustRightInd w:val="0"/>
              <w:snapToGrid w:val="0"/>
              <w:spacing w:line="240" w:lineRule="atLeast"/>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tc>
        <w:tc>
          <w:tcPr>
            <w:tcW w:w="8121" w:type="dxa"/>
            <w:gridSpan w:val="3"/>
            <w:noWrap w:val="0"/>
            <w:vAlign w:val="top"/>
          </w:tcPr>
          <w:p w14:paraId="53F83FA6">
            <w:pPr>
              <w:pStyle w:val="4"/>
              <w:keepNext/>
              <w:keepLines/>
              <w:pageBreakBefore w:val="0"/>
              <w:widowControl w:val="0"/>
              <w:shd w:val="clear" w:color="auto" w:fill="auto"/>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lang w:eastAsia="zh-CN"/>
              </w:rPr>
              <w:t>一</w:t>
            </w:r>
            <w:r>
              <w:rPr>
                <w:rFonts w:hint="default" w:ascii="Times New Roman" w:hAnsi="Times New Roman" w:eastAsia="宋体" w:cs="Times New Roman"/>
                <w:color w:val="auto"/>
                <w:spacing w:val="0"/>
                <w:sz w:val="24"/>
                <w:szCs w:val="24"/>
                <w:highlight w:val="none"/>
              </w:rPr>
              <w:t>、产业政策符合性</w:t>
            </w:r>
          </w:p>
          <w:p w14:paraId="5DC09777">
            <w:pPr>
              <w:pStyle w:val="28"/>
              <w:spacing w:before="0" w:after="0" w:line="360" w:lineRule="auto"/>
              <w:ind w:firstLine="480" w:firstLineChars="200"/>
              <w:rPr>
                <w:rFonts w:hint="eastAsia" w:ascii="Times New Roman" w:hAnsi="Times New Roman" w:eastAsia="宋体" w:cs="Times New Roman"/>
                <w:color w:val="auto"/>
                <w:sz w:val="24"/>
                <w:szCs w:val="24"/>
                <w:u w:val="none"/>
                <w:lang w:eastAsia="zh-CN"/>
              </w:rPr>
            </w:pPr>
            <w:r>
              <w:rPr>
                <w:rFonts w:hint="eastAsia"/>
                <w:color w:val="auto"/>
                <w:sz w:val="24"/>
                <w:u w:val="none"/>
              </w:rPr>
              <w:t>本项目</w:t>
            </w:r>
            <w:r>
              <w:rPr>
                <w:rFonts w:hint="eastAsia"/>
                <w:color w:val="auto"/>
                <w:sz w:val="24"/>
                <w:u w:val="none"/>
                <w:lang w:val="en-US" w:eastAsia="zh-CN"/>
              </w:rPr>
              <w:t>为工业</w:t>
            </w:r>
            <w:r>
              <w:rPr>
                <w:rFonts w:hint="eastAsia"/>
                <w:color w:val="auto"/>
                <w:sz w:val="24"/>
                <w:u w:val="none"/>
                <w:lang w:eastAsia="zh-CN"/>
              </w:rPr>
              <w:t>气体、</w:t>
            </w:r>
            <w:r>
              <w:rPr>
                <w:rFonts w:hint="eastAsia"/>
                <w:color w:val="auto"/>
                <w:sz w:val="24"/>
                <w:u w:val="none"/>
                <w:lang w:val="en-US" w:eastAsia="zh-CN"/>
              </w:rPr>
              <w:t>医用气体</w:t>
            </w:r>
            <w:r>
              <w:rPr>
                <w:rFonts w:hint="eastAsia"/>
                <w:color w:val="auto"/>
                <w:sz w:val="24"/>
                <w:u w:val="none"/>
                <w:lang w:eastAsia="zh-CN"/>
              </w:rPr>
              <w:t>的</w:t>
            </w:r>
            <w:r>
              <w:rPr>
                <w:rFonts w:hint="eastAsia"/>
                <w:color w:val="auto"/>
                <w:sz w:val="24"/>
                <w:u w:val="none"/>
                <w:lang w:val="en-US" w:eastAsia="zh-CN"/>
              </w:rPr>
              <w:t>生产、</w:t>
            </w:r>
            <w:r>
              <w:rPr>
                <w:rFonts w:hint="eastAsia"/>
                <w:color w:val="auto"/>
                <w:sz w:val="24"/>
                <w:u w:val="none"/>
                <w:lang w:eastAsia="zh-CN"/>
              </w:rPr>
              <w:t>存储及</w:t>
            </w:r>
            <w:r>
              <w:rPr>
                <w:rFonts w:hint="eastAsia"/>
                <w:color w:val="auto"/>
                <w:sz w:val="24"/>
                <w:u w:val="none"/>
                <w:lang w:val="en-US" w:eastAsia="zh-CN"/>
              </w:rPr>
              <w:t>充</w:t>
            </w:r>
            <w:r>
              <w:rPr>
                <w:rFonts w:hint="eastAsia"/>
                <w:color w:val="auto"/>
                <w:sz w:val="24"/>
                <w:u w:val="none"/>
                <w:lang w:eastAsia="zh-CN"/>
              </w:rPr>
              <w:t>装</w:t>
            </w:r>
            <w:r>
              <w:rPr>
                <w:rFonts w:hint="eastAsia"/>
                <w:color w:val="auto"/>
                <w:sz w:val="24"/>
                <w:u w:val="none"/>
                <w:lang w:val="en-US" w:eastAsia="zh-CN"/>
              </w:rPr>
              <w:t>销售</w:t>
            </w:r>
            <w:r>
              <w:rPr>
                <w:rFonts w:hint="eastAsia"/>
                <w:color w:val="auto"/>
                <w:sz w:val="24"/>
                <w:u w:val="none"/>
                <w:lang w:eastAsia="zh-CN"/>
              </w:rPr>
              <w:t>，涉及的工业气体种类为</w:t>
            </w:r>
            <w:r>
              <w:rPr>
                <w:rFonts w:hint="eastAsia"/>
                <w:color w:val="auto"/>
                <w:sz w:val="24"/>
                <w:u w:val="none"/>
              </w:rPr>
              <w:t>氧气、氮气、氩气、二氧化碳，混合气体、丙烷、液化石油气、乙炔共计8类，其中，乙炔为外购瓶装成品在甲类仓库暂存后直接销售，不进行分装。</w:t>
            </w:r>
            <w:r>
              <w:rPr>
                <w:rFonts w:hint="default" w:ascii="Times New Roman" w:hAnsi="Times New Roman" w:cs="Times New Roman"/>
                <w:color w:val="auto"/>
                <w:sz w:val="24"/>
                <w:u w:val="none"/>
                <w:lang w:val="en-US" w:eastAsia="zh-CN"/>
              </w:rPr>
              <w:t>经</w:t>
            </w:r>
            <w:r>
              <w:rPr>
                <w:rFonts w:hint="default" w:ascii="Times New Roman" w:hAnsi="Times New Roman" w:cs="Times New Roman"/>
                <w:color w:val="auto"/>
                <w:sz w:val="24"/>
                <w:highlight w:val="none"/>
                <w:u w:val="none"/>
              </w:rPr>
              <w:t>对照《危险化学品名录</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2022调整版</w:t>
            </w:r>
            <w:r>
              <w:rPr>
                <w:rFonts w:hint="default" w:ascii="Times New Roman" w:hAnsi="Times New Roman" w:cs="Times New Roman"/>
                <w:color w:val="auto"/>
                <w:sz w:val="24"/>
                <w:highlight w:val="none"/>
                <w:u w:val="none"/>
                <w:lang w:eastAsia="zh-CN"/>
              </w:rPr>
              <w:t>）</w:t>
            </w:r>
            <w:r>
              <w:rPr>
                <w:rFonts w:hint="default" w:ascii="Times New Roman" w:hAnsi="Times New Roman" w:cs="Times New Roman"/>
                <w:color w:val="auto"/>
                <w:sz w:val="24"/>
                <w:highlight w:val="none"/>
                <w:u w:val="none"/>
              </w:rPr>
              <w:t>》</w:t>
            </w:r>
            <w:r>
              <w:rPr>
                <w:rFonts w:hint="eastAsia"/>
                <w:color w:val="auto"/>
                <w:sz w:val="24"/>
                <w:highlight w:val="none"/>
                <w:u w:val="none"/>
              </w:rPr>
              <w:t>，以上物质均为危险化学品</w:t>
            </w:r>
            <w:r>
              <w:rPr>
                <w:rFonts w:hint="eastAsia"/>
                <w:color w:val="auto"/>
                <w:sz w:val="24"/>
                <w:highlight w:val="none"/>
                <w:u w:val="none"/>
                <w:lang w:eastAsia="zh-CN"/>
              </w:rPr>
              <w:t>。</w:t>
            </w:r>
            <w:r>
              <w:rPr>
                <w:rFonts w:hint="eastAsia"/>
                <w:color w:val="auto"/>
                <w:sz w:val="24"/>
                <w:u w:val="none"/>
                <w:lang w:val="en-US" w:eastAsia="zh-CN"/>
              </w:rPr>
              <w:t>项目建设</w:t>
            </w:r>
            <w:r>
              <w:rPr>
                <w:rFonts w:hint="default" w:ascii="Times New Roman" w:hAnsi="Times New Roman" w:cs="Times New Roman"/>
                <w:color w:val="auto"/>
                <w:sz w:val="24"/>
                <w:u w:val="none"/>
                <w:lang w:val="en-US" w:eastAsia="zh-CN"/>
              </w:rPr>
              <w:t>1套547T/D全液化空分装置</w:t>
            </w:r>
            <w:r>
              <w:rPr>
                <w:rFonts w:hint="eastAsia" w:ascii="Times New Roman" w:hAnsi="Times New Roman" w:cs="Times New Roman"/>
                <w:color w:val="auto"/>
                <w:sz w:val="24"/>
                <w:u w:val="none"/>
                <w:lang w:val="en-US" w:eastAsia="zh-CN"/>
              </w:rPr>
              <w:t>生产</w:t>
            </w:r>
            <w:r>
              <w:rPr>
                <w:rFonts w:hint="eastAsia"/>
                <w:color w:val="auto"/>
                <w:sz w:val="24"/>
                <w:u w:val="none"/>
              </w:rPr>
              <w:t>液氧、液氮、液氩</w:t>
            </w:r>
            <w:r>
              <w:rPr>
                <w:rFonts w:hint="default" w:ascii="Times New Roman" w:hAnsi="Times New Roman" w:cs="Times New Roman"/>
                <w:color w:val="auto"/>
                <w:sz w:val="24"/>
                <w:u w:val="none"/>
              </w:rPr>
              <w:t>、高纯液氧</w:t>
            </w:r>
            <w:r>
              <w:rPr>
                <w:rFonts w:hint="default" w:ascii="Times New Roman" w:hAnsi="Times New Roman" w:cs="Times New Roman"/>
                <w:color w:val="auto"/>
                <w:sz w:val="24"/>
                <w:u w:val="none"/>
                <w:lang w:val="en-US" w:eastAsia="zh-CN"/>
              </w:rPr>
              <w:t>4种产品、</w:t>
            </w:r>
            <w:r>
              <w:rPr>
                <w:rFonts w:hint="default"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个30</w:t>
            </w:r>
            <w:r>
              <w:rPr>
                <w:rFonts w:hint="default" w:ascii="Times New Roman" w:hAnsi="Times New Roman" w:eastAsia="宋体" w:cs="Times New Roman"/>
                <w:color w:val="auto"/>
                <w:sz w:val="24"/>
                <w:szCs w:val="24"/>
                <w:u w:val="none"/>
                <w:lang w:val="en-US" w:eastAsia="zh-CN"/>
              </w:rPr>
              <w:t>00</w:t>
            </w:r>
            <w:r>
              <w:rPr>
                <w:rFonts w:hint="default" w:ascii="Times New Roman" w:hAnsi="Times New Roman" w:eastAsia="宋体" w:cs="Times New Roman"/>
                <w:color w:val="auto"/>
                <w:sz w:val="24"/>
                <w:szCs w:val="24"/>
                <w:u w:val="none"/>
              </w:rPr>
              <w:t>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vertAlign w:val="baseline"/>
                <w:lang w:val="en-US" w:eastAsia="zh-CN"/>
              </w:rPr>
              <w:t>液氧</w:t>
            </w:r>
            <w:r>
              <w:rPr>
                <w:rFonts w:hint="eastAsia" w:ascii="Times New Roman" w:hAnsi="Times New Roman" w:eastAsia="宋体" w:cs="Times New Roman"/>
                <w:color w:val="auto"/>
                <w:sz w:val="24"/>
                <w:szCs w:val="24"/>
                <w:u w:val="none"/>
                <w:lang w:eastAsia="zh-CN"/>
              </w:rPr>
              <w:t>储罐</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最大储存量</w:t>
            </w:r>
            <w:r>
              <w:rPr>
                <w:rFonts w:hint="eastAsia" w:ascii="Times New Roman" w:hAnsi="Times New Roman" w:eastAsia="宋体" w:cs="Times New Roman"/>
                <w:color w:val="auto"/>
                <w:sz w:val="24"/>
                <w:szCs w:val="24"/>
                <w:u w:val="none"/>
                <w:lang w:val="en-US" w:eastAsia="zh-CN"/>
              </w:rPr>
              <w:t>3420</w:t>
            </w:r>
            <w:r>
              <w:rPr>
                <w:rFonts w:hint="default" w:ascii="Times New Roman" w:hAnsi="Times New Roman" w:eastAsia="宋体" w:cs="Times New Roman"/>
                <w:color w:val="auto"/>
                <w:sz w:val="24"/>
                <w:szCs w:val="24"/>
                <w:u w:val="none"/>
                <w:lang w:val="en-US" w:eastAsia="zh-CN"/>
              </w:rPr>
              <w:t>t</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个30</w:t>
            </w:r>
            <w:r>
              <w:rPr>
                <w:rFonts w:hint="default" w:ascii="Times New Roman" w:hAnsi="Times New Roman" w:eastAsia="宋体" w:cs="Times New Roman"/>
                <w:color w:val="auto"/>
                <w:sz w:val="24"/>
                <w:szCs w:val="24"/>
                <w:u w:val="none"/>
                <w:lang w:val="en-US" w:eastAsia="zh-CN"/>
              </w:rPr>
              <w:t>00</w:t>
            </w:r>
            <w:r>
              <w:rPr>
                <w:rFonts w:hint="default" w:ascii="Times New Roman" w:hAnsi="Times New Roman" w:eastAsia="宋体" w:cs="Times New Roman"/>
                <w:color w:val="auto"/>
                <w:sz w:val="24"/>
                <w:szCs w:val="24"/>
                <w:u w:val="none"/>
              </w:rPr>
              <w:t>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vertAlign w:val="baseline"/>
                <w:lang w:val="en-US" w:eastAsia="zh-CN"/>
              </w:rPr>
              <w:t>液氮</w:t>
            </w:r>
            <w:r>
              <w:rPr>
                <w:rFonts w:hint="eastAsia" w:ascii="Times New Roman" w:hAnsi="Times New Roman" w:eastAsia="宋体" w:cs="Times New Roman"/>
                <w:color w:val="auto"/>
                <w:sz w:val="24"/>
                <w:szCs w:val="24"/>
                <w:u w:val="none"/>
                <w:lang w:eastAsia="zh-CN"/>
              </w:rPr>
              <w:t>储罐</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最大储存量</w:t>
            </w:r>
            <w:r>
              <w:rPr>
                <w:rFonts w:hint="eastAsia" w:ascii="Times New Roman" w:hAnsi="Times New Roman" w:eastAsia="宋体" w:cs="Times New Roman"/>
                <w:color w:val="auto"/>
                <w:sz w:val="24"/>
                <w:szCs w:val="24"/>
                <w:u w:val="none"/>
                <w:lang w:val="en-US" w:eastAsia="zh-CN"/>
              </w:rPr>
              <w:t>2430</w:t>
            </w:r>
            <w:r>
              <w:rPr>
                <w:rFonts w:hint="default" w:ascii="Times New Roman" w:hAnsi="Times New Roman" w:eastAsia="宋体" w:cs="Times New Roman"/>
                <w:color w:val="auto"/>
                <w:sz w:val="24"/>
                <w:szCs w:val="24"/>
                <w:u w:val="none"/>
                <w:lang w:val="en-US" w:eastAsia="zh-CN"/>
              </w:rPr>
              <w:t>t</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个30m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vertAlign w:val="baseline"/>
                <w:lang w:val="en-US" w:eastAsia="zh-CN"/>
              </w:rPr>
              <w:t>医用氧</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最大储存量34.2t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个30m</w:t>
            </w:r>
            <w:r>
              <w:rPr>
                <w:rFonts w:hint="default"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vertAlign w:val="baseline"/>
                <w:lang w:val="en-US" w:eastAsia="zh-CN"/>
              </w:rPr>
              <w:t>高纯氧</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最大储存量34.2t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3</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vertAlign w:val="baseline"/>
                <w:lang w:val="en-US" w:eastAsia="zh-CN"/>
              </w:rPr>
              <w:t>液氩</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最大储存量211.5t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vertAlign w:val="baseline"/>
                <w:lang w:val="en-US" w:eastAsia="zh-CN"/>
              </w:rPr>
              <w:t>液氧</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最大储存量57t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vertAlign w:val="baseline"/>
                <w:lang w:val="en-US" w:eastAsia="zh-CN"/>
              </w:rPr>
              <w:t>液氮</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最大储存量40.5t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color w:val="auto"/>
                <w:sz w:val="24"/>
                <w:u w:val="none"/>
              </w:rPr>
              <w:t>液化二氧化碳</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最大储存量55.1t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vertAlign w:val="baseline"/>
                <w:lang w:val="en-US" w:eastAsia="zh-CN"/>
              </w:rPr>
              <w:t>丙烷</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最大储存量58t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vertAlign w:val="baseline"/>
                <w:lang w:val="en-US" w:eastAsia="zh-CN"/>
              </w:rPr>
              <w:t>液化石油气</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最大储存量58t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color w:val="auto"/>
                <w:sz w:val="24"/>
                <w:u w:val="none"/>
              </w:rPr>
              <w:t>液化</w:t>
            </w:r>
            <w:r>
              <w:rPr>
                <w:rFonts w:hint="eastAsia"/>
                <w:color w:val="auto"/>
                <w:sz w:val="24"/>
                <w:u w:val="none"/>
                <w:lang w:val="en-US" w:eastAsia="zh-CN"/>
              </w:rPr>
              <w:t>石油气残液</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最大储存量29t</w:t>
            </w:r>
            <w:r>
              <w:rPr>
                <w:rFonts w:hint="eastAsia" w:ascii="Times New Roman" w:hAnsi="Times New Roman" w:eastAsia="宋体" w:cs="Times New Roman"/>
                <w:color w:val="auto"/>
                <w:sz w:val="24"/>
                <w:szCs w:val="24"/>
                <w:u w:val="none"/>
                <w:lang w:eastAsia="zh-CN"/>
              </w:rPr>
              <w:t>）。建设工业氧、医用氧充装间，氮、氩、二氧化碳、混合气体充装间，丙烷、液化石油气充装间，充装线共8条</w:t>
            </w:r>
            <w:r>
              <w:rPr>
                <w:rFonts w:hint="eastAsia" w:ascii="Times New Roman" w:hAnsi="Times New Roman" w:cs="Times New Roman"/>
                <w:color w:val="auto"/>
                <w:sz w:val="24"/>
                <w:szCs w:val="24"/>
                <w:u w:val="none"/>
                <w:lang w:eastAsia="zh-CN"/>
              </w:rPr>
              <w:t>。</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预计建成后可达年生产液氧91396.8t、液氮83160t、液氩3927t、高纯液氧2257.2t。年充装工业氧气100万瓶（折合7000t）、医用氧气20万瓶（折合1400t）、液氧2400罐（折合384t）、氮气50万瓶（折合3350t）、液氮</w:t>
            </w:r>
            <w:r>
              <w:rPr>
                <w:rFonts w:hint="eastAsia" w:ascii="Times New Roman" w:hAnsi="Times New Roman" w:cs="Times New Roman"/>
                <w:color w:val="000000" w:themeColor="text1"/>
                <w:sz w:val="24"/>
                <w:szCs w:val="24"/>
                <w:u w:val="none"/>
                <w:lang w:eastAsia="zh-CN"/>
                <w14:textFill>
                  <w14:solidFill>
                    <w14:schemeClr w14:val="tx1"/>
                  </w14:solidFill>
                </w14:textFill>
              </w:rPr>
              <w:t>960罐</w:t>
            </w:r>
            <w:r>
              <w:rPr>
                <w:rFonts w:hint="eastAsia" w:ascii="Times New Roman" w:hAnsi="Times New Roman" w:eastAsia="宋体" w:cs="Times New Roman"/>
                <w:color w:val="000000" w:themeColor="text1"/>
                <w:sz w:val="24"/>
                <w:szCs w:val="24"/>
                <w:u w:val="none"/>
                <w:lang w:eastAsia="zh-CN"/>
                <w14:textFill>
                  <w14:solidFill>
                    <w14:schemeClr w14:val="tx1"/>
                  </w14:solidFill>
                </w14:textFill>
              </w:rPr>
              <w:t>（折合115.2t）、氩气50万瓶（折合5000t）、液氩1800罐（折合324t）、二氧化碳50万瓶（折合12000t）、混合气体50万瓶（折合5000t）、液化石油气50万瓶（折合7500t）、丙烷50万瓶（折合7500t）。合计年充装工业气体约420万瓶、5160罐（折合49573.2吨）。</w:t>
            </w:r>
          </w:p>
          <w:p w14:paraId="53E0BFAB">
            <w:pPr>
              <w:bidi w:val="0"/>
              <w:rPr>
                <w:rFonts w:hint="default" w:ascii="Times New Roman" w:hAnsi="Times New Roman" w:eastAsia="宋体" w:cs="Times New Roman"/>
                <w:b w:val="0"/>
                <w:bCs w:val="0"/>
                <w:color w:val="auto"/>
                <w:spacing w:val="0"/>
                <w:kern w:val="21"/>
                <w:position w:val="0"/>
                <w:sz w:val="24"/>
                <w:szCs w:val="24"/>
                <w:lang w:eastAsia="zh-CN"/>
              </w:rPr>
            </w:pPr>
            <w:r>
              <w:rPr>
                <w:rFonts w:hint="eastAsia" w:ascii="Times New Roman" w:hAnsi="Times New Roman" w:cs="Times New Roman"/>
                <w:color w:val="auto"/>
                <w:sz w:val="24"/>
                <w:lang w:val="en-US" w:eastAsia="zh-CN"/>
              </w:rPr>
              <w:t>对照</w:t>
            </w:r>
            <w:r>
              <w:rPr>
                <w:rFonts w:hint="default" w:ascii="Times New Roman" w:hAnsi="Times New Roman" w:cs="Times New Roman"/>
                <w:color w:val="auto"/>
                <w:sz w:val="24"/>
              </w:rPr>
              <w:t>《国民经济行业分类》（GB/T4754-2017），本项目属于</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val="en-US" w:eastAsia="zh-CN"/>
              </w:rPr>
              <w:t>C2619</w:t>
            </w:r>
            <w:r>
              <w:rPr>
                <w:rFonts w:hint="default" w:ascii="Times New Roman" w:hAnsi="Times New Roman" w:cs="Times New Roman"/>
                <w:color w:val="auto"/>
                <w:sz w:val="24"/>
              </w:rPr>
              <w:t>其他基础化学原料制造</w:t>
            </w:r>
            <w:r>
              <w:rPr>
                <w:rFonts w:hint="default" w:ascii="Times New Roman" w:hAnsi="Times New Roman" w:cs="Times New Roman"/>
                <w:color w:val="auto"/>
                <w:sz w:val="24"/>
                <w:lang w:val="en-US" w:eastAsia="zh-CN"/>
              </w:rPr>
              <w:t>项目</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G5942 危险化学品仓储</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G5941油气仓储</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不属于</w:t>
            </w:r>
            <w:r>
              <w:rPr>
                <w:rFonts w:hint="default" w:ascii="Times New Roman" w:hAnsi="Times New Roman" w:cs="Times New Roman"/>
                <w:color w:val="auto"/>
                <w:sz w:val="24"/>
              </w:rPr>
              <w:t>《产业结构调整指导目录（20</w:t>
            </w:r>
            <w:r>
              <w:rPr>
                <w:rFonts w:hint="default" w:ascii="Times New Roman" w:hAnsi="Times New Roman" w:cs="Times New Roman"/>
                <w:color w:val="auto"/>
                <w:sz w:val="24"/>
                <w:lang w:val="en-US" w:eastAsia="zh-CN"/>
              </w:rPr>
              <w:t>24</w:t>
            </w:r>
            <w:r>
              <w:rPr>
                <w:rFonts w:hint="default" w:ascii="Times New Roman" w:hAnsi="Times New Roman" w:cs="Times New Roman"/>
                <w:color w:val="auto"/>
                <w:sz w:val="24"/>
              </w:rPr>
              <w:t>年本）》</w:t>
            </w:r>
            <w:r>
              <w:rPr>
                <w:rFonts w:hint="default" w:ascii="Times New Roman" w:hAnsi="Times New Roman" w:cs="Times New Roman"/>
                <w:color w:val="auto"/>
                <w:sz w:val="24"/>
                <w:lang w:val="en-US" w:eastAsia="zh-CN"/>
              </w:rPr>
              <w:t>规定的鼓励类、限制类和淘汰类项目。</w:t>
            </w:r>
            <w:r>
              <w:rPr>
                <w:rFonts w:hint="default" w:ascii="Times New Roman" w:hAnsi="Times New Roman" w:cs="Times New Roman"/>
                <w:color w:val="auto"/>
                <w:sz w:val="24"/>
              </w:rPr>
              <w:t>根据国务院《促进产业结构调整暂行规定》（国发〔2005〕40号）第十三条</w:t>
            </w:r>
            <w:r>
              <w:rPr>
                <w:rFonts w:hint="eastAsia" w:cs="Times New Roman"/>
                <w:color w:val="auto"/>
                <w:sz w:val="24"/>
                <w:lang w:eastAsia="zh-CN"/>
              </w:rPr>
              <w:t>“</w:t>
            </w:r>
            <w:r>
              <w:rPr>
                <w:rFonts w:hint="default" w:ascii="Times New Roman" w:hAnsi="Times New Roman" w:cs="Times New Roman"/>
                <w:color w:val="auto"/>
                <w:sz w:val="24"/>
              </w:rPr>
              <w:t>不属于鼓励类、限制类和淘汰类，且符合国家有关法律法规和政策规定，视为允许类</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pacing w:val="2"/>
                <w:sz w:val="24"/>
                <w:highlight w:val="none"/>
                <w:lang w:val="en-US" w:eastAsia="zh-CN"/>
              </w:rPr>
              <w:t>同时，本项目不涉及</w:t>
            </w:r>
            <w:r>
              <w:rPr>
                <w:rFonts w:hint="default" w:ascii="Times New Roman" w:hAnsi="Times New Roman" w:eastAsia="宋体" w:cs="Times New Roman"/>
                <w:color w:val="000000"/>
                <w:spacing w:val="0"/>
                <w:sz w:val="24"/>
              </w:rPr>
              <w:t>《市场准入负面清单（2025年版）》</w:t>
            </w:r>
            <w:r>
              <w:rPr>
                <w:rFonts w:hint="eastAsia" w:ascii="Times New Roman" w:hAnsi="Times New Roman" w:eastAsia="宋体" w:cs="Times New Roman"/>
                <w:color w:val="000000"/>
                <w:spacing w:val="0"/>
                <w:sz w:val="24"/>
                <w:lang w:eastAsia="zh-CN"/>
              </w:rPr>
              <w:t>（发改体改规〔2025〕466号）</w:t>
            </w:r>
            <w:r>
              <w:rPr>
                <w:rFonts w:hint="default" w:ascii="Times New Roman" w:hAnsi="Times New Roman" w:eastAsia="宋体" w:cs="Times New Roman"/>
                <w:color w:val="000000"/>
                <w:spacing w:val="0"/>
                <w:sz w:val="24"/>
              </w:rPr>
              <w:t>禁止准入类或许可准入类项目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pacing w:val="2"/>
                <w:sz w:val="24"/>
                <w:highlight w:val="none"/>
                <w:lang w:val="en-US" w:eastAsia="zh-CN"/>
              </w:rPr>
              <w:t>对照《陕西省限制投资类产业指导目录》（陕发改产业〔2007〕97号），本项目不属于陕西省限制投资类产业</w:t>
            </w:r>
            <w:r>
              <w:rPr>
                <w:rFonts w:hint="eastAsia" w:ascii="Times New Roman" w:hAnsi="Times New Roman" w:eastAsia="宋体" w:cs="Times New Roman"/>
                <w:color w:val="auto"/>
                <w:spacing w:val="2"/>
                <w:sz w:val="24"/>
                <w:highlight w:val="none"/>
                <w:lang w:val="en-US" w:eastAsia="zh-CN"/>
              </w:rPr>
              <w:t>。根据《关中地区治污降霾重点行业项目建设指导目录》（2017年本），本项目不属于名录中7个产能过剩及禁止新建行业。</w:t>
            </w:r>
            <w:r>
              <w:rPr>
                <w:rFonts w:hint="default" w:ascii="Times New Roman" w:hAnsi="Times New Roman" w:eastAsia="宋体" w:cs="Times New Roman"/>
                <w:b w:val="0"/>
                <w:bCs w:val="0"/>
                <w:color w:val="auto"/>
                <w:spacing w:val="0"/>
                <w:kern w:val="21"/>
                <w:position w:val="0"/>
                <w:sz w:val="24"/>
                <w:szCs w:val="24"/>
              </w:rPr>
              <w:t>本项目已取得</w:t>
            </w:r>
            <w:r>
              <w:rPr>
                <w:rFonts w:hint="eastAsia" w:ascii="Times New Roman" w:hAnsi="Times New Roman" w:eastAsia="宋体" w:cs="Times New Roman"/>
                <w:b w:val="0"/>
                <w:bCs w:val="0"/>
                <w:color w:val="auto"/>
                <w:spacing w:val="0"/>
                <w:kern w:val="21"/>
                <w:position w:val="0"/>
                <w:sz w:val="24"/>
                <w:szCs w:val="24"/>
                <w:lang w:val="en-US" w:eastAsia="zh-CN"/>
              </w:rPr>
              <w:t>陕西省企业投资项目备案确认书，备</w:t>
            </w:r>
            <w:r>
              <w:rPr>
                <w:rFonts w:hint="eastAsia" w:ascii="Times New Roman" w:hAnsi="Times New Roman" w:eastAsia="宋体" w:cs="Times New Roman"/>
                <w:b w:val="0"/>
                <w:bCs w:val="0"/>
                <w:color w:val="auto"/>
                <w:spacing w:val="0"/>
                <w:kern w:val="21"/>
                <w:position w:val="0"/>
                <w:sz w:val="24"/>
                <w:szCs w:val="24"/>
                <w:highlight w:val="none"/>
                <w:lang w:val="en-US" w:eastAsia="zh-CN"/>
              </w:rPr>
              <w:t>案机关为</w:t>
            </w:r>
            <w:r>
              <w:rPr>
                <w:rFonts w:hint="eastAsia" w:ascii="Times New Roman" w:hAnsi="Times New Roman" w:eastAsia="宋体" w:cs="Times New Roman"/>
                <w:color w:val="auto"/>
                <w:kern w:val="0"/>
                <w:sz w:val="24"/>
                <w:highlight w:val="none"/>
                <w:lang w:val="en-US" w:eastAsia="zh-CN"/>
              </w:rPr>
              <w:t>凤翔高新技术产业开发区管理委员会</w:t>
            </w:r>
            <w:r>
              <w:rPr>
                <w:rFonts w:hint="eastAsia" w:ascii="Times New Roman" w:hAnsi="Times New Roman" w:eastAsia="宋体" w:cs="Times New Roman"/>
                <w:b w:val="0"/>
                <w:bCs w:val="0"/>
                <w:color w:val="auto"/>
                <w:spacing w:val="0"/>
                <w:kern w:val="21"/>
                <w:position w:val="0"/>
                <w:sz w:val="24"/>
                <w:szCs w:val="24"/>
                <w:highlight w:val="none"/>
                <w:lang w:eastAsia="zh-CN"/>
              </w:rPr>
              <w:t>，</w:t>
            </w:r>
            <w:r>
              <w:rPr>
                <w:rFonts w:hint="default" w:ascii="Times New Roman" w:hAnsi="Times New Roman" w:eastAsia="宋体" w:cs="Times New Roman"/>
                <w:b w:val="0"/>
                <w:bCs w:val="0"/>
                <w:color w:val="auto"/>
                <w:spacing w:val="0"/>
                <w:kern w:val="21"/>
                <w:position w:val="0"/>
                <w:sz w:val="24"/>
                <w:szCs w:val="24"/>
                <w:highlight w:val="none"/>
              </w:rPr>
              <w:t>项目代码：</w:t>
            </w:r>
            <w:r>
              <w:rPr>
                <w:rFonts w:hint="eastAsia" w:ascii="Times New Roman" w:hAnsi="Times New Roman" w:cs="Times New Roman"/>
                <w:color w:val="auto"/>
                <w:sz w:val="24"/>
                <w:szCs w:val="24"/>
                <w:highlight w:val="none"/>
                <w:lang w:val="en-US" w:eastAsia="zh-CN"/>
              </w:rPr>
              <w:t>2019-610363-26-03-062186</w:t>
            </w:r>
            <w:r>
              <w:rPr>
                <w:rFonts w:hint="default" w:ascii="Times New Roman" w:hAnsi="Times New Roman" w:eastAsia="宋体" w:cs="Times New Roman"/>
                <w:b w:val="0"/>
                <w:bCs w:val="0"/>
                <w:color w:val="auto"/>
                <w:spacing w:val="0"/>
                <w:kern w:val="21"/>
                <w:position w:val="0"/>
                <w:sz w:val="24"/>
                <w:szCs w:val="24"/>
                <w:highlight w:val="none"/>
                <w:lang w:eastAsia="zh-CN"/>
              </w:rPr>
              <w:t>，</w:t>
            </w:r>
            <w:r>
              <w:rPr>
                <w:rFonts w:hint="eastAsia" w:cs="Times New Roman"/>
                <w:b w:val="0"/>
                <w:bCs w:val="0"/>
                <w:color w:val="auto"/>
                <w:spacing w:val="0"/>
                <w:kern w:val="21"/>
                <w:position w:val="0"/>
                <w:sz w:val="24"/>
                <w:szCs w:val="24"/>
                <w:highlight w:val="none"/>
                <w:lang w:val="en-US" w:eastAsia="zh-CN"/>
              </w:rPr>
              <w:t>项目</w:t>
            </w:r>
            <w:r>
              <w:rPr>
                <w:rFonts w:hint="default" w:ascii="Times New Roman" w:hAnsi="Times New Roman" w:eastAsia="宋体" w:cs="Times New Roman"/>
                <w:b w:val="0"/>
                <w:bCs w:val="0"/>
                <w:color w:val="auto"/>
                <w:spacing w:val="0"/>
                <w:kern w:val="21"/>
                <w:position w:val="0"/>
                <w:sz w:val="24"/>
                <w:szCs w:val="24"/>
                <w:highlight w:val="none"/>
                <w:lang w:eastAsia="zh-CN"/>
              </w:rPr>
              <w:t>属于</w:t>
            </w:r>
            <w:r>
              <w:rPr>
                <w:rFonts w:hint="default" w:ascii="Times New Roman" w:hAnsi="Times New Roman" w:eastAsia="宋体" w:cs="Times New Roman"/>
                <w:b w:val="0"/>
                <w:bCs w:val="0"/>
                <w:color w:val="auto"/>
                <w:spacing w:val="0"/>
                <w:kern w:val="21"/>
                <w:position w:val="0"/>
                <w:sz w:val="24"/>
                <w:szCs w:val="24"/>
                <w:lang w:eastAsia="zh-CN"/>
              </w:rPr>
              <w:t>重大变动，重新报批。</w:t>
            </w:r>
          </w:p>
          <w:p w14:paraId="2B00D449">
            <w:pPr>
              <w:keepNext w:val="0"/>
              <w:keepLines w:val="0"/>
              <w:pageBreakBefore w:val="0"/>
              <w:widowControl w:val="0"/>
              <w:shd w:val="clear" w:color="auto" w:fill="auto"/>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eastAsia="zh-CN"/>
              </w:rPr>
            </w:pPr>
            <w:r>
              <w:rPr>
                <w:color w:val="auto"/>
                <w:sz w:val="24"/>
                <w:u w:val="none"/>
              </w:rPr>
              <w:t>因此，本项目的建设符合国家和地方的当前产业政策。</w:t>
            </w:r>
          </w:p>
          <w:p w14:paraId="5DA8259D">
            <w:pPr>
              <w:bidi w:val="0"/>
              <w:rPr>
                <w:rFonts w:hint="default"/>
                <w:b/>
                <w:bCs/>
                <w:color w:val="auto"/>
              </w:rPr>
            </w:pPr>
            <w:r>
              <w:rPr>
                <w:rFonts w:hint="eastAsia"/>
                <w:b/>
                <w:bCs/>
                <w:color w:val="auto"/>
                <w:lang w:val="en-US" w:eastAsia="zh-CN"/>
              </w:rPr>
              <w:t>二</w:t>
            </w:r>
            <w:r>
              <w:rPr>
                <w:rFonts w:hint="default"/>
                <w:b/>
                <w:bCs/>
                <w:color w:val="auto"/>
              </w:rPr>
              <w:t>、</w:t>
            </w:r>
            <w:r>
              <w:rPr>
                <w:rFonts w:hint="eastAsia"/>
                <w:b/>
                <w:bCs/>
                <w:color w:val="auto"/>
                <w:lang w:eastAsia="zh-CN"/>
              </w:rPr>
              <w:t>”</w:t>
            </w:r>
            <w:r>
              <w:rPr>
                <w:rFonts w:hint="default"/>
                <w:b/>
                <w:bCs/>
                <w:color w:val="auto"/>
              </w:rPr>
              <w:t>三线一单</w:t>
            </w:r>
            <w:r>
              <w:rPr>
                <w:rFonts w:hint="eastAsia"/>
                <w:b/>
                <w:bCs/>
                <w:color w:val="auto"/>
                <w:lang w:eastAsia="zh-CN"/>
              </w:rPr>
              <w:t>”</w:t>
            </w:r>
            <w:r>
              <w:rPr>
                <w:rFonts w:hint="default"/>
                <w:b/>
                <w:bCs/>
                <w:color w:val="auto"/>
              </w:rPr>
              <w:t>符合性分析</w:t>
            </w:r>
          </w:p>
          <w:p w14:paraId="1965040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outlineLvl w:val="9"/>
              <w:rPr>
                <w:rFonts w:hint="default"/>
                <w:color w:val="auto"/>
                <w:highlight w:val="none"/>
              </w:rPr>
            </w:pPr>
            <w:r>
              <w:rPr>
                <w:rFonts w:hint="default" w:ascii="Times New Roman" w:hAnsi="Times New Roman" w:eastAsia="宋体" w:cs="Times New Roman"/>
                <w:color w:val="auto"/>
                <w:spacing w:val="0"/>
                <w:w w:val="100"/>
                <w:position w:val="0"/>
                <w:sz w:val="24"/>
              </w:rPr>
              <w:t>根据《陕西省人民政府关于加快实施</w:t>
            </w:r>
            <w:r>
              <w:rPr>
                <w:rFonts w:hint="eastAsia" w:ascii="Times New Roman" w:hAnsi="Times New Roman" w:eastAsia="宋体" w:cs="Times New Roman"/>
                <w:color w:val="auto"/>
                <w:spacing w:val="0"/>
                <w:w w:val="100"/>
                <w:position w:val="0"/>
                <w:sz w:val="24"/>
                <w:lang w:eastAsia="zh-CN"/>
              </w:rPr>
              <w:t>“</w:t>
            </w:r>
            <w:r>
              <w:rPr>
                <w:rFonts w:hint="default" w:ascii="Times New Roman" w:hAnsi="Times New Roman" w:eastAsia="宋体" w:cs="Times New Roman"/>
                <w:color w:val="auto"/>
                <w:spacing w:val="0"/>
                <w:w w:val="100"/>
                <w:position w:val="0"/>
                <w:sz w:val="24"/>
              </w:rPr>
              <w:t>三线一单</w:t>
            </w:r>
            <w:r>
              <w:rPr>
                <w:rFonts w:hint="eastAsia" w:ascii="Times New Roman" w:hAnsi="Times New Roman" w:eastAsia="宋体" w:cs="Times New Roman"/>
                <w:color w:val="auto"/>
                <w:spacing w:val="0"/>
                <w:w w:val="100"/>
                <w:position w:val="0"/>
                <w:sz w:val="24"/>
                <w:lang w:eastAsia="zh-CN"/>
              </w:rPr>
              <w:t>”</w:t>
            </w:r>
            <w:r>
              <w:rPr>
                <w:rFonts w:hint="default" w:ascii="Times New Roman" w:hAnsi="Times New Roman" w:eastAsia="宋体" w:cs="Times New Roman"/>
                <w:color w:val="auto"/>
                <w:spacing w:val="0"/>
                <w:w w:val="100"/>
                <w:position w:val="0"/>
                <w:sz w:val="24"/>
              </w:rPr>
              <w:t>生态环境分区管控的意见》（陕政发〔2020〕11号）、《宝鸡市</w:t>
            </w:r>
            <w:r>
              <w:rPr>
                <w:rFonts w:hint="eastAsia" w:ascii="Times New Roman" w:hAnsi="Times New Roman" w:eastAsia="宋体" w:cs="Times New Roman"/>
                <w:color w:val="auto"/>
                <w:spacing w:val="0"/>
                <w:w w:val="100"/>
                <w:position w:val="0"/>
                <w:sz w:val="24"/>
                <w:lang w:eastAsia="zh-CN"/>
              </w:rPr>
              <w:t>“</w:t>
            </w:r>
            <w:r>
              <w:rPr>
                <w:rFonts w:hint="default" w:ascii="Times New Roman" w:hAnsi="Times New Roman" w:eastAsia="宋体" w:cs="Times New Roman"/>
                <w:color w:val="auto"/>
                <w:spacing w:val="0"/>
                <w:w w:val="100"/>
                <w:position w:val="0"/>
                <w:sz w:val="24"/>
              </w:rPr>
              <w:t>三线一单</w:t>
            </w:r>
            <w:r>
              <w:rPr>
                <w:rFonts w:hint="eastAsia" w:ascii="Times New Roman" w:hAnsi="Times New Roman" w:eastAsia="宋体" w:cs="Times New Roman"/>
                <w:color w:val="auto"/>
                <w:spacing w:val="0"/>
                <w:w w:val="100"/>
                <w:position w:val="0"/>
                <w:sz w:val="24"/>
                <w:lang w:eastAsia="zh-CN"/>
              </w:rPr>
              <w:t>”</w:t>
            </w:r>
            <w:r>
              <w:rPr>
                <w:rFonts w:hint="default" w:ascii="Times New Roman" w:hAnsi="Times New Roman" w:eastAsia="宋体" w:cs="Times New Roman"/>
                <w:color w:val="auto"/>
                <w:spacing w:val="0"/>
                <w:w w:val="100"/>
                <w:position w:val="0"/>
                <w:sz w:val="24"/>
              </w:rPr>
              <w:t>生态环境分区管控方案》（宝政发〔2021〕19号）要求，切实加强环境管理，落实</w:t>
            </w:r>
            <w:r>
              <w:rPr>
                <w:rFonts w:hint="eastAsia" w:ascii="Times New Roman" w:hAnsi="Times New Roman" w:eastAsia="宋体" w:cs="Times New Roman"/>
                <w:color w:val="auto"/>
                <w:spacing w:val="0"/>
                <w:w w:val="100"/>
                <w:position w:val="0"/>
                <w:sz w:val="24"/>
                <w:lang w:eastAsia="zh-CN"/>
              </w:rPr>
              <w:t>“</w:t>
            </w:r>
            <w:r>
              <w:rPr>
                <w:rFonts w:hint="default" w:ascii="Times New Roman" w:hAnsi="Times New Roman" w:eastAsia="宋体" w:cs="Times New Roman"/>
                <w:color w:val="auto"/>
                <w:spacing w:val="0"/>
                <w:w w:val="100"/>
                <w:position w:val="0"/>
                <w:sz w:val="24"/>
              </w:rPr>
              <w:t>生态保护红线、环境质量底线、资源利用上线和环境准入负面清单</w:t>
            </w:r>
            <w:r>
              <w:rPr>
                <w:rFonts w:hint="eastAsia" w:ascii="Times New Roman" w:hAnsi="Times New Roman" w:eastAsia="宋体" w:cs="Times New Roman"/>
                <w:color w:val="auto"/>
                <w:spacing w:val="0"/>
                <w:w w:val="100"/>
                <w:position w:val="0"/>
                <w:sz w:val="24"/>
                <w:lang w:eastAsia="zh-CN"/>
              </w:rPr>
              <w:t>”</w:t>
            </w:r>
            <w:r>
              <w:rPr>
                <w:rFonts w:hint="default" w:ascii="Times New Roman" w:hAnsi="Times New Roman" w:eastAsia="宋体" w:cs="Times New Roman"/>
                <w:color w:val="auto"/>
                <w:spacing w:val="0"/>
                <w:w w:val="100"/>
                <w:position w:val="0"/>
                <w:sz w:val="24"/>
              </w:rPr>
              <w:t>（简称</w:t>
            </w:r>
            <w:r>
              <w:rPr>
                <w:rFonts w:hint="eastAsia" w:ascii="Times New Roman" w:hAnsi="Times New Roman" w:eastAsia="宋体" w:cs="Times New Roman"/>
                <w:color w:val="auto"/>
                <w:spacing w:val="0"/>
                <w:w w:val="100"/>
                <w:position w:val="0"/>
                <w:sz w:val="24"/>
                <w:lang w:eastAsia="zh-CN"/>
              </w:rPr>
              <w:t>“</w:t>
            </w:r>
            <w:r>
              <w:rPr>
                <w:rFonts w:hint="default" w:ascii="Times New Roman" w:hAnsi="Times New Roman" w:eastAsia="宋体" w:cs="Times New Roman"/>
                <w:color w:val="auto"/>
                <w:spacing w:val="0"/>
                <w:w w:val="100"/>
                <w:position w:val="0"/>
                <w:sz w:val="24"/>
              </w:rPr>
              <w:t>三线一单</w:t>
            </w:r>
            <w:r>
              <w:rPr>
                <w:rFonts w:hint="eastAsia" w:ascii="Times New Roman" w:hAnsi="Times New Roman" w:eastAsia="宋体" w:cs="Times New Roman"/>
                <w:color w:val="auto"/>
                <w:spacing w:val="0"/>
                <w:w w:val="100"/>
                <w:position w:val="0"/>
                <w:sz w:val="24"/>
                <w:lang w:eastAsia="zh-CN"/>
              </w:rPr>
              <w:t>”</w:t>
            </w:r>
            <w:r>
              <w:rPr>
                <w:rFonts w:hint="default" w:ascii="Times New Roman" w:hAnsi="Times New Roman" w:eastAsia="宋体" w:cs="Times New Roman"/>
                <w:color w:val="auto"/>
                <w:spacing w:val="0"/>
                <w:w w:val="100"/>
                <w:position w:val="0"/>
                <w:sz w:val="24"/>
              </w:rPr>
              <w:t>）约束，建立项目环评审批与规划环评、项目环境管理、区域环境质量联动机制，以生态优先、分区管控、动态更新为原则，更好</w:t>
            </w:r>
            <w:r>
              <w:rPr>
                <w:rFonts w:hint="default" w:ascii="Times New Roman" w:hAnsi="Times New Roman" w:eastAsia="宋体" w:cs="Times New Roman"/>
                <w:color w:val="auto"/>
                <w:spacing w:val="0"/>
                <w:w w:val="100"/>
                <w:position w:val="0"/>
                <w:sz w:val="24"/>
                <w:lang w:eastAsia="zh-CN"/>
              </w:rPr>
              <w:t>地</w:t>
            </w:r>
            <w:r>
              <w:rPr>
                <w:rFonts w:hint="default" w:ascii="Times New Roman" w:hAnsi="Times New Roman" w:eastAsia="宋体" w:cs="Times New Roman"/>
                <w:color w:val="auto"/>
                <w:spacing w:val="0"/>
                <w:w w:val="100"/>
                <w:position w:val="0"/>
                <w:sz w:val="24"/>
              </w:rPr>
              <w:t>发挥环评制度从源头防范环境污染和生态破坏的作用，加快推进改善环境质量。项目与</w:t>
            </w:r>
            <w:r>
              <w:rPr>
                <w:rFonts w:hint="eastAsia" w:ascii="Times New Roman" w:hAnsi="Times New Roman" w:eastAsia="宋体" w:cs="Times New Roman"/>
                <w:color w:val="auto"/>
                <w:spacing w:val="0"/>
                <w:w w:val="100"/>
                <w:position w:val="0"/>
                <w:sz w:val="24"/>
                <w:lang w:eastAsia="zh-CN"/>
              </w:rPr>
              <w:t>“</w:t>
            </w:r>
            <w:r>
              <w:rPr>
                <w:rFonts w:hint="default" w:ascii="Times New Roman" w:hAnsi="Times New Roman" w:eastAsia="宋体" w:cs="Times New Roman"/>
                <w:color w:val="auto"/>
                <w:spacing w:val="0"/>
                <w:w w:val="100"/>
                <w:position w:val="0"/>
                <w:sz w:val="24"/>
              </w:rPr>
              <w:t>三线一单</w:t>
            </w:r>
            <w:r>
              <w:rPr>
                <w:rFonts w:hint="eastAsia" w:ascii="Times New Roman" w:hAnsi="Times New Roman" w:eastAsia="宋体" w:cs="Times New Roman"/>
                <w:color w:val="auto"/>
                <w:spacing w:val="0"/>
                <w:w w:val="100"/>
                <w:position w:val="0"/>
                <w:sz w:val="24"/>
                <w:lang w:eastAsia="zh-CN"/>
              </w:rPr>
              <w:t>”</w:t>
            </w:r>
            <w:r>
              <w:rPr>
                <w:rFonts w:hint="default" w:ascii="Times New Roman" w:hAnsi="Times New Roman" w:eastAsia="宋体" w:cs="Times New Roman"/>
                <w:color w:val="auto"/>
                <w:spacing w:val="0"/>
                <w:w w:val="100"/>
                <w:position w:val="0"/>
                <w:sz w:val="24"/>
              </w:rPr>
              <w:t>符合性分析见下表</w:t>
            </w:r>
            <w:r>
              <w:rPr>
                <w:rFonts w:hint="eastAsia" w:ascii="Times New Roman" w:hAnsi="Times New Roman" w:eastAsia="宋体" w:cs="Times New Roman"/>
                <w:color w:val="auto"/>
                <w:spacing w:val="0"/>
                <w:w w:val="100"/>
                <w:position w:val="0"/>
                <w:sz w:val="24"/>
                <w:lang w:val="en-US" w:eastAsia="zh-CN"/>
              </w:rPr>
              <w:t>1-3</w:t>
            </w:r>
            <w:r>
              <w:rPr>
                <w:rFonts w:hint="default"/>
                <w:color w:val="auto"/>
                <w:highlight w:val="none"/>
              </w:rPr>
              <w:t>。</w:t>
            </w:r>
          </w:p>
          <w:p w14:paraId="3B0B7EC9">
            <w:pPr>
              <w:pStyle w:val="85"/>
              <w:bidi w:val="0"/>
              <w:rPr>
                <w:rFonts w:hint="default"/>
                <w:color w:val="auto"/>
                <w:sz w:val="21"/>
                <w:szCs w:val="21"/>
                <w:highlight w:val="none"/>
              </w:rPr>
            </w:pPr>
            <w:r>
              <w:rPr>
                <w:rFonts w:hint="default"/>
                <w:color w:val="auto"/>
                <w:sz w:val="21"/>
                <w:szCs w:val="21"/>
                <w:highlight w:val="none"/>
              </w:rPr>
              <w:t>表</w:t>
            </w:r>
            <w:r>
              <w:rPr>
                <w:rFonts w:hint="default"/>
                <w:color w:val="auto"/>
                <w:sz w:val="21"/>
                <w:szCs w:val="21"/>
                <w:highlight w:val="none"/>
                <w:lang w:val="en-US" w:eastAsia="zh-CN"/>
              </w:rPr>
              <w:t>1</w:t>
            </w:r>
            <w:r>
              <w:rPr>
                <w:rFonts w:hint="eastAsia"/>
                <w:color w:val="auto"/>
                <w:sz w:val="21"/>
                <w:szCs w:val="21"/>
                <w:highlight w:val="none"/>
                <w:lang w:val="en-US" w:eastAsia="zh-CN"/>
              </w:rPr>
              <w:t>-3</w:t>
            </w:r>
            <w:r>
              <w:rPr>
                <w:rFonts w:hint="default"/>
                <w:color w:val="auto"/>
                <w:sz w:val="21"/>
                <w:szCs w:val="21"/>
                <w:highlight w:val="none"/>
              </w:rPr>
              <w:t xml:space="preserve">   </w:t>
            </w:r>
            <w:r>
              <w:rPr>
                <w:rFonts w:hint="eastAsia"/>
                <w:color w:val="auto"/>
                <w:sz w:val="21"/>
                <w:szCs w:val="21"/>
                <w:highlight w:val="none"/>
                <w:lang w:eastAsia="zh-CN"/>
              </w:rPr>
              <w:t>”</w:t>
            </w:r>
            <w:r>
              <w:rPr>
                <w:rFonts w:hint="default"/>
                <w:color w:val="auto"/>
                <w:sz w:val="21"/>
                <w:szCs w:val="21"/>
                <w:highlight w:val="none"/>
                <w:lang w:eastAsia="zh-CN"/>
              </w:rPr>
              <w:t>三线一单</w:t>
            </w:r>
            <w:r>
              <w:rPr>
                <w:rFonts w:hint="eastAsia"/>
                <w:color w:val="auto"/>
                <w:sz w:val="21"/>
                <w:szCs w:val="21"/>
                <w:highlight w:val="none"/>
                <w:lang w:eastAsia="zh-CN"/>
              </w:rPr>
              <w:t>”</w:t>
            </w:r>
            <w:r>
              <w:rPr>
                <w:rFonts w:hint="default"/>
                <w:color w:val="auto"/>
                <w:sz w:val="21"/>
                <w:szCs w:val="21"/>
                <w:highlight w:val="none"/>
                <w:lang w:eastAsia="zh-CN"/>
              </w:rPr>
              <w:t>的符合性分析</w:t>
            </w:r>
          </w:p>
          <w:tbl>
            <w:tblPr>
              <w:tblStyle w:val="31"/>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6163"/>
              <w:gridCol w:w="850"/>
            </w:tblGrid>
            <w:tr w14:paraId="199C5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tcBorders>
                    <w:tl2br w:val="nil"/>
                    <w:tr2bl w:val="nil"/>
                  </w:tcBorders>
                  <w:noWrap w:val="0"/>
                  <w:vAlign w:val="center"/>
                </w:tcPr>
                <w:p w14:paraId="02949BEB">
                  <w:pPr>
                    <w:pStyle w:val="52"/>
                    <w:bidi w:val="0"/>
                    <w:rPr>
                      <w:rFonts w:hint="default"/>
                      <w:b/>
                      <w:bCs w:val="0"/>
                      <w:color w:val="auto"/>
                      <w:highlight w:val="none"/>
                    </w:rPr>
                  </w:pPr>
                  <w:r>
                    <w:rPr>
                      <w:rFonts w:hint="default"/>
                      <w:b/>
                      <w:bCs w:val="0"/>
                      <w:color w:val="auto"/>
                      <w:highlight w:val="none"/>
                    </w:rPr>
                    <w:t>相关政策名称</w:t>
                  </w:r>
                </w:p>
              </w:tc>
              <w:tc>
                <w:tcPr>
                  <w:tcW w:w="6163" w:type="dxa"/>
                  <w:tcBorders>
                    <w:tl2br w:val="nil"/>
                    <w:tr2bl w:val="nil"/>
                  </w:tcBorders>
                  <w:noWrap w:val="0"/>
                  <w:vAlign w:val="center"/>
                </w:tcPr>
                <w:p w14:paraId="6A87CBB0">
                  <w:pPr>
                    <w:pStyle w:val="52"/>
                    <w:bidi w:val="0"/>
                    <w:rPr>
                      <w:rFonts w:hint="default"/>
                      <w:b/>
                      <w:bCs w:val="0"/>
                      <w:color w:val="auto"/>
                      <w:highlight w:val="none"/>
                    </w:rPr>
                  </w:pPr>
                  <w:r>
                    <w:rPr>
                      <w:rFonts w:hint="default"/>
                      <w:b/>
                      <w:bCs w:val="0"/>
                      <w:color w:val="auto"/>
                      <w:highlight w:val="none"/>
                    </w:rPr>
                    <w:t>项目情况</w:t>
                  </w:r>
                </w:p>
              </w:tc>
              <w:tc>
                <w:tcPr>
                  <w:tcW w:w="850" w:type="dxa"/>
                  <w:tcBorders>
                    <w:tl2br w:val="nil"/>
                    <w:tr2bl w:val="nil"/>
                  </w:tcBorders>
                  <w:noWrap w:val="0"/>
                  <w:vAlign w:val="center"/>
                </w:tcPr>
                <w:p w14:paraId="3701D6C0">
                  <w:pPr>
                    <w:pStyle w:val="52"/>
                    <w:bidi w:val="0"/>
                    <w:rPr>
                      <w:rFonts w:hint="default"/>
                      <w:b/>
                      <w:bCs w:val="0"/>
                      <w:color w:val="auto"/>
                      <w:highlight w:val="none"/>
                    </w:rPr>
                  </w:pPr>
                  <w:r>
                    <w:rPr>
                      <w:rFonts w:hint="default"/>
                      <w:b/>
                      <w:bCs w:val="0"/>
                      <w:color w:val="auto"/>
                      <w:highlight w:val="none"/>
                    </w:rPr>
                    <w:t>符合性</w:t>
                  </w:r>
                </w:p>
              </w:tc>
            </w:tr>
            <w:tr w14:paraId="58401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tcBorders>
                    <w:tl2br w:val="nil"/>
                    <w:tr2bl w:val="nil"/>
                  </w:tcBorders>
                  <w:noWrap w:val="0"/>
                  <w:vAlign w:val="center"/>
                </w:tcPr>
                <w:p w14:paraId="181892D3">
                  <w:pPr>
                    <w:pStyle w:val="52"/>
                    <w:bidi w:val="0"/>
                    <w:rPr>
                      <w:rFonts w:hint="default"/>
                      <w:color w:val="auto"/>
                      <w:highlight w:val="none"/>
                    </w:rPr>
                  </w:pPr>
                  <w:r>
                    <w:rPr>
                      <w:rFonts w:hint="default"/>
                      <w:color w:val="auto"/>
                      <w:highlight w:val="none"/>
                    </w:rPr>
                    <w:t>生态保护红线</w:t>
                  </w:r>
                </w:p>
              </w:tc>
              <w:tc>
                <w:tcPr>
                  <w:tcW w:w="6163" w:type="dxa"/>
                  <w:tcBorders>
                    <w:tl2br w:val="nil"/>
                    <w:tr2bl w:val="nil"/>
                  </w:tcBorders>
                  <w:noWrap w:val="0"/>
                  <w:vAlign w:val="center"/>
                </w:tcPr>
                <w:p w14:paraId="6F790FE0">
                  <w:pPr>
                    <w:pStyle w:val="52"/>
                    <w:bidi w:val="0"/>
                    <w:jc w:val="both"/>
                    <w:rPr>
                      <w:rFonts w:hint="default"/>
                      <w:color w:val="auto"/>
                      <w:highlight w:val="none"/>
                      <w:lang w:eastAsia="zh-CN"/>
                    </w:rPr>
                  </w:pPr>
                  <w:r>
                    <w:rPr>
                      <w:rFonts w:hint="default"/>
                      <w:color w:val="auto"/>
                      <w:highlight w:val="none"/>
                    </w:rPr>
                    <w:t>项目位于</w:t>
                  </w:r>
                  <w:r>
                    <w:rPr>
                      <w:rFonts w:hint="eastAsia"/>
                      <w:color w:val="auto"/>
                      <w:highlight w:val="none"/>
                      <w:lang w:eastAsia="zh-CN"/>
                    </w:rPr>
                    <w:t>陕西省宝鸡市凤翔高新区长青工业园</w:t>
                  </w:r>
                  <w:r>
                    <w:rPr>
                      <w:rFonts w:hint="default"/>
                      <w:color w:val="auto"/>
                      <w:highlight w:val="none"/>
                    </w:rPr>
                    <w:t>，周边无自然保护区、森林公园、湿地公园、饮用水源保护区等生态保护目标，</w:t>
                  </w:r>
                  <w:r>
                    <w:rPr>
                      <w:rFonts w:hint="eastAsia"/>
                      <w:color w:val="auto"/>
                      <w:highlight w:val="none"/>
                      <w:lang w:val="en-US" w:eastAsia="zh-CN"/>
                    </w:rPr>
                    <w:t>项目用地为建设用地，</w:t>
                  </w:r>
                  <w:r>
                    <w:rPr>
                      <w:rFonts w:hint="default"/>
                      <w:color w:val="auto"/>
                      <w:highlight w:val="none"/>
                    </w:rPr>
                    <w:t>不涉及生态保护红线</w:t>
                  </w:r>
                  <w:r>
                    <w:rPr>
                      <w:rFonts w:hint="default"/>
                      <w:color w:val="auto"/>
                      <w:highlight w:val="none"/>
                      <w:lang w:eastAsia="zh-CN"/>
                    </w:rPr>
                    <w:t>。</w:t>
                  </w:r>
                </w:p>
              </w:tc>
              <w:tc>
                <w:tcPr>
                  <w:tcW w:w="850" w:type="dxa"/>
                  <w:tcBorders>
                    <w:tl2br w:val="nil"/>
                    <w:tr2bl w:val="nil"/>
                  </w:tcBorders>
                  <w:noWrap w:val="0"/>
                  <w:vAlign w:val="center"/>
                </w:tcPr>
                <w:p w14:paraId="7C622993">
                  <w:pPr>
                    <w:pStyle w:val="52"/>
                    <w:bidi w:val="0"/>
                    <w:rPr>
                      <w:rFonts w:hint="default"/>
                      <w:color w:val="auto"/>
                      <w:highlight w:val="none"/>
                    </w:rPr>
                  </w:pPr>
                  <w:r>
                    <w:rPr>
                      <w:rFonts w:hint="default"/>
                      <w:color w:val="auto"/>
                      <w:highlight w:val="none"/>
                    </w:rPr>
                    <w:t>符合</w:t>
                  </w:r>
                </w:p>
              </w:tc>
            </w:tr>
            <w:tr w14:paraId="078E58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tcBorders>
                    <w:tl2br w:val="nil"/>
                    <w:tr2bl w:val="nil"/>
                  </w:tcBorders>
                  <w:noWrap w:val="0"/>
                  <w:vAlign w:val="center"/>
                </w:tcPr>
                <w:p w14:paraId="44E624D5">
                  <w:pPr>
                    <w:pStyle w:val="62"/>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default" w:ascii="Times New Roman" w:hAnsi="Times New Roman" w:eastAsia="宋体" w:cs="Times New Roman"/>
                      <w:b w:val="0"/>
                      <w:bCs w:val="0"/>
                      <w:caps w:val="0"/>
                      <w:color w:val="auto"/>
                      <w:spacing w:val="0"/>
                      <w:w w:val="100"/>
                      <w:kern w:val="0"/>
                      <w:position w:val="0"/>
                      <w:sz w:val="21"/>
                      <w:szCs w:val="21"/>
                      <w:lang w:val="en-US" w:eastAsia="en-US" w:bidi="en-US"/>
                    </w:rPr>
                  </w:pPr>
                  <w:r>
                    <w:rPr>
                      <w:rFonts w:hint="default" w:ascii="Times New Roman" w:hAnsi="Times New Roman" w:eastAsia="宋体" w:cs="Times New Roman"/>
                      <w:b w:val="0"/>
                      <w:bCs w:val="0"/>
                      <w:caps w:val="0"/>
                      <w:color w:val="auto"/>
                      <w:spacing w:val="0"/>
                      <w:w w:val="100"/>
                      <w:position w:val="0"/>
                      <w:sz w:val="21"/>
                      <w:szCs w:val="21"/>
                    </w:rPr>
                    <w:t>环境质量底线</w:t>
                  </w:r>
                </w:p>
              </w:tc>
              <w:tc>
                <w:tcPr>
                  <w:tcW w:w="6163" w:type="dxa"/>
                  <w:tcBorders>
                    <w:tl2br w:val="nil"/>
                    <w:tr2bl w:val="nil"/>
                  </w:tcBorders>
                  <w:noWrap w:val="0"/>
                  <w:vAlign w:val="center"/>
                </w:tcPr>
                <w:p w14:paraId="7F02A6F4">
                  <w:pPr>
                    <w:pStyle w:val="62"/>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outlineLvl w:val="9"/>
                    <w:rPr>
                      <w:rFonts w:hint="default" w:ascii="Times New Roman" w:hAnsi="Times New Roman" w:eastAsia="宋体" w:cs="Times New Roman"/>
                      <w:b w:val="0"/>
                      <w:bCs w:val="0"/>
                      <w:caps w:val="0"/>
                      <w:color w:val="auto"/>
                      <w:spacing w:val="0"/>
                      <w:w w:val="100"/>
                      <w:kern w:val="0"/>
                      <w:position w:val="0"/>
                      <w:sz w:val="21"/>
                      <w:szCs w:val="21"/>
                      <w:lang w:val="en-US" w:eastAsia="en-US" w:bidi="en-US"/>
                    </w:rPr>
                  </w:pPr>
                  <w:r>
                    <w:rPr>
                      <w:rFonts w:hint="default" w:ascii="Times New Roman" w:hAnsi="Times New Roman" w:eastAsia="宋体" w:cs="Times New Roman"/>
                      <w:b w:val="0"/>
                      <w:bCs w:val="0"/>
                      <w:caps w:val="0"/>
                      <w:color w:val="auto"/>
                      <w:spacing w:val="0"/>
                      <w:w w:val="100"/>
                      <w:position w:val="0"/>
                      <w:sz w:val="21"/>
                      <w:szCs w:val="21"/>
                    </w:rPr>
                    <w:t>环境质量底线是国家和地方设置的大气、水和土壤环境质量目标，也是改善环境质量的基准线。项目所在区域PM</w:t>
                  </w:r>
                  <w:r>
                    <w:rPr>
                      <w:rFonts w:hint="default" w:ascii="Times New Roman" w:hAnsi="Times New Roman" w:eastAsia="宋体" w:cs="Times New Roman"/>
                      <w:b w:val="0"/>
                      <w:bCs w:val="0"/>
                      <w:caps w:val="0"/>
                      <w:color w:val="auto"/>
                      <w:spacing w:val="0"/>
                      <w:w w:val="100"/>
                      <w:position w:val="0"/>
                      <w:sz w:val="21"/>
                      <w:szCs w:val="21"/>
                      <w:vertAlign w:val="subscript"/>
                    </w:rPr>
                    <w:t>10</w:t>
                  </w:r>
                  <w:r>
                    <w:rPr>
                      <w:rFonts w:hint="default" w:ascii="Times New Roman" w:hAnsi="Times New Roman" w:eastAsia="宋体" w:cs="Times New Roman"/>
                      <w:b w:val="0"/>
                      <w:bCs w:val="0"/>
                      <w:caps w:val="0"/>
                      <w:color w:val="auto"/>
                      <w:spacing w:val="0"/>
                      <w:w w:val="100"/>
                      <w:position w:val="0"/>
                      <w:sz w:val="21"/>
                      <w:szCs w:val="21"/>
                      <w:vertAlign w:val="baseline"/>
                      <w:lang w:eastAsia="zh-CN"/>
                    </w:rPr>
                    <w:t>、</w:t>
                  </w:r>
                  <w:r>
                    <w:rPr>
                      <w:rFonts w:hint="default" w:ascii="Times New Roman" w:hAnsi="Times New Roman" w:eastAsia="宋体" w:cs="Times New Roman"/>
                      <w:b w:val="0"/>
                      <w:bCs w:val="0"/>
                      <w:caps w:val="0"/>
                      <w:color w:val="auto"/>
                      <w:spacing w:val="0"/>
                      <w:w w:val="100"/>
                      <w:position w:val="0"/>
                      <w:sz w:val="21"/>
                      <w:szCs w:val="21"/>
                    </w:rPr>
                    <w:t>PM</w:t>
                  </w:r>
                  <w:r>
                    <w:rPr>
                      <w:rFonts w:hint="default" w:ascii="Times New Roman" w:hAnsi="Times New Roman" w:eastAsia="宋体" w:cs="Times New Roman"/>
                      <w:b w:val="0"/>
                      <w:bCs w:val="0"/>
                      <w:caps w:val="0"/>
                      <w:color w:val="auto"/>
                      <w:spacing w:val="0"/>
                      <w:w w:val="100"/>
                      <w:position w:val="0"/>
                      <w:sz w:val="21"/>
                      <w:szCs w:val="21"/>
                      <w:vertAlign w:val="subscript"/>
                    </w:rPr>
                    <w:t>2.5</w:t>
                  </w:r>
                  <w:r>
                    <w:rPr>
                      <w:rFonts w:hint="eastAsia" w:ascii="Times New Roman" w:hAnsi="Times New Roman" w:eastAsia="宋体" w:cs="Times New Roman"/>
                      <w:b w:val="0"/>
                      <w:bCs w:val="0"/>
                      <w:caps w:val="0"/>
                      <w:color w:val="auto"/>
                      <w:spacing w:val="0"/>
                      <w:w w:val="100"/>
                      <w:position w:val="0"/>
                      <w:sz w:val="21"/>
                      <w:szCs w:val="21"/>
                      <w:vertAlign w:val="baseline"/>
                      <w:lang w:eastAsia="zh-CN"/>
                    </w:rPr>
                    <w:t>、</w:t>
                  </w:r>
                  <w:r>
                    <w:rPr>
                      <w:rFonts w:hint="default" w:ascii="Times New Roman" w:hAnsi="Times New Roman" w:eastAsia="宋体" w:cs="Times New Roman"/>
                      <w:b w:val="0"/>
                      <w:bCs w:val="0"/>
                      <w:caps w:val="0"/>
                      <w:color w:val="auto"/>
                      <w:spacing w:val="0"/>
                      <w:w w:val="100"/>
                      <w:position w:val="0"/>
                      <w:sz w:val="21"/>
                      <w:szCs w:val="21"/>
                    </w:rPr>
                    <w:t>SO</w:t>
                  </w:r>
                  <w:r>
                    <w:rPr>
                      <w:rFonts w:hint="default" w:ascii="Times New Roman" w:hAnsi="Times New Roman" w:eastAsia="宋体" w:cs="Times New Roman"/>
                      <w:b w:val="0"/>
                      <w:bCs w:val="0"/>
                      <w:caps w:val="0"/>
                      <w:color w:val="auto"/>
                      <w:spacing w:val="0"/>
                      <w:w w:val="100"/>
                      <w:position w:val="0"/>
                      <w:sz w:val="21"/>
                      <w:szCs w:val="21"/>
                      <w:vertAlign w:val="subscript"/>
                    </w:rPr>
                    <w:t>2</w:t>
                  </w:r>
                  <w:r>
                    <w:rPr>
                      <w:rFonts w:hint="default" w:ascii="Times New Roman" w:hAnsi="Times New Roman" w:eastAsia="宋体" w:cs="Times New Roman"/>
                      <w:b w:val="0"/>
                      <w:bCs w:val="0"/>
                      <w:caps w:val="0"/>
                      <w:color w:val="auto"/>
                      <w:spacing w:val="0"/>
                      <w:w w:val="100"/>
                      <w:position w:val="0"/>
                      <w:sz w:val="21"/>
                      <w:szCs w:val="21"/>
                    </w:rPr>
                    <w:t>、CO、NO</w:t>
                  </w:r>
                  <w:r>
                    <w:rPr>
                      <w:rFonts w:hint="default" w:ascii="Times New Roman" w:hAnsi="Times New Roman" w:eastAsia="宋体" w:cs="Times New Roman"/>
                      <w:b w:val="0"/>
                      <w:bCs w:val="0"/>
                      <w:caps w:val="0"/>
                      <w:color w:val="auto"/>
                      <w:spacing w:val="0"/>
                      <w:w w:val="100"/>
                      <w:position w:val="0"/>
                      <w:sz w:val="21"/>
                      <w:szCs w:val="21"/>
                      <w:vertAlign w:val="subscript"/>
                    </w:rPr>
                    <w:t>2</w:t>
                  </w:r>
                  <w:r>
                    <w:rPr>
                      <w:rFonts w:hint="default" w:ascii="Times New Roman" w:hAnsi="Times New Roman" w:eastAsia="宋体" w:cs="Times New Roman"/>
                      <w:b w:val="0"/>
                      <w:bCs w:val="0"/>
                      <w:caps w:val="0"/>
                      <w:color w:val="auto"/>
                      <w:spacing w:val="0"/>
                      <w:w w:val="100"/>
                      <w:position w:val="0"/>
                      <w:sz w:val="21"/>
                      <w:szCs w:val="21"/>
                    </w:rPr>
                    <w:t>、O</w:t>
                  </w:r>
                  <w:r>
                    <w:rPr>
                      <w:rFonts w:hint="default" w:ascii="Times New Roman" w:hAnsi="Times New Roman" w:eastAsia="宋体" w:cs="Times New Roman"/>
                      <w:b w:val="0"/>
                      <w:bCs w:val="0"/>
                      <w:caps w:val="0"/>
                      <w:color w:val="auto"/>
                      <w:spacing w:val="0"/>
                      <w:w w:val="100"/>
                      <w:position w:val="0"/>
                      <w:sz w:val="21"/>
                      <w:szCs w:val="21"/>
                      <w:vertAlign w:val="subscript"/>
                    </w:rPr>
                    <w:t>3</w:t>
                  </w:r>
                  <w:r>
                    <w:rPr>
                      <w:rFonts w:hint="default" w:ascii="Times New Roman" w:hAnsi="Times New Roman" w:eastAsia="宋体" w:cs="Times New Roman"/>
                      <w:b w:val="0"/>
                      <w:bCs w:val="0"/>
                      <w:caps w:val="0"/>
                      <w:color w:val="auto"/>
                      <w:spacing w:val="0"/>
                      <w:w w:val="100"/>
                      <w:position w:val="0"/>
                      <w:sz w:val="21"/>
                      <w:szCs w:val="21"/>
                    </w:rPr>
                    <w:t>均满足《环境空气质量标准》（GB 3095-2012）二类区标准要求，项目所在评价区域为达标区。通过环境影响分析，项目运营期采取</w:t>
                  </w:r>
                  <w:r>
                    <w:rPr>
                      <w:rFonts w:hint="eastAsia" w:ascii="Times New Roman" w:hAnsi="Times New Roman" w:cs="Times New Roman"/>
                      <w:b w:val="0"/>
                      <w:bCs w:val="0"/>
                      <w:caps w:val="0"/>
                      <w:color w:val="auto"/>
                      <w:spacing w:val="0"/>
                      <w:w w:val="100"/>
                      <w:position w:val="0"/>
                      <w:sz w:val="21"/>
                      <w:szCs w:val="21"/>
                      <w:lang w:val="en-US" w:eastAsia="zh-CN"/>
                    </w:rPr>
                    <w:t>符合</w:t>
                  </w:r>
                  <w:r>
                    <w:rPr>
                      <w:rFonts w:hint="default" w:ascii="Times New Roman" w:hAnsi="Times New Roman" w:eastAsia="宋体" w:cs="Times New Roman"/>
                      <w:b w:val="0"/>
                      <w:bCs w:val="0"/>
                      <w:caps w:val="0"/>
                      <w:color w:val="auto"/>
                      <w:spacing w:val="0"/>
                      <w:w w:val="100"/>
                      <w:position w:val="0"/>
                      <w:sz w:val="21"/>
                      <w:szCs w:val="21"/>
                    </w:rPr>
                    <w:t>环评要求的措施能够合理处置各项污染物，各类污染物对周边环境影响较小，不触及环境质量底线。</w:t>
                  </w:r>
                </w:p>
              </w:tc>
              <w:tc>
                <w:tcPr>
                  <w:tcW w:w="850" w:type="dxa"/>
                  <w:tcBorders>
                    <w:tl2br w:val="nil"/>
                    <w:tr2bl w:val="nil"/>
                  </w:tcBorders>
                  <w:noWrap w:val="0"/>
                  <w:vAlign w:val="center"/>
                </w:tcPr>
                <w:p w14:paraId="0C9F008D">
                  <w:pPr>
                    <w:pStyle w:val="52"/>
                    <w:bidi w:val="0"/>
                    <w:rPr>
                      <w:rFonts w:hint="default"/>
                      <w:color w:val="auto"/>
                      <w:highlight w:val="none"/>
                    </w:rPr>
                  </w:pPr>
                  <w:r>
                    <w:rPr>
                      <w:rFonts w:hint="default"/>
                      <w:color w:val="auto"/>
                      <w:highlight w:val="none"/>
                    </w:rPr>
                    <w:t>符合</w:t>
                  </w:r>
                </w:p>
              </w:tc>
            </w:tr>
            <w:tr w14:paraId="2DD5B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tcBorders>
                    <w:tl2br w:val="nil"/>
                    <w:tr2bl w:val="nil"/>
                  </w:tcBorders>
                  <w:noWrap w:val="0"/>
                  <w:vAlign w:val="center"/>
                </w:tcPr>
                <w:p w14:paraId="2819CD94">
                  <w:pPr>
                    <w:pStyle w:val="62"/>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default" w:ascii="Times New Roman" w:hAnsi="Times New Roman" w:eastAsia="宋体" w:cs="Times New Roman"/>
                      <w:b w:val="0"/>
                      <w:bCs w:val="0"/>
                      <w:caps w:val="0"/>
                      <w:color w:val="auto"/>
                      <w:spacing w:val="0"/>
                      <w:w w:val="100"/>
                      <w:kern w:val="0"/>
                      <w:position w:val="0"/>
                      <w:sz w:val="21"/>
                      <w:szCs w:val="21"/>
                      <w:lang w:val="en-US" w:eastAsia="en-US" w:bidi="en-US"/>
                    </w:rPr>
                  </w:pPr>
                  <w:r>
                    <w:rPr>
                      <w:rFonts w:hint="default" w:ascii="Times New Roman" w:hAnsi="Times New Roman" w:eastAsia="宋体" w:cs="Times New Roman"/>
                      <w:b w:val="0"/>
                      <w:bCs w:val="0"/>
                      <w:caps w:val="0"/>
                      <w:color w:val="auto"/>
                      <w:spacing w:val="0"/>
                      <w:w w:val="100"/>
                      <w:position w:val="0"/>
                      <w:sz w:val="21"/>
                      <w:szCs w:val="21"/>
                    </w:rPr>
                    <w:t>资源利用上线</w:t>
                  </w:r>
                </w:p>
              </w:tc>
              <w:tc>
                <w:tcPr>
                  <w:tcW w:w="6163" w:type="dxa"/>
                  <w:tcBorders>
                    <w:tl2br w:val="nil"/>
                    <w:tr2bl w:val="nil"/>
                  </w:tcBorders>
                  <w:noWrap w:val="0"/>
                  <w:vAlign w:val="center"/>
                </w:tcPr>
                <w:p w14:paraId="25990509">
                  <w:pPr>
                    <w:pStyle w:val="62"/>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outlineLvl w:val="9"/>
                    <w:rPr>
                      <w:rFonts w:hint="default" w:ascii="Times New Roman" w:hAnsi="Times New Roman" w:eastAsia="宋体" w:cs="Times New Roman"/>
                      <w:b w:val="0"/>
                      <w:bCs w:val="0"/>
                      <w:caps w:val="0"/>
                      <w:color w:val="auto"/>
                      <w:spacing w:val="0"/>
                      <w:w w:val="100"/>
                      <w:kern w:val="0"/>
                      <w:position w:val="0"/>
                      <w:sz w:val="21"/>
                      <w:szCs w:val="21"/>
                      <w:lang w:val="en-US" w:eastAsia="en-US" w:bidi="en-US"/>
                    </w:rPr>
                  </w:pPr>
                  <w:r>
                    <w:rPr>
                      <w:rFonts w:hint="default" w:ascii="Times New Roman" w:hAnsi="Times New Roman" w:eastAsia="宋体" w:cs="Times New Roman"/>
                      <w:b w:val="0"/>
                      <w:bCs w:val="0"/>
                      <w:caps w:val="0"/>
                      <w:color w:val="auto"/>
                      <w:spacing w:val="0"/>
                      <w:w w:val="100"/>
                      <w:position w:val="0"/>
                      <w:sz w:val="21"/>
                      <w:szCs w:val="21"/>
                    </w:rPr>
                    <w:t>项目不涉及新开采资源，项目不触及资源利用上线。</w:t>
                  </w:r>
                </w:p>
              </w:tc>
              <w:tc>
                <w:tcPr>
                  <w:tcW w:w="850" w:type="dxa"/>
                  <w:tcBorders>
                    <w:tl2br w:val="nil"/>
                    <w:tr2bl w:val="nil"/>
                  </w:tcBorders>
                  <w:noWrap w:val="0"/>
                  <w:vAlign w:val="center"/>
                </w:tcPr>
                <w:p w14:paraId="6D107CA6">
                  <w:pPr>
                    <w:pStyle w:val="52"/>
                    <w:bidi w:val="0"/>
                    <w:rPr>
                      <w:rFonts w:hint="default"/>
                      <w:color w:val="auto"/>
                      <w:highlight w:val="none"/>
                    </w:rPr>
                  </w:pPr>
                  <w:r>
                    <w:rPr>
                      <w:rFonts w:hint="default"/>
                      <w:color w:val="auto"/>
                      <w:highlight w:val="none"/>
                    </w:rPr>
                    <w:t>符合</w:t>
                  </w:r>
                </w:p>
              </w:tc>
            </w:tr>
            <w:tr w14:paraId="2A8D6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0" w:type="dxa"/>
                  <w:tcBorders>
                    <w:tl2br w:val="nil"/>
                    <w:tr2bl w:val="nil"/>
                  </w:tcBorders>
                  <w:noWrap w:val="0"/>
                  <w:vAlign w:val="center"/>
                </w:tcPr>
                <w:p w14:paraId="3DF9212B">
                  <w:pPr>
                    <w:pStyle w:val="62"/>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outlineLvl w:val="9"/>
                    <w:rPr>
                      <w:rFonts w:hint="default" w:ascii="Times New Roman" w:hAnsi="Times New Roman" w:eastAsia="宋体" w:cs="Times New Roman"/>
                      <w:b w:val="0"/>
                      <w:bCs w:val="0"/>
                      <w:caps w:val="0"/>
                      <w:color w:val="auto"/>
                      <w:spacing w:val="0"/>
                      <w:w w:val="100"/>
                      <w:kern w:val="0"/>
                      <w:position w:val="0"/>
                      <w:sz w:val="21"/>
                      <w:szCs w:val="21"/>
                      <w:lang w:val="en-US" w:eastAsia="en-US" w:bidi="en-US"/>
                    </w:rPr>
                  </w:pPr>
                  <w:r>
                    <w:rPr>
                      <w:rFonts w:hint="default" w:ascii="Times New Roman" w:hAnsi="Times New Roman" w:eastAsia="宋体" w:cs="Times New Roman"/>
                      <w:b w:val="0"/>
                      <w:bCs w:val="0"/>
                      <w:caps w:val="0"/>
                      <w:color w:val="auto"/>
                      <w:spacing w:val="0"/>
                      <w:w w:val="100"/>
                      <w:position w:val="0"/>
                      <w:sz w:val="21"/>
                      <w:szCs w:val="21"/>
                    </w:rPr>
                    <w:t>生态环境准入清单‌</w:t>
                  </w:r>
                </w:p>
              </w:tc>
              <w:tc>
                <w:tcPr>
                  <w:tcW w:w="6163" w:type="dxa"/>
                  <w:tcBorders>
                    <w:tl2br w:val="nil"/>
                    <w:tr2bl w:val="nil"/>
                  </w:tcBorders>
                  <w:noWrap w:val="0"/>
                  <w:vAlign w:val="center"/>
                </w:tcPr>
                <w:p w14:paraId="1FE85BFE">
                  <w:pPr>
                    <w:pStyle w:val="62"/>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both"/>
                    <w:textAlignment w:val="auto"/>
                    <w:outlineLvl w:val="9"/>
                    <w:rPr>
                      <w:rFonts w:hint="default" w:ascii="Times New Roman" w:hAnsi="Times New Roman" w:eastAsia="宋体" w:cs="Times New Roman"/>
                      <w:b w:val="0"/>
                      <w:bCs w:val="0"/>
                      <w:caps w:val="0"/>
                      <w:color w:val="auto"/>
                      <w:spacing w:val="0"/>
                      <w:w w:val="100"/>
                      <w:kern w:val="0"/>
                      <w:position w:val="0"/>
                      <w:sz w:val="21"/>
                      <w:szCs w:val="21"/>
                      <w:lang w:val="en-US" w:eastAsia="en-US" w:bidi="en-US"/>
                    </w:rPr>
                  </w:pPr>
                  <w:r>
                    <w:rPr>
                      <w:rFonts w:hint="default" w:ascii="Times New Roman" w:hAnsi="Times New Roman" w:eastAsia="宋体" w:cs="Times New Roman"/>
                      <w:b w:val="0"/>
                      <w:bCs w:val="0"/>
                      <w:caps w:val="0"/>
                      <w:color w:val="auto"/>
                      <w:spacing w:val="0"/>
                      <w:w w:val="100"/>
                      <w:position w:val="0"/>
                      <w:sz w:val="21"/>
                      <w:szCs w:val="21"/>
                    </w:rPr>
                    <w:t>根据陕西省发展和改革委员会2018年5月5日发布的关于印发《陕西省国家重点生态功能区产业准</w:t>
                  </w:r>
                  <w:r>
                    <w:rPr>
                      <w:rFonts w:hint="eastAsia" w:ascii="Times New Roman" w:hAnsi="Times New Roman" w:eastAsia="宋体" w:cs="Times New Roman"/>
                      <w:b w:val="0"/>
                      <w:bCs w:val="0"/>
                      <w:caps w:val="0"/>
                      <w:color w:val="auto"/>
                      <w:spacing w:val="0"/>
                      <w:w w:val="100"/>
                      <w:position w:val="0"/>
                      <w:sz w:val="21"/>
                      <w:szCs w:val="21"/>
                      <w:lang w:val="en-US" w:eastAsia="zh-CN"/>
                    </w:rPr>
                    <w:t>入</w:t>
                  </w:r>
                  <w:r>
                    <w:rPr>
                      <w:rFonts w:hint="default" w:ascii="Times New Roman" w:hAnsi="Times New Roman" w:eastAsia="宋体" w:cs="Times New Roman"/>
                      <w:b w:val="0"/>
                      <w:bCs w:val="0"/>
                      <w:caps w:val="0"/>
                      <w:color w:val="auto"/>
                      <w:spacing w:val="0"/>
                      <w:w w:val="100"/>
                      <w:position w:val="0"/>
                      <w:sz w:val="21"/>
                      <w:szCs w:val="21"/>
                    </w:rPr>
                    <w:t>负面清单（试行）》的通知（陕发改规划</w:t>
                  </w:r>
                  <w:r>
                    <w:rPr>
                      <w:rFonts w:hint="eastAsia" w:ascii="Times New Roman" w:hAnsi="Times New Roman" w:cs="Times New Roman"/>
                      <w:b w:val="0"/>
                      <w:bCs w:val="0"/>
                      <w:caps w:val="0"/>
                      <w:color w:val="auto"/>
                      <w:spacing w:val="0"/>
                      <w:w w:val="100"/>
                      <w:position w:val="0"/>
                      <w:sz w:val="21"/>
                      <w:szCs w:val="21"/>
                      <w:lang w:eastAsia="zh-CN"/>
                    </w:rPr>
                    <w:t>〔2018〕</w:t>
                  </w:r>
                  <w:r>
                    <w:rPr>
                      <w:rFonts w:hint="default" w:ascii="Times New Roman" w:hAnsi="Times New Roman" w:eastAsia="宋体" w:cs="Times New Roman"/>
                      <w:b w:val="0"/>
                      <w:bCs w:val="0"/>
                      <w:caps w:val="0"/>
                      <w:color w:val="auto"/>
                      <w:spacing w:val="0"/>
                      <w:w w:val="100"/>
                      <w:position w:val="0"/>
                      <w:sz w:val="21"/>
                      <w:szCs w:val="21"/>
                    </w:rPr>
                    <w:t>213号），宝鸡市</w:t>
                  </w:r>
                  <w:r>
                    <w:rPr>
                      <w:rFonts w:hint="eastAsia" w:ascii="Times New Roman" w:hAnsi="Times New Roman" w:eastAsia="宋体" w:cs="Times New Roman"/>
                      <w:b w:val="0"/>
                      <w:bCs w:val="0"/>
                      <w:caps w:val="0"/>
                      <w:color w:val="auto"/>
                      <w:spacing w:val="0"/>
                      <w:w w:val="100"/>
                      <w:position w:val="0"/>
                      <w:sz w:val="21"/>
                      <w:szCs w:val="21"/>
                      <w:lang w:val="en-US" w:eastAsia="zh-CN"/>
                    </w:rPr>
                    <w:t>凤翔区</w:t>
                  </w:r>
                  <w:r>
                    <w:rPr>
                      <w:rFonts w:hint="default" w:ascii="Times New Roman" w:hAnsi="Times New Roman" w:eastAsia="宋体" w:cs="Times New Roman"/>
                      <w:b w:val="0"/>
                      <w:bCs w:val="0"/>
                      <w:caps w:val="0"/>
                      <w:color w:val="auto"/>
                      <w:spacing w:val="0"/>
                      <w:w w:val="100"/>
                      <w:position w:val="0"/>
                      <w:sz w:val="21"/>
                      <w:szCs w:val="21"/>
                    </w:rPr>
                    <w:t>不在上述文件中国家重点生态功能区范围内。</w:t>
                  </w:r>
                  <w:r>
                    <w:rPr>
                      <w:rFonts w:hint="eastAsia" w:ascii="Times New Roman" w:hAnsi="Times New Roman" w:eastAsia="宋体" w:cs="Times New Roman"/>
                      <w:b w:val="0"/>
                      <w:bCs w:val="0"/>
                      <w:caps w:val="0"/>
                      <w:color w:val="auto"/>
                      <w:spacing w:val="0"/>
                      <w:w w:val="100"/>
                      <w:position w:val="0"/>
                      <w:sz w:val="21"/>
                      <w:szCs w:val="21"/>
                      <w:lang w:val="en-US" w:eastAsia="zh-CN"/>
                    </w:rPr>
                    <w:t>根据</w:t>
                  </w:r>
                  <w:r>
                    <w:rPr>
                      <w:rFonts w:hint="default" w:ascii="Times New Roman" w:hAnsi="Times New Roman" w:eastAsia="宋体" w:cs="Times New Roman"/>
                      <w:b w:val="0"/>
                      <w:bCs w:val="0"/>
                      <w:caps w:val="0"/>
                      <w:color w:val="auto"/>
                      <w:spacing w:val="0"/>
                      <w:w w:val="100"/>
                      <w:position w:val="0"/>
                      <w:sz w:val="21"/>
                      <w:szCs w:val="21"/>
                    </w:rPr>
                    <w:t>《市场准入负面清单（2025年版）》（发改体改规〔2025〕466号），项目不属于文件中禁止准入类，亦不属于文件中未获得许可不得从事的项目类型。项目的建设符合生态环境准入清单的要求。</w:t>
                  </w:r>
                </w:p>
              </w:tc>
              <w:tc>
                <w:tcPr>
                  <w:tcW w:w="850" w:type="dxa"/>
                  <w:tcBorders>
                    <w:tl2br w:val="nil"/>
                    <w:tr2bl w:val="nil"/>
                  </w:tcBorders>
                  <w:noWrap w:val="0"/>
                  <w:vAlign w:val="center"/>
                </w:tcPr>
                <w:p w14:paraId="2CCCDCCB">
                  <w:pPr>
                    <w:pStyle w:val="52"/>
                    <w:bidi w:val="0"/>
                    <w:rPr>
                      <w:rFonts w:hint="default"/>
                      <w:color w:val="auto"/>
                      <w:highlight w:val="none"/>
                    </w:rPr>
                  </w:pPr>
                  <w:r>
                    <w:rPr>
                      <w:rFonts w:hint="default"/>
                      <w:color w:val="auto"/>
                      <w:highlight w:val="none"/>
                    </w:rPr>
                    <w:t>符合</w:t>
                  </w:r>
                </w:p>
              </w:tc>
            </w:tr>
          </w:tbl>
          <w:p w14:paraId="696656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000000"/>
                <w:spacing w:val="0"/>
                <w:position w:val="0"/>
                <w:sz w:val="24"/>
              </w:rPr>
            </w:pPr>
            <w:r>
              <w:rPr>
                <w:rFonts w:hint="default" w:ascii="Times New Roman" w:hAnsi="Times New Roman" w:eastAsia="宋体" w:cs="Times New Roman"/>
                <w:color w:val="000000"/>
                <w:spacing w:val="0"/>
                <w:position w:val="0"/>
                <w:sz w:val="24"/>
              </w:rPr>
              <w:t>根据《陕西省“三线一单”生态环境分区管控应用技术指南：环境影响评价（试行）》中环评文件规范化要求：环评文件涉及“三线一单”生态环境分区管控符合性分析采取“一图、一表、一说明”的表达方式，在对照分析结果右侧加列，并论证规划或建设项目的符合性。</w:t>
            </w:r>
          </w:p>
          <w:p w14:paraId="57CCC20D">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“一图”：指的是规划或建设项目与环境管控单元对照分析示意图</w:t>
            </w:r>
            <w:r>
              <w:rPr>
                <w:rFonts w:hint="eastAsia" w:cs="Times New Roman"/>
                <w:color w:val="auto"/>
                <w:sz w:val="24"/>
                <w:szCs w:val="24"/>
                <w:highlight w:val="none"/>
                <w:lang w:val="en-US" w:eastAsia="zh-CN"/>
              </w:rPr>
              <w:t>。</w:t>
            </w:r>
          </w:p>
          <w:p w14:paraId="6D6910A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陕西省“三线一单”数据应用管理平台形成的对照分析示意图和</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sz w:val="24"/>
                <w:szCs w:val="24"/>
              </w:rPr>
              <w:t>宝鸡市人民政府关于印发“三线一单”生态环境分区管控方案的通知》（市政发〔2021〕22号）</w:t>
            </w:r>
            <w:r>
              <w:rPr>
                <w:rFonts w:hint="default" w:ascii="Times New Roman" w:hAnsi="Times New Roman" w:eastAsia="宋体" w:cs="Times New Roman"/>
                <w:color w:val="auto"/>
                <w:sz w:val="24"/>
                <w:szCs w:val="24"/>
                <w:highlight w:val="none"/>
                <w:lang w:val="en-US" w:eastAsia="zh-CN"/>
              </w:rPr>
              <w:t>中的宝鸡市生态环境</w:t>
            </w:r>
            <w:r>
              <w:rPr>
                <w:rFonts w:hint="eastAsia" w:cs="Times New Roman"/>
                <w:color w:val="auto"/>
                <w:sz w:val="24"/>
                <w:szCs w:val="24"/>
                <w:highlight w:val="none"/>
                <w:lang w:val="en-US" w:eastAsia="zh-CN"/>
              </w:rPr>
              <w:t>分区</w:t>
            </w:r>
            <w:r>
              <w:rPr>
                <w:rFonts w:hint="default" w:ascii="Times New Roman" w:hAnsi="Times New Roman" w:eastAsia="宋体" w:cs="Times New Roman"/>
                <w:color w:val="auto"/>
                <w:sz w:val="24"/>
                <w:szCs w:val="24"/>
                <w:highlight w:val="none"/>
                <w:lang w:val="en-US" w:eastAsia="zh-CN"/>
              </w:rPr>
              <w:t>管控单元分布示意图可知，本项目涉及</w:t>
            </w:r>
            <w:r>
              <w:rPr>
                <w:rFonts w:hint="default" w:ascii="Times New Roman" w:hAnsi="Times New Roman" w:cs="Times New Roman"/>
                <w:kern w:val="0"/>
                <w:sz w:val="24"/>
                <w:szCs w:val="24"/>
                <w:u w:val="none"/>
              </w:rPr>
              <w:t>陕西省凤翔高新技术产业开发区</w:t>
            </w:r>
            <w:r>
              <w:rPr>
                <w:rFonts w:hint="default" w:ascii="Times New Roman" w:hAnsi="Times New Roman" w:cs="Times New Roman"/>
                <w:kern w:val="0"/>
                <w:sz w:val="24"/>
                <w:szCs w:val="24"/>
                <w:u w:val="none"/>
                <w:lang w:eastAsia="zh-CN"/>
              </w:rPr>
              <w:t>，</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与</w:t>
            </w:r>
            <w:r>
              <w:rPr>
                <w:rFonts w:hint="default" w:ascii="Times New Roman" w:hAnsi="Times New Roman" w:eastAsia="宋体" w:cs="Times New Roman"/>
                <w:color w:val="auto"/>
                <w:sz w:val="24"/>
                <w:szCs w:val="24"/>
                <w:highlight w:val="none"/>
                <w:lang w:val="en-US" w:eastAsia="zh-CN"/>
              </w:rPr>
              <w:t>陕西省“三线一单”生态环境管控单元对照分析报告</w:t>
            </w:r>
            <w:r>
              <w:rPr>
                <w:rFonts w:hint="eastAsia" w:ascii="Times New Roman" w:hAnsi="Times New Roman" w:eastAsia="宋体" w:cs="Times New Roman"/>
                <w:color w:val="auto"/>
                <w:sz w:val="24"/>
                <w:szCs w:val="24"/>
                <w:highlight w:val="none"/>
                <w:lang w:val="en-US" w:eastAsia="zh-CN"/>
              </w:rPr>
              <w:t>详</w:t>
            </w:r>
            <w:r>
              <w:rPr>
                <w:rFonts w:hint="default" w:ascii="Times New Roman" w:hAnsi="Times New Roman" w:eastAsia="宋体" w:cs="Times New Roman"/>
                <w:color w:val="auto"/>
                <w:sz w:val="24"/>
                <w:szCs w:val="24"/>
                <w:highlight w:val="none"/>
                <w:lang w:val="en-US" w:eastAsia="zh-CN"/>
              </w:rPr>
              <w:t>见附件。</w:t>
            </w:r>
          </w:p>
          <w:p w14:paraId="2191949E">
            <w:pPr>
              <w:pStyle w:val="99"/>
              <w:keepNext w:val="0"/>
              <w:keepLines w:val="0"/>
              <w:pageBreakBefore w:val="0"/>
              <w:widowControl/>
              <w:numPr>
                <w:ilvl w:val="0"/>
                <w:numId w:val="2"/>
              </w:numPr>
              <w:kinsoku/>
              <w:wordWrap/>
              <w:overflowPunct/>
              <w:topLinePunct w:val="0"/>
              <w:autoSpaceDE/>
              <w:autoSpaceDN/>
              <w:bidi w:val="0"/>
              <w:adjustRightInd w:val="0"/>
              <w:snapToGrid w:val="0"/>
              <w:spacing w:after="0" w:line="240" w:lineRule="auto"/>
              <w:ind w:left="0" w:leftChars="0" w:firstLine="480" w:firstLineChars="0"/>
              <w:jc w:val="both"/>
              <w:textAlignment w:val="auto"/>
              <w:outlineLvl w:val="9"/>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“一表”：环境管控单元涉及情况一览表</w:t>
            </w:r>
          </w:p>
          <w:p w14:paraId="21F43459">
            <w:pPr>
              <w:keepLines w:val="0"/>
              <w:pageBreakBefore w:val="0"/>
              <w:widowControl w:val="0"/>
              <w:kinsoku/>
              <w:wordWrap/>
              <w:overflowPunct/>
              <w:topLinePunct w:val="0"/>
              <w:autoSpaceDE/>
              <w:autoSpaceDN/>
              <w:bidi w:val="0"/>
              <w:adjustRightInd w:val="0"/>
              <w:snapToGrid w:val="0"/>
              <w:spacing w:before="0" w:after="0" w:line="44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根据陕西省“三线一单”数据应用管理平台数据分析，项目环境管控单元涉及情况如下表1-</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p>
          <w:p w14:paraId="7023809B">
            <w:pPr>
              <w:keepNext/>
              <w:keepLines w:val="0"/>
              <w:pageBreakBefore w:val="0"/>
              <w:widowControl w:val="0"/>
              <w:kinsoku/>
              <w:wordWrap/>
              <w:overflowPunct/>
              <w:topLinePunct w:val="0"/>
              <w:autoSpaceDE/>
              <w:autoSpaceDN/>
              <w:bidi w:val="0"/>
              <w:adjustRightInd w:val="0"/>
              <w:snapToGrid w:val="0"/>
              <w:spacing w:before="0" w:after="0" w:line="440" w:lineRule="exact"/>
              <w:ind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项目环境管控单元涉及情况一览表</w:t>
            </w:r>
          </w:p>
          <w:tbl>
            <w:tblPr>
              <w:tblStyle w:val="31"/>
              <w:tblW w:w="490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1474"/>
              <w:gridCol w:w="3752"/>
            </w:tblGrid>
            <w:tr w14:paraId="72425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pct"/>
                  <w:tcBorders>
                    <w:tl2br w:val="nil"/>
                    <w:tr2bl w:val="nil"/>
                  </w:tcBorders>
                  <w:noWrap w:val="0"/>
                  <w:vAlign w:val="top"/>
                </w:tcPr>
                <w:p w14:paraId="621A720A">
                  <w:pPr>
                    <w:keepNext/>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环境管控单元分类</w:t>
                  </w:r>
                </w:p>
              </w:tc>
              <w:tc>
                <w:tcPr>
                  <w:tcW w:w="930" w:type="pct"/>
                  <w:tcBorders>
                    <w:tl2br w:val="nil"/>
                    <w:tr2bl w:val="nil"/>
                  </w:tcBorders>
                  <w:noWrap w:val="0"/>
                  <w:vAlign w:val="top"/>
                </w:tcPr>
                <w:p w14:paraId="4317CFDB">
                  <w:pPr>
                    <w:keepNext/>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是否涉及</w:t>
                  </w:r>
                </w:p>
              </w:tc>
              <w:tc>
                <w:tcPr>
                  <w:tcW w:w="2368" w:type="pct"/>
                  <w:tcBorders>
                    <w:tl2br w:val="nil"/>
                    <w:tr2bl w:val="nil"/>
                  </w:tcBorders>
                  <w:noWrap w:val="0"/>
                  <w:vAlign w:val="top"/>
                </w:tcPr>
                <w:p w14:paraId="69C64C94">
                  <w:pPr>
                    <w:keepNext/>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面积/长度</w:t>
                  </w:r>
                </w:p>
              </w:tc>
            </w:tr>
            <w:tr w14:paraId="548C7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pct"/>
                  <w:tcBorders>
                    <w:tl2br w:val="nil"/>
                    <w:tr2bl w:val="nil"/>
                  </w:tcBorders>
                  <w:noWrap w:val="0"/>
                  <w:vAlign w:val="top"/>
                </w:tcPr>
                <w:p w14:paraId="7010FAB1">
                  <w:pPr>
                    <w:keepNext/>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优先保护单元</w:t>
                  </w:r>
                </w:p>
              </w:tc>
              <w:tc>
                <w:tcPr>
                  <w:tcW w:w="930" w:type="pct"/>
                  <w:tcBorders>
                    <w:tl2br w:val="nil"/>
                    <w:tr2bl w:val="nil"/>
                  </w:tcBorders>
                  <w:noWrap w:val="0"/>
                  <w:vAlign w:val="top"/>
                </w:tcPr>
                <w:p w14:paraId="4BA9CA5C">
                  <w:pPr>
                    <w:keepNext/>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否</w:t>
                  </w:r>
                </w:p>
              </w:tc>
              <w:tc>
                <w:tcPr>
                  <w:tcW w:w="2368" w:type="pct"/>
                  <w:tcBorders>
                    <w:tl2br w:val="nil"/>
                    <w:tr2bl w:val="nil"/>
                  </w:tcBorders>
                  <w:noWrap w:val="0"/>
                  <w:vAlign w:val="top"/>
                </w:tcPr>
                <w:p w14:paraId="3A76BD83">
                  <w:pPr>
                    <w:keepNext/>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平方米</w:t>
                  </w:r>
                </w:p>
              </w:tc>
            </w:tr>
            <w:tr w14:paraId="5A159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01" w:type="pct"/>
                  <w:tcBorders>
                    <w:tl2br w:val="nil"/>
                    <w:tr2bl w:val="nil"/>
                  </w:tcBorders>
                  <w:noWrap w:val="0"/>
                  <w:vAlign w:val="center"/>
                </w:tcPr>
                <w:p w14:paraId="5E8C5214">
                  <w:pPr>
                    <w:keepNext/>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重点管控单元</w:t>
                  </w:r>
                </w:p>
              </w:tc>
              <w:tc>
                <w:tcPr>
                  <w:tcW w:w="930" w:type="pct"/>
                  <w:tcBorders>
                    <w:tl2br w:val="nil"/>
                    <w:tr2bl w:val="nil"/>
                  </w:tcBorders>
                  <w:noWrap w:val="0"/>
                  <w:vAlign w:val="center"/>
                </w:tcPr>
                <w:p w14:paraId="46210CAE">
                  <w:pPr>
                    <w:keepNext/>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是</w:t>
                  </w:r>
                </w:p>
              </w:tc>
              <w:tc>
                <w:tcPr>
                  <w:tcW w:w="2368" w:type="pct"/>
                  <w:tcBorders>
                    <w:tl2br w:val="nil"/>
                    <w:tr2bl w:val="nil"/>
                  </w:tcBorders>
                  <w:noWrap w:val="0"/>
                  <w:vAlign w:val="top"/>
                </w:tcPr>
                <w:p w14:paraId="0A5D3A6B">
                  <w:pPr>
                    <w:keepNext/>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 xml:space="preserve"> 50319.00</w:t>
                  </w:r>
                  <w:r>
                    <w:rPr>
                      <w:rFonts w:hint="default" w:ascii="Times New Roman" w:hAnsi="Times New Roman" w:eastAsia="宋体" w:cs="Times New Roman"/>
                      <w:color w:val="auto"/>
                      <w:sz w:val="21"/>
                      <w:szCs w:val="21"/>
                      <w:highlight w:val="none"/>
                      <w:vertAlign w:val="baseline"/>
                      <w:lang w:val="en-US" w:eastAsia="zh-CN"/>
                    </w:rPr>
                    <w:t>平方米</w:t>
                  </w:r>
                </w:p>
              </w:tc>
            </w:tr>
            <w:tr w14:paraId="28E62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1" w:type="pct"/>
                  <w:tcBorders>
                    <w:tl2br w:val="nil"/>
                    <w:tr2bl w:val="nil"/>
                  </w:tcBorders>
                  <w:noWrap w:val="0"/>
                  <w:vAlign w:val="center"/>
                </w:tcPr>
                <w:p w14:paraId="1507A3F1">
                  <w:pPr>
                    <w:keepNext/>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一般管控单元</w:t>
                  </w:r>
                </w:p>
              </w:tc>
              <w:tc>
                <w:tcPr>
                  <w:tcW w:w="930" w:type="pct"/>
                  <w:tcBorders>
                    <w:tl2br w:val="nil"/>
                    <w:tr2bl w:val="nil"/>
                  </w:tcBorders>
                  <w:noWrap w:val="0"/>
                  <w:vAlign w:val="center"/>
                </w:tcPr>
                <w:p w14:paraId="08BBB0C4">
                  <w:pPr>
                    <w:keepNext/>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否</w:t>
                  </w:r>
                </w:p>
              </w:tc>
              <w:tc>
                <w:tcPr>
                  <w:tcW w:w="2368" w:type="pct"/>
                  <w:tcBorders>
                    <w:tl2br w:val="nil"/>
                    <w:tr2bl w:val="nil"/>
                  </w:tcBorders>
                  <w:noWrap w:val="0"/>
                  <w:vAlign w:val="top"/>
                </w:tcPr>
                <w:p w14:paraId="59F1053A">
                  <w:pPr>
                    <w:keepNext/>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0平方米</w:t>
                  </w:r>
                </w:p>
              </w:tc>
            </w:tr>
          </w:tbl>
          <w:p w14:paraId="202AD8A9">
            <w:pPr>
              <w:pStyle w:val="99"/>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left="0" w:leftChars="0" w:firstLine="480" w:firstLineChars="0"/>
              <w:jc w:val="both"/>
              <w:textAlignment w:val="auto"/>
              <w:outlineLvl w:val="9"/>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一说明：项目涉及的生态环境管控单元准入清单情况说明</w:t>
            </w:r>
          </w:p>
          <w:p w14:paraId="7E23CB55">
            <w:pPr>
              <w:pStyle w:val="99"/>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根据陕西省“三线一单”数据应用管理平台数据分析，项目涉及环境管控单元管控要求如下</w:t>
            </w:r>
            <w:r>
              <w:rPr>
                <w:rFonts w:hint="default" w:ascii="Times New Roman" w:hAnsi="Times New Roman" w:eastAsia="宋体" w:cs="Times New Roman"/>
                <w:color w:val="auto"/>
                <w:kern w:val="2"/>
                <w:sz w:val="24"/>
                <w:szCs w:val="24"/>
                <w:highlight w:val="none"/>
                <w:lang w:val="en-US" w:eastAsia="zh-CN" w:bidi="ar-SA"/>
              </w:rPr>
              <w:t>表1-</w:t>
            </w:r>
            <w:r>
              <w:rPr>
                <w:rFonts w:hint="eastAsia" w:eastAsia="宋体" w:cs="Times New Roman"/>
                <w:color w:val="auto"/>
                <w:kern w:val="2"/>
                <w:sz w:val="24"/>
                <w:szCs w:val="24"/>
                <w:highlight w:val="none"/>
                <w:lang w:val="en-US" w:eastAsia="zh-CN" w:bidi="ar-SA"/>
              </w:rPr>
              <w:t>5所示</w:t>
            </w:r>
            <w:r>
              <w:rPr>
                <w:rFonts w:hint="default" w:ascii="Times New Roman" w:hAnsi="Times New Roman" w:eastAsia="宋体" w:cs="Times New Roman"/>
                <w:color w:val="auto"/>
                <w:kern w:val="2"/>
                <w:sz w:val="24"/>
                <w:szCs w:val="24"/>
                <w:highlight w:val="none"/>
                <w:lang w:val="zh-CN" w:eastAsia="zh-CN" w:bidi="ar-SA"/>
              </w:rPr>
              <w:t>。</w:t>
            </w:r>
          </w:p>
          <w:p w14:paraId="23FD2B96">
            <w:pPr>
              <w:pStyle w:val="85"/>
              <w:bidi w:val="0"/>
              <w:spacing w:line="240" w:lineRule="auto"/>
              <w:rPr>
                <w:rFonts w:hint="eastAsia"/>
                <w:color w:val="auto"/>
                <w:sz w:val="21"/>
                <w:szCs w:val="21"/>
                <w:highlight w:val="none"/>
                <w:lang w:val="en-US" w:eastAsia="zh-CN"/>
              </w:rPr>
            </w:pPr>
            <w:r>
              <w:rPr>
                <w:rFonts w:hint="default"/>
                <w:color w:val="auto"/>
                <w:sz w:val="21"/>
                <w:szCs w:val="21"/>
                <w:highlight w:val="none"/>
              </w:rPr>
              <w:t>表</w:t>
            </w:r>
            <w:r>
              <w:rPr>
                <w:rFonts w:hint="eastAsia"/>
                <w:color w:val="auto"/>
                <w:sz w:val="21"/>
                <w:szCs w:val="21"/>
                <w:highlight w:val="none"/>
                <w:lang w:val="en-US" w:eastAsia="zh-CN"/>
              </w:rPr>
              <w:t>1-5</w:t>
            </w:r>
            <w:r>
              <w:rPr>
                <w:rFonts w:hint="default"/>
                <w:color w:val="auto"/>
                <w:sz w:val="21"/>
                <w:szCs w:val="21"/>
                <w:highlight w:val="none"/>
              </w:rPr>
              <w:t xml:space="preserve">  </w:t>
            </w:r>
            <w:r>
              <w:rPr>
                <w:rFonts w:hint="default"/>
                <w:color w:val="auto"/>
                <w:sz w:val="21"/>
                <w:szCs w:val="21"/>
                <w:highlight w:val="none"/>
                <w:lang w:val="en-US" w:eastAsia="zh-CN"/>
              </w:rPr>
              <w:t xml:space="preserve"> </w:t>
            </w:r>
            <w:r>
              <w:rPr>
                <w:rFonts w:hint="default"/>
                <w:color w:val="auto"/>
                <w:sz w:val="21"/>
                <w:szCs w:val="21"/>
                <w:highlight w:val="none"/>
                <w:lang w:eastAsia="zh-CN"/>
              </w:rPr>
              <w:t>项目</w:t>
            </w:r>
            <w:r>
              <w:rPr>
                <w:rFonts w:hint="default"/>
                <w:color w:val="auto"/>
                <w:sz w:val="21"/>
                <w:szCs w:val="21"/>
                <w:highlight w:val="none"/>
                <w:lang w:val="en-US" w:eastAsia="zh-CN"/>
              </w:rPr>
              <w:t>与</w:t>
            </w:r>
            <w:r>
              <w:rPr>
                <w:rFonts w:hint="eastAsia"/>
                <w:color w:val="auto"/>
                <w:sz w:val="21"/>
                <w:szCs w:val="21"/>
                <w:highlight w:val="none"/>
                <w:lang w:val="en-US" w:eastAsia="zh-CN"/>
              </w:rPr>
              <w:t>所</w:t>
            </w:r>
            <w:r>
              <w:rPr>
                <w:rFonts w:hint="default"/>
                <w:color w:val="auto"/>
                <w:sz w:val="21"/>
                <w:szCs w:val="21"/>
                <w:highlight w:val="none"/>
                <w:lang w:eastAsia="zh-CN"/>
              </w:rPr>
              <w:t>涉及的生态环境管控单元准入清单表</w:t>
            </w:r>
          </w:p>
          <w:tbl>
            <w:tblPr>
              <w:tblStyle w:val="30"/>
              <w:tblW w:w="48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281"/>
              <w:gridCol w:w="524"/>
              <w:gridCol w:w="308"/>
              <w:gridCol w:w="332"/>
              <w:gridCol w:w="434"/>
              <w:gridCol w:w="371"/>
              <w:gridCol w:w="3251"/>
              <w:gridCol w:w="1465"/>
              <w:gridCol w:w="199"/>
              <w:gridCol w:w="739"/>
            </w:tblGrid>
            <w:tr w14:paraId="2DF00C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5000" w:type="pct"/>
                  <w:gridSpan w:val="10"/>
                  <w:tcBorders>
                    <w:tl2br w:val="nil"/>
                    <w:tr2bl w:val="nil"/>
                  </w:tcBorders>
                  <w:noWrap w:val="0"/>
                  <w:vAlign w:val="center"/>
                </w:tcPr>
                <w:p w14:paraId="0C3F4F45">
                  <w:pPr>
                    <w:pStyle w:val="52"/>
                    <w:keepNext w:val="0"/>
                    <w:keepLines w:val="0"/>
                    <w:pageBreakBefore w:val="0"/>
                    <w:kinsoku/>
                    <w:wordWrap/>
                    <w:overflowPunct/>
                    <w:topLinePunct w:val="0"/>
                    <w:bidi w:val="0"/>
                    <w:adjustRightInd/>
                    <w:snapToGrid/>
                    <w:ind w:left="0" w:leftChars="0" w:right="0" w:rightChars="0"/>
                    <w:textAlignment w:val="auto"/>
                    <w:rPr>
                      <w:rFonts w:hint="default"/>
                      <w:color w:val="auto"/>
                      <w:highlight w:val="none"/>
                      <w:lang w:val="en-US" w:eastAsia="zh-CN"/>
                    </w:rPr>
                  </w:pPr>
                  <w:r>
                    <w:rPr>
                      <w:rFonts w:hint="default"/>
                      <w:color w:val="auto"/>
                      <w:highlight w:val="none"/>
                      <w:lang w:val="en-US" w:eastAsia="zh-CN"/>
                    </w:rPr>
                    <w:t>一图</w:t>
                  </w:r>
                </w:p>
              </w:tc>
            </w:tr>
            <w:tr w14:paraId="231602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5000" w:type="pct"/>
                  <w:gridSpan w:val="10"/>
                  <w:tcBorders>
                    <w:tl2br w:val="nil"/>
                    <w:tr2bl w:val="nil"/>
                  </w:tcBorders>
                  <w:noWrap w:val="0"/>
                  <w:vAlign w:val="center"/>
                </w:tcPr>
                <w:p w14:paraId="63369936">
                  <w:pPr>
                    <w:pStyle w:val="52"/>
                    <w:keepNext w:val="0"/>
                    <w:keepLines w:val="0"/>
                    <w:pageBreakBefore w:val="0"/>
                    <w:kinsoku/>
                    <w:wordWrap/>
                    <w:overflowPunct/>
                    <w:topLinePunct w:val="0"/>
                    <w:bidi w:val="0"/>
                    <w:adjustRightInd/>
                    <w:snapToGrid/>
                    <w:ind w:left="0" w:leftChars="0" w:right="0" w:rightChars="0"/>
                    <w:textAlignment w:val="auto"/>
                    <w:rPr>
                      <w:rFonts w:hint="default"/>
                      <w:color w:val="auto"/>
                      <w:highlight w:val="none"/>
                      <w:lang w:val="en-US" w:eastAsia="zh-CN"/>
                    </w:rPr>
                  </w:pPr>
                  <w:r>
                    <w:drawing>
                      <wp:inline distT="0" distB="0" distL="114300" distR="114300">
                        <wp:extent cx="4981575" cy="3020060"/>
                        <wp:effectExtent l="0" t="0" r="9525" b="8890"/>
                        <wp:docPr id="1"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6"/>
                                <pic:cNvPicPr>
                                  <a:picLocks noChangeAspect="1"/>
                                </pic:cNvPicPr>
                              </pic:nvPicPr>
                              <pic:blipFill>
                                <a:blip r:embed="rId16"/>
                                <a:stretch>
                                  <a:fillRect/>
                                </a:stretch>
                              </pic:blipFill>
                              <pic:spPr>
                                <a:xfrm>
                                  <a:off x="0" y="0"/>
                                  <a:ext cx="4981575" cy="3020060"/>
                                </a:xfrm>
                                <a:prstGeom prst="rect">
                                  <a:avLst/>
                                </a:prstGeom>
                                <a:noFill/>
                                <a:ln>
                                  <a:noFill/>
                                </a:ln>
                              </pic:spPr>
                            </pic:pic>
                          </a:graphicData>
                        </a:graphic>
                      </wp:inline>
                    </w:drawing>
                  </w:r>
                </w:p>
              </w:tc>
            </w:tr>
            <w:tr w14:paraId="37BE4D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5000" w:type="pct"/>
                  <w:gridSpan w:val="10"/>
                  <w:tcBorders>
                    <w:tl2br w:val="nil"/>
                    <w:tr2bl w:val="nil"/>
                  </w:tcBorders>
                  <w:noWrap w:val="0"/>
                  <w:vAlign w:val="center"/>
                </w:tcPr>
                <w:p w14:paraId="13207656">
                  <w:pPr>
                    <w:keepNext w:val="0"/>
                    <w:keepLines w:val="0"/>
                    <w:pageBreakBefore w:val="0"/>
                    <w:widowControl w:val="0"/>
                    <w:kinsoku/>
                    <w:wordWrap/>
                    <w:overflowPunct/>
                    <w:topLinePunct w:val="0"/>
                    <w:autoSpaceDE w:val="0"/>
                    <w:autoSpaceDN w:val="0"/>
                    <w:bidi w:val="0"/>
                    <w:adjustRightInd/>
                    <w:snapToGrid/>
                    <w:spacing w:line="240" w:lineRule="auto"/>
                    <w:ind w:left="0" w:leftChars="0" w:right="120" w:rightChars="50" w:firstLine="0" w:firstLineChars="0"/>
                    <w:jc w:val="center"/>
                    <w:textAlignment w:val="auto"/>
                    <w:outlineLvl w:val="9"/>
                  </w:pPr>
                  <w:r>
                    <w:rPr>
                      <w:rFonts w:hint="default" w:ascii="Times New Roman" w:hAnsi="Times New Roman" w:eastAsia="宋体" w:cs="Times New Roman"/>
                      <w:b/>
                      <w:bCs/>
                      <w:color w:val="auto"/>
                      <w:sz w:val="21"/>
                      <w:szCs w:val="21"/>
                      <w:highlight w:val="none"/>
                      <w:lang w:val="en-US" w:eastAsia="zh-CN"/>
                    </w:rPr>
                    <w:t>图1-1  本项目与陕西省“三线一单”生态环境管控单元</w:t>
                  </w:r>
                  <w:r>
                    <w:rPr>
                      <w:rFonts w:hint="eastAsia" w:ascii="Times New Roman" w:hAnsi="Times New Roman" w:eastAsia="宋体" w:cs="Times New Roman"/>
                      <w:b/>
                      <w:bCs/>
                      <w:color w:val="auto"/>
                      <w:sz w:val="21"/>
                      <w:szCs w:val="21"/>
                      <w:highlight w:val="none"/>
                      <w:lang w:val="en-US" w:eastAsia="zh-CN"/>
                    </w:rPr>
                    <w:t>分</w:t>
                  </w:r>
                  <w:r>
                    <w:rPr>
                      <w:rFonts w:hint="default" w:ascii="Times New Roman" w:hAnsi="Times New Roman" w:eastAsia="宋体" w:cs="Times New Roman"/>
                      <w:b/>
                      <w:bCs/>
                      <w:color w:val="auto"/>
                      <w:sz w:val="21"/>
                      <w:szCs w:val="21"/>
                      <w:highlight w:val="none"/>
                      <w:lang w:val="en-US" w:eastAsia="zh-CN"/>
                    </w:rPr>
                    <w:t>布位置关系图（制图单位：陕西省“三线一单”数据应用系统（V1.0））</w:t>
                  </w:r>
                </w:p>
              </w:tc>
            </w:tr>
            <w:tr w14:paraId="30C9AF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5000" w:type="pct"/>
                  <w:gridSpan w:val="10"/>
                  <w:tcBorders>
                    <w:tl2br w:val="nil"/>
                    <w:tr2bl w:val="nil"/>
                  </w:tcBorders>
                  <w:noWrap w:val="0"/>
                  <w:vAlign w:val="center"/>
                </w:tcPr>
                <w:p w14:paraId="67C7F374">
                  <w:pPr>
                    <w:pStyle w:val="52"/>
                    <w:keepNext w:val="0"/>
                    <w:keepLines w:val="0"/>
                    <w:pageBreakBefore w:val="0"/>
                    <w:kinsoku/>
                    <w:wordWrap/>
                    <w:overflowPunct/>
                    <w:topLinePunct w:val="0"/>
                    <w:bidi w:val="0"/>
                    <w:adjustRightInd/>
                    <w:snapToGrid/>
                    <w:ind w:left="0" w:leftChars="0" w:right="0" w:rightChars="0"/>
                    <w:textAlignment w:val="auto"/>
                    <w:rPr>
                      <w:rFonts w:hint="default"/>
                      <w:color w:val="auto"/>
                      <w:highlight w:val="none"/>
                    </w:rPr>
                  </w:pPr>
                  <w:r>
                    <w:rPr>
                      <w:rFonts w:hint="default"/>
                      <w:color w:val="auto"/>
                      <w:highlight w:val="none"/>
                      <w:lang w:val="en-US" w:eastAsia="zh-CN"/>
                    </w:rPr>
                    <w:t>一表</w:t>
                  </w:r>
                </w:p>
              </w:tc>
            </w:tr>
            <w:tr w14:paraId="274333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2278" w:hRule="atLeast"/>
                <w:jc w:val="center"/>
              </w:trPr>
              <w:tc>
                <w:tcPr>
                  <w:tcW w:w="177" w:type="pct"/>
                  <w:tcBorders>
                    <w:tl2br w:val="nil"/>
                    <w:tr2bl w:val="nil"/>
                  </w:tcBorders>
                  <w:noWrap w:val="0"/>
                  <w:vAlign w:val="center"/>
                </w:tcPr>
                <w:p w14:paraId="2B74E1FC">
                  <w:pPr>
                    <w:pStyle w:val="52"/>
                    <w:keepNext w:val="0"/>
                    <w:keepLines w:val="0"/>
                    <w:pageBreakBefore w:val="0"/>
                    <w:kinsoku/>
                    <w:wordWrap/>
                    <w:overflowPunct/>
                    <w:topLinePunct w:val="0"/>
                    <w:bidi w:val="0"/>
                    <w:adjustRightInd/>
                    <w:snapToGrid/>
                    <w:ind w:left="0" w:leftChars="0" w:right="0" w:rightChars="0"/>
                    <w:textAlignment w:val="auto"/>
                    <w:rPr>
                      <w:rFonts w:hint="default"/>
                      <w:b/>
                      <w:bCs w:val="0"/>
                      <w:color w:val="auto"/>
                      <w:highlight w:val="none"/>
                      <w:lang w:val="en-US" w:eastAsia="zh-CN"/>
                    </w:rPr>
                  </w:pPr>
                  <w:r>
                    <w:rPr>
                      <w:rFonts w:hint="default"/>
                      <w:b/>
                      <w:bCs w:val="0"/>
                      <w:color w:val="auto"/>
                      <w:highlight w:val="none"/>
                    </w:rPr>
                    <w:t>序号</w:t>
                  </w:r>
                </w:p>
              </w:tc>
              <w:tc>
                <w:tcPr>
                  <w:tcW w:w="331" w:type="pct"/>
                  <w:tcBorders>
                    <w:tl2br w:val="nil"/>
                    <w:tr2bl w:val="nil"/>
                  </w:tcBorders>
                  <w:noWrap w:val="0"/>
                  <w:vAlign w:val="center"/>
                </w:tcPr>
                <w:p w14:paraId="17A94FD2">
                  <w:pPr>
                    <w:pStyle w:val="52"/>
                    <w:keepNext w:val="0"/>
                    <w:keepLines w:val="0"/>
                    <w:pageBreakBefore w:val="0"/>
                    <w:kinsoku/>
                    <w:wordWrap/>
                    <w:overflowPunct/>
                    <w:topLinePunct w:val="0"/>
                    <w:bidi w:val="0"/>
                    <w:adjustRightInd/>
                    <w:snapToGrid/>
                    <w:ind w:left="0" w:leftChars="0" w:right="0" w:rightChars="0"/>
                    <w:textAlignment w:val="auto"/>
                    <w:rPr>
                      <w:rFonts w:hint="default"/>
                      <w:b/>
                      <w:bCs w:val="0"/>
                      <w:color w:val="auto"/>
                      <w:highlight w:val="none"/>
                    </w:rPr>
                  </w:pPr>
                  <w:r>
                    <w:rPr>
                      <w:rFonts w:hint="default"/>
                      <w:b/>
                      <w:bCs w:val="0"/>
                      <w:color w:val="auto"/>
                      <w:highlight w:val="none"/>
                    </w:rPr>
                    <w:t>环境管控</w:t>
                  </w:r>
                </w:p>
                <w:p w14:paraId="73463005">
                  <w:pPr>
                    <w:pStyle w:val="52"/>
                    <w:keepNext w:val="0"/>
                    <w:keepLines w:val="0"/>
                    <w:pageBreakBefore w:val="0"/>
                    <w:kinsoku/>
                    <w:wordWrap/>
                    <w:overflowPunct/>
                    <w:topLinePunct w:val="0"/>
                    <w:bidi w:val="0"/>
                    <w:adjustRightInd/>
                    <w:snapToGrid/>
                    <w:ind w:left="0" w:leftChars="0" w:right="0" w:rightChars="0"/>
                    <w:textAlignment w:val="auto"/>
                    <w:rPr>
                      <w:rFonts w:hint="default"/>
                      <w:b/>
                      <w:bCs w:val="0"/>
                      <w:color w:val="auto"/>
                      <w:highlight w:val="none"/>
                    </w:rPr>
                  </w:pPr>
                  <w:r>
                    <w:rPr>
                      <w:rFonts w:hint="default"/>
                      <w:b/>
                      <w:bCs w:val="0"/>
                      <w:color w:val="auto"/>
                      <w:highlight w:val="none"/>
                    </w:rPr>
                    <w:t>单元</w:t>
                  </w:r>
                </w:p>
                <w:p w14:paraId="7FE93CFC">
                  <w:pPr>
                    <w:pStyle w:val="52"/>
                    <w:keepNext w:val="0"/>
                    <w:keepLines w:val="0"/>
                    <w:pageBreakBefore w:val="0"/>
                    <w:kinsoku/>
                    <w:wordWrap/>
                    <w:overflowPunct/>
                    <w:topLinePunct w:val="0"/>
                    <w:bidi w:val="0"/>
                    <w:adjustRightInd/>
                    <w:snapToGrid/>
                    <w:ind w:left="0" w:leftChars="0" w:right="0" w:rightChars="0"/>
                    <w:textAlignment w:val="auto"/>
                    <w:rPr>
                      <w:rFonts w:hint="default"/>
                      <w:b/>
                      <w:bCs w:val="0"/>
                      <w:color w:val="auto"/>
                      <w:highlight w:val="none"/>
                      <w:lang w:val="en-US" w:eastAsia="zh-CN"/>
                    </w:rPr>
                  </w:pPr>
                  <w:r>
                    <w:rPr>
                      <w:rFonts w:hint="default"/>
                      <w:b/>
                      <w:bCs w:val="0"/>
                      <w:color w:val="auto"/>
                      <w:highlight w:val="none"/>
                    </w:rPr>
                    <w:t>名称</w:t>
                  </w:r>
                </w:p>
              </w:tc>
              <w:tc>
                <w:tcPr>
                  <w:tcW w:w="194" w:type="pct"/>
                  <w:tcBorders>
                    <w:tl2br w:val="nil"/>
                    <w:tr2bl w:val="nil"/>
                  </w:tcBorders>
                  <w:noWrap w:val="0"/>
                  <w:vAlign w:val="center"/>
                </w:tcPr>
                <w:p w14:paraId="1BEE5C96">
                  <w:pPr>
                    <w:pStyle w:val="52"/>
                    <w:keepNext w:val="0"/>
                    <w:keepLines w:val="0"/>
                    <w:pageBreakBefore w:val="0"/>
                    <w:kinsoku/>
                    <w:wordWrap/>
                    <w:overflowPunct/>
                    <w:topLinePunct w:val="0"/>
                    <w:bidi w:val="0"/>
                    <w:adjustRightInd/>
                    <w:snapToGrid/>
                    <w:ind w:left="0" w:leftChars="0" w:right="0" w:rightChars="0"/>
                    <w:textAlignment w:val="auto"/>
                    <w:rPr>
                      <w:rFonts w:hint="default"/>
                      <w:b/>
                      <w:bCs w:val="0"/>
                      <w:color w:val="auto"/>
                      <w:highlight w:val="none"/>
                      <w:lang w:val="en-US" w:eastAsia="zh-CN"/>
                    </w:rPr>
                  </w:pPr>
                  <w:r>
                    <w:rPr>
                      <w:rFonts w:hint="default"/>
                      <w:b/>
                      <w:bCs w:val="0"/>
                      <w:color w:val="auto"/>
                      <w:highlight w:val="none"/>
                    </w:rPr>
                    <w:t>区县</w:t>
                  </w:r>
                </w:p>
              </w:tc>
              <w:tc>
                <w:tcPr>
                  <w:tcW w:w="210" w:type="pct"/>
                  <w:tcBorders>
                    <w:tl2br w:val="nil"/>
                    <w:tr2bl w:val="nil"/>
                  </w:tcBorders>
                  <w:noWrap w:val="0"/>
                  <w:vAlign w:val="center"/>
                </w:tcPr>
                <w:p w14:paraId="3867BC00">
                  <w:pPr>
                    <w:pStyle w:val="52"/>
                    <w:keepNext w:val="0"/>
                    <w:keepLines w:val="0"/>
                    <w:pageBreakBefore w:val="0"/>
                    <w:kinsoku/>
                    <w:wordWrap/>
                    <w:overflowPunct/>
                    <w:topLinePunct w:val="0"/>
                    <w:bidi w:val="0"/>
                    <w:adjustRightInd/>
                    <w:snapToGrid/>
                    <w:ind w:left="0" w:leftChars="0" w:right="0" w:rightChars="0"/>
                    <w:textAlignment w:val="auto"/>
                    <w:rPr>
                      <w:rFonts w:hint="default"/>
                      <w:b/>
                      <w:bCs w:val="0"/>
                      <w:color w:val="auto"/>
                      <w:highlight w:val="none"/>
                      <w:lang w:val="en-US" w:eastAsia="zh-CN"/>
                    </w:rPr>
                  </w:pPr>
                  <w:r>
                    <w:rPr>
                      <w:rFonts w:hint="default"/>
                      <w:b/>
                      <w:bCs w:val="0"/>
                      <w:color w:val="auto"/>
                      <w:highlight w:val="none"/>
                    </w:rPr>
                    <w:t>市</w:t>
                  </w:r>
                  <w:r>
                    <w:rPr>
                      <w:rFonts w:hint="default"/>
                      <w:b/>
                      <w:bCs w:val="0"/>
                      <w:color w:val="auto"/>
                      <w:highlight w:val="none"/>
                      <w:lang w:eastAsia="zh-CN"/>
                    </w:rPr>
                    <w:t>（</w:t>
                  </w:r>
                  <w:r>
                    <w:rPr>
                      <w:rFonts w:hint="default"/>
                      <w:b/>
                      <w:bCs w:val="0"/>
                      <w:color w:val="auto"/>
                      <w:highlight w:val="none"/>
                    </w:rPr>
                    <w:t>区</w:t>
                  </w:r>
                  <w:r>
                    <w:rPr>
                      <w:rFonts w:hint="default"/>
                      <w:b/>
                      <w:bCs w:val="0"/>
                      <w:color w:val="auto"/>
                      <w:highlight w:val="none"/>
                      <w:lang w:eastAsia="zh-CN"/>
                    </w:rPr>
                    <w:t>）</w:t>
                  </w:r>
                </w:p>
              </w:tc>
              <w:tc>
                <w:tcPr>
                  <w:tcW w:w="274" w:type="pct"/>
                  <w:tcBorders>
                    <w:tl2br w:val="nil"/>
                    <w:tr2bl w:val="nil"/>
                  </w:tcBorders>
                  <w:noWrap w:val="0"/>
                  <w:vAlign w:val="center"/>
                </w:tcPr>
                <w:p w14:paraId="599DC5E7">
                  <w:pPr>
                    <w:pStyle w:val="52"/>
                    <w:keepNext w:val="0"/>
                    <w:keepLines w:val="0"/>
                    <w:pageBreakBefore w:val="0"/>
                    <w:kinsoku/>
                    <w:wordWrap/>
                    <w:overflowPunct/>
                    <w:topLinePunct w:val="0"/>
                    <w:bidi w:val="0"/>
                    <w:adjustRightInd/>
                    <w:snapToGrid/>
                    <w:ind w:left="0" w:leftChars="0" w:right="0" w:rightChars="0"/>
                    <w:textAlignment w:val="auto"/>
                    <w:rPr>
                      <w:rFonts w:hint="default"/>
                      <w:b/>
                      <w:bCs w:val="0"/>
                      <w:color w:val="auto"/>
                      <w:highlight w:val="none"/>
                    </w:rPr>
                  </w:pPr>
                  <w:r>
                    <w:rPr>
                      <w:rFonts w:hint="default"/>
                      <w:b/>
                      <w:bCs w:val="0"/>
                      <w:color w:val="auto"/>
                      <w:highlight w:val="none"/>
                    </w:rPr>
                    <w:t>单元要素</w:t>
                  </w:r>
                </w:p>
                <w:p w14:paraId="1421D1FD">
                  <w:pPr>
                    <w:pStyle w:val="52"/>
                    <w:keepNext w:val="0"/>
                    <w:keepLines w:val="0"/>
                    <w:pageBreakBefore w:val="0"/>
                    <w:kinsoku/>
                    <w:wordWrap/>
                    <w:overflowPunct/>
                    <w:topLinePunct w:val="0"/>
                    <w:bidi w:val="0"/>
                    <w:adjustRightInd/>
                    <w:snapToGrid/>
                    <w:ind w:left="0" w:leftChars="0" w:right="0" w:rightChars="0"/>
                    <w:textAlignment w:val="auto"/>
                    <w:rPr>
                      <w:rFonts w:hint="default"/>
                      <w:b/>
                      <w:bCs w:val="0"/>
                      <w:color w:val="auto"/>
                      <w:highlight w:val="none"/>
                      <w:lang w:val="en-US" w:eastAsia="zh-CN"/>
                    </w:rPr>
                  </w:pPr>
                  <w:r>
                    <w:rPr>
                      <w:rFonts w:hint="default"/>
                      <w:b/>
                      <w:bCs w:val="0"/>
                      <w:color w:val="auto"/>
                      <w:highlight w:val="none"/>
                    </w:rPr>
                    <w:t>属性</w:t>
                  </w:r>
                </w:p>
              </w:tc>
              <w:tc>
                <w:tcPr>
                  <w:tcW w:w="234" w:type="pct"/>
                  <w:tcBorders>
                    <w:tl2br w:val="nil"/>
                    <w:tr2bl w:val="nil"/>
                  </w:tcBorders>
                  <w:noWrap w:val="0"/>
                  <w:vAlign w:val="center"/>
                </w:tcPr>
                <w:p w14:paraId="752B79AD">
                  <w:pPr>
                    <w:pStyle w:val="52"/>
                    <w:keepNext w:val="0"/>
                    <w:keepLines w:val="0"/>
                    <w:pageBreakBefore w:val="0"/>
                    <w:kinsoku/>
                    <w:wordWrap/>
                    <w:overflowPunct/>
                    <w:topLinePunct w:val="0"/>
                    <w:bidi w:val="0"/>
                    <w:adjustRightInd/>
                    <w:snapToGrid/>
                    <w:ind w:left="0" w:leftChars="0" w:right="0" w:rightChars="0"/>
                    <w:textAlignment w:val="auto"/>
                    <w:rPr>
                      <w:rFonts w:hint="default"/>
                      <w:b/>
                      <w:bCs w:val="0"/>
                      <w:color w:val="auto"/>
                      <w:highlight w:val="none"/>
                      <w:lang w:val="en-US" w:eastAsia="zh-CN"/>
                    </w:rPr>
                  </w:pPr>
                  <w:r>
                    <w:rPr>
                      <w:rFonts w:hint="default"/>
                      <w:b/>
                      <w:bCs w:val="0"/>
                      <w:color w:val="auto"/>
                      <w:highlight w:val="none"/>
                    </w:rPr>
                    <w:t>管控要求分类</w:t>
                  </w:r>
                </w:p>
              </w:tc>
              <w:tc>
                <w:tcPr>
                  <w:tcW w:w="2056" w:type="pct"/>
                  <w:tcBorders>
                    <w:tl2br w:val="nil"/>
                    <w:tr2bl w:val="nil"/>
                  </w:tcBorders>
                  <w:noWrap w:val="0"/>
                  <w:vAlign w:val="center"/>
                </w:tcPr>
                <w:p w14:paraId="0CBE04D0">
                  <w:pPr>
                    <w:pStyle w:val="52"/>
                    <w:keepNext w:val="0"/>
                    <w:keepLines w:val="0"/>
                    <w:pageBreakBefore w:val="0"/>
                    <w:kinsoku/>
                    <w:wordWrap/>
                    <w:overflowPunct/>
                    <w:topLinePunct w:val="0"/>
                    <w:bidi w:val="0"/>
                    <w:adjustRightInd/>
                    <w:snapToGrid/>
                    <w:ind w:left="0" w:leftChars="0" w:right="0" w:rightChars="0"/>
                    <w:textAlignment w:val="auto"/>
                    <w:rPr>
                      <w:rFonts w:hint="default"/>
                      <w:b/>
                      <w:bCs w:val="0"/>
                      <w:color w:val="auto"/>
                      <w:highlight w:val="none"/>
                      <w:lang w:val="en-US" w:eastAsia="zh-CN"/>
                    </w:rPr>
                  </w:pPr>
                  <w:r>
                    <w:rPr>
                      <w:rFonts w:hint="default"/>
                      <w:b/>
                      <w:bCs w:val="0"/>
                      <w:color w:val="auto"/>
                      <w:highlight w:val="none"/>
                    </w:rPr>
                    <w:t>管控要求</w:t>
                  </w:r>
                </w:p>
              </w:tc>
              <w:tc>
                <w:tcPr>
                  <w:tcW w:w="1052" w:type="pct"/>
                  <w:gridSpan w:val="2"/>
                  <w:tcBorders>
                    <w:tl2br w:val="nil"/>
                    <w:tr2bl w:val="nil"/>
                  </w:tcBorders>
                  <w:noWrap w:val="0"/>
                  <w:vAlign w:val="center"/>
                </w:tcPr>
                <w:p w14:paraId="2B8A4BFA">
                  <w:pPr>
                    <w:pStyle w:val="52"/>
                    <w:keepNext w:val="0"/>
                    <w:keepLines w:val="0"/>
                    <w:pageBreakBefore w:val="0"/>
                    <w:kinsoku/>
                    <w:wordWrap/>
                    <w:overflowPunct/>
                    <w:topLinePunct w:val="0"/>
                    <w:bidi w:val="0"/>
                    <w:adjustRightInd/>
                    <w:snapToGrid/>
                    <w:ind w:left="0" w:leftChars="0" w:right="0" w:rightChars="0"/>
                    <w:textAlignment w:val="auto"/>
                    <w:rPr>
                      <w:rFonts w:hint="default"/>
                      <w:b/>
                      <w:bCs w:val="0"/>
                      <w:color w:val="auto"/>
                      <w:highlight w:val="none"/>
                      <w:lang w:val="en-US" w:eastAsia="zh-CN"/>
                    </w:rPr>
                  </w:pPr>
                  <w:r>
                    <w:rPr>
                      <w:rFonts w:hint="default"/>
                      <w:b/>
                      <w:bCs w:val="0"/>
                      <w:color w:val="auto"/>
                      <w:highlight w:val="none"/>
                      <w:lang w:val="en-US" w:eastAsia="zh-CN"/>
                    </w:rPr>
                    <w:t>本项目情况</w:t>
                  </w:r>
                </w:p>
              </w:tc>
              <w:tc>
                <w:tcPr>
                  <w:tcW w:w="467" w:type="pct"/>
                  <w:tcBorders>
                    <w:tl2br w:val="nil"/>
                    <w:tr2bl w:val="nil"/>
                  </w:tcBorders>
                  <w:noWrap w:val="0"/>
                  <w:vAlign w:val="center"/>
                </w:tcPr>
                <w:p w14:paraId="79ACDC84">
                  <w:pPr>
                    <w:pStyle w:val="52"/>
                    <w:keepNext w:val="0"/>
                    <w:keepLines w:val="0"/>
                    <w:pageBreakBefore w:val="0"/>
                    <w:kinsoku/>
                    <w:wordWrap/>
                    <w:overflowPunct/>
                    <w:topLinePunct w:val="0"/>
                    <w:bidi w:val="0"/>
                    <w:adjustRightInd/>
                    <w:snapToGrid/>
                    <w:ind w:left="0" w:leftChars="0" w:right="0" w:rightChars="0"/>
                    <w:textAlignment w:val="auto"/>
                    <w:rPr>
                      <w:rFonts w:hint="default"/>
                      <w:b/>
                      <w:bCs w:val="0"/>
                      <w:color w:val="auto"/>
                      <w:highlight w:val="none"/>
                      <w:lang w:val="en-US" w:eastAsia="zh-CN"/>
                    </w:rPr>
                  </w:pPr>
                  <w:r>
                    <w:rPr>
                      <w:rFonts w:hint="default"/>
                      <w:b/>
                      <w:bCs w:val="0"/>
                      <w:color w:val="auto"/>
                      <w:highlight w:val="none"/>
                    </w:rPr>
                    <w:t>相符性</w:t>
                  </w:r>
                </w:p>
              </w:tc>
            </w:tr>
            <w:tr w14:paraId="215812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177" w:type="pct"/>
                  <w:vMerge w:val="restart"/>
                  <w:tcBorders>
                    <w:tl2br w:val="nil"/>
                    <w:tr2bl w:val="nil"/>
                  </w:tcBorders>
                  <w:noWrap w:val="0"/>
                  <w:vAlign w:val="center"/>
                </w:tcPr>
                <w:p w14:paraId="36F8031C">
                  <w:pPr>
                    <w:pStyle w:val="52"/>
                    <w:keepNext w:val="0"/>
                    <w:keepLines w:val="0"/>
                    <w:pageBreakBefore w:val="0"/>
                    <w:kinsoku/>
                    <w:wordWrap/>
                    <w:overflowPunct/>
                    <w:topLinePunct w:val="0"/>
                    <w:bidi w:val="0"/>
                    <w:adjustRightInd/>
                    <w:snapToGrid/>
                    <w:ind w:left="0" w:leftChars="0" w:right="0" w:rightChars="0"/>
                    <w:textAlignment w:val="auto"/>
                    <w:rPr>
                      <w:rFonts w:hint="eastAsia"/>
                      <w:color w:val="auto"/>
                      <w:highlight w:val="none"/>
                      <w:lang w:val="en-US" w:eastAsia="zh-CN"/>
                    </w:rPr>
                  </w:pPr>
                  <w:r>
                    <w:rPr>
                      <w:rFonts w:hint="eastAsia"/>
                      <w:color w:val="auto"/>
                      <w:highlight w:val="none"/>
                      <w:lang w:val="en-US" w:eastAsia="zh-CN"/>
                    </w:rPr>
                    <w:t>1</w:t>
                  </w:r>
                </w:p>
              </w:tc>
              <w:tc>
                <w:tcPr>
                  <w:tcW w:w="331" w:type="pct"/>
                  <w:vMerge w:val="restart"/>
                  <w:tcBorders>
                    <w:tl2br w:val="nil"/>
                    <w:tr2bl w:val="nil"/>
                  </w:tcBorders>
                  <w:noWrap w:val="0"/>
                  <w:vAlign w:val="center"/>
                </w:tcPr>
                <w:p w14:paraId="66A212DA">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陕西省凤翔高新技术产业开发区</w:t>
                  </w:r>
                </w:p>
              </w:tc>
              <w:tc>
                <w:tcPr>
                  <w:tcW w:w="194" w:type="pct"/>
                  <w:vMerge w:val="restart"/>
                  <w:tcBorders>
                    <w:tl2br w:val="nil"/>
                    <w:tr2bl w:val="nil"/>
                  </w:tcBorders>
                  <w:noWrap w:val="0"/>
                  <w:vAlign w:val="center"/>
                </w:tcPr>
                <w:p w14:paraId="51E13865">
                  <w:pPr>
                    <w:keepNext w:val="0"/>
                    <w:keepLines w:val="0"/>
                    <w:pageBreakBefore w:val="0"/>
                    <w:widowControl/>
                    <w:suppressLineNumbers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宝鸡市</w:t>
                  </w:r>
                </w:p>
              </w:tc>
              <w:tc>
                <w:tcPr>
                  <w:tcW w:w="210" w:type="pct"/>
                  <w:vMerge w:val="restart"/>
                  <w:tcBorders>
                    <w:tl2br w:val="nil"/>
                    <w:tr2bl w:val="nil"/>
                  </w:tcBorders>
                  <w:noWrap w:val="0"/>
                  <w:vAlign w:val="center"/>
                </w:tcPr>
                <w:p w14:paraId="0E4F7AFC">
                  <w:pPr>
                    <w:pStyle w:val="52"/>
                    <w:keepNext w:val="0"/>
                    <w:keepLines w:val="0"/>
                    <w:pageBreakBefore w:val="0"/>
                    <w:kinsoku/>
                    <w:wordWrap/>
                    <w:overflowPunct/>
                    <w:topLinePunct w:val="0"/>
                    <w:bidi w:val="0"/>
                    <w:adjustRightInd/>
                    <w:snapToGrid/>
                    <w:ind w:left="0" w:leftChars="0" w:right="0" w:rightChars="0"/>
                    <w:textAlignment w:val="auto"/>
                    <w:rPr>
                      <w:rFonts w:hint="eastAsia"/>
                      <w:color w:val="auto"/>
                      <w:highlight w:val="none"/>
                      <w:lang w:val="en-US" w:eastAsia="zh-CN"/>
                    </w:rPr>
                  </w:pPr>
                  <w:r>
                    <w:rPr>
                      <w:rFonts w:hint="eastAsia"/>
                      <w:color w:val="auto"/>
                      <w:highlight w:val="none"/>
                      <w:lang w:val="en-US" w:eastAsia="zh-CN"/>
                    </w:rPr>
                    <w:t>凤翔区</w:t>
                  </w:r>
                </w:p>
              </w:tc>
              <w:tc>
                <w:tcPr>
                  <w:tcW w:w="274" w:type="pct"/>
                  <w:vMerge w:val="restart"/>
                  <w:tcBorders>
                    <w:tl2br w:val="nil"/>
                    <w:tr2bl w:val="nil"/>
                  </w:tcBorders>
                  <w:noWrap w:val="0"/>
                  <w:vAlign w:val="center"/>
                </w:tcPr>
                <w:p w14:paraId="06E8F80F">
                  <w:pPr>
                    <w:pStyle w:val="52"/>
                    <w:keepNext w:val="0"/>
                    <w:keepLines w:val="0"/>
                    <w:pageBreakBefore w:val="0"/>
                    <w:kinsoku/>
                    <w:wordWrap/>
                    <w:overflowPunct/>
                    <w:topLinePunct w:val="0"/>
                    <w:bidi w:val="0"/>
                    <w:adjustRightInd/>
                    <w:snapToGrid/>
                    <w:ind w:left="0" w:leftChars="0" w:right="0" w:right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大气</w:t>
                  </w:r>
                </w:p>
                <w:p w14:paraId="4D26B551">
                  <w:pPr>
                    <w:pStyle w:val="52"/>
                    <w:keepNext w:val="0"/>
                    <w:keepLines w:val="0"/>
                    <w:pageBreakBefore w:val="0"/>
                    <w:kinsoku/>
                    <w:wordWrap/>
                    <w:overflowPunct/>
                    <w:topLinePunct w:val="0"/>
                    <w:bidi w:val="0"/>
                    <w:adjustRightInd/>
                    <w:snapToGrid/>
                    <w:ind w:left="0" w:leftChars="0" w:right="0" w:right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环境</w:t>
                  </w:r>
                </w:p>
                <w:p w14:paraId="7B7E4333">
                  <w:pPr>
                    <w:pStyle w:val="52"/>
                    <w:keepNext w:val="0"/>
                    <w:keepLines w:val="0"/>
                    <w:pageBreakBefore w:val="0"/>
                    <w:kinsoku/>
                    <w:wordWrap/>
                    <w:overflowPunct/>
                    <w:topLinePunct w:val="0"/>
                    <w:bidi w:val="0"/>
                    <w:adjustRightInd/>
                    <w:snapToGrid/>
                    <w:ind w:left="0" w:leftChars="0" w:right="0" w:right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高</w:t>
                  </w:r>
                </w:p>
                <w:p w14:paraId="2E435818">
                  <w:pPr>
                    <w:pStyle w:val="52"/>
                    <w:keepNext w:val="0"/>
                    <w:keepLines w:val="0"/>
                    <w:pageBreakBefore w:val="0"/>
                    <w:kinsoku/>
                    <w:wordWrap/>
                    <w:overflowPunct/>
                    <w:topLinePunct w:val="0"/>
                    <w:bidi w:val="0"/>
                    <w:adjustRightInd/>
                    <w:snapToGrid/>
                    <w:ind w:left="0" w:leftChars="0" w:right="0" w:right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排</w:t>
                  </w:r>
                </w:p>
                <w:p w14:paraId="707281AD">
                  <w:pPr>
                    <w:pStyle w:val="52"/>
                    <w:keepNext w:val="0"/>
                    <w:keepLines w:val="0"/>
                    <w:pageBreakBefore w:val="0"/>
                    <w:kinsoku/>
                    <w:wordWrap/>
                    <w:overflowPunct/>
                    <w:topLinePunct w:val="0"/>
                    <w:bidi w:val="0"/>
                    <w:adjustRightInd/>
                    <w:snapToGrid/>
                    <w:ind w:left="0" w:leftChars="0" w:right="0" w:right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放重</w:t>
                  </w:r>
                </w:p>
                <w:p w14:paraId="1487B771">
                  <w:pPr>
                    <w:pStyle w:val="52"/>
                    <w:keepNext w:val="0"/>
                    <w:keepLines w:val="0"/>
                    <w:pageBreakBefore w:val="0"/>
                    <w:kinsoku/>
                    <w:wordWrap/>
                    <w:overflowPunct/>
                    <w:topLinePunct w:val="0"/>
                    <w:bidi w:val="0"/>
                    <w:adjustRightInd/>
                    <w:snapToGrid/>
                    <w:ind w:left="0" w:leftChars="0" w:right="0" w:right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点 管</w:t>
                  </w:r>
                </w:p>
                <w:p w14:paraId="5C163A1B">
                  <w:pPr>
                    <w:pStyle w:val="52"/>
                    <w:keepNext w:val="0"/>
                    <w:keepLines w:val="0"/>
                    <w:pageBreakBefore w:val="0"/>
                    <w:kinsoku/>
                    <w:wordWrap/>
                    <w:overflowPunct/>
                    <w:topLinePunct w:val="0"/>
                    <w:bidi w:val="0"/>
                    <w:adjustRightInd/>
                    <w:snapToGrid/>
                    <w:ind w:left="0" w:leftChars="0" w:right="0" w:right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控区、</w:t>
                  </w:r>
                </w:p>
                <w:p w14:paraId="2F877BE1">
                  <w:pPr>
                    <w:pStyle w:val="52"/>
                    <w:keepNext w:val="0"/>
                    <w:keepLines w:val="0"/>
                    <w:pageBreakBefore w:val="0"/>
                    <w:kinsoku/>
                    <w:wordWrap/>
                    <w:overflowPunct/>
                    <w:topLinePunct w:val="0"/>
                    <w:bidi w:val="0"/>
                    <w:adjustRightInd/>
                    <w:snapToGrid/>
                    <w:ind w:left="0" w:leftChars="0" w:right="0" w:right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土 地</w:t>
                  </w:r>
                </w:p>
                <w:p w14:paraId="1BCEF05A">
                  <w:pPr>
                    <w:pStyle w:val="52"/>
                    <w:keepNext w:val="0"/>
                    <w:keepLines w:val="0"/>
                    <w:pageBreakBefore w:val="0"/>
                    <w:kinsoku/>
                    <w:wordWrap/>
                    <w:overflowPunct/>
                    <w:topLinePunct w:val="0"/>
                    <w:bidi w:val="0"/>
                    <w:adjustRightInd/>
                    <w:snapToGrid/>
                    <w:ind w:left="0" w:leftChars="0" w:right="0" w:right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资</w:t>
                  </w:r>
                  <w:r>
                    <w:rPr>
                      <w:rFonts w:hint="eastAsia" w:cs="Times New Roman"/>
                      <w:color w:val="auto"/>
                      <w:highlight w:val="none"/>
                      <w:lang w:val="en-US" w:eastAsia="zh-CN"/>
                    </w:rPr>
                    <w:t>源</w:t>
                  </w:r>
                  <w:r>
                    <w:rPr>
                      <w:rFonts w:hint="eastAsia" w:ascii="Times New Roman" w:hAnsi="Times New Roman" w:eastAsia="宋体" w:cs="Times New Roman"/>
                      <w:color w:val="auto"/>
                      <w:highlight w:val="none"/>
                      <w:lang w:val="en-US" w:eastAsia="zh-CN"/>
                    </w:rPr>
                    <w:t>重点管控区、陕</w:t>
                  </w:r>
                </w:p>
                <w:p w14:paraId="40144601">
                  <w:pPr>
                    <w:pStyle w:val="52"/>
                    <w:keepNext w:val="0"/>
                    <w:keepLines w:val="0"/>
                    <w:pageBreakBefore w:val="0"/>
                    <w:kinsoku/>
                    <w:wordWrap/>
                    <w:overflowPunct/>
                    <w:topLinePunct w:val="0"/>
                    <w:bidi w:val="0"/>
                    <w:adjustRightInd/>
                    <w:snapToGrid/>
                    <w:ind w:left="0" w:leftChars="0" w:right="0" w:right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西 省</w:t>
                  </w:r>
                </w:p>
                <w:p w14:paraId="3D5096B9">
                  <w:pPr>
                    <w:pStyle w:val="52"/>
                    <w:keepNext w:val="0"/>
                    <w:keepLines w:val="0"/>
                    <w:pageBreakBefore w:val="0"/>
                    <w:kinsoku/>
                    <w:wordWrap/>
                    <w:overflowPunct/>
                    <w:topLinePunct w:val="0"/>
                    <w:bidi w:val="0"/>
                    <w:adjustRightInd/>
                    <w:snapToGrid/>
                    <w:ind w:left="0" w:leftChars="0" w:right="0" w:right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 w:val="21"/>
                      <w:szCs w:val="21"/>
                      <w:lang w:val="en-US" w:eastAsia="zh-CN"/>
                    </w:rPr>
                    <w:t>凤翔高新技术产业开发区</w:t>
                  </w:r>
                </w:p>
              </w:tc>
              <w:tc>
                <w:tcPr>
                  <w:tcW w:w="234" w:type="pct"/>
                  <w:tcBorders>
                    <w:tl2br w:val="nil"/>
                    <w:tr2bl w:val="nil"/>
                  </w:tcBorders>
                  <w:noWrap w:val="0"/>
                  <w:vAlign w:val="center"/>
                </w:tcPr>
                <w:p w14:paraId="03405DF6">
                  <w:pPr>
                    <w:pStyle w:val="52"/>
                    <w:keepNext w:val="0"/>
                    <w:keepLines w:val="0"/>
                    <w:pageBreakBefore w:val="0"/>
                    <w:kinsoku/>
                    <w:wordWrap/>
                    <w:overflowPunct/>
                    <w:topLinePunct w:val="0"/>
                    <w:bidi w:val="0"/>
                    <w:adjustRightInd/>
                    <w:snapToGrid/>
                    <w:ind w:left="0" w:leftChars="0" w:right="0" w:rightChars="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空间布局约束</w:t>
                  </w:r>
                </w:p>
              </w:tc>
              <w:tc>
                <w:tcPr>
                  <w:tcW w:w="2056" w:type="pct"/>
                  <w:tcBorders>
                    <w:tl2br w:val="nil"/>
                    <w:tr2bl w:val="nil"/>
                  </w:tcBorders>
                  <w:noWrap w:val="0"/>
                  <w:vAlign w:val="center"/>
                </w:tcPr>
                <w:p w14:paraId="187B32DD">
                  <w:pPr>
                    <w:pStyle w:val="52"/>
                    <w:keepNext w:val="0"/>
                    <w:keepLines w:val="0"/>
                    <w:pageBreakBefore w:val="0"/>
                    <w:numPr>
                      <w:ilvl w:val="0"/>
                      <w:numId w:val="0"/>
                    </w:numPr>
                    <w:kinsoku/>
                    <w:wordWrap/>
                    <w:overflowPunct/>
                    <w:topLinePunct w:val="0"/>
                    <w:bidi w:val="0"/>
                    <w:adjustRightInd/>
                    <w:snapToGrid/>
                    <w:ind w:left="0" w:leftChars="0" w:right="0" w:rightChars="0"/>
                    <w:jc w:val="both"/>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大气环境高排放重点管控区：1.调整结构强化领域绿色低碳发展。2.严禁新增钢铁、焦化、水泥熟料、平板玻璃、电解铝、氧化铝、煤化工产能，合理控制煤制油气产能规模，严控新增炼油产能。推动水泥、焦化行业开展全流程超低排放改造。3.推动传统产业绿色转型升级。采用先进节能低碳环保技术改造提升传统产业，提高清洁生产和污染治理水平。重点发展新能源、新材料、生物技术和新医药、节能环保等战略性新兴产业，引导战略性新兴产业与现有产业融合发展。陕西省凤翔高新技术产业开发区1.严格按照园区规划的各功能区发展方向和要求，对区内项目进行把关。禁止建设区包括基本农田保护区、水源保护区、自然保护区的核心区、风景名胜区及森林公园的核心区、山林绿化区坡度大的地区以及高新区范围内的交通运输通道控制带。限制建设区包括风景名胜区、森林公园的控制区；自然保护区外围的控制区；一般农田地区，山林绿化区坡度较小的地区、重要生态廊道区等。2.执行宝鸡市生态环境要素分区总体准入清单中</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5.1大气环境受体敏感重点管控区的空间布局约束”；3.执行宝鸡市生态环境要素分区总体准入清单中”5.2大气环境高排放重点管控区的空间布局约束”；4.执行宝鸡市生态环境要素分区总体准入清单中”5.5水环境工业污染重点管控区的空间布局约束”；5.执行宝鸡市生态环境要素分区总体准入清单中”5.8农用地污染风险重点管控区的空间布局约束”：6.执行宝鸡市生态环境要素分区总体准入清单中”5.9建设用地污染风险重点管控区的空间布局约束”；7.农用地优先保护区执行宝鸡市生态环境要素分区总体准入清单中”4.2农用地优先保护区的空间布局约束”。</w:t>
                  </w:r>
                </w:p>
              </w:tc>
              <w:tc>
                <w:tcPr>
                  <w:tcW w:w="1052" w:type="pct"/>
                  <w:gridSpan w:val="2"/>
                  <w:tcBorders>
                    <w:tl2br w:val="nil"/>
                    <w:tr2bl w:val="nil"/>
                  </w:tcBorders>
                  <w:noWrap w:val="0"/>
                  <w:vAlign w:val="center"/>
                </w:tcPr>
                <w:p w14:paraId="2906CCFC">
                  <w:pPr>
                    <w:pStyle w:val="52"/>
                    <w:keepNext w:val="0"/>
                    <w:keepLines w:val="0"/>
                    <w:pageBreakBefore w:val="0"/>
                    <w:kinsoku/>
                    <w:wordWrap/>
                    <w:overflowPunct/>
                    <w:topLinePunct w:val="0"/>
                    <w:bidi w:val="0"/>
                    <w:adjustRightInd/>
                    <w:snapToGrid/>
                    <w:ind w:left="0" w:leftChars="0" w:right="0" w:rightChars="0"/>
                    <w:jc w:val="both"/>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大气环境布局敏感重点管控区：本项目位于</w:t>
                  </w:r>
                  <w:r>
                    <w:rPr>
                      <w:rFonts w:hint="eastAsia" w:ascii="Times New Roman" w:hAnsi="Times New Roman" w:eastAsia="宋体" w:cs="Times New Roman"/>
                      <w:color w:val="auto"/>
                      <w:sz w:val="21"/>
                      <w:szCs w:val="21"/>
                      <w:lang w:val="en-US" w:eastAsia="zh-CN"/>
                    </w:rPr>
                    <w:t>陕西省凤翔高新技术产业开发区</w:t>
                  </w:r>
                  <w:r>
                    <w:rPr>
                      <w:rFonts w:hint="default" w:ascii="Times New Roman" w:hAnsi="Times New Roman" w:cs="Times New Roman"/>
                      <w:color w:val="auto"/>
                      <w:sz w:val="21"/>
                      <w:szCs w:val="21"/>
                      <w:lang w:eastAsia="zh-CN"/>
                    </w:rPr>
                    <w:t>长青工业园</w:t>
                  </w:r>
                  <w:r>
                    <w:rPr>
                      <w:rFonts w:hint="eastAsia" w:ascii="Times New Roman" w:hAnsi="Times New Roman" w:eastAsia="宋体" w:cs="宋体"/>
                      <w:color w:val="auto"/>
                      <w:highlight w:val="none"/>
                      <w:lang w:val="en-US" w:eastAsia="zh-CN"/>
                    </w:rPr>
                    <w:t>，属于重点管控单元，不涉及优先保护单元和一般管控单元。</w:t>
                  </w:r>
                </w:p>
                <w:p w14:paraId="19A3E9A9">
                  <w:pPr>
                    <w:pStyle w:val="52"/>
                    <w:keepNext w:val="0"/>
                    <w:keepLines w:val="0"/>
                    <w:pageBreakBefore w:val="0"/>
                    <w:numPr>
                      <w:ilvl w:val="0"/>
                      <w:numId w:val="0"/>
                    </w:numPr>
                    <w:kinsoku/>
                    <w:wordWrap/>
                    <w:overflowPunct/>
                    <w:topLinePunct w:val="0"/>
                    <w:bidi w:val="0"/>
                    <w:adjustRightInd/>
                    <w:snapToGrid/>
                    <w:ind w:left="0" w:leftChars="0" w:right="0" w:rightChars="0"/>
                    <w:jc w:val="both"/>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1.本项目不属于《陕西省”两高”项目管理暂行目录》</w:t>
                  </w:r>
                  <w:r>
                    <w:rPr>
                      <w:rFonts w:hint="eastAsia" w:cs="宋体"/>
                      <w:color w:val="auto"/>
                      <w:highlight w:val="none"/>
                      <w:lang w:val="en-US" w:eastAsia="zh-CN"/>
                    </w:rPr>
                    <w:t>中的</w:t>
                  </w:r>
                  <w:r>
                    <w:rPr>
                      <w:rFonts w:hint="eastAsia" w:ascii="Times New Roman" w:hAnsi="Times New Roman" w:eastAsia="宋体" w:cs="宋体"/>
                      <w:color w:val="auto"/>
                      <w:highlight w:val="none"/>
                      <w:lang w:val="en-US" w:eastAsia="zh-CN"/>
                    </w:rPr>
                    <w:t>行业项目。</w:t>
                  </w:r>
                </w:p>
                <w:p w14:paraId="3F4D7687">
                  <w:pPr>
                    <w:pStyle w:val="52"/>
                    <w:keepNext w:val="0"/>
                    <w:keepLines w:val="0"/>
                    <w:pageBreakBefore w:val="0"/>
                    <w:numPr>
                      <w:ilvl w:val="0"/>
                      <w:numId w:val="0"/>
                    </w:numPr>
                    <w:kinsoku/>
                    <w:wordWrap/>
                    <w:overflowPunct/>
                    <w:topLinePunct w:val="0"/>
                    <w:bidi w:val="0"/>
                    <w:adjustRightInd/>
                    <w:snapToGrid/>
                    <w:ind w:left="0" w:leftChars="0" w:right="0" w:rightChars="0"/>
                    <w:jc w:val="both"/>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2.本项目不涉及钢铁、焦化、水泥熟料、平板玻璃、电解铝、氧化铝、煤化工产能。</w:t>
                  </w:r>
                </w:p>
                <w:p w14:paraId="491E3D08">
                  <w:pPr>
                    <w:pStyle w:val="52"/>
                    <w:keepNext w:val="0"/>
                    <w:keepLines w:val="0"/>
                    <w:pageBreakBefore w:val="0"/>
                    <w:numPr>
                      <w:ilvl w:val="0"/>
                      <w:numId w:val="0"/>
                    </w:numPr>
                    <w:kinsoku/>
                    <w:wordWrap/>
                    <w:overflowPunct/>
                    <w:topLinePunct w:val="0"/>
                    <w:bidi w:val="0"/>
                    <w:adjustRightInd/>
                    <w:snapToGrid/>
                    <w:ind w:left="0" w:leftChars="0" w:right="0" w:rightChars="0" w:firstLine="0" w:firstLineChars="0"/>
                    <w:jc w:val="both"/>
                    <w:textAlignment w:val="auto"/>
                    <w:rPr>
                      <w:rFonts w:hint="default" w:ascii="Times New Roman" w:hAnsi="Times New Roman" w:eastAsia="宋体" w:cs="宋体"/>
                      <w:bCs/>
                      <w:color w:val="auto"/>
                      <w:kern w:val="0"/>
                      <w:sz w:val="21"/>
                      <w:szCs w:val="21"/>
                      <w:highlight w:val="none"/>
                      <w:lang w:val="en-US" w:eastAsia="zh-CN" w:bidi="ar-SA"/>
                    </w:rPr>
                  </w:pPr>
                  <w:r>
                    <w:rPr>
                      <w:rFonts w:hint="default" w:ascii="Times New Roman" w:hAnsi="Times New Roman" w:eastAsia="宋体" w:cs="宋体"/>
                      <w:color w:val="auto"/>
                      <w:highlight w:val="none"/>
                      <w:lang w:val="en-US" w:eastAsia="zh-CN"/>
                    </w:rPr>
                    <w:t>3.</w:t>
                  </w:r>
                  <w:r>
                    <w:rPr>
                      <w:rFonts w:hint="eastAsia" w:ascii="Times New Roman" w:hAnsi="Times New Roman" w:eastAsia="宋体" w:cs="宋体"/>
                      <w:color w:val="auto"/>
                      <w:highlight w:val="none"/>
                      <w:lang w:val="en-US" w:eastAsia="zh-CN"/>
                    </w:rPr>
                    <w:t>本项目不属于重污染企业。</w:t>
                  </w:r>
                </w:p>
              </w:tc>
              <w:tc>
                <w:tcPr>
                  <w:tcW w:w="467" w:type="pct"/>
                  <w:tcBorders>
                    <w:tl2br w:val="nil"/>
                    <w:tr2bl w:val="nil"/>
                  </w:tcBorders>
                  <w:noWrap w:val="0"/>
                  <w:vAlign w:val="center"/>
                </w:tcPr>
                <w:p w14:paraId="32AF53C7">
                  <w:pPr>
                    <w:pStyle w:val="52"/>
                    <w:keepNext w:val="0"/>
                    <w:keepLines w:val="0"/>
                    <w:pageBreakBefore w:val="0"/>
                    <w:kinsoku/>
                    <w:wordWrap/>
                    <w:overflowPunct/>
                    <w:topLinePunct w:val="0"/>
                    <w:bidi w:val="0"/>
                    <w:adjustRightInd/>
                    <w:snapToGrid/>
                    <w:ind w:left="0" w:leftChars="0" w:right="0" w:rightChars="0"/>
                    <w:textAlignment w:val="auto"/>
                    <w:rPr>
                      <w:rFonts w:hint="default" w:ascii="Times New Roman" w:hAnsi="Times New Roman" w:eastAsia="宋体" w:cs="宋体"/>
                      <w:color w:val="auto"/>
                      <w:highlight w:val="none"/>
                      <w:lang w:val="en-US" w:eastAsia="zh-CN"/>
                    </w:rPr>
                  </w:pPr>
                  <w:r>
                    <w:rPr>
                      <w:rFonts w:hint="default" w:ascii="Times New Roman" w:hAnsi="Times New Roman" w:eastAsia="宋体" w:cs="宋体"/>
                      <w:color w:val="auto"/>
                      <w:highlight w:val="none"/>
                      <w:lang w:val="en-US" w:eastAsia="zh-CN"/>
                    </w:rPr>
                    <w:t>符合</w:t>
                  </w:r>
                </w:p>
              </w:tc>
            </w:tr>
            <w:tr w14:paraId="6E132E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177" w:type="pct"/>
                  <w:vMerge w:val="continue"/>
                  <w:tcBorders>
                    <w:tl2br w:val="nil"/>
                    <w:tr2bl w:val="nil"/>
                  </w:tcBorders>
                  <w:noWrap w:val="0"/>
                  <w:vAlign w:val="center"/>
                </w:tcPr>
                <w:p w14:paraId="19FF7E47">
                  <w:pPr>
                    <w:pStyle w:val="52"/>
                    <w:keepNext w:val="0"/>
                    <w:keepLines w:val="0"/>
                    <w:pageBreakBefore w:val="0"/>
                    <w:kinsoku/>
                    <w:wordWrap/>
                    <w:overflowPunct/>
                    <w:topLinePunct w:val="0"/>
                    <w:bidi w:val="0"/>
                    <w:adjustRightInd/>
                    <w:snapToGrid/>
                    <w:ind w:left="0" w:leftChars="0" w:right="0" w:rightChars="0"/>
                    <w:textAlignment w:val="auto"/>
                    <w:rPr>
                      <w:rFonts w:hint="eastAsia"/>
                      <w:color w:val="auto"/>
                      <w:highlight w:val="none"/>
                      <w:lang w:val="en-US" w:eastAsia="zh-CN"/>
                    </w:rPr>
                  </w:pPr>
                </w:p>
              </w:tc>
              <w:tc>
                <w:tcPr>
                  <w:tcW w:w="331" w:type="pct"/>
                  <w:vMerge w:val="continue"/>
                  <w:tcBorders>
                    <w:tl2br w:val="nil"/>
                    <w:tr2bl w:val="nil"/>
                  </w:tcBorders>
                  <w:noWrap w:val="0"/>
                  <w:vAlign w:val="center"/>
                </w:tcPr>
                <w:p w14:paraId="2BA1E8E5">
                  <w:pPr>
                    <w:pStyle w:val="52"/>
                    <w:keepNext w:val="0"/>
                    <w:keepLines w:val="0"/>
                    <w:pageBreakBefore w:val="0"/>
                    <w:kinsoku/>
                    <w:wordWrap/>
                    <w:overflowPunct/>
                    <w:topLinePunct w:val="0"/>
                    <w:bidi w:val="0"/>
                    <w:adjustRightInd/>
                    <w:snapToGrid/>
                    <w:ind w:left="0" w:leftChars="0" w:right="0" w:rightChars="0"/>
                    <w:textAlignment w:val="auto"/>
                    <w:rPr>
                      <w:rFonts w:hint="default"/>
                      <w:color w:val="auto"/>
                      <w:highlight w:val="none"/>
                    </w:rPr>
                  </w:pPr>
                </w:p>
              </w:tc>
              <w:tc>
                <w:tcPr>
                  <w:tcW w:w="194" w:type="pct"/>
                  <w:vMerge w:val="continue"/>
                  <w:tcBorders>
                    <w:tl2br w:val="nil"/>
                    <w:tr2bl w:val="nil"/>
                  </w:tcBorders>
                  <w:noWrap w:val="0"/>
                  <w:vAlign w:val="center"/>
                </w:tcPr>
                <w:p w14:paraId="0E3B4E3B">
                  <w:pPr>
                    <w:pStyle w:val="52"/>
                    <w:keepNext w:val="0"/>
                    <w:keepLines w:val="0"/>
                    <w:pageBreakBefore w:val="0"/>
                    <w:kinsoku/>
                    <w:wordWrap/>
                    <w:overflowPunct/>
                    <w:topLinePunct w:val="0"/>
                    <w:bidi w:val="0"/>
                    <w:adjustRightInd/>
                    <w:snapToGrid/>
                    <w:ind w:left="0" w:leftChars="0" w:right="0" w:rightChars="0"/>
                    <w:textAlignment w:val="auto"/>
                    <w:rPr>
                      <w:rFonts w:hint="eastAsia"/>
                      <w:color w:val="auto"/>
                      <w:highlight w:val="none"/>
                      <w:lang w:val="en-US" w:eastAsia="zh-CN"/>
                    </w:rPr>
                  </w:pPr>
                </w:p>
              </w:tc>
              <w:tc>
                <w:tcPr>
                  <w:tcW w:w="210" w:type="pct"/>
                  <w:vMerge w:val="continue"/>
                  <w:tcBorders>
                    <w:tl2br w:val="nil"/>
                    <w:tr2bl w:val="nil"/>
                  </w:tcBorders>
                  <w:noWrap w:val="0"/>
                  <w:vAlign w:val="center"/>
                </w:tcPr>
                <w:p w14:paraId="0A38A31B">
                  <w:pPr>
                    <w:pStyle w:val="52"/>
                    <w:keepNext w:val="0"/>
                    <w:keepLines w:val="0"/>
                    <w:pageBreakBefore w:val="0"/>
                    <w:kinsoku/>
                    <w:wordWrap/>
                    <w:overflowPunct/>
                    <w:topLinePunct w:val="0"/>
                    <w:bidi w:val="0"/>
                    <w:adjustRightInd/>
                    <w:snapToGrid/>
                    <w:ind w:left="0" w:leftChars="0" w:right="0" w:rightChars="0"/>
                    <w:textAlignment w:val="auto"/>
                    <w:rPr>
                      <w:rFonts w:hint="eastAsia"/>
                      <w:color w:val="auto"/>
                      <w:highlight w:val="none"/>
                      <w:lang w:val="en-US" w:eastAsia="zh-CN"/>
                    </w:rPr>
                  </w:pPr>
                </w:p>
              </w:tc>
              <w:tc>
                <w:tcPr>
                  <w:tcW w:w="274" w:type="pct"/>
                  <w:vMerge w:val="continue"/>
                  <w:tcBorders>
                    <w:tl2br w:val="nil"/>
                    <w:tr2bl w:val="nil"/>
                  </w:tcBorders>
                  <w:noWrap w:val="0"/>
                  <w:vAlign w:val="center"/>
                </w:tcPr>
                <w:p w14:paraId="22E9F141">
                  <w:pPr>
                    <w:pStyle w:val="52"/>
                    <w:keepNext w:val="0"/>
                    <w:keepLines w:val="0"/>
                    <w:pageBreakBefore w:val="0"/>
                    <w:kinsoku/>
                    <w:wordWrap/>
                    <w:overflowPunct/>
                    <w:topLinePunct w:val="0"/>
                    <w:bidi w:val="0"/>
                    <w:adjustRightInd/>
                    <w:snapToGrid/>
                    <w:ind w:left="0" w:leftChars="0" w:right="0" w:rightChars="0"/>
                    <w:textAlignment w:val="auto"/>
                    <w:rPr>
                      <w:rFonts w:hint="default" w:ascii="Times New Roman" w:hAnsi="Times New Roman" w:eastAsia="宋体" w:cs="宋体"/>
                      <w:bCs/>
                      <w:color w:val="auto"/>
                      <w:kern w:val="0"/>
                      <w:sz w:val="21"/>
                      <w:szCs w:val="21"/>
                      <w:highlight w:val="none"/>
                      <w:lang w:val="en-US" w:eastAsia="zh-CN" w:bidi="ar-SA"/>
                    </w:rPr>
                  </w:pPr>
                </w:p>
              </w:tc>
              <w:tc>
                <w:tcPr>
                  <w:tcW w:w="234" w:type="pct"/>
                  <w:tcBorders>
                    <w:tl2br w:val="nil"/>
                    <w:tr2bl w:val="nil"/>
                  </w:tcBorders>
                  <w:noWrap w:val="0"/>
                  <w:vAlign w:val="center"/>
                </w:tcPr>
                <w:p w14:paraId="25A2E854">
                  <w:pPr>
                    <w:pStyle w:val="52"/>
                    <w:keepNext w:val="0"/>
                    <w:keepLines w:val="0"/>
                    <w:pageBreakBefore w:val="0"/>
                    <w:kinsoku/>
                    <w:wordWrap/>
                    <w:overflowPunct/>
                    <w:topLinePunct w:val="0"/>
                    <w:bidi w:val="0"/>
                    <w:adjustRightInd/>
                    <w:snapToGrid/>
                    <w:ind w:left="0" w:leftChars="0" w:right="0" w:rightChars="0"/>
                    <w:textAlignment w:val="auto"/>
                    <w:rPr>
                      <w:rFonts w:hint="eastAsia" w:ascii="Times New Roman" w:hAnsi="Times New Roman" w:eastAsia="宋体" w:cs="宋体"/>
                      <w:bCs/>
                      <w:color w:val="auto"/>
                      <w:kern w:val="0"/>
                      <w:sz w:val="21"/>
                      <w:szCs w:val="21"/>
                      <w:highlight w:val="none"/>
                      <w:lang w:val="en-US" w:eastAsia="zh-CN" w:bidi="ar-SA"/>
                    </w:rPr>
                  </w:pPr>
                  <w:r>
                    <w:rPr>
                      <w:rFonts w:hint="eastAsia" w:ascii="Times New Roman" w:hAnsi="Times New Roman" w:eastAsia="宋体" w:cs="宋体"/>
                      <w:bCs/>
                      <w:color w:val="auto"/>
                      <w:kern w:val="0"/>
                      <w:sz w:val="21"/>
                      <w:szCs w:val="21"/>
                      <w:highlight w:val="none"/>
                      <w:lang w:val="en-US" w:eastAsia="zh-CN" w:bidi="ar-SA"/>
                    </w:rPr>
                    <w:t>污染物排放管控</w:t>
                  </w:r>
                </w:p>
              </w:tc>
              <w:tc>
                <w:tcPr>
                  <w:tcW w:w="2056" w:type="pct"/>
                  <w:tcBorders>
                    <w:tl2br w:val="nil"/>
                    <w:tr2bl w:val="nil"/>
                  </w:tcBorders>
                  <w:noWrap w:val="0"/>
                  <w:vAlign w:val="center"/>
                </w:tcPr>
                <w:p w14:paraId="171A4809">
                  <w:pPr>
                    <w:pStyle w:val="52"/>
                    <w:keepNext w:val="0"/>
                    <w:keepLines w:val="0"/>
                    <w:pageBreakBefore w:val="0"/>
                    <w:numPr>
                      <w:ilvl w:val="0"/>
                      <w:numId w:val="0"/>
                    </w:numPr>
                    <w:kinsoku/>
                    <w:wordWrap/>
                    <w:overflowPunct/>
                    <w:topLinePunct w:val="0"/>
                    <w:bidi w:val="0"/>
                    <w:adjustRightInd/>
                    <w:snapToGrid/>
                    <w:ind w:left="0" w:leftChars="0" w:right="0" w:rightChars="0"/>
                    <w:jc w:val="both"/>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大气环境高排放重点管控区：1.实施重点行业氮氧化物等污染物深度治理。持续推进钢铁企业超低排放改造，探索研究开展焦化、水泥行业超低排放改造，推进玻璃、陶瓷、铸造、铁合金、有色等行业污染深度治理。加强自备燃煤机组污染治理设施运行管控，确保超低排放运行。严格控制焦化、水泥、砖瓦、石灰、耐火材料、有色金属冶炼等行业物料储存、输送及生产工艺过程中无组织排放。推动平板玻璃、建筑陶瓷等行业取消烟气旁路，因安全生产无法取消的，按要求安装监管装置，加强监管。2.在工业园区、企业集群推广建设涉挥发性有机物”绿岛”项目在工业涂装和包装印刷等行业全面推进源头替代，严格落实国家和地方产品挥发性有机物含量限值质量标准。3.持续实施重点行业提标改造降低电力、水泥、玻璃、石油、化工、有色金属、纺织印染、建材等行业大气污染排放。4.强化挥发性有机污染物（VOCs）治理。综合治理石化、化工、工业涂装、包装印刷、油品储运销、工业园区和产业集群等六大重点行业VOCs，全面推动企业VOCs治理设施升级改造。陕西省凤翔高新技术产业开发区1.工业废水处理达标率100%；园区污水处理率285%；固体废物处理率100%；酿酒废水产生量s24m3/k；建立高新区喷雾压尘系统，使高新区大气中的总悬浮颗粒物浓度有所下降。2.执行宝鸡市生态环境要素分区总体准入清单中”5.1大气环境受体敏感重点管控区的污染物排放管控”：3.执行宝鸡市生态环境要素分区总体准入清单中”5.2大气环境高排放重点管控区的污染物排放管控”；4.执行宝鸡市生态环境要素分区总体准入清单中”5.5水环境工业污染重点管控区的污染物排放管控”：5.执行宝鸡市生态环境要素分区总体准入清单中”5.8农用地污染风险重点管控区的污染物排放管控”。</w:t>
                  </w:r>
                </w:p>
              </w:tc>
              <w:tc>
                <w:tcPr>
                  <w:tcW w:w="1052" w:type="pct"/>
                  <w:gridSpan w:val="2"/>
                  <w:tcBorders>
                    <w:tl2br w:val="nil"/>
                    <w:tr2bl w:val="nil"/>
                  </w:tcBorders>
                  <w:noWrap w:val="0"/>
                  <w:vAlign w:val="center"/>
                </w:tcPr>
                <w:p w14:paraId="14C70B1A">
                  <w:pPr>
                    <w:pStyle w:val="52"/>
                    <w:keepNext w:val="0"/>
                    <w:keepLines w:val="0"/>
                    <w:pageBreakBefore w:val="0"/>
                    <w:numPr>
                      <w:ilvl w:val="0"/>
                      <w:numId w:val="0"/>
                    </w:numPr>
                    <w:kinsoku/>
                    <w:wordWrap/>
                    <w:overflowPunct/>
                    <w:topLinePunct w:val="0"/>
                    <w:bidi w:val="0"/>
                    <w:adjustRightInd/>
                    <w:snapToGrid/>
                    <w:ind w:left="0" w:leftChars="0" w:right="0" w:rightChars="0"/>
                    <w:jc w:val="both"/>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大气环境布局敏感重点管控区：</w:t>
                  </w:r>
                </w:p>
                <w:p w14:paraId="01B5AB8D">
                  <w:pPr>
                    <w:pStyle w:val="52"/>
                    <w:keepNext w:val="0"/>
                    <w:keepLines w:val="0"/>
                    <w:pageBreakBefore w:val="0"/>
                    <w:numPr>
                      <w:ilvl w:val="0"/>
                      <w:numId w:val="0"/>
                    </w:numPr>
                    <w:kinsoku/>
                    <w:wordWrap/>
                    <w:overflowPunct/>
                    <w:topLinePunct w:val="0"/>
                    <w:bidi w:val="0"/>
                    <w:adjustRightInd/>
                    <w:snapToGrid/>
                    <w:ind w:left="0" w:leftChars="0" w:right="0" w:rightChars="0"/>
                    <w:jc w:val="both"/>
                    <w:textAlignment w:val="auto"/>
                    <w:rPr>
                      <w:rFonts w:hint="default" w:ascii="Times New Roman" w:hAnsi="Times New Roman" w:eastAsia="宋体" w:cs="宋体"/>
                      <w:bCs/>
                      <w:color w:val="auto"/>
                      <w:kern w:val="0"/>
                      <w:sz w:val="21"/>
                      <w:szCs w:val="21"/>
                      <w:highlight w:val="none"/>
                      <w:lang w:val="en-US" w:eastAsia="zh-CN" w:bidi="ar-SA"/>
                    </w:rPr>
                  </w:pPr>
                  <w:r>
                    <w:rPr>
                      <w:rFonts w:hint="eastAsia" w:ascii="Times New Roman" w:hAnsi="Times New Roman" w:eastAsia="宋体" w:cs="宋体"/>
                      <w:color w:val="auto"/>
                      <w:highlight w:val="none"/>
                      <w:lang w:val="en-US" w:eastAsia="zh-CN"/>
                    </w:rPr>
                    <w:t>本项目为迁建项目，位于凤翔县长青工业园区（化工园区），</w:t>
                  </w:r>
                  <w:r>
                    <w:rPr>
                      <w:rFonts w:hint="default" w:ascii="Times New Roman" w:hAnsi="Times New Roman" w:cs="Times New Roman"/>
                      <w:color w:val="auto"/>
                      <w:spacing w:val="0"/>
                      <w:kern w:val="0"/>
                      <w:sz w:val="21"/>
                      <w:szCs w:val="21"/>
                      <w:highlight w:val="none"/>
                      <w:lang w:val="en-US" w:eastAsia="zh-CN"/>
                    </w:rPr>
                    <w:t>符合园区规划和规划环评要求。</w:t>
                  </w:r>
                  <w:r>
                    <w:rPr>
                      <w:rFonts w:hint="eastAsia" w:ascii="Times New Roman" w:hAnsi="Times New Roman" w:cs="Times New Roman"/>
                      <w:color w:val="auto"/>
                      <w:spacing w:val="0"/>
                      <w:kern w:val="0"/>
                      <w:sz w:val="21"/>
                      <w:szCs w:val="21"/>
                      <w:highlight w:val="none"/>
                      <w:lang w:val="en-US" w:eastAsia="zh-CN"/>
                    </w:rPr>
                    <w:t>项目</w:t>
                  </w:r>
                  <w:r>
                    <w:rPr>
                      <w:rFonts w:hint="eastAsia" w:ascii="Times New Roman" w:hAnsi="Times New Roman" w:eastAsia="宋体" w:cs="宋体"/>
                      <w:color w:val="auto"/>
                      <w:highlight w:val="none"/>
                      <w:lang w:val="en-US" w:eastAsia="zh-CN"/>
                    </w:rPr>
                    <w:t>不涉及NOx、VOCs等</w:t>
                  </w:r>
                  <w:r>
                    <w:rPr>
                      <w:rFonts w:hint="default"/>
                      <w:color w:val="auto"/>
                      <w:lang w:val="en-US" w:eastAsia="zh-CN"/>
                    </w:rPr>
                    <w:t>本项目不涉及大气污染物排放。</w:t>
                  </w:r>
                  <w:r>
                    <w:rPr>
                      <w:rFonts w:hint="eastAsia" w:ascii="Times New Roman" w:hAnsi="Times New Roman" w:cs="Times New Roman"/>
                      <w:color w:val="auto"/>
                      <w:sz w:val="21"/>
                      <w:szCs w:val="21"/>
                      <w:lang w:val="en-US" w:eastAsia="zh-CN"/>
                    </w:rPr>
                    <w:t>项目生产废水仅为设备冷却循环水排污水</w:t>
                  </w:r>
                  <w:r>
                    <w:rPr>
                      <w:rFonts w:hint="eastAsia" w:cs="Times New Roman"/>
                      <w:color w:val="auto"/>
                      <w:sz w:val="21"/>
                      <w:szCs w:val="21"/>
                      <w:lang w:val="en-US" w:eastAsia="zh-CN"/>
                    </w:rPr>
                    <w:t>，排入园区污水管线后进入长青工业园</w:t>
                  </w:r>
                  <w:r>
                    <w:rPr>
                      <w:rFonts w:hint="eastAsia" w:ascii="Times New Roman" w:hAnsi="Times New Roman" w:cs="Times New Roman"/>
                      <w:color w:val="auto"/>
                      <w:sz w:val="21"/>
                      <w:szCs w:val="21"/>
                      <w:lang w:val="en-US" w:eastAsia="zh-CN"/>
                    </w:rPr>
                    <w:t>污水处理厂（宝鸡天龙污水处理有限公司）处理。</w:t>
                  </w:r>
                </w:p>
              </w:tc>
              <w:tc>
                <w:tcPr>
                  <w:tcW w:w="467" w:type="pct"/>
                  <w:tcBorders>
                    <w:tl2br w:val="nil"/>
                    <w:tr2bl w:val="nil"/>
                  </w:tcBorders>
                  <w:noWrap w:val="0"/>
                  <w:vAlign w:val="center"/>
                </w:tcPr>
                <w:p w14:paraId="603369C8">
                  <w:pPr>
                    <w:pStyle w:val="52"/>
                    <w:keepNext w:val="0"/>
                    <w:keepLines w:val="0"/>
                    <w:pageBreakBefore w:val="0"/>
                    <w:kinsoku/>
                    <w:wordWrap/>
                    <w:overflowPunct/>
                    <w:topLinePunct w:val="0"/>
                    <w:bidi w:val="0"/>
                    <w:adjustRightInd/>
                    <w:snapToGrid/>
                    <w:ind w:left="0" w:leftChars="0" w:right="0" w:rightChars="0" w:firstLine="0" w:firstLineChars="0"/>
                    <w:textAlignment w:val="auto"/>
                    <w:rPr>
                      <w:rFonts w:hint="default" w:ascii="Times New Roman" w:hAnsi="Times New Roman" w:eastAsia="宋体" w:cs="宋体"/>
                      <w:bCs/>
                      <w:color w:val="auto"/>
                      <w:kern w:val="0"/>
                      <w:sz w:val="21"/>
                      <w:szCs w:val="21"/>
                      <w:highlight w:val="none"/>
                      <w:lang w:val="en-US" w:eastAsia="zh-CN" w:bidi="zh-CN"/>
                    </w:rPr>
                  </w:pPr>
                  <w:r>
                    <w:rPr>
                      <w:rFonts w:hint="default"/>
                      <w:color w:val="auto"/>
                      <w:highlight w:val="none"/>
                      <w:lang w:val="en-US" w:eastAsia="zh-CN"/>
                    </w:rPr>
                    <w:t>符合</w:t>
                  </w:r>
                </w:p>
              </w:tc>
            </w:tr>
            <w:tr w14:paraId="1BC2AE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177" w:type="pct"/>
                  <w:tcBorders>
                    <w:tl2br w:val="nil"/>
                    <w:tr2bl w:val="nil"/>
                  </w:tcBorders>
                  <w:noWrap w:val="0"/>
                  <w:vAlign w:val="center"/>
                </w:tcPr>
                <w:p w14:paraId="3D194F84">
                  <w:pPr>
                    <w:pStyle w:val="52"/>
                    <w:keepNext w:val="0"/>
                    <w:keepLines w:val="0"/>
                    <w:pageBreakBefore w:val="0"/>
                    <w:kinsoku/>
                    <w:wordWrap/>
                    <w:overflowPunct/>
                    <w:topLinePunct w:val="0"/>
                    <w:bidi w:val="0"/>
                    <w:adjustRightInd/>
                    <w:snapToGrid/>
                    <w:ind w:left="0" w:leftChars="0" w:right="0" w:rightChars="0"/>
                    <w:textAlignment w:val="auto"/>
                    <w:rPr>
                      <w:rFonts w:hint="eastAsia"/>
                      <w:color w:val="auto"/>
                      <w:highlight w:val="none"/>
                      <w:lang w:val="en-US" w:eastAsia="zh-CN"/>
                    </w:rPr>
                  </w:pPr>
                </w:p>
              </w:tc>
              <w:tc>
                <w:tcPr>
                  <w:tcW w:w="331" w:type="pct"/>
                  <w:tcBorders>
                    <w:tl2br w:val="nil"/>
                    <w:tr2bl w:val="nil"/>
                  </w:tcBorders>
                  <w:noWrap w:val="0"/>
                  <w:vAlign w:val="center"/>
                </w:tcPr>
                <w:p w14:paraId="1DFF63FA">
                  <w:pPr>
                    <w:pStyle w:val="52"/>
                    <w:keepNext w:val="0"/>
                    <w:keepLines w:val="0"/>
                    <w:pageBreakBefore w:val="0"/>
                    <w:kinsoku/>
                    <w:wordWrap/>
                    <w:overflowPunct/>
                    <w:topLinePunct w:val="0"/>
                    <w:bidi w:val="0"/>
                    <w:adjustRightInd/>
                    <w:snapToGrid/>
                    <w:ind w:left="0" w:leftChars="0" w:right="0" w:rightChars="0"/>
                    <w:textAlignment w:val="auto"/>
                    <w:rPr>
                      <w:rFonts w:hint="default"/>
                      <w:color w:val="auto"/>
                      <w:highlight w:val="none"/>
                    </w:rPr>
                  </w:pPr>
                </w:p>
              </w:tc>
              <w:tc>
                <w:tcPr>
                  <w:tcW w:w="194" w:type="pct"/>
                  <w:tcBorders>
                    <w:tl2br w:val="nil"/>
                    <w:tr2bl w:val="nil"/>
                  </w:tcBorders>
                  <w:noWrap w:val="0"/>
                  <w:vAlign w:val="center"/>
                </w:tcPr>
                <w:p w14:paraId="000907E9">
                  <w:pPr>
                    <w:pStyle w:val="52"/>
                    <w:keepNext w:val="0"/>
                    <w:keepLines w:val="0"/>
                    <w:pageBreakBefore w:val="0"/>
                    <w:kinsoku/>
                    <w:wordWrap/>
                    <w:overflowPunct/>
                    <w:topLinePunct w:val="0"/>
                    <w:bidi w:val="0"/>
                    <w:adjustRightInd/>
                    <w:snapToGrid/>
                    <w:ind w:left="0" w:leftChars="0" w:right="0" w:rightChars="0"/>
                    <w:textAlignment w:val="auto"/>
                    <w:rPr>
                      <w:rFonts w:hint="eastAsia"/>
                      <w:color w:val="auto"/>
                      <w:highlight w:val="none"/>
                      <w:lang w:val="en-US" w:eastAsia="zh-CN"/>
                    </w:rPr>
                  </w:pPr>
                </w:p>
              </w:tc>
              <w:tc>
                <w:tcPr>
                  <w:tcW w:w="210" w:type="pct"/>
                  <w:tcBorders>
                    <w:tl2br w:val="nil"/>
                    <w:tr2bl w:val="nil"/>
                  </w:tcBorders>
                  <w:noWrap w:val="0"/>
                  <w:vAlign w:val="center"/>
                </w:tcPr>
                <w:p w14:paraId="2CF1519A">
                  <w:pPr>
                    <w:pStyle w:val="52"/>
                    <w:keepNext w:val="0"/>
                    <w:keepLines w:val="0"/>
                    <w:pageBreakBefore w:val="0"/>
                    <w:kinsoku/>
                    <w:wordWrap/>
                    <w:overflowPunct/>
                    <w:topLinePunct w:val="0"/>
                    <w:bidi w:val="0"/>
                    <w:adjustRightInd/>
                    <w:snapToGrid/>
                    <w:ind w:left="0" w:leftChars="0" w:right="0" w:rightChars="0"/>
                    <w:textAlignment w:val="auto"/>
                    <w:rPr>
                      <w:rFonts w:hint="eastAsia"/>
                      <w:color w:val="auto"/>
                      <w:highlight w:val="none"/>
                      <w:lang w:val="en-US" w:eastAsia="zh-CN"/>
                    </w:rPr>
                  </w:pPr>
                </w:p>
              </w:tc>
              <w:tc>
                <w:tcPr>
                  <w:tcW w:w="274" w:type="pct"/>
                  <w:tcBorders>
                    <w:tl2br w:val="nil"/>
                    <w:tr2bl w:val="nil"/>
                  </w:tcBorders>
                  <w:noWrap w:val="0"/>
                  <w:vAlign w:val="center"/>
                </w:tcPr>
                <w:p w14:paraId="6DBFB307">
                  <w:pPr>
                    <w:pStyle w:val="52"/>
                    <w:keepNext w:val="0"/>
                    <w:keepLines w:val="0"/>
                    <w:pageBreakBefore w:val="0"/>
                    <w:kinsoku/>
                    <w:wordWrap/>
                    <w:overflowPunct/>
                    <w:topLinePunct w:val="0"/>
                    <w:bidi w:val="0"/>
                    <w:adjustRightInd/>
                    <w:snapToGrid/>
                    <w:ind w:left="0" w:leftChars="0" w:right="0" w:rightChars="0"/>
                    <w:textAlignment w:val="auto"/>
                    <w:rPr>
                      <w:rFonts w:hint="default" w:ascii="Times New Roman" w:hAnsi="Times New Roman" w:eastAsia="宋体" w:cs="宋体"/>
                      <w:bCs/>
                      <w:color w:val="auto"/>
                      <w:kern w:val="0"/>
                      <w:sz w:val="21"/>
                      <w:szCs w:val="21"/>
                      <w:highlight w:val="none"/>
                      <w:lang w:val="en-US" w:eastAsia="zh-CN" w:bidi="ar-SA"/>
                    </w:rPr>
                  </w:pPr>
                </w:p>
              </w:tc>
              <w:tc>
                <w:tcPr>
                  <w:tcW w:w="234" w:type="pct"/>
                  <w:tcBorders>
                    <w:tl2br w:val="nil"/>
                    <w:tr2bl w:val="nil"/>
                  </w:tcBorders>
                  <w:noWrap w:val="0"/>
                  <w:vAlign w:val="center"/>
                </w:tcPr>
                <w:p w14:paraId="523C32C2">
                  <w:pPr>
                    <w:pStyle w:val="52"/>
                    <w:keepNext w:val="0"/>
                    <w:keepLines w:val="0"/>
                    <w:pageBreakBefore w:val="0"/>
                    <w:kinsoku/>
                    <w:wordWrap/>
                    <w:overflowPunct/>
                    <w:topLinePunct w:val="0"/>
                    <w:bidi w:val="0"/>
                    <w:adjustRightInd/>
                    <w:snapToGrid/>
                    <w:ind w:left="0" w:leftChars="0" w:right="0" w:rightChars="0"/>
                    <w:textAlignment w:val="auto"/>
                    <w:rPr>
                      <w:rFonts w:hint="eastAsia" w:ascii="Times New Roman" w:hAnsi="Times New Roman" w:eastAsia="宋体" w:cs="宋体"/>
                      <w:bCs/>
                      <w:color w:val="auto"/>
                      <w:kern w:val="0"/>
                      <w:sz w:val="21"/>
                      <w:szCs w:val="21"/>
                      <w:highlight w:val="none"/>
                      <w:lang w:val="en-US" w:eastAsia="zh-CN" w:bidi="ar-SA"/>
                    </w:rPr>
                  </w:pPr>
                  <w:r>
                    <w:rPr>
                      <w:rFonts w:hint="eastAsia" w:ascii="Times New Roman" w:hAnsi="Times New Roman" w:eastAsia="宋体" w:cs="宋体"/>
                      <w:bCs/>
                      <w:color w:val="auto"/>
                      <w:kern w:val="0"/>
                      <w:sz w:val="21"/>
                      <w:szCs w:val="21"/>
                      <w:highlight w:val="none"/>
                      <w:lang w:val="en-US" w:eastAsia="zh-CN" w:bidi="ar-SA"/>
                    </w:rPr>
                    <w:t>环境风险防控</w:t>
                  </w:r>
                </w:p>
              </w:tc>
              <w:tc>
                <w:tcPr>
                  <w:tcW w:w="2056" w:type="pct"/>
                  <w:tcBorders>
                    <w:tl2br w:val="nil"/>
                    <w:tr2bl w:val="nil"/>
                  </w:tcBorders>
                  <w:noWrap w:val="0"/>
                  <w:vAlign w:val="center"/>
                </w:tcPr>
                <w:p w14:paraId="72A505C0">
                  <w:pPr>
                    <w:pStyle w:val="52"/>
                    <w:keepNext w:val="0"/>
                    <w:keepLines w:val="0"/>
                    <w:pageBreakBefore w:val="0"/>
                    <w:numPr>
                      <w:ilvl w:val="0"/>
                      <w:numId w:val="0"/>
                    </w:numPr>
                    <w:kinsoku/>
                    <w:wordWrap/>
                    <w:overflowPunct/>
                    <w:topLinePunct w:val="0"/>
                    <w:bidi w:val="0"/>
                    <w:adjustRightInd/>
                    <w:snapToGrid/>
                    <w:ind w:left="0" w:leftChars="0" w:right="0" w:rightChars="0"/>
                    <w:jc w:val="both"/>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陕西省凤翔高新技术产业开发区1.建议凤翔区环保局、环境监测站与风翔高新区共同组建凤翔高新区环境事故应急领导和监测小组，同时建立环境污染事故应急专家咨询系统，广泛聘请科研、消防、工矿部门专家参加。监测站应配备各种应急监测仪器及设备。2.执行宝鸡市生态环境要素分区总体准入清单中”5.8农用地污染风险重点管控区的环境风险防控”：3.执行宝鸡市生态环境要素分区总体准入清单中”5.9建设用地污染风险重点管控区的环境风险防控”。</w:t>
                  </w:r>
                </w:p>
              </w:tc>
              <w:tc>
                <w:tcPr>
                  <w:tcW w:w="1052" w:type="pct"/>
                  <w:gridSpan w:val="2"/>
                  <w:tcBorders>
                    <w:tl2br w:val="nil"/>
                    <w:tr2bl w:val="nil"/>
                  </w:tcBorders>
                  <w:noWrap w:val="0"/>
                  <w:vAlign w:val="center"/>
                </w:tcPr>
                <w:p w14:paraId="68B9F6D7">
                  <w:pPr>
                    <w:pStyle w:val="52"/>
                    <w:keepNext w:val="0"/>
                    <w:keepLines w:val="0"/>
                    <w:pageBreakBefore w:val="0"/>
                    <w:numPr>
                      <w:ilvl w:val="0"/>
                      <w:numId w:val="0"/>
                    </w:numPr>
                    <w:kinsoku/>
                    <w:wordWrap/>
                    <w:overflowPunct/>
                    <w:topLinePunct w:val="0"/>
                    <w:bidi w:val="0"/>
                    <w:adjustRightInd/>
                    <w:snapToGrid/>
                    <w:ind w:left="0" w:leftChars="0" w:right="0" w:rightChars="0" w:firstLine="0" w:firstLineChars="0"/>
                    <w:jc w:val="both"/>
                    <w:textAlignment w:val="auto"/>
                    <w:rPr>
                      <w:rFonts w:hint="default" w:ascii="Times New Roman" w:hAnsi="Times New Roman" w:eastAsia="宋体" w:cs="宋体"/>
                      <w:color w:val="auto"/>
                      <w:highlight w:val="none"/>
                      <w:lang w:val="en-US" w:eastAsia="zh-CN"/>
                    </w:rPr>
                  </w:pPr>
                  <w:r>
                    <w:rPr>
                      <w:rFonts w:hint="default" w:ascii="Times New Roman" w:hAnsi="Times New Roman" w:cs="Times New Roman"/>
                      <w:color w:val="auto"/>
                      <w:spacing w:val="0"/>
                      <w:kern w:val="0"/>
                      <w:sz w:val="21"/>
                      <w:szCs w:val="21"/>
                      <w:lang w:val="en-US" w:eastAsia="zh-CN"/>
                    </w:rPr>
                    <w:t>本项目位于陕西省宝鸡市凤翔高新区长青工业园</w:t>
                  </w:r>
                  <w:r>
                    <w:rPr>
                      <w:rFonts w:hint="eastAsia" w:cs="Times New Roman"/>
                      <w:color w:val="auto"/>
                      <w:spacing w:val="0"/>
                      <w:kern w:val="0"/>
                      <w:sz w:val="21"/>
                      <w:szCs w:val="21"/>
                      <w:lang w:val="en-US" w:eastAsia="zh-CN"/>
                    </w:rPr>
                    <w:t>，</w:t>
                  </w:r>
                  <w:r>
                    <w:rPr>
                      <w:rFonts w:hint="default" w:ascii="Times New Roman" w:hAnsi="Times New Roman" w:cs="Times New Roman"/>
                      <w:color w:val="auto"/>
                      <w:spacing w:val="0"/>
                      <w:kern w:val="0"/>
                      <w:sz w:val="21"/>
                      <w:szCs w:val="21"/>
                      <w:lang w:val="en-US" w:eastAsia="zh-CN"/>
                    </w:rPr>
                    <w:t>项目为液体空分及气体储配充装项目，仅涉及危险物质（乙炔、丙烷、液化石油气、液化石油气残液、润滑油、废润滑油）的使用及贮存。</w:t>
                  </w:r>
                  <w:r>
                    <w:rPr>
                      <w:rFonts w:hint="eastAsia" w:cs="Times New Roman"/>
                      <w:color w:val="auto"/>
                      <w:spacing w:val="0"/>
                      <w:kern w:val="0"/>
                      <w:sz w:val="21"/>
                      <w:szCs w:val="21"/>
                      <w:lang w:val="en-US" w:eastAsia="zh-CN"/>
                    </w:rPr>
                    <w:t>本次环评进行了环境风险专项评价，提出了相应的环境风险防控措施，详见环境风险专项评价。</w:t>
                  </w:r>
                </w:p>
              </w:tc>
              <w:tc>
                <w:tcPr>
                  <w:tcW w:w="467" w:type="pct"/>
                  <w:tcBorders>
                    <w:tl2br w:val="nil"/>
                    <w:tr2bl w:val="nil"/>
                  </w:tcBorders>
                  <w:noWrap w:val="0"/>
                  <w:vAlign w:val="center"/>
                </w:tcPr>
                <w:p w14:paraId="61E3AFF0">
                  <w:pPr>
                    <w:pStyle w:val="52"/>
                    <w:keepNext w:val="0"/>
                    <w:keepLines w:val="0"/>
                    <w:pageBreakBefore w:val="0"/>
                    <w:kinsoku/>
                    <w:wordWrap/>
                    <w:overflowPunct/>
                    <w:topLinePunct w:val="0"/>
                    <w:bidi w:val="0"/>
                    <w:adjustRightInd/>
                    <w:snapToGrid/>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符合</w:t>
                  </w:r>
                </w:p>
              </w:tc>
            </w:tr>
            <w:tr w14:paraId="1788C2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177" w:type="pct"/>
                  <w:tcBorders>
                    <w:tl2br w:val="nil"/>
                    <w:tr2bl w:val="nil"/>
                  </w:tcBorders>
                  <w:noWrap w:val="0"/>
                  <w:vAlign w:val="center"/>
                </w:tcPr>
                <w:p w14:paraId="6FBE92D2">
                  <w:pPr>
                    <w:pStyle w:val="52"/>
                    <w:keepNext w:val="0"/>
                    <w:keepLines w:val="0"/>
                    <w:pageBreakBefore w:val="0"/>
                    <w:kinsoku/>
                    <w:wordWrap/>
                    <w:overflowPunct/>
                    <w:topLinePunct w:val="0"/>
                    <w:bidi w:val="0"/>
                    <w:adjustRightInd/>
                    <w:snapToGrid/>
                    <w:ind w:left="0" w:leftChars="0" w:right="0" w:rightChars="0"/>
                    <w:textAlignment w:val="auto"/>
                    <w:rPr>
                      <w:rFonts w:hint="eastAsia"/>
                      <w:color w:val="auto"/>
                      <w:highlight w:val="none"/>
                      <w:lang w:val="en-US" w:eastAsia="zh-CN"/>
                    </w:rPr>
                  </w:pPr>
                </w:p>
              </w:tc>
              <w:tc>
                <w:tcPr>
                  <w:tcW w:w="331" w:type="pct"/>
                  <w:tcBorders>
                    <w:tl2br w:val="nil"/>
                    <w:tr2bl w:val="nil"/>
                  </w:tcBorders>
                  <w:noWrap w:val="0"/>
                  <w:vAlign w:val="center"/>
                </w:tcPr>
                <w:p w14:paraId="733399D9">
                  <w:pPr>
                    <w:pStyle w:val="52"/>
                    <w:keepNext w:val="0"/>
                    <w:keepLines w:val="0"/>
                    <w:pageBreakBefore w:val="0"/>
                    <w:kinsoku/>
                    <w:wordWrap/>
                    <w:overflowPunct/>
                    <w:topLinePunct w:val="0"/>
                    <w:bidi w:val="0"/>
                    <w:adjustRightInd/>
                    <w:snapToGrid/>
                    <w:ind w:left="0" w:leftChars="0" w:right="0" w:rightChars="0"/>
                    <w:textAlignment w:val="auto"/>
                    <w:rPr>
                      <w:rFonts w:hint="default"/>
                      <w:color w:val="auto"/>
                      <w:highlight w:val="none"/>
                    </w:rPr>
                  </w:pPr>
                </w:p>
              </w:tc>
              <w:tc>
                <w:tcPr>
                  <w:tcW w:w="194" w:type="pct"/>
                  <w:tcBorders>
                    <w:tl2br w:val="nil"/>
                    <w:tr2bl w:val="nil"/>
                  </w:tcBorders>
                  <w:noWrap w:val="0"/>
                  <w:vAlign w:val="center"/>
                </w:tcPr>
                <w:p w14:paraId="7E0E0C7A">
                  <w:pPr>
                    <w:pStyle w:val="52"/>
                    <w:keepNext w:val="0"/>
                    <w:keepLines w:val="0"/>
                    <w:pageBreakBefore w:val="0"/>
                    <w:kinsoku/>
                    <w:wordWrap/>
                    <w:overflowPunct/>
                    <w:topLinePunct w:val="0"/>
                    <w:bidi w:val="0"/>
                    <w:adjustRightInd/>
                    <w:snapToGrid/>
                    <w:ind w:left="0" w:leftChars="0" w:right="0" w:rightChars="0"/>
                    <w:textAlignment w:val="auto"/>
                    <w:rPr>
                      <w:rFonts w:hint="eastAsia"/>
                      <w:color w:val="auto"/>
                      <w:highlight w:val="none"/>
                      <w:lang w:val="en-US" w:eastAsia="zh-CN"/>
                    </w:rPr>
                  </w:pPr>
                </w:p>
              </w:tc>
              <w:tc>
                <w:tcPr>
                  <w:tcW w:w="210" w:type="pct"/>
                  <w:tcBorders>
                    <w:tl2br w:val="nil"/>
                    <w:tr2bl w:val="nil"/>
                  </w:tcBorders>
                  <w:noWrap w:val="0"/>
                  <w:vAlign w:val="center"/>
                </w:tcPr>
                <w:p w14:paraId="3FC7B272">
                  <w:pPr>
                    <w:pStyle w:val="52"/>
                    <w:keepNext w:val="0"/>
                    <w:keepLines w:val="0"/>
                    <w:pageBreakBefore w:val="0"/>
                    <w:kinsoku/>
                    <w:wordWrap/>
                    <w:overflowPunct/>
                    <w:topLinePunct w:val="0"/>
                    <w:bidi w:val="0"/>
                    <w:adjustRightInd/>
                    <w:snapToGrid/>
                    <w:ind w:left="0" w:leftChars="0" w:right="0" w:rightChars="0"/>
                    <w:textAlignment w:val="auto"/>
                    <w:rPr>
                      <w:rFonts w:hint="eastAsia"/>
                      <w:color w:val="auto"/>
                      <w:highlight w:val="none"/>
                      <w:lang w:val="en-US" w:eastAsia="zh-CN"/>
                    </w:rPr>
                  </w:pPr>
                </w:p>
              </w:tc>
              <w:tc>
                <w:tcPr>
                  <w:tcW w:w="274" w:type="pct"/>
                  <w:tcBorders>
                    <w:tl2br w:val="nil"/>
                    <w:tr2bl w:val="nil"/>
                  </w:tcBorders>
                  <w:noWrap w:val="0"/>
                  <w:vAlign w:val="center"/>
                </w:tcPr>
                <w:p w14:paraId="2393EA1D">
                  <w:pPr>
                    <w:pStyle w:val="52"/>
                    <w:keepNext w:val="0"/>
                    <w:keepLines w:val="0"/>
                    <w:pageBreakBefore w:val="0"/>
                    <w:kinsoku/>
                    <w:wordWrap/>
                    <w:overflowPunct/>
                    <w:topLinePunct w:val="0"/>
                    <w:bidi w:val="0"/>
                    <w:adjustRightInd/>
                    <w:snapToGrid/>
                    <w:ind w:left="0" w:leftChars="0" w:right="0" w:rightChars="0"/>
                    <w:textAlignment w:val="auto"/>
                    <w:rPr>
                      <w:rFonts w:hint="default" w:ascii="Times New Roman" w:hAnsi="Times New Roman" w:eastAsia="宋体" w:cs="宋体"/>
                      <w:bCs/>
                      <w:color w:val="auto"/>
                      <w:kern w:val="0"/>
                      <w:sz w:val="21"/>
                      <w:szCs w:val="21"/>
                      <w:highlight w:val="none"/>
                      <w:lang w:val="en-US" w:eastAsia="zh-CN" w:bidi="ar-SA"/>
                    </w:rPr>
                  </w:pPr>
                </w:p>
              </w:tc>
              <w:tc>
                <w:tcPr>
                  <w:tcW w:w="234" w:type="pct"/>
                  <w:tcBorders>
                    <w:tl2br w:val="nil"/>
                    <w:tr2bl w:val="nil"/>
                  </w:tcBorders>
                  <w:noWrap w:val="0"/>
                  <w:vAlign w:val="center"/>
                </w:tcPr>
                <w:p w14:paraId="7F45D78A">
                  <w:pPr>
                    <w:pStyle w:val="52"/>
                    <w:keepNext w:val="0"/>
                    <w:keepLines w:val="0"/>
                    <w:pageBreakBefore w:val="0"/>
                    <w:kinsoku/>
                    <w:wordWrap/>
                    <w:overflowPunct/>
                    <w:topLinePunct w:val="0"/>
                    <w:bidi w:val="0"/>
                    <w:adjustRightInd/>
                    <w:snapToGrid/>
                    <w:ind w:left="0" w:leftChars="0" w:right="0" w:rightChars="0"/>
                    <w:textAlignment w:val="auto"/>
                    <w:rPr>
                      <w:rFonts w:hint="eastAsia" w:ascii="Times New Roman" w:hAnsi="Times New Roman" w:eastAsia="宋体" w:cs="宋体"/>
                      <w:bCs/>
                      <w:color w:val="auto"/>
                      <w:kern w:val="0"/>
                      <w:sz w:val="21"/>
                      <w:szCs w:val="21"/>
                      <w:highlight w:val="none"/>
                      <w:lang w:val="en-US" w:eastAsia="zh-CN" w:bidi="ar-SA"/>
                    </w:rPr>
                  </w:pPr>
                  <w:r>
                    <w:rPr>
                      <w:rFonts w:hint="eastAsia" w:ascii="Times New Roman" w:hAnsi="Times New Roman" w:eastAsia="宋体" w:cs="宋体"/>
                      <w:bCs/>
                      <w:color w:val="auto"/>
                      <w:kern w:val="0"/>
                      <w:sz w:val="21"/>
                      <w:szCs w:val="21"/>
                      <w:highlight w:val="none"/>
                      <w:lang w:val="en-US" w:eastAsia="zh-CN" w:bidi="ar-SA"/>
                    </w:rPr>
                    <w:t>资源开发效</w:t>
                  </w:r>
                  <w:r>
                    <w:rPr>
                      <w:rFonts w:hint="eastAsia" w:cs="宋体"/>
                      <w:bCs/>
                      <w:color w:val="auto"/>
                      <w:kern w:val="0"/>
                      <w:sz w:val="21"/>
                      <w:szCs w:val="21"/>
                      <w:highlight w:val="none"/>
                      <w:lang w:val="en-US" w:eastAsia="zh-CN" w:bidi="ar-SA"/>
                    </w:rPr>
                    <w:t>率要</w:t>
                  </w:r>
                  <w:r>
                    <w:rPr>
                      <w:rFonts w:hint="eastAsia" w:ascii="Times New Roman" w:hAnsi="Times New Roman" w:eastAsia="宋体" w:cs="宋体"/>
                      <w:bCs/>
                      <w:color w:val="auto"/>
                      <w:kern w:val="0"/>
                      <w:sz w:val="21"/>
                      <w:szCs w:val="21"/>
                      <w:highlight w:val="none"/>
                      <w:lang w:val="en-US" w:eastAsia="zh-CN" w:bidi="ar-SA"/>
                    </w:rPr>
                    <w:t>求</w:t>
                  </w:r>
                </w:p>
              </w:tc>
              <w:tc>
                <w:tcPr>
                  <w:tcW w:w="2056" w:type="pct"/>
                  <w:tcBorders>
                    <w:tl2br w:val="nil"/>
                    <w:tr2bl w:val="nil"/>
                  </w:tcBorders>
                  <w:noWrap w:val="0"/>
                  <w:vAlign w:val="center"/>
                </w:tcPr>
                <w:p w14:paraId="69D6C499">
                  <w:pPr>
                    <w:pStyle w:val="52"/>
                    <w:keepNext w:val="0"/>
                    <w:keepLines w:val="0"/>
                    <w:pageBreakBefore w:val="0"/>
                    <w:numPr>
                      <w:ilvl w:val="0"/>
                      <w:numId w:val="0"/>
                    </w:numPr>
                    <w:kinsoku/>
                    <w:wordWrap/>
                    <w:overflowPunct/>
                    <w:topLinePunct w:val="0"/>
                    <w:bidi w:val="0"/>
                    <w:adjustRightInd/>
                    <w:snapToGrid/>
                    <w:ind w:left="0" w:leftChars="0" w:right="0" w:rightChars="0"/>
                    <w:jc w:val="both"/>
                    <w:textAlignment w:val="auto"/>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土地资源重点管控区：1.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2.严格用地准入管理严格执行自然资源开发利用限制和禁止目录、建设用地定额标准和市场准入负面清单。陕西省凤翔高新技术产业开发区1.酿酒地下水取水量S30t/kL；天然气普及率280%，集中供热比例280%：在规划区中部配套建设污水处理及中水回用设施；</w:t>
                  </w:r>
                  <w:r>
                    <w:rPr>
                      <w:rFonts w:hint="eastAsia" w:cs="宋体"/>
                      <w:color w:val="auto"/>
                      <w:highlight w:val="none"/>
                      <w:lang w:val="en-US" w:eastAsia="zh-CN"/>
                    </w:rPr>
                    <w:t>固体废弃物</w:t>
                  </w:r>
                  <w:r>
                    <w:rPr>
                      <w:rFonts w:hint="eastAsia" w:ascii="Times New Roman" w:hAnsi="Times New Roman" w:eastAsia="宋体" w:cs="宋体"/>
                      <w:color w:val="auto"/>
                      <w:highlight w:val="none"/>
                      <w:lang w:val="en-US" w:eastAsia="zh-CN"/>
                    </w:rPr>
                    <w:t>综合利用率z90%。2.执行宝鸡市生态环境要素分区总体准入清单中”5.10生态用水补给区管控分区的资源利用效率要求”：3.执行宝鸡市生态环境要素分区总体准入清单中”5.12土地资源重点管控区的资源利用效率要求”：4.执行宝鸡市生态环境要素分区总体准入清单中”5.13高污染燃料禁燃区的资源利用效率要求”。</w:t>
                  </w:r>
                </w:p>
              </w:tc>
              <w:tc>
                <w:tcPr>
                  <w:tcW w:w="1052" w:type="pct"/>
                  <w:gridSpan w:val="2"/>
                  <w:tcBorders>
                    <w:tl2br w:val="nil"/>
                    <w:tr2bl w:val="nil"/>
                  </w:tcBorders>
                  <w:noWrap w:val="0"/>
                  <w:vAlign w:val="center"/>
                </w:tcPr>
                <w:p w14:paraId="08F2F30A">
                  <w:pPr>
                    <w:pStyle w:val="52"/>
                    <w:keepNext w:val="0"/>
                    <w:keepLines w:val="0"/>
                    <w:pageBreakBefore w:val="0"/>
                    <w:numPr>
                      <w:ilvl w:val="0"/>
                      <w:numId w:val="0"/>
                    </w:numPr>
                    <w:kinsoku/>
                    <w:wordWrap/>
                    <w:overflowPunct/>
                    <w:topLinePunct w:val="0"/>
                    <w:bidi w:val="0"/>
                    <w:adjustRightInd/>
                    <w:snapToGrid/>
                    <w:ind w:left="0" w:leftChars="0" w:right="0" w:rightChars="0" w:firstLine="0" w:firstLineChars="0"/>
                    <w:jc w:val="both"/>
                    <w:textAlignment w:val="auto"/>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本项目为迁建项目，位于凤翔县长青工业园区（化工园区），</w:t>
                  </w:r>
                  <w:r>
                    <w:rPr>
                      <w:rFonts w:hint="eastAsia" w:cs="宋体"/>
                      <w:color w:val="auto"/>
                      <w:highlight w:val="none"/>
                      <w:lang w:val="en-US" w:eastAsia="zh-CN"/>
                    </w:rPr>
                    <w:t>项目建设内容发生变化，</w:t>
                  </w:r>
                  <w:r>
                    <w:rPr>
                      <w:rFonts w:hint="eastAsia" w:ascii="Times New Roman" w:hAnsi="Times New Roman" w:cs="Times New Roman"/>
                      <w:color w:val="auto"/>
                      <w:szCs w:val="21"/>
                      <w:lang w:val="en-US" w:eastAsia="zh-CN"/>
                    </w:rPr>
                    <w:t>本项目在</w:t>
                  </w:r>
                  <w:r>
                    <w:rPr>
                      <w:rFonts w:hint="eastAsia" w:ascii="Times New Roman" w:hAnsi="Times New Roman" w:cs="Times New Roman"/>
                      <w:color w:val="000000" w:themeColor="text1"/>
                      <w:szCs w:val="21"/>
                      <w:lang w:val="en-US" w:eastAsia="zh-CN"/>
                      <w14:textFill>
                        <w14:solidFill>
                          <w14:schemeClr w14:val="tx1"/>
                        </w14:solidFill>
                      </w14:textFill>
                    </w:rPr>
                    <w:t>宝鸡渭河气体有限公司工业气体建设项目（原宝鸡渭河电石公司异地搬迁项目）</w:t>
                  </w:r>
                  <w:r>
                    <w:rPr>
                      <w:rFonts w:hint="eastAsia" w:cs="Times New Roman"/>
                      <w:color w:val="000000" w:themeColor="text1"/>
                      <w:szCs w:val="21"/>
                      <w:lang w:val="en-US" w:eastAsia="zh-CN"/>
                      <w14:textFill>
                        <w14:solidFill>
                          <w14:schemeClr w14:val="tx1"/>
                        </w14:solidFill>
                      </w14:textFill>
                    </w:rPr>
                    <w:t>占地范围内</w:t>
                  </w:r>
                  <w:r>
                    <w:rPr>
                      <w:rFonts w:hint="eastAsia" w:ascii="Times New Roman" w:hAnsi="Times New Roman" w:cs="Times New Roman"/>
                      <w:color w:val="000000" w:themeColor="text1"/>
                      <w:szCs w:val="21"/>
                      <w:lang w:val="en-US" w:eastAsia="zh-CN"/>
                      <w14:textFill>
                        <w14:solidFill>
                          <w14:schemeClr w14:val="tx1"/>
                        </w14:solidFill>
                      </w14:textFill>
                    </w:rPr>
                    <w:t>进行建设，不新增占地。</w:t>
                  </w:r>
                  <w:r>
                    <w:rPr>
                      <w:rFonts w:hint="eastAsia" w:ascii="Times New Roman" w:hAnsi="Times New Roman" w:eastAsia="宋体" w:cs="宋体"/>
                      <w:color w:val="000000" w:themeColor="text1"/>
                      <w:highlight w:val="none"/>
                      <w:lang w:val="en-US" w:eastAsia="zh-CN"/>
                      <w14:textFill>
                        <w14:solidFill>
                          <w14:schemeClr w14:val="tx1"/>
                        </w14:solidFill>
                      </w14:textFill>
                    </w:rPr>
                    <w:t>本次属于重大变动，重新报批。</w:t>
                  </w:r>
                </w:p>
              </w:tc>
              <w:tc>
                <w:tcPr>
                  <w:tcW w:w="467" w:type="pct"/>
                  <w:tcBorders>
                    <w:tl2br w:val="nil"/>
                    <w:tr2bl w:val="nil"/>
                  </w:tcBorders>
                  <w:noWrap w:val="0"/>
                  <w:vAlign w:val="center"/>
                </w:tcPr>
                <w:p w14:paraId="7BEA5634">
                  <w:pPr>
                    <w:pStyle w:val="52"/>
                    <w:keepNext w:val="0"/>
                    <w:keepLines w:val="0"/>
                    <w:pageBreakBefore w:val="0"/>
                    <w:kinsoku/>
                    <w:wordWrap/>
                    <w:overflowPunct/>
                    <w:topLinePunct w:val="0"/>
                    <w:bidi w:val="0"/>
                    <w:adjustRightInd/>
                    <w:snapToGrid/>
                    <w:ind w:left="0" w:leftChars="0" w:right="0" w:rightChars="0" w:firstLine="0" w:firstLineChars="0"/>
                    <w:textAlignment w:val="auto"/>
                    <w:rPr>
                      <w:rFonts w:hint="default"/>
                      <w:color w:val="auto"/>
                      <w:highlight w:val="none"/>
                      <w:lang w:val="en-US" w:eastAsia="zh-CN"/>
                    </w:rPr>
                  </w:pPr>
                </w:p>
              </w:tc>
            </w:tr>
            <w:tr w14:paraId="3574BA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5000" w:type="pct"/>
                  <w:gridSpan w:val="10"/>
                  <w:tcBorders>
                    <w:tl2br w:val="nil"/>
                    <w:tr2bl w:val="nil"/>
                  </w:tcBorders>
                  <w:noWrap w:val="0"/>
                  <w:vAlign w:val="center"/>
                </w:tcPr>
                <w:p w14:paraId="5ED6A384">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color w:val="auto"/>
                      <w:highlight w:val="none"/>
                      <w:lang w:val="en-US" w:eastAsia="zh-CN"/>
                    </w:rPr>
                  </w:pPr>
                  <w:r>
                    <w:rPr>
                      <w:rFonts w:hint="default"/>
                      <w:b/>
                      <w:bCs w:val="0"/>
                      <w:color w:val="auto"/>
                      <w:highlight w:val="none"/>
                      <w:lang w:val="en-US" w:eastAsia="zh-CN"/>
                    </w:rPr>
                    <w:t>一说明</w:t>
                  </w:r>
                </w:p>
              </w:tc>
            </w:tr>
            <w:tr w14:paraId="1EC904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1423" w:type="pct"/>
                  <w:gridSpan w:val="6"/>
                  <w:tcBorders>
                    <w:tl2br w:val="nil"/>
                    <w:tr2bl w:val="nil"/>
                  </w:tcBorders>
                  <w:noWrap w:val="0"/>
                  <w:vAlign w:val="center"/>
                </w:tcPr>
                <w:p w14:paraId="30396F30">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b/>
                      <w:bCs w:val="0"/>
                      <w:color w:val="auto"/>
                      <w:highlight w:val="none"/>
                      <w:lang w:val="en-US" w:eastAsia="zh-CN"/>
                    </w:rPr>
                  </w:pPr>
                  <w:r>
                    <w:rPr>
                      <w:rFonts w:hint="default"/>
                      <w:b/>
                      <w:bCs w:val="0"/>
                      <w:color w:val="auto"/>
                      <w:highlight w:val="none"/>
                      <w:lang w:eastAsia="zh-CN"/>
                    </w:rPr>
                    <w:t>对照分析</w:t>
                  </w:r>
                </w:p>
              </w:tc>
              <w:tc>
                <w:tcPr>
                  <w:tcW w:w="2983" w:type="pct"/>
                  <w:gridSpan w:val="2"/>
                  <w:tcBorders>
                    <w:tl2br w:val="nil"/>
                    <w:tr2bl w:val="nil"/>
                  </w:tcBorders>
                  <w:noWrap w:val="0"/>
                  <w:vAlign w:val="center"/>
                </w:tcPr>
                <w:p w14:paraId="6BDB6FE6">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b/>
                      <w:bCs w:val="0"/>
                      <w:color w:val="auto"/>
                      <w:highlight w:val="none"/>
                      <w:lang w:val="en-US" w:eastAsia="zh-CN"/>
                    </w:rPr>
                  </w:pPr>
                  <w:r>
                    <w:rPr>
                      <w:rFonts w:hint="default"/>
                      <w:b/>
                      <w:bCs w:val="0"/>
                      <w:color w:val="auto"/>
                      <w:highlight w:val="none"/>
                      <w:lang w:eastAsia="zh-CN"/>
                    </w:rPr>
                    <w:t>项目情况</w:t>
                  </w:r>
                </w:p>
              </w:tc>
              <w:tc>
                <w:tcPr>
                  <w:tcW w:w="593" w:type="pct"/>
                  <w:gridSpan w:val="2"/>
                  <w:tcBorders>
                    <w:tl2br w:val="nil"/>
                    <w:tr2bl w:val="nil"/>
                  </w:tcBorders>
                  <w:noWrap w:val="0"/>
                  <w:vAlign w:val="center"/>
                </w:tcPr>
                <w:p w14:paraId="1A3A33D5">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b/>
                      <w:bCs w:val="0"/>
                      <w:color w:val="auto"/>
                      <w:highlight w:val="none"/>
                      <w:lang w:val="en-US" w:eastAsia="zh-CN"/>
                    </w:rPr>
                  </w:pPr>
                  <w:r>
                    <w:rPr>
                      <w:rFonts w:hint="default"/>
                      <w:b/>
                      <w:bCs w:val="0"/>
                      <w:color w:val="auto"/>
                      <w:highlight w:val="none"/>
                      <w:lang w:eastAsia="zh-CN"/>
                    </w:rPr>
                    <w:t>符合性</w:t>
                  </w:r>
                </w:p>
              </w:tc>
            </w:tr>
            <w:tr w14:paraId="19FB33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1423" w:type="pct"/>
                  <w:gridSpan w:val="6"/>
                  <w:tcBorders>
                    <w:tl2br w:val="nil"/>
                    <w:tr2bl w:val="nil"/>
                  </w:tcBorders>
                  <w:noWrap w:val="0"/>
                  <w:vAlign w:val="center"/>
                </w:tcPr>
                <w:p w14:paraId="0913155E">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color w:val="auto"/>
                      <w:highlight w:val="none"/>
                      <w:lang w:val="en-US" w:eastAsia="zh-CN"/>
                    </w:rPr>
                  </w:pPr>
                  <w:r>
                    <w:rPr>
                      <w:rFonts w:hint="default"/>
                      <w:color w:val="auto"/>
                      <w:highlight w:val="none"/>
                      <w:lang w:eastAsia="zh-CN"/>
                    </w:rPr>
                    <w:t>各类生态环境敏感区对照分析</w:t>
                  </w:r>
                </w:p>
              </w:tc>
              <w:tc>
                <w:tcPr>
                  <w:tcW w:w="2983" w:type="pct"/>
                  <w:gridSpan w:val="2"/>
                  <w:tcBorders>
                    <w:tl2br w:val="nil"/>
                    <w:tr2bl w:val="nil"/>
                  </w:tcBorders>
                  <w:noWrap w:val="0"/>
                  <w:vAlign w:val="center"/>
                </w:tcPr>
                <w:p w14:paraId="07EB767B">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color w:val="auto"/>
                      <w:highlight w:val="none"/>
                      <w:lang w:val="en-US" w:eastAsia="zh-CN"/>
                    </w:rPr>
                  </w:pPr>
                  <w:r>
                    <w:rPr>
                      <w:rFonts w:hint="default"/>
                      <w:color w:val="auto"/>
                      <w:highlight w:val="none"/>
                      <w:lang w:eastAsia="zh-CN"/>
                    </w:rPr>
                    <w:t>根据</w:t>
                  </w:r>
                  <w:r>
                    <w:rPr>
                      <w:rFonts w:hint="eastAsia"/>
                      <w:color w:val="auto"/>
                      <w:highlight w:val="none"/>
                      <w:lang w:eastAsia="zh-CN"/>
                    </w:rPr>
                    <w:t>”</w:t>
                  </w:r>
                  <w:r>
                    <w:rPr>
                      <w:rFonts w:hint="default"/>
                      <w:color w:val="auto"/>
                      <w:highlight w:val="none"/>
                      <w:lang w:eastAsia="zh-CN"/>
                    </w:rPr>
                    <w:t>一图</w:t>
                  </w:r>
                  <w:r>
                    <w:rPr>
                      <w:rFonts w:hint="eastAsia"/>
                      <w:color w:val="auto"/>
                      <w:highlight w:val="none"/>
                      <w:lang w:eastAsia="zh-CN"/>
                    </w:rPr>
                    <w:t>”</w:t>
                  </w:r>
                  <w:r>
                    <w:rPr>
                      <w:rFonts w:hint="default"/>
                      <w:color w:val="auto"/>
                      <w:highlight w:val="none"/>
                      <w:lang w:eastAsia="zh-CN"/>
                    </w:rPr>
                    <w:t>可知，项目不涉及生态环境敏感区</w:t>
                  </w:r>
                </w:p>
              </w:tc>
              <w:tc>
                <w:tcPr>
                  <w:tcW w:w="593" w:type="pct"/>
                  <w:gridSpan w:val="2"/>
                  <w:tcBorders>
                    <w:tl2br w:val="nil"/>
                    <w:tr2bl w:val="nil"/>
                  </w:tcBorders>
                  <w:noWrap w:val="0"/>
                  <w:vAlign w:val="center"/>
                </w:tcPr>
                <w:p w14:paraId="5F3FBC26">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color w:val="auto"/>
                      <w:highlight w:val="none"/>
                      <w:lang w:val="en-US" w:eastAsia="zh-CN"/>
                    </w:rPr>
                  </w:pPr>
                  <w:r>
                    <w:rPr>
                      <w:rFonts w:hint="default"/>
                      <w:color w:val="auto"/>
                      <w:highlight w:val="none"/>
                      <w:lang w:val="en-US" w:eastAsia="zh-CN"/>
                    </w:rPr>
                    <w:t>符合</w:t>
                  </w:r>
                </w:p>
              </w:tc>
            </w:tr>
            <w:tr w14:paraId="1DDB86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1423" w:type="pct"/>
                  <w:gridSpan w:val="6"/>
                  <w:tcBorders>
                    <w:tl2br w:val="nil"/>
                    <w:tr2bl w:val="nil"/>
                  </w:tcBorders>
                  <w:noWrap w:val="0"/>
                  <w:vAlign w:val="center"/>
                </w:tcPr>
                <w:p w14:paraId="6DA95E34">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color w:val="auto"/>
                      <w:highlight w:val="none"/>
                      <w:lang w:val="en-US" w:eastAsia="zh-CN"/>
                    </w:rPr>
                  </w:pPr>
                  <w:r>
                    <w:rPr>
                      <w:rFonts w:hint="default"/>
                      <w:color w:val="auto"/>
                      <w:highlight w:val="none"/>
                      <w:lang w:eastAsia="zh-CN"/>
                    </w:rPr>
                    <w:t>环境管控单元对照分析</w:t>
                  </w:r>
                </w:p>
              </w:tc>
              <w:tc>
                <w:tcPr>
                  <w:tcW w:w="2983" w:type="pct"/>
                  <w:gridSpan w:val="2"/>
                  <w:tcBorders>
                    <w:tl2br w:val="nil"/>
                    <w:tr2bl w:val="nil"/>
                  </w:tcBorders>
                  <w:noWrap w:val="0"/>
                  <w:vAlign w:val="center"/>
                </w:tcPr>
                <w:p w14:paraId="1B1B1694">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color w:val="auto"/>
                      <w:highlight w:val="none"/>
                      <w:lang w:val="en-US" w:eastAsia="zh-CN"/>
                    </w:rPr>
                  </w:pPr>
                  <w:r>
                    <w:rPr>
                      <w:rFonts w:hint="default"/>
                      <w:color w:val="auto"/>
                      <w:highlight w:val="none"/>
                      <w:lang w:eastAsia="zh-CN"/>
                    </w:rPr>
                    <w:t>根据</w:t>
                  </w:r>
                  <w:r>
                    <w:rPr>
                      <w:rFonts w:hint="eastAsia"/>
                      <w:color w:val="auto"/>
                      <w:highlight w:val="none"/>
                      <w:lang w:eastAsia="zh-CN"/>
                    </w:rPr>
                    <w:t>”</w:t>
                  </w:r>
                  <w:r>
                    <w:rPr>
                      <w:rFonts w:hint="default"/>
                      <w:color w:val="auto"/>
                      <w:highlight w:val="none"/>
                      <w:lang w:eastAsia="zh-CN"/>
                    </w:rPr>
                    <w:t>一图</w:t>
                  </w:r>
                  <w:r>
                    <w:rPr>
                      <w:rFonts w:hint="eastAsia"/>
                      <w:color w:val="auto"/>
                      <w:highlight w:val="none"/>
                      <w:lang w:eastAsia="zh-CN"/>
                    </w:rPr>
                    <w:t>”</w:t>
                  </w:r>
                  <w:r>
                    <w:rPr>
                      <w:rFonts w:hint="default"/>
                      <w:color w:val="auto"/>
                      <w:highlight w:val="none"/>
                      <w:lang w:eastAsia="zh-CN"/>
                    </w:rPr>
                    <w:t>可知，项目位于</w:t>
                  </w:r>
                  <w:r>
                    <w:rPr>
                      <w:rFonts w:hint="eastAsia"/>
                      <w:color w:val="auto"/>
                      <w:highlight w:val="none"/>
                      <w:lang w:val="en-US" w:eastAsia="zh-CN"/>
                    </w:rPr>
                    <w:t>环境</w:t>
                  </w:r>
                  <w:r>
                    <w:rPr>
                      <w:rFonts w:hint="default"/>
                      <w:color w:val="auto"/>
                      <w:highlight w:val="none"/>
                      <w:lang w:val="en-US" w:eastAsia="zh-CN"/>
                    </w:rPr>
                    <w:t>重点</w:t>
                  </w:r>
                  <w:r>
                    <w:rPr>
                      <w:rFonts w:hint="default"/>
                      <w:color w:val="auto"/>
                      <w:highlight w:val="none"/>
                      <w:lang w:eastAsia="zh-CN"/>
                    </w:rPr>
                    <w:t>管控单元，根据</w:t>
                  </w:r>
                  <w:r>
                    <w:rPr>
                      <w:rFonts w:hint="eastAsia"/>
                      <w:color w:val="auto"/>
                      <w:highlight w:val="none"/>
                      <w:lang w:eastAsia="zh-CN"/>
                    </w:rPr>
                    <w:t>”</w:t>
                  </w:r>
                  <w:r>
                    <w:rPr>
                      <w:rFonts w:hint="default"/>
                      <w:color w:val="auto"/>
                      <w:highlight w:val="none"/>
                      <w:lang w:eastAsia="zh-CN"/>
                    </w:rPr>
                    <w:t>一表</w:t>
                  </w:r>
                  <w:r>
                    <w:rPr>
                      <w:rFonts w:hint="eastAsia"/>
                      <w:color w:val="auto"/>
                      <w:highlight w:val="none"/>
                      <w:lang w:eastAsia="zh-CN"/>
                    </w:rPr>
                    <w:t>”</w:t>
                  </w:r>
                  <w:r>
                    <w:rPr>
                      <w:rFonts w:hint="default"/>
                      <w:color w:val="auto"/>
                      <w:highlight w:val="none"/>
                      <w:lang w:eastAsia="zh-CN"/>
                    </w:rPr>
                    <w:t>可知项目满足</w:t>
                  </w:r>
                  <w:r>
                    <w:rPr>
                      <w:rFonts w:hint="default"/>
                      <w:color w:val="auto"/>
                      <w:highlight w:val="none"/>
                      <w:lang w:val="en-US" w:eastAsia="zh-CN"/>
                    </w:rPr>
                    <w:t>重点</w:t>
                  </w:r>
                  <w:r>
                    <w:rPr>
                      <w:rFonts w:hint="default"/>
                      <w:color w:val="auto"/>
                      <w:highlight w:val="none"/>
                    </w:rPr>
                    <w:t>管控单元</w:t>
                  </w:r>
                  <w:r>
                    <w:rPr>
                      <w:rFonts w:hint="default"/>
                      <w:color w:val="auto"/>
                      <w:highlight w:val="none"/>
                      <w:lang w:eastAsia="zh-CN"/>
                    </w:rPr>
                    <w:t>管控要求</w:t>
                  </w:r>
                </w:p>
              </w:tc>
              <w:tc>
                <w:tcPr>
                  <w:tcW w:w="593" w:type="pct"/>
                  <w:gridSpan w:val="2"/>
                  <w:tcBorders>
                    <w:tl2br w:val="nil"/>
                    <w:tr2bl w:val="nil"/>
                  </w:tcBorders>
                  <w:noWrap w:val="0"/>
                  <w:vAlign w:val="center"/>
                </w:tcPr>
                <w:p w14:paraId="2B005C35">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color w:val="auto"/>
                      <w:highlight w:val="none"/>
                      <w:lang w:val="en-US" w:eastAsia="zh-CN"/>
                    </w:rPr>
                  </w:pPr>
                  <w:r>
                    <w:rPr>
                      <w:rFonts w:hint="default"/>
                      <w:color w:val="auto"/>
                      <w:highlight w:val="none"/>
                      <w:lang w:val="en-US" w:eastAsia="zh-CN"/>
                    </w:rPr>
                    <w:t>符合</w:t>
                  </w:r>
                </w:p>
              </w:tc>
            </w:tr>
            <w:tr w14:paraId="6B7A70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1423" w:type="pct"/>
                  <w:gridSpan w:val="6"/>
                  <w:tcBorders>
                    <w:tl2br w:val="nil"/>
                    <w:tr2bl w:val="nil"/>
                  </w:tcBorders>
                  <w:noWrap w:val="0"/>
                  <w:vAlign w:val="center"/>
                </w:tcPr>
                <w:p w14:paraId="4DAC99ED">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color w:val="auto"/>
                      <w:highlight w:val="none"/>
                      <w:lang w:val="en-US" w:eastAsia="zh-CN"/>
                    </w:rPr>
                  </w:pPr>
                  <w:r>
                    <w:rPr>
                      <w:rFonts w:hint="default"/>
                      <w:color w:val="auto"/>
                      <w:highlight w:val="none"/>
                      <w:lang w:eastAsia="zh-CN"/>
                    </w:rPr>
                    <w:t>未纳入环境管控单元的要素分区对照分析</w:t>
                  </w:r>
                </w:p>
              </w:tc>
              <w:tc>
                <w:tcPr>
                  <w:tcW w:w="2983" w:type="pct"/>
                  <w:gridSpan w:val="2"/>
                  <w:tcBorders>
                    <w:tl2br w:val="nil"/>
                    <w:tr2bl w:val="nil"/>
                  </w:tcBorders>
                  <w:noWrap w:val="0"/>
                  <w:vAlign w:val="center"/>
                </w:tcPr>
                <w:p w14:paraId="621F9F98">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color w:val="auto"/>
                      <w:highlight w:val="none"/>
                      <w:lang w:val="en-US" w:eastAsia="zh-CN"/>
                    </w:rPr>
                  </w:pPr>
                  <w:r>
                    <w:rPr>
                      <w:rFonts w:hint="default"/>
                      <w:color w:val="auto"/>
                      <w:highlight w:val="none"/>
                      <w:lang w:eastAsia="zh-CN"/>
                    </w:rPr>
                    <w:t>不涉及，无其他限制要求</w:t>
                  </w:r>
                </w:p>
              </w:tc>
              <w:tc>
                <w:tcPr>
                  <w:tcW w:w="593" w:type="pct"/>
                  <w:gridSpan w:val="2"/>
                  <w:tcBorders>
                    <w:tl2br w:val="nil"/>
                    <w:tr2bl w:val="nil"/>
                  </w:tcBorders>
                  <w:noWrap w:val="0"/>
                  <w:vAlign w:val="center"/>
                </w:tcPr>
                <w:p w14:paraId="0B4578BC">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color w:val="auto"/>
                      <w:highlight w:val="none"/>
                      <w:lang w:val="en-US" w:eastAsia="zh-CN"/>
                    </w:rPr>
                  </w:pPr>
                  <w:r>
                    <w:rPr>
                      <w:rFonts w:hint="default"/>
                      <w:color w:val="auto"/>
                      <w:highlight w:val="none"/>
                      <w:lang w:val="en-US" w:eastAsia="zh-CN"/>
                    </w:rPr>
                    <w:t>符合</w:t>
                  </w:r>
                </w:p>
              </w:tc>
            </w:tr>
            <w:tr w14:paraId="596208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1423" w:type="pct"/>
                  <w:gridSpan w:val="6"/>
                  <w:tcBorders>
                    <w:tl2br w:val="nil"/>
                    <w:tr2bl w:val="nil"/>
                  </w:tcBorders>
                  <w:noWrap w:val="0"/>
                  <w:vAlign w:val="center"/>
                </w:tcPr>
                <w:p w14:paraId="4A032EB0">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color w:val="auto"/>
                      <w:highlight w:val="none"/>
                      <w:lang w:val="en-US" w:eastAsia="zh-CN"/>
                    </w:rPr>
                  </w:pPr>
                  <w:r>
                    <w:rPr>
                      <w:rFonts w:hint="default"/>
                      <w:color w:val="auto"/>
                      <w:highlight w:val="none"/>
                      <w:lang w:eastAsia="zh-CN"/>
                    </w:rPr>
                    <w:t>其他对照分析</w:t>
                  </w:r>
                </w:p>
              </w:tc>
              <w:tc>
                <w:tcPr>
                  <w:tcW w:w="2983" w:type="pct"/>
                  <w:gridSpan w:val="2"/>
                  <w:tcBorders>
                    <w:tl2br w:val="nil"/>
                    <w:tr2bl w:val="nil"/>
                  </w:tcBorders>
                  <w:noWrap w:val="0"/>
                  <w:vAlign w:val="center"/>
                </w:tcPr>
                <w:p w14:paraId="1B0AE578">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color w:val="auto"/>
                      <w:highlight w:val="none"/>
                      <w:lang w:val="en-US" w:eastAsia="zh-CN"/>
                    </w:rPr>
                  </w:pPr>
                  <w:r>
                    <w:rPr>
                      <w:rFonts w:hint="default"/>
                      <w:color w:val="auto"/>
                      <w:highlight w:val="none"/>
                      <w:lang w:eastAsia="zh-CN"/>
                    </w:rPr>
                    <w:t>不涉及，无其他限制要求</w:t>
                  </w:r>
                </w:p>
              </w:tc>
              <w:tc>
                <w:tcPr>
                  <w:tcW w:w="593" w:type="pct"/>
                  <w:gridSpan w:val="2"/>
                  <w:tcBorders>
                    <w:tl2br w:val="nil"/>
                    <w:tr2bl w:val="nil"/>
                  </w:tcBorders>
                  <w:noWrap w:val="0"/>
                  <w:vAlign w:val="center"/>
                </w:tcPr>
                <w:p w14:paraId="7EC8EAC8">
                  <w:pPr>
                    <w:pStyle w:val="52"/>
                    <w:keepNext w:val="0"/>
                    <w:keepLines w:val="0"/>
                    <w:pageBreakBefore w:val="0"/>
                    <w:kinsoku/>
                    <w:wordWrap/>
                    <w:overflowPunct/>
                    <w:topLinePunct w:val="0"/>
                    <w:bidi w:val="0"/>
                    <w:adjustRightInd/>
                    <w:snapToGrid/>
                    <w:ind w:left="0" w:leftChars="0" w:right="0" w:rightChars="0"/>
                    <w:jc w:val="center"/>
                    <w:textAlignment w:val="auto"/>
                    <w:rPr>
                      <w:rFonts w:hint="default"/>
                      <w:color w:val="auto"/>
                      <w:highlight w:val="none"/>
                      <w:lang w:val="en-US" w:eastAsia="zh-CN"/>
                    </w:rPr>
                  </w:pPr>
                  <w:r>
                    <w:rPr>
                      <w:rFonts w:hint="default"/>
                      <w:color w:val="auto"/>
                      <w:highlight w:val="none"/>
                      <w:lang w:val="en-US" w:eastAsia="zh-CN"/>
                    </w:rPr>
                    <w:t>符合</w:t>
                  </w:r>
                </w:p>
              </w:tc>
            </w:tr>
          </w:tbl>
          <w:p w14:paraId="53534BE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lang w:val="zh-CN"/>
              </w:rPr>
            </w:pPr>
            <w:r>
              <w:rPr>
                <w:rFonts w:hint="eastAsia" w:ascii="Times New Roman" w:hAnsi="Times New Roman" w:eastAsia="宋体" w:cs="Times New Roman"/>
                <w:b/>
                <w:bCs/>
                <w:color w:val="auto"/>
                <w:spacing w:val="0"/>
                <w:sz w:val="24"/>
                <w:lang w:val="en-US" w:eastAsia="zh-CN"/>
              </w:rPr>
              <w:t>三</w:t>
            </w:r>
            <w:r>
              <w:rPr>
                <w:rFonts w:hint="default" w:ascii="Times New Roman" w:hAnsi="Times New Roman" w:eastAsia="宋体" w:cs="Times New Roman"/>
                <w:b/>
                <w:bCs/>
                <w:color w:val="auto"/>
                <w:spacing w:val="0"/>
                <w:sz w:val="24"/>
                <w:lang w:val="zh-CN"/>
              </w:rPr>
              <w:t>、与化工项目进入化工园区的相关政策符合性分析</w:t>
            </w:r>
          </w:p>
          <w:p w14:paraId="40D586DF">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本项目与化工项目进入化工园区的相关政策符合性分析见下表</w:t>
            </w:r>
            <w:r>
              <w:rPr>
                <w:rFonts w:hint="eastAsia" w:ascii="Times New Roman" w:hAnsi="Times New Roman" w:eastAsia="宋体" w:cs="Times New Roman"/>
                <w:color w:val="auto"/>
                <w:sz w:val="24"/>
                <w:lang w:val="en-US" w:eastAsia="zh-CN"/>
              </w:rPr>
              <w:t>1-6</w:t>
            </w:r>
            <w:r>
              <w:rPr>
                <w:rFonts w:hint="default" w:ascii="Times New Roman" w:hAnsi="Times New Roman" w:eastAsia="宋体" w:cs="Times New Roman"/>
                <w:color w:val="auto"/>
                <w:sz w:val="24"/>
                <w:lang w:val="en-US" w:eastAsia="zh-CN"/>
              </w:rPr>
              <w:t>。</w:t>
            </w:r>
          </w:p>
          <w:p w14:paraId="169FA26E">
            <w:pPr>
              <w:adjustRightInd w:val="0"/>
              <w:snapToGrid w:val="0"/>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 w:val="21"/>
                <w:szCs w:val="21"/>
              </w:rPr>
              <w:t>表1-</w:t>
            </w:r>
            <w:r>
              <w:rPr>
                <w:rFonts w:hint="default" w:ascii="Times New Roman" w:hAnsi="Times New Roman" w:cs="Times New Roman"/>
                <w:b/>
                <w:color w:val="auto"/>
                <w:sz w:val="21"/>
                <w:szCs w:val="21"/>
                <w:lang w:val="en-US" w:eastAsia="zh-CN"/>
              </w:rPr>
              <w:t>6</w:t>
            </w:r>
            <w:r>
              <w:rPr>
                <w:rFonts w:hint="default" w:ascii="Times New Roman" w:hAnsi="Times New Roman" w:cs="Times New Roman"/>
                <w:b/>
                <w:color w:val="auto"/>
                <w:sz w:val="21"/>
                <w:szCs w:val="21"/>
              </w:rPr>
              <w:t xml:space="preserve">  本项目与</w:t>
            </w:r>
            <w:r>
              <w:rPr>
                <w:rFonts w:hint="eastAsia" w:ascii="Times New Roman" w:hAnsi="Times New Roman" w:cs="Times New Roman"/>
                <w:b/>
                <w:color w:val="auto"/>
                <w:sz w:val="21"/>
                <w:szCs w:val="21"/>
                <w:lang w:val="en-US" w:eastAsia="zh-CN"/>
              </w:rPr>
              <w:t>化工项目入园</w:t>
            </w:r>
            <w:r>
              <w:rPr>
                <w:rFonts w:hint="default" w:ascii="Times New Roman" w:hAnsi="Times New Roman" w:cs="Times New Roman"/>
                <w:b/>
                <w:color w:val="auto"/>
                <w:sz w:val="21"/>
                <w:szCs w:val="21"/>
              </w:rPr>
              <w:t>相关政策的符合性</w:t>
            </w:r>
          </w:p>
          <w:tbl>
            <w:tblPr>
              <w:tblStyle w:val="30"/>
              <w:tblW w:w="495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639"/>
              <w:gridCol w:w="3529"/>
              <w:gridCol w:w="746"/>
            </w:tblGrid>
            <w:tr w14:paraId="55686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82" w:type="pct"/>
                  <w:tcBorders>
                    <w:tl2br w:val="nil"/>
                    <w:tr2bl w:val="nil"/>
                  </w:tcBorders>
                  <w:noWrap w:val="0"/>
                  <w:vAlign w:val="center"/>
                </w:tcPr>
                <w:p w14:paraId="2AF29EA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color w:val="auto"/>
                      <w:sz w:val="21"/>
                      <w:szCs w:val="21"/>
                      <w:lang w:val="en-US" w:eastAsia="zh-CN"/>
                    </w:rPr>
                    <w:t>化工项目入园</w:t>
                  </w:r>
                  <w:r>
                    <w:rPr>
                      <w:rFonts w:hint="default" w:ascii="Times New Roman" w:hAnsi="Times New Roman" w:cs="Times New Roman"/>
                      <w:b/>
                      <w:color w:val="auto"/>
                      <w:sz w:val="21"/>
                      <w:szCs w:val="21"/>
                    </w:rPr>
                    <w:t>政策</w:t>
                  </w:r>
                </w:p>
              </w:tc>
              <w:tc>
                <w:tcPr>
                  <w:tcW w:w="1647" w:type="pct"/>
                  <w:tcBorders>
                    <w:tl2br w:val="nil"/>
                    <w:tr2bl w:val="nil"/>
                  </w:tcBorders>
                  <w:noWrap w:val="0"/>
                  <w:vAlign w:val="center"/>
                </w:tcPr>
                <w:p w14:paraId="1185EA1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政策要求</w:t>
                  </w:r>
                </w:p>
              </w:tc>
              <w:tc>
                <w:tcPr>
                  <w:tcW w:w="2203" w:type="pct"/>
                  <w:tcBorders>
                    <w:tl2br w:val="nil"/>
                    <w:tr2bl w:val="nil"/>
                  </w:tcBorders>
                  <w:noWrap w:val="0"/>
                  <w:vAlign w:val="center"/>
                </w:tcPr>
                <w:p w14:paraId="762CC42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本项目情况</w:t>
                  </w:r>
                </w:p>
              </w:tc>
              <w:tc>
                <w:tcPr>
                  <w:tcW w:w="465" w:type="pct"/>
                  <w:tcBorders>
                    <w:tl2br w:val="nil"/>
                    <w:tr2bl w:val="nil"/>
                  </w:tcBorders>
                  <w:noWrap w:val="0"/>
                  <w:vAlign w:val="center"/>
                </w:tcPr>
                <w:p w14:paraId="68D03A8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符合性</w:t>
                  </w:r>
                </w:p>
              </w:tc>
            </w:tr>
            <w:tr w14:paraId="3C5EF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682" w:type="pct"/>
                  <w:tcBorders>
                    <w:tl2br w:val="nil"/>
                    <w:tr2bl w:val="nil"/>
                  </w:tcBorders>
                  <w:noWrap w:val="0"/>
                  <w:vAlign w:val="center"/>
                </w:tcPr>
                <w:p w14:paraId="017AAE1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《关于</w:t>
                  </w:r>
                  <w:r>
                    <w:rPr>
                      <w:rFonts w:hint="eastAsia" w:cs="Times New Roman"/>
                      <w:bCs/>
                      <w:color w:val="auto"/>
                      <w:sz w:val="21"/>
                      <w:szCs w:val="21"/>
                      <w:lang w:eastAsia="zh-CN"/>
                    </w:rPr>
                    <w:t>“</w:t>
                  </w:r>
                  <w:r>
                    <w:rPr>
                      <w:rFonts w:hint="default" w:ascii="Times New Roman" w:hAnsi="Times New Roman" w:cs="Times New Roman"/>
                      <w:bCs/>
                      <w:color w:val="auto"/>
                      <w:sz w:val="21"/>
                      <w:szCs w:val="21"/>
                    </w:rPr>
                    <w:t>十四五</w:t>
                  </w:r>
                  <w:r>
                    <w:rPr>
                      <w:rFonts w:hint="eastAsia"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推动石化化工行业高质量发展的指导意见》（工信部联原〔2022〕34号）</w:t>
                  </w:r>
                </w:p>
              </w:tc>
              <w:tc>
                <w:tcPr>
                  <w:tcW w:w="1647" w:type="pct"/>
                  <w:tcBorders>
                    <w:tl2br w:val="nil"/>
                    <w:tr2bl w:val="nil"/>
                  </w:tcBorders>
                  <w:noWrap w:val="0"/>
                  <w:vAlign w:val="center"/>
                </w:tcPr>
                <w:p w14:paraId="21ADF91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七</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引导化工项目进区入园，促进高水平集聚发展。推动化工园区规范化发展，依法依规利用综合标准倒逼园区防范化解安全环境风险，加快园区污染防治等基础设施建设，加强园区污水管网排查整治，提升本质安全和清洁生产水平。引导园区内企业循环生产、产业耦合发展，鼓励化工园区间错位、差异化发展，与冶金、建材、纺织、电子等行业协同布局。鼓励化工园区建设科技创新及科研成果孵化平台、智能化管理</w:t>
                  </w:r>
                  <w:r>
                    <w:rPr>
                      <w:rFonts w:hint="default" w:ascii="Times New Roman" w:hAnsi="Times New Roman" w:cs="Times New Roman"/>
                      <w:i w:val="0"/>
                      <w:iCs w:val="0"/>
                      <w:color w:val="auto"/>
                      <w:sz w:val="21"/>
                      <w:szCs w:val="21"/>
                    </w:rPr>
                    <w:t>系统。严格执行危险化学品‘禁限控’目录，新建危险化学品生产项目必须进入一般或较低安全风险的化工园区</w:t>
                  </w:r>
                  <w:r>
                    <w:rPr>
                      <w:rFonts w:hint="default" w:ascii="Times New Roman" w:hAnsi="Times New Roman" w:cs="Times New Roman"/>
                      <w:b w:val="0"/>
                      <w:bCs w:val="0"/>
                      <w:i w:val="0"/>
                      <w:iCs w:val="0"/>
                      <w:color w:val="auto"/>
                      <w:sz w:val="21"/>
                      <w:szCs w:val="21"/>
                    </w:rPr>
                    <w:t>（与其他行业生产装置配套建设的项目除外）</w:t>
                  </w:r>
                  <w:r>
                    <w:rPr>
                      <w:rFonts w:hint="default" w:ascii="Times New Roman" w:hAnsi="Times New Roman" w:cs="Times New Roman"/>
                      <w:i w:val="0"/>
                      <w:iCs w:val="0"/>
                      <w:color w:val="auto"/>
                      <w:sz w:val="21"/>
                      <w:szCs w:val="21"/>
                    </w:rPr>
                    <w:t>，引导其他石化化工项目在化工园区发展。</w:t>
                  </w:r>
                </w:p>
              </w:tc>
              <w:tc>
                <w:tcPr>
                  <w:tcW w:w="2203" w:type="pct"/>
                  <w:tcBorders>
                    <w:tl2br w:val="nil"/>
                    <w:tr2bl w:val="nil"/>
                  </w:tcBorders>
                  <w:noWrap w:val="0"/>
                  <w:vAlign w:val="center"/>
                </w:tcPr>
                <w:p w14:paraId="27642500">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本项目为工业气体生产项目，属于C2619其他基础化学原料制造，属于危险化学品生产</w:t>
                  </w:r>
                  <w:r>
                    <w:rPr>
                      <w:rFonts w:hint="eastAsia"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位于陕西省宝鸡市凤翔高新区长青工业园循环经济产业区。</w:t>
                  </w:r>
                </w:p>
                <w:p w14:paraId="5FDACC35">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根据</w:t>
                  </w:r>
                  <w:r>
                    <w:rPr>
                      <w:rFonts w:hint="default" w:ascii="Times New Roman" w:hAnsi="Times New Roman" w:cs="Times New Roman"/>
                      <w:color w:val="auto"/>
                      <w:sz w:val="21"/>
                      <w:szCs w:val="21"/>
                      <w:lang w:val="en-US" w:eastAsia="zh-CN"/>
                    </w:rPr>
                    <w:t>陕西省人民政府办公厅《关于下达城镇人口密集区危险化学品生产企业搬迁改造工作任务的通知》（陕政办函</w:t>
                  </w:r>
                  <w:r>
                    <w:rPr>
                      <w:rFonts w:hint="eastAsia" w:cs="Times New Roman"/>
                      <w:color w:val="auto"/>
                      <w:sz w:val="21"/>
                      <w:szCs w:val="21"/>
                      <w:lang w:val="en-US" w:eastAsia="zh-CN"/>
                    </w:rPr>
                    <w:t>〔2018〕</w:t>
                  </w:r>
                  <w:r>
                    <w:rPr>
                      <w:rFonts w:hint="default" w:ascii="Times New Roman" w:hAnsi="Times New Roman" w:cs="Times New Roman"/>
                      <w:color w:val="auto"/>
                      <w:sz w:val="21"/>
                      <w:szCs w:val="21"/>
                      <w:lang w:val="en-US" w:eastAsia="zh-CN"/>
                    </w:rPr>
                    <w:t>354号），明确陕西宝化科技有限责任公司、宝鸡渭河电石有限公司两户企业搬迁到凤翔县长青工业园区。陕西省推进城镇人口密集区危险化学品生产企业搬迁改造工作领导小组办公室《关于公布可承载危险化学品生产企业搬迁化工园区评价标准和第一批可承载危险化学品生产企业搬迁化工园区认定名单的通知》（陕危化迁办发</w:t>
                  </w:r>
                  <w:r>
                    <w:rPr>
                      <w:rFonts w:hint="eastAsia" w:cs="Times New Roman"/>
                      <w:color w:val="auto"/>
                      <w:sz w:val="21"/>
                      <w:szCs w:val="21"/>
                      <w:lang w:val="en-US" w:eastAsia="zh-CN"/>
                    </w:rPr>
                    <w:t>〔2019〕</w:t>
                  </w:r>
                  <w:r>
                    <w:rPr>
                      <w:rFonts w:hint="default" w:ascii="Times New Roman" w:hAnsi="Times New Roman" w:cs="Times New Roman"/>
                      <w:color w:val="auto"/>
                      <w:sz w:val="21"/>
                      <w:szCs w:val="21"/>
                      <w:lang w:val="en-US" w:eastAsia="zh-CN"/>
                    </w:rPr>
                    <w:t>6号）文件，将凤翔高新区长青工业园列为陕西省第一批可承载危险化学品生产企业搬迁化工园区，推荐可承接化工项目类别为C1化工、甲醇相关下游产品、专用化学品、高附加值精细化工及新材料、无机化工、医药化工</w:t>
                  </w:r>
                  <w:r>
                    <w:rPr>
                      <w:rFonts w:hint="eastAsia" w:ascii="Times New Roman" w:hAnsi="Times New Roman" w:cs="Times New Roman"/>
                      <w:color w:val="auto"/>
                      <w:sz w:val="21"/>
                      <w:szCs w:val="21"/>
                      <w:lang w:val="en-US" w:eastAsia="zh-CN"/>
                    </w:rPr>
                    <w:t>。</w:t>
                  </w:r>
                </w:p>
              </w:tc>
              <w:tc>
                <w:tcPr>
                  <w:tcW w:w="465" w:type="pct"/>
                  <w:tcBorders>
                    <w:tl2br w:val="nil"/>
                    <w:tr2bl w:val="nil"/>
                  </w:tcBorders>
                  <w:noWrap w:val="0"/>
                  <w:vAlign w:val="center"/>
                </w:tcPr>
                <w:p w14:paraId="32D09DE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bl>
          <w:p w14:paraId="5F00FF6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lang w:val="zh-CN" w:eastAsia="zh-CN"/>
              </w:rPr>
            </w:pPr>
            <w:r>
              <w:rPr>
                <w:rFonts w:hint="eastAsia"/>
                <w:b/>
                <w:bCs/>
                <w:color w:val="auto"/>
                <w:highlight w:val="none"/>
                <w:lang w:val="en-US" w:eastAsia="zh-CN"/>
              </w:rPr>
              <w:t>四、</w:t>
            </w:r>
            <w:r>
              <w:rPr>
                <w:rFonts w:hint="default"/>
                <w:b/>
                <w:bCs/>
                <w:color w:val="auto"/>
                <w:highlight w:val="none"/>
                <w:lang w:val="en-US" w:eastAsia="zh-CN"/>
              </w:rPr>
              <w:t>项目与相关环境保护规划符合性分析</w:t>
            </w:r>
          </w:p>
          <w:p w14:paraId="12D0AA21">
            <w:pPr>
              <w:pStyle w:val="85"/>
              <w:bidi w:val="0"/>
              <w:rPr>
                <w:rFonts w:hint="default"/>
                <w:color w:val="auto"/>
                <w:sz w:val="21"/>
                <w:szCs w:val="21"/>
                <w:lang w:val="zh-CN"/>
              </w:rPr>
            </w:pPr>
            <w:r>
              <w:rPr>
                <w:rFonts w:hint="default"/>
                <w:color w:val="auto"/>
                <w:sz w:val="21"/>
                <w:szCs w:val="21"/>
                <w:lang w:val="zh-CN"/>
              </w:rPr>
              <w:t>表</w:t>
            </w:r>
            <w:r>
              <w:rPr>
                <w:rFonts w:hint="eastAsia"/>
                <w:color w:val="auto"/>
                <w:sz w:val="21"/>
                <w:szCs w:val="21"/>
                <w:lang w:val="en-US" w:eastAsia="zh-CN"/>
              </w:rPr>
              <w:t>1-7</w:t>
            </w:r>
            <w:r>
              <w:rPr>
                <w:rFonts w:hint="default"/>
                <w:color w:val="auto"/>
                <w:sz w:val="21"/>
                <w:szCs w:val="21"/>
                <w:lang w:val="zh-CN"/>
              </w:rPr>
              <w:t xml:space="preserve"> </w:t>
            </w:r>
            <w:r>
              <w:rPr>
                <w:rFonts w:hint="eastAsia"/>
                <w:color w:val="auto"/>
                <w:sz w:val="21"/>
                <w:szCs w:val="21"/>
                <w:lang w:val="en-US" w:eastAsia="zh-CN"/>
              </w:rPr>
              <w:t xml:space="preserve"> 项目</w:t>
            </w:r>
            <w:r>
              <w:rPr>
                <w:rFonts w:hint="default"/>
                <w:color w:val="auto"/>
                <w:sz w:val="21"/>
                <w:szCs w:val="21"/>
                <w:highlight w:val="none"/>
                <w:lang w:val="zh-CN"/>
              </w:rPr>
              <w:t>与相关生态环境保护法律法规、生态环境保护规划的符合性分析一览表</w:t>
            </w:r>
          </w:p>
          <w:tbl>
            <w:tblPr>
              <w:tblStyle w:val="31"/>
              <w:tblW w:w="8004"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78"/>
              <w:gridCol w:w="3219"/>
              <w:gridCol w:w="2690"/>
              <w:gridCol w:w="917"/>
            </w:tblGrid>
            <w:tr w14:paraId="7512834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tcBorders>
                    <w:tl2br w:val="nil"/>
                    <w:tr2bl w:val="nil"/>
                  </w:tcBorders>
                  <w:noWrap w:val="0"/>
                  <w:vAlign w:val="center"/>
                </w:tcPr>
                <w:p w14:paraId="3C9E1AC7">
                  <w:pPr>
                    <w:pStyle w:val="24"/>
                    <w:spacing w:line="240" w:lineRule="auto"/>
                    <w:ind w:left="0" w:leftChars="0" w:firstLine="0" w:firstLineChars="0"/>
                    <w:jc w:val="center"/>
                    <w:rPr>
                      <w:rFonts w:hint="default" w:ascii="Times New Roman" w:hAnsi="Times New Roman" w:cs="Times New Roman"/>
                      <w:b/>
                      <w:bCs/>
                      <w:color w:val="auto"/>
                      <w:sz w:val="21"/>
                      <w:szCs w:val="21"/>
                      <w:vertAlign w:val="baseline"/>
                      <w:lang w:eastAsia="zh-CN"/>
                    </w:rPr>
                  </w:pPr>
                  <w:r>
                    <w:rPr>
                      <w:rFonts w:hint="default" w:ascii="Times New Roman" w:hAnsi="Times New Roman" w:cs="Times New Roman"/>
                      <w:b/>
                      <w:bCs/>
                      <w:color w:val="auto"/>
                      <w:sz w:val="21"/>
                      <w:szCs w:val="21"/>
                      <w:vertAlign w:val="baseline"/>
                      <w:lang w:eastAsia="zh-CN"/>
                    </w:rPr>
                    <w:t>名称</w:t>
                  </w:r>
                </w:p>
              </w:tc>
              <w:tc>
                <w:tcPr>
                  <w:tcW w:w="3219" w:type="dxa"/>
                  <w:tcBorders>
                    <w:tl2br w:val="nil"/>
                    <w:tr2bl w:val="nil"/>
                  </w:tcBorders>
                  <w:noWrap w:val="0"/>
                  <w:vAlign w:val="center"/>
                </w:tcPr>
                <w:p w14:paraId="6D9881D6">
                  <w:pPr>
                    <w:pStyle w:val="24"/>
                    <w:spacing w:line="240" w:lineRule="auto"/>
                    <w:ind w:left="0" w:leftChars="0" w:firstLine="0" w:firstLineChars="0"/>
                    <w:jc w:val="center"/>
                    <w:rPr>
                      <w:rFonts w:hint="default" w:ascii="Times New Roman" w:hAnsi="Times New Roman" w:cs="Times New Roman"/>
                      <w:b/>
                      <w:bCs/>
                      <w:color w:val="auto"/>
                      <w:sz w:val="21"/>
                      <w:szCs w:val="21"/>
                      <w:vertAlign w:val="baseline"/>
                      <w:lang w:eastAsia="zh-CN"/>
                    </w:rPr>
                  </w:pPr>
                  <w:r>
                    <w:rPr>
                      <w:rFonts w:hint="default" w:ascii="Times New Roman" w:hAnsi="Times New Roman" w:cs="Times New Roman"/>
                      <w:b/>
                      <w:bCs/>
                      <w:color w:val="auto"/>
                      <w:sz w:val="21"/>
                      <w:szCs w:val="21"/>
                      <w:vertAlign w:val="baseline"/>
                      <w:lang w:eastAsia="zh-CN"/>
                    </w:rPr>
                    <w:t>内容</w:t>
                  </w:r>
                </w:p>
              </w:tc>
              <w:tc>
                <w:tcPr>
                  <w:tcW w:w="2690" w:type="dxa"/>
                  <w:tcBorders>
                    <w:tl2br w:val="nil"/>
                    <w:tr2bl w:val="nil"/>
                  </w:tcBorders>
                  <w:noWrap w:val="0"/>
                  <w:vAlign w:val="center"/>
                </w:tcPr>
                <w:p w14:paraId="14C2E580">
                  <w:pPr>
                    <w:pStyle w:val="24"/>
                    <w:spacing w:line="240" w:lineRule="auto"/>
                    <w:ind w:left="0" w:leftChars="0" w:firstLine="0" w:firstLineChars="0"/>
                    <w:jc w:val="center"/>
                    <w:rPr>
                      <w:rFonts w:hint="default" w:ascii="Times New Roman" w:hAnsi="Times New Roman" w:cs="Times New Roman"/>
                      <w:b/>
                      <w:bCs/>
                      <w:color w:val="auto"/>
                      <w:sz w:val="21"/>
                      <w:szCs w:val="21"/>
                      <w:vertAlign w:val="baseline"/>
                      <w:lang w:eastAsia="zh-CN"/>
                    </w:rPr>
                  </w:pPr>
                  <w:r>
                    <w:rPr>
                      <w:rFonts w:hint="default" w:ascii="Times New Roman" w:hAnsi="Times New Roman" w:cs="Times New Roman"/>
                      <w:b/>
                      <w:bCs/>
                      <w:color w:val="auto"/>
                      <w:sz w:val="21"/>
                      <w:szCs w:val="21"/>
                      <w:vertAlign w:val="baseline"/>
                      <w:lang w:eastAsia="zh-CN"/>
                    </w:rPr>
                    <w:t>项目情况</w:t>
                  </w:r>
                </w:p>
              </w:tc>
              <w:tc>
                <w:tcPr>
                  <w:tcW w:w="917" w:type="dxa"/>
                  <w:tcBorders>
                    <w:tl2br w:val="nil"/>
                    <w:tr2bl w:val="nil"/>
                  </w:tcBorders>
                  <w:noWrap w:val="0"/>
                  <w:vAlign w:val="center"/>
                </w:tcPr>
                <w:p w14:paraId="3D80AA26">
                  <w:pPr>
                    <w:pStyle w:val="24"/>
                    <w:spacing w:line="240" w:lineRule="auto"/>
                    <w:ind w:left="0" w:leftChars="0" w:firstLine="0" w:firstLineChars="0"/>
                    <w:jc w:val="center"/>
                    <w:rPr>
                      <w:rFonts w:hint="default" w:ascii="Times New Roman" w:hAnsi="Times New Roman" w:cs="Times New Roman"/>
                      <w:b/>
                      <w:bCs/>
                      <w:color w:val="auto"/>
                      <w:sz w:val="21"/>
                      <w:szCs w:val="21"/>
                      <w:vertAlign w:val="baseline"/>
                      <w:lang w:eastAsia="zh-CN"/>
                    </w:rPr>
                  </w:pPr>
                  <w:r>
                    <w:rPr>
                      <w:rFonts w:hint="eastAsia" w:cs="Times New Roman"/>
                      <w:b/>
                      <w:bCs/>
                      <w:color w:val="auto"/>
                      <w:sz w:val="21"/>
                      <w:szCs w:val="21"/>
                      <w:vertAlign w:val="baseline"/>
                      <w:lang w:val="en-US" w:eastAsia="zh-CN"/>
                    </w:rPr>
                    <w:t>符合性</w:t>
                  </w:r>
                </w:p>
              </w:tc>
            </w:tr>
            <w:tr w14:paraId="12D6041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restart"/>
                  <w:tcBorders>
                    <w:tl2br w:val="nil"/>
                    <w:tr2bl w:val="nil"/>
                  </w:tcBorders>
                  <w:noWrap w:val="0"/>
                  <w:vAlign w:val="center"/>
                </w:tcPr>
                <w:p w14:paraId="25647F88">
                  <w:pPr>
                    <w:pStyle w:val="24"/>
                    <w:spacing w:line="240" w:lineRule="auto"/>
                    <w:ind w:left="0" w:leftChars="0" w:firstLine="0" w:firstLineChars="0"/>
                    <w:jc w:val="center"/>
                    <w:rPr>
                      <w:rFonts w:hint="default" w:ascii="Times New Roman" w:hAnsi="Times New Roman" w:cs="Times New Roman"/>
                      <w:b/>
                      <w:bCs/>
                      <w:color w:val="auto"/>
                      <w:sz w:val="21"/>
                      <w:szCs w:val="21"/>
                      <w:vertAlign w:val="baseline"/>
                      <w:lang w:eastAsia="zh-CN"/>
                    </w:rPr>
                  </w:pPr>
                  <w:r>
                    <w:rPr>
                      <w:rFonts w:hint="default" w:ascii="Times New Roman" w:hAnsi="Times New Roman" w:cs="Times New Roman"/>
                      <w:color w:val="auto"/>
                      <w:szCs w:val="21"/>
                    </w:rPr>
                    <w:t>《国务院关于印发大气污染防治行动计划的通知》（国发〔2013〕37号）</w:t>
                  </w:r>
                </w:p>
              </w:tc>
              <w:tc>
                <w:tcPr>
                  <w:tcW w:w="3219" w:type="dxa"/>
                  <w:tcBorders>
                    <w:tl2br w:val="nil"/>
                    <w:tr2bl w:val="nil"/>
                  </w:tcBorders>
                  <w:noWrap w:val="0"/>
                  <w:vAlign w:val="center"/>
                </w:tcPr>
                <w:p w14:paraId="3EA2EE6D">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（一）加强工业企业大气污染综合治理。全面整治燃煤小锅炉。加快推进集中供热、</w:t>
                  </w:r>
                  <w:r>
                    <w:rPr>
                      <w:rFonts w:hint="eastAsia" w:cs="Times New Roman"/>
                      <w:color w:val="auto"/>
                      <w:sz w:val="21"/>
                      <w:szCs w:val="21"/>
                      <w:lang w:eastAsia="zh-CN"/>
                    </w:rPr>
                    <w:t>“</w:t>
                  </w:r>
                  <w:r>
                    <w:rPr>
                      <w:rFonts w:hint="default" w:ascii="Times New Roman" w:hAnsi="Times New Roman" w:cs="Times New Roman"/>
                      <w:color w:val="auto"/>
                      <w:sz w:val="21"/>
                      <w:szCs w:val="21"/>
                    </w:rPr>
                    <w:t>煤改气</w:t>
                  </w:r>
                  <w:r>
                    <w:rPr>
                      <w:rFonts w:hint="eastAsia" w:ascii="Times New Roman" w:hAnsi="Times New Roman" w:cs="Times New Roman"/>
                      <w:color w:val="auto"/>
                      <w:sz w:val="21"/>
                      <w:szCs w:val="21"/>
                      <w:lang w:eastAsia="zh-CN"/>
                    </w:rPr>
                    <w:t>”</w:t>
                  </w:r>
                  <w:r>
                    <w:rPr>
                      <w:rFonts w:hint="eastAsia" w:cs="Times New Roman"/>
                      <w:color w:val="auto"/>
                      <w:sz w:val="21"/>
                      <w:szCs w:val="21"/>
                      <w:lang w:eastAsia="zh-CN"/>
                    </w:rPr>
                    <w:t>“</w:t>
                  </w:r>
                  <w:r>
                    <w:rPr>
                      <w:rFonts w:hint="default" w:ascii="Times New Roman" w:hAnsi="Times New Roman" w:cs="Times New Roman"/>
                      <w:color w:val="auto"/>
                      <w:sz w:val="21"/>
                      <w:szCs w:val="21"/>
                    </w:rPr>
                    <w:t>煤改电</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工程建设，到2017年，除必要保留的以外，地级及以上城市建成区基本淘汰每小时10蒸吨及以下的燃煤锅炉，禁止新建每小时20蒸吨以下的燃煤锅炉；其他地区原则上不再新建每小时10蒸吨以下的燃煤锅炉。在供热供气管网不能覆盖的地区，改用电、新能源或洁净煤，推广应用高效节能环保型锅炉。在化工、造纸、印染、制革、制药等产业集聚区，通过集中建设热电联产机组逐步淘汰分散燃煤锅炉。</w:t>
                  </w:r>
                </w:p>
              </w:tc>
              <w:tc>
                <w:tcPr>
                  <w:tcW w:w="2690" w:type="dxa"/>
                  <w:tcBorders>
                    <w:tl2br w:val="nil"/>
                    <w:tr2bl w:val="nil"/>
                  </w:tcBorders>
                  <w:noWrap w:val="0"/>
                  <w:vAlign w:val="center"/>
                </w:tcPr>
                <w:p w14:paraId="565413B3">
                  <w:pPr>
                    <w:pStyle w:val="24"/>
                    <w:spacing w:line="240" w:lineRule="auto"/>
                    <w:ind w:left="0" w:leftChars="0" w:firstLine="0" w:firstLineChars="0"/>
                    <w:jc w:val="both"/>
                    <w:rPr>
                      <w:rFonts w:hint="default" w:ascii="Times New Roman" w:hAnsi="Times New Roman" w:cs="Times New Roman"/>
                      <w:b/>
                      <w:bCs/>
                      <w:color w:val="auto"/>
                      <w:sz w:val="21"/>
                      <w:szCs w:val="21"/>
                      <w:vertAlign w:val="baseline"/>
                      <w:lang w:eastAsia="zh-CN"/>
                    </w:rPr>
                  </w:pPr>
                  <w:r>
                    <w:rPr>
                      <w:rFonts w:hint="default" w:ascii="Times New Roman" w:hAnsi="Times New Roman" w:cs="Times New Roman"/>
                      <w:b w:val="0"/>
                      <w:bCs w:val="0"/>
                      <w:color w:val="auto"/>
                      <w:sz w:val="21"/>
                      <w:szCs w:val="21"/>
                      <w:vertAlign w:val="baseline"/>
                      <w:lang w:eastAsia="zh-CN"/>
                    </w:rPr>
                    <w:t>项目不涉及燃煤锅炉。</w:t>
                  </w:r>
                  <w:r>
                    <w:rPr>
                      <w:rFonts w:hint="eastAsia" w:ascii="Times New Roman" w:hAnsi="Times New Roman" w:cs="Times New Roman"/>
                      <w:b w:val="0"/>
                      <w:bCs w:val="0"/>
                      <w:color w:val="auto"/>
                      <w:sz w:val="21"/>
                      <w:szCs w:val="21"/>
                      <w:vertAlign w:val="baseline"/>
                      <w:lang w:eastAsia="zh-CN"/>
                    </w:rPr>
                    <w:t>本项目外排废气主要来自空分设备线的污氮</w:t>
                  </w:r>
                  <w:r>
                    <w:rPr>
                      <w:rFonts w:hint="default" w:ascii="Times New Roman" w:hAnsi="Times New Roman" w:cs="Times New Roman"/>
                      <w:b w:val="0"/>
                      <w:bCs w:val="0"/>
                      <w:color w:val="auto"/>
                      <w:sz w:val="21"/>
                      <w:szCs w:val="21"/>
                      <w:highlight w:val="none"/>
                      <w:vertAlign w:val="baseline"/>
                      <w:lang w:eastAsia="zh-CN"/>
                    </w:rPr>
                    <w:t>（纯度不高的氮气）</w:t>
                  </w:r>
                  <w:r>
                    <w:rPr>
                      <w:rFonts w:hint="eastAsia" w:ascii="Times New Roman" w:hAnsi="Times New Roman" w:cs="Times New Roman"/>
                      <w:b w:val="0"/>
                      <w:bCs w:val="0"/>
                      <w:color w:val="auto"/>
                      <w:sz w:val="21"/>
                      <w:szCs w:val="21"/>
                      <w:highlight w:val="none"/>
                      <w:vertAlign w:val="baseline"/>
                      <w:lang w:val="en-US" w:eastAsia="zh-CN"/>
                    </w:rPr>
                    <w:t>及气体充装线排放的非甲烷总烃</w:t>
                  </w:r>
                  <w:r>
                    <w:rPr>
                      <w:rFonts w:hint="default" w:ascii="Times New Roman" w:hAnsi="Times New Roman" w:cs="Times New Roman"/>
                      <w:b w:val="0"/>
                      <w:bCs w:val="0"/>
                      <w:color w:val="auto"/>
                      <w:sz w:val="21"/>
                      <w:szCs w:val="21"/>
                      <w:highlight w:val="none"/>
                      <w:vertAlign w:val="baseline"/>
                      <w:lang w:eastAsia="zh-CN"/>
                    </w:rPr>
                    <w:t>，</w:t>
                  </w:r>
                  <w:r>
                    <w:rPr>
                      <w:rFonts w:hint="eastAsia" w:ascii="Times New Roman" w:hAnsi="Times New Roman" w:cs="Times New Roman"/>
                      <w:b w:val="0"/>
                      <w:bCs w:val="0"/>
                      <w:color w:val="auto"/>
                      <w:sz w:val="21"/>
                      <w:szCs w:val="21"/>
                      <w:vertAlign w:val="baseline"/>
                      <w:lang w:val="en-US" w:eastAsia="zh-CN"/>
                    </w:rPr>
                    <w:t>空分设备线</w:t>
                  </w:r>
                  <w:r>
                    <w:rPr>
                      <w:rFonts w:hint="default" w:ascii="Times New Roman" w:hAnsi="Times New Roman" w:cs="Times New Roman"/>
                      <w:b w:val="0"/>
                      <w:bCs w:val="0"/>
                      <w:color w:val="auto"/>
                      <w:sz w:val="21"/>
                      <w:szCs w:val="21"/>
                      <w:highlight w:val="none"/>
                      <w:vertAlign w:val="baseline"/>
                      <w:lang w:eastAsia="zh-CN"/>
                    </w:rPr>
                    <w:t>外排废气中主要成分均为空气中的组分，无毒无害，不会对</w:t>
                  </w:r>
                  <w:r>
                    <w:rPr>
                      <w:rFonts w:hint="eastAsia" w:ascii="Times New Roman" w:hAnsi="Times New Roman" w:cs="Times New Roman"/>
                      <w:b w:val="0"/>
                      <w:bCs w:val="0"/>
                      <w:color w:val="auto"/>
                      <w:sz w:val="21"/>
                      <w:szCs w:val="21"/>
                      <w:highlight w:val="none"/>
                      <w:vertAlign w:val="baseline"/>
                      <w:lang w:val="en-US" w:eastAsia="zh-CN"/>
                    </w:rPr>
                    <w:t>大气</w:t>
                  </w:r>
                  <w:r>
                    <w:rPr>
                      <w:rFonts w:hint="default" w:ascii="Times New Roman" w:hAnsi="Times New Roman" w:cs="Times New Roman"/>
                      <w:b w:val="0"/>
                      <w:bCs w:val="0"/>
                      <w:color w:val="auto"/>
                      <w:sz w:val="21"/>
                      <w:szCs w:val="21"/>
                      <w:highlight w:val="none"/>
                      <w:vertAlign w:val="baseline"/>
                      <w:lang w:eastAsia="zh-CN"/>
                    </w:rPr>
                    <w:t>环境造成不利的影响。</w:t>
                  </w:r>
                  <w:r>
                    <w:rPr>
                      <w:rFonts w:hint="eastAsia" w:ascii="Times New Roman" w:hAnsi="Times New Roman" w:cs="Times New Roman"/>
                      <w:b w:val="0"/>
                      <w:bCs w:val="0"/>
                      <w:color w:val="auto"/>
                      <w:sz w:val="21"/>
                      <w:szCs w:val="21"/>
                      <w:highlight w:val="none"/>
                      <w:vertAlign w:val="baseline"/>
                      <w:lang w:val="en-US" w:eastAsia="zh-CN"/>
                    </w:rPr>
                    <w:t>气体充装线通过加强通风、厂区内部管理，定期对储罐阀门、法兰等处进行检查，无组织排放废气对大气环境影响较小</w:t>
                  </w:r>
                  <w:r>
                    <w:rPr>
                      <w:rFonts w:hint="default" w:ascii="Times New Roman" w:hAnsi="Times New Roman" w:cs="Times New Roman"/>
                      <w:b w:val="0"/>
                      <w:bCs w:val="0"/>
                      <w:color w:val="auto"/>
                      <w:sz w:val="21"/>
                      <w:szCs w:val="21"/>
                      <w:vertAlign w:val="baseline"/>
                      <w:lang w:eastAsia="zh-CN"/>
                    </w:rPr>
                    <w:t>。</w:t>
                  </w:r>
                </w:p>
              </w:tc>
              <w:tc>
                <w:tcPr>
                  <w:tcW w:w="917" w:type="dxa"/>
                  <w:tcBorders>
                    <w:tl2br w:val="nil"/>
                    <w:tr2bl w:val="nil"/>
                  </w:tcBorders>
                  <w:noWrap w:val="0"/>
                  <w:vAlign w:val="center"/>
                </w:tcPr>
                <w:p w14:paraId="2DF7DC4A">
                  <w:pPr>
                    <w:pStyle w:val="24"/>
                    <w:spacing w:line="240" w:lineRule="auto"/>
                    <w:ind w:left="0" w:leftChars="0" w:firstLine="0" w:firstLineChars="0"/>
                    <w:jc w:val="center"/>
                    <w:rPr>
                      <w:rFonts w:hint="default" w:cs="Times New Roman"/>
                      <w:b/>
                      <w:bCs/>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669F7A6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continue"/>
                  <w:tcBorders>
                    <w:tl2br w:val="nil"/>
                    <w:tr2bl w:val="nil"/>
                  </w:tcBorders>
                  <w:noWrap w:val="0"/>
                  <w:vAlign w:val="center"/>
                </w:tcPr>
                <w:p w14:paraId="4EB4BA6B">
                  <w:pPr>
                    <w:pStyle w:val="24"/>
                    <w:spacing w:line="240" w:lineRule="auto"/>
                    <w:ind w:left="0" w:leftChars="0" w:firstLine="0" w:firstLineChars="0"/>
                    <w:jc w:val="center"/>
                    <w:rPr>
                      <w:rFonts w:hint="default" w:ascii="Times New Roman" w:hAnsi="Times New Roman" w:cs="Times New Roman"/>
                      <w:color w:val="auto"/>
                      <w:szCs w:val="21"/>
                    </w:rPr>
                  </w:pPr>
                </w:p>
              </w:tc>
              <w:tc>
                <w:tcPr>
                  <w:tcW w:w="3219" w:type="dxa"/>
                  <w:tcBorders>
                    <w:tl2br w:val="nil"/>
                    <w:tr2bl w:val="nil"/>
                  </w:tcBorders>
                  <w:noWrap w:val="0"/>
                  <w:vAlign w:val="center"/>
                </w:tcPr>
                <w:p w14:paraId="01B74905">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iCs/>
                      <w:color w:val="auto"/>
                      <w:sz w:val="21"/>
                      <w:szCs w:val="21"/>
                    </w:rPr>
                    <w:t>（二）深化面源污染治理。综合整治城市扬尘。加强施工扬尘监管，积极推进绿色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推进城市及周边绿化和防风防沙林建设，扩大城市建成区绿地规模。</w:t>
                  </w:r>
                </w:p>
              </w:tc>
              <w:tc>
                <w:tcPr>
                  <w:tcW w:w="2690" w:type="dxa"/>
                  <w:tcBorders>
                    <w:tl2br w:val="nil"/>
                    <w:tr2bl w:val="nil"/>
                  </w:tcBorders>
                  <w:noWrap w:val="0"/>
                  <w:vAlign w:val="center"/>
                </w:tcPr>
                <w:p w14:paraId="22D214A2">
                  <w:pPr>
                    <w:pStyle w:val="24"/>
                    <w:spacing w:line="240" w:lineRule="auto"/>
                    <w:ind w:left="0" w:leftChars="0" w:firstLine="0" w:firstLineChars="0"/>
                    <w:jc w:val="both"/>
                    <w:rPr>
                      <w:rFonts w:hint="default" w:ascii="Times New Roman" w:hAnsi="Times New Roman" w:cs="Times New Roman"/>
                      <w:b/>
                      <w:bCs/>
                      <w:color w:val="auto"/>
                      <w:sz w:val="21"/>
                      <w:szCs w:val="21"/>
                      <w:vertAlign w:val="baseline"/>
                      <w:lang w:eastAsia="zh-CN"/>
                    </w:rPr>
                  </w:pPr>
                  <w:r>
                    <w:rPr>
                      <w:rFonts w:hint="eastAsia" w:ascii="Times New Roman" w:hAnsi="Times New Roman" w:eastAsia="宋体" w:cs="宋体"/>
                      <w:color w:val="auto"/>
                      <w:highlight w:val="none"/>
                      <w:lang w:val="en-US" w:eastAsia="zh-CN"/>
                    </w:rPr>
                    <w:t>本项目为迁建项目，位于凤翔县长青工业园区（化工园区），</w:t>
                  </w:r>
                  <w:r>
                    <w:rPr>
                      <w:rFonts w:hint="eastAsia" w:cs="宋体"/>
                      <w:color w:val="auto"/>
                      <w:highlight w:val="none"/>
                      <w:lang w:val="en-US" w:eastAsia="zh-CN"/>
                    </w:rPr>
                    <w:t>项目建设内容发生变化，</w:t>
                  </w:r>
                  <w:r>
                    <w:rPr>
                      <w:rFonts w:hint="eastAsia" w:ascii="Times New Roman" w:hAnsi="Times New Roman" w:cs="Times New Roman"/>
                      <w:color w:val="auto"/>
                      <w:szCs w:val="21"/>
                      <w:lang w:val="en-US" w:eastAsia="zh-CN"/>
                    </w:rPr>
                    <w:t>本项目在</w:t>
                  </w:r>
                  <w:r>
                    <w:rPr>
                      <w:rFonts w:hint="eastAsia" w:ascii="Times New Roman" w:hAnsi="Times New Roman" w:cs="Times New Roman"/>
                      <w:color w:val="000000" w:themeColor="text1"/>
                      <w:szCs w:val="21"/>
                      <w:lang w:val="en-US" w:eastAsia="zh-CN"/>
                      <w14:textFill>
                        <w14:solidFill>
                          <w14:schemeClr w14:val="tx1"/>
                        </w14:solidFill>
                      </w14:textFill>
                    </w:rPr>
                    <w:t>宝鸡渭河气体有限公司工业气体建设项目（原宝鸡渭河电石公司异地搬迁项目）</w:t>
                  </w:r>
                  <w:r>
                    <w:rPr>
                      <w:rFonts w:hint="eastAsia" w:cs="Times New Roman"/>
                      <w:color w:val="000000" w:themeColor="text1"/>
                      <w:szCs w:val="21"/>
                      <w:lang w:val="en-US" w:eastAsia="zh-CN"/>
                      <w14:textFill>
                        <w14:solidFill>
                          <w14:schemeClr w14:val="tx1"/>
                        </w14:solidFill>
                      </w14:textFill>
                    </w:rPr>
                    <w:t>占地范围内</w:t>
                  </w:r>
                  <w:r>
                    <w:rPr>
                      <w:rFonts w:hint="eastAsia" w:ascii="Times New Roman" w:hAnsi="Times New Roman" w:cs="Times New Roman"/>
                      <w:color w:val="000000" w:themeColor="text1"/>
                      <w:szCs w:val="21"/>
                      <w:lang w:val="en-US" w:eastAsia="zh-CN"/>
                      <w14:textFill>
                        <w14:solidFill>
                          <w14:schemeClr w14:val="tx1"/>
                        </w14:solidFill>
                      </w14:textFill>
                    </w:rPr>
                    <w:t>进行建设，不新增占地。</w:t>
                  </w:r>
                  <w:r>
                    <w:rPr>
                      <w:rFonts w:hint="eastAsia" w:ascii="Times New Roman" w:hAnsi="Times New Roman" w:eastAsia="宋体" w:cs="宋体"/>
                      <w:color w:val="000000" w:themeColor="text1"/>
                      <w:highlight w:val="none"/>
                      <w:lang w:val="en-US" w:eastAsia="zh-CN"/>
                      <w14:textFill>
                        <w14:solidFill>
                          <w14:schemeClr w14:val="tx1"/>
                        </w14:solidFill>
                      </w14:textFill>
                    </w:rPr>
                    <w:t>本次属于重大变动，重新报批。</w:t>
                  </w:r>
                  <w:r>
                    <w:rPr>
                      <w:rFonts w:hint="eastAsia" w:ascii="Times New Roman" w:hAnsi="Times New Roman" w:cs="Times New Roman"/>
                      <w:color w:val="auto"/>
                      <w:szCs w:val="21"/>
                      <w:lang w:val="en-US" w:eastAsia="zh-CN"/>
                    </w:rPr>
                    <w:t>且厂区道路已进行硬化，项目现场不涉及散料堆存。本项目施工期采取</w:t>
                  </w:r>
                  <w:r>
                    <w:rPr>
                      <w:rFonts w:hint="default" w:ascii="Times New Roman" w:hAnsi="Times New Roman" w:cs="Times New Roman"/>
                      <w:iCs/>
                      <w:color w:val="auto"/>
                      <w:sz w:val="21"/>
                      <w:szCs w:val="21"/>
                    </w:rPr>
                    <w:t>围挡</w:t>
                  </w:r>
                  <w:r>
                    <w:rPr>
                      <w:rFonts w:hint="eastAsia" w:ascii="Times New Roman" w:hAnsi="Times New Roman" w:cs="Times New Roman"/>
                      <w:color w:val="auto"/>
                      <w:szCs w:val="21"/>
                      <w:lang w:val="en-US" w:eastAsia="zh-CN"/>
                    </w:rPr>
                    <w:t>、洒水等措施，出厂车辆进行冲洗，将防治扬尘污染的费用纳入环保投资估算。</w:t>
                  </w:r>
                </w:p>
              </w:tc>
              <w:tc>
                <w:tcPr>
                  <w:tcW w:w="917" w:type="dxa"/>
                  <w:tcBorders>
                    <w:tl2br w:val="nil"/>
                    <w:tr2bl w:val="nil"/>
                  </w:tcBorders>
                  <w:noWrap w:val="0"/>
                  <w:vAlign w:val="center"/>
                </w:tcPr>
                <w:p w14:paraId="13452FB9">
                  <w:pPr>
                    <w:pStyle w:val="24"/>
                    <w:spacing w:line="240" w:lineRule="auto"/>
                    <w:ind w:left="0" w:leftChars="0" w:firstLine="0" w:firstLineChars="0"/>
                    <w:jc w:val="center"/>
                    <w:rPr>
                      <w:rFonts w:hint="default" w:cs="Times New Roman"/>
                      <w:b/>
                      <w:bCs/>
                      <w:color w:val="auto"/>
                      <w:sz w:val="21"/>
                      <w:szCs w:val="21"/>
                      <w:vertAlign w:val="baseline"/>
                      <w:lang w:val="en-US" w:eastAsia="zh-CN"/>
                    </w:rPr>
                  </w:pPr>
                  <w:r>
                    <w:rPr>
                      <w:rFonts w:hint="eastAsia" w:cs="Times New Roman"/>
                      <w:b w:val="0"/>
                      <w:bCs w:val="0"/>
                      <w:color w:val="auto"/>
                      <w:sz w:val="21"/>
                      <w:szCs w:val="21"/>
                      <w:vertAlign w:val="baseline"/>
                      <w:lang w:val="en-US" w:eastAsia="zh-CN"/>
                    </w:rPr>
                    <w:t>符合</w:t>
                  </w:r>
                </w:p>
              </w:tc>
            </w:tr>
            <w:tr w14:paraId="43BF707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restart"/>
                  <w:tcBorders>
                    <w:tl2br w:val="nil"/>
                    <w:tr2bl w:val="nil"/>
                  </w:tcBorders>
                  <w:noWrap w:val="0"/>
                  <w:vAlign w:val="center"/>
                </w:tcPr>
                <w:p w14:paraId="4B7A5AC4">
                  <w:pPr>
                    <w:pStyle w:val="86"/>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国务院关于印发《空气质量持续改善行动计划》的通知国发〔2023〕24号</w:t>
                  </w:r>
                </w:p>
              </w:tc>
              <w:tc>
                <w:tcPr>
                  <w:tcW w:w="3219" w:type="dxa"/>
                  <w:tcBorders>
                    <w:tl2br w:val="nil"/>
                    <w:tr2bl w:val="nil"/>
                  </w:tcBorders>
                  <w:noWrap w:val="0"/>
                  <w:vAlign w:val="center"/>
                </w:tcPr>
                <w:p w14:paraId="3EC4DB2B">
                  <w:pPr>
                    <w:pStyle w:val="86"/>
                    <w:ind w:firstLine="0" w:firstLineChars="0"/>
                    <w:jc w:val="both"/>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color w:val="auto"/>
                      <w:highlight w:val="none"/>
                      <w:lang w:val="en-US" w:eastAsia="zh-CN"/>
                    </w:rPr>
                    <w:t>（四）</w:t>
                  </w:r>
                  <w:r>
                    <w:rPr>
                      <w:rFonts w:hint="default" w:ascii="Times New Roman" w:hAnsi="Times New Roman" w:eastAsia="宋体" w:cs="Times New Roman"/>
                      <w:color w:val="auto"/>
                      <w:highlight w:val="none"/>
                      <w:lang w:val="en-US" w:eastAsia="zh-CN"/>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2690" w:type="dxa"/>
                  <w:tcBorders>
                    <w:tl2br w:val="nil"/>
                    <w:tr2bl w:val="nil"/>
                  </w:tcBorders>
                  <w:noWrap w:val="0"/>
                  <w:vAlign w:val="center"/>
                </w:tcPr>
                <w:p w14:paraId="7EDCEC5A">
                  <w:pPr>
                    <w:pStyle w:val="86"/>
                    <w:ind w:firstLine="0" w:firstLineChars="0"/>
                    <w:jc w:val="both"/>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本项目不属于</w:t>
                  </w:r>
                  <w:r>
                    <w:rPr>
                      <w:rFonts w:hint="default" w:ascii="Times New Roman" w:hAnsi="Times New Roman" w:eastAsia="宋体" w:cs="Times New Roman"/>
                      <w:color w:val="auto"/>
                      <w:highlight w:val="none"/>
                      <w:lang w:val="en-US" w:eastAsia="zh-CN"/>
                    </w:rPr>
                    <w:t>高耗能、高排放、低水平项目</w:t>
                  </w:r>
                  <w:r>
                    <w:rPr>
                      <w:rFonts w:hint="eastAsia" w:ascii="Times New Roman" w:hAnsi="Times New Roman" w:eastAsia="宋体" w:cs="Times New Roman"/>
                      <w:color w:val="auto"/>
                      <w:highlight w:val="none"/>
                      <w:lang w:val="en-US" w:eastAsia="zh-CN"/>
                    </w:rPr>
                    <w:t>。</w:t>
                  </w:r>
                  <w:r>
                    <w:rPr>
                      <w:rFonts w:hint="eastAsia" w:ascii="Times New Roman" w:hAnsi="Times New Roman"/>
                      <w:color w:val="auto"/>
                      <w:szCs w:val="21"/>
                    </w:rPr>
                    <w:t>本项目符合国家现行产业政策、当地规划、生态环境分区管控方案、规划环评的要求，</w:t>
                  </w:r>
                  <w:r>
                    <w:rPr>
                      <w:rFonts w:hint="eastAsia" w:ascii="Times New Roman" w:hAnsi="Times New Roman"/>
                      <w:color w:val="auto"/>
                      <w:szCs w:val="21"/>
                      <w:lang w:val="en-US" w:eastAsia="zh-CN"/>
                    </w:rPr>
                    <w:t>不涉及废气、废水总量控制指标，</w:t>
                  </w:r>
                  <w:r>
                    <w:rPr>
                      <w:rFonts w:hint="eastAsia" w:ascii="Times New Roman" w:hAnsi="Times New Roman"/>
                      <w:color w:val="auto"/>
                      <w:szCs w:val="21"/>
                    </w:rPr>
                    <w:t>项目清洁生产水平处于国内先进水平，项目不涉及产能置换。</w:t>
                  </w:r>
                </w:p>
              </w:tc>
              <w:tc>
                <w:tcPr>
                  <w:tcW w:w="917" w:type="dxa"/>
                  <w:tcBorders>
                    <w:tl2br w:val="nil"/>
                    <w:tr2bl w:val="nil"/>
                  </w:tcBorders>
                  <w:noWrap w:val="0"/>
                  <w:vAlign w:val="center"/>
                </w:tcPr>
                <w:p w14:paraId="6621A99D">
                  <w:pPr>
                    <w:pStyle w:val="49"/>
                    <w:bidi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符合</w:t>
                  </w:r>
                </w:p>
              </w:tc>
            </w:tr>
            <w:tr w14:paraId="286B0C6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continue"/>
                  <w:tcBorders>
                    <w:tl2br w:val="nil"/>
                    <w:tr2bl w:val="nil"/>
                  </w:tcBorders>
                  <w:noWrap w:val="0"/>
                  <w:vAlign w:val="center"/>
                </w:tcPr>
                <w:p w14:paraId="19747723">
                  <w:pPr>
                    <w:pStyle w:val="86"/>
                    <w:ind w:firstLine="0" w:firstLineChars="0"/>
                    <w:jc w:val="center"/>
                    <w:rPr>
                      <w:rFonts w:hint="eastAsia" w:ascii="Times New Roman" w:hAnsi="Times New Roman" w:eastAsia="宋体" w:cs="Times New Roman"/>
                      <w:b w:val="0"/>
                      <w:color w:val="auto"/>
                      <w:kern w:val="2"/>
                      <w:sz w:val="21"/>
                      <w:szCs w:val="24"/>
                      <w:highlight w:val="none"/>
                      <w:lang w:val="en-US" w:eastAsia="zh-CN" w:bidi="ar-SA"/>
                    </w:rPr>
                  </w:pPr>
                </w:p>
              </w:tc>
              <w:tc>
                <w:tcPr>
                  <w:tcW w:w="3219" w:type="dxa"/>
                  <w:tcBorders>
                    <w:tl2br w:val="nil"/>
                    <w:tr2bl w:val="nil"/>
                  </w:tcBorders>
                  <w:noWrap w:val="0"/>
                  <w:vAlign w:val="center"/>
                </w:tcPr>
                <w:p w14:paraId="47FF070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七</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优化含VOC</w:t>
                  </w:r>
                  <w:r>
                    <w:rPr>
                      <w:rFonts w:hint="default" w:ascii="Times New Roman" w:hAnsi="Times New Roman" w:cs="Times New Roman"/>
                      <w:color w:val="auto"/>
                      <w:sz w:val="21"/>
                      <w:szCs w:val="21"/>
                      <w:vertAlign w:val="subscript"/>
                    </w:rPr>
                    <w:t>s</w:t>
                  </w:r>
                  <w:r>
                    <w:rPr>
                      <w:rFonts w:hint="default" w:ascii="Times New Roman" w:hAnsi="Times New Roman" w:cs="Times New Roman"/>
                      <w:color w:val="auto"/>
                      <w:sz w:val="21"/>
                      <w:szCs w:val="21"/>
                    </w:rPr>
                    <w:t>原辅材料和产品结构。严格控制生产和使用高VOCs含量涂料、油墨、</w:t>
                  </w:r>
                  <w:r>
                    <w:rPr>
                      <w:rFonts w:hint="eastAsia" w:cs="Times New Roman"/>
                      <w:color w:val="auto"/>
                      <w:sz w:val="21"/>
                      <w:szCs w:val="21"/>
                      <w:lang w:eastAsia="zh-CN"/>
                    </w:rPr>
                    <w:t>胶黏剂</w:t>
                  </w:r>
                  <w:r>
                    <w:rPr>
                      <w:rFonts w:hint="default" w:ascii="Times New Roman" w:hAnsi="Times New Roman" w:cs="Times New Roman"/>
                      <w:color w:val="auto"/>
                      <w:sz w:val="21"/>
                      <w:szCs w:val="21"/>
                    </w:rPr>
                    <w:t>、清洗剂等建设项目，提高低（无）VOCs含量产品比重。实施源头替代工程，加大工业涂装、包装印刷和电子行业低（无）VOCs含量原辅材料替代力度。</w:t>
                  </w:r>
                  <w:r>
                    <w:rPr>
                      <w:rFonts w:hint="eastAsia" w:cs="Times New Roman"/>
                      <w:color w:val="auto"/>
                      <w:sz w:val="21"/>
                      <w:szCs w:val="21"/>
                      <w:lang w:eastAsia="zh-CN"/>
                    </w:rPr>
                    <w:t>室外构筑物防护和城市道路交通标志应推广使用低（无）VOCs含量涂料</w:t>
                  </w:r>
                  <w:r>
                    <w:rPr>
                      <w:rFonts w:hint="default" w:ascii="Times New Roman" w:hAnsi="Times New Roman" w:cs="Times New Roman"/>
                      <w:color w:val="auto"/>
                      <w:sz w:val="21"/>
                      <w:szCs w:val="21"/>
                    </w:rPr>
                    <w:t>。在生产、销售、进口、使用等环节严格执行VOCs含量限值标准。</w:t>
                  </w:r>
                </w:p>
              </w:tc>
              <w:tc>
                <w:tcPr>
                  <w:tcW w:w="2690" w:type="dxa"/>
                  <w:tcBorders>
                    <w:tl2br w:val="nil"/>
                    <w:tr2bl w:val="nil"/>
                  </w:tcBorders>
                  <w:noWrap w:val="0"/>
                  <w:vAlign w:val="center"/>
                </w:tcPr>
                <w:p w14:paraId="200D9953">
                  <w:pPr>
                    <w:pStyle w:val="86"/>
                    <w:ind w:firstLine="0" w:firstLineChars="0"/>
                    <w:jc w:val="both"/>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本项目</w:t>
                  </w:r>
                  <w:r>
                    <w:rPr>
                      <w:rFonts w:hint="eastAsia" w:ascii="Times New Roman" w:hAnsi="Times New Roman" w:cs="Times New Roman"/>
                      <w:b w:val="0"/>
                      <w:bCs w:val="0"/>
                      <w:color w:val="auto"/>
                      <w:sz w:val="21"/>
                      <w:szCs w:val="21"/>
                      <w:highlight w:val="none"/>
                      <w:vertAlign w:val="baseline"/>
                      <w:lang w:val="en-US" w:eastAsia="zh-CN"/>
                    </w:rPr>
                    <w:t>气体充装线排放的非甲烷总烃</w:t>
                  </w:r>
                  <w:r>
                    <w:rPr>
                      <w:rFonts w:hint="default" w:ascii="Times New Roman" w:hAnsi="Times New Roman" w:cs="Times New Roman"/>
                      <w:b w:val="0"/>
                      <w:bCs w:val="0"/>
                      <w:color w:val="auto"/>
                      <w:sz w:val="21"/>
                      <w:szCs w:val="21"/>
                      <w:highlight w:val="none"/>
                      <w:vertAlign w:val="baseline"/>
                      <w:lang w:eastAsia="zh-CN"/>
                    </w:rPr>
                    <w:t>，</w:t>
                  </w:r>
                  <w:r>
                    <w:rPr>
                      <w:rFonts w:hint="eastAsia" w:ascii="Times New Roman" w:hAnsi="Times New Roman" w:cs="Times New Roman"/>
                      <w:b w:val="0"/>
                      <w:bCs w:val="0"/>
                      <w:color w:val="auto"/>
                      <w:sz w:val="21"/>
                      <w:szCs w:val="21"/>
                      <w:highlight w:val="none"/>
                      <w:vertAlign w:val="baseline"/>
                      <w:lang w:val="en-US" w:eastAsia="zh-CN"/>
                    </w:rPr>
                    <w:t>通过加强通风、厂区内部管理，定期对储罐阀门、法兰等处进行检查，无组织排放废气对大气环境影响较小</w:t>
                  </w:r>
                  <w:r>
                    <w:rPr>
                      <w:rFonts w:hint="default" w:ascii="Times New Roman" w:hAnsi="Times New Roman" w:cs="Times New Roman"/>
                      <w:b w:val="0"/>
                      <w:bCs w:val="0"/>
                      <w:color w:val="auto"/>
                      <w:sz w:val="21"/>
                      <w:szCs w:val="21"/>
                      <w:vertAlign w:val="baseline"/>
                      <w:lang w:eastAsia="zh-CN"/>
                    </w:rPr>
                    <w:t>。</w:t>
                  </w:r>
                </w:p>
              </w:tc>
              <w:tc>
                <w:tcPr>
                  <w:tcW w:w="917" w:type="dxa"/>
                  <w:tcBorders>
                    <w:tl2br w:val="nil"/>
                    <w:tr2bl w:val="nil"/>
                  </w:tcBorders>
                  <w:noWrap w:val="0"/>
                  <w:vAlign w:val="center"/>
                </w:tcPr>
                <w:p w14:paraId="6DA46B3D">
                  <w:pPr>
                    <w:pStyle w:val="49"/>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符合</w:t>
                  </w:r>
                </w:p>
              </w:tc>
            </w:tr>
            <w:tr w14:paraId="19D9C97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continue"/>
                  <w:tcBorders>
                    <w:tl2br w:val="nil"/>
                    <w:tr2bl w:val="nil"/>
                  </w:tcBorders>
                  <w:noWrap w:val="0"/>
                  <w:vAlign w:val="center"/>
                </w:tcPr>
                <w:p w14:paraId="0126F811">
                  <w:pPr>
                    <w:pStyle w:val="86"/>
                    <w:ind w:firstLine="0" w:firstLineChars="0"/>
                    <w:jc w:val="center"/>
                    <w:rPr>
                      <w:rFonts w:hint="eastAsia" w:ascii="Times New Roman" w:hAnsi="Times New Roman" w:eastAsia="宋体" w:cs="Times New Roman"/>
                      <w:b w:val="0"/>
                      <w:color w:val="auto"/>
                      <w:kern w:val="2"/>
                      <w:sz w:val="21"/>
                      <w:szCs w:val="24"/>
                      <w:highlight w:val="none"/>
                      <w:lang w:val="en-US" w:eastAsia="zh-CN" w:bidi="ar-SA"/>
                    </w:rPr>
                  </w:pPr>
                </w:p>
              </w:tc>
              <w:tc>
                <w:tcPr>
                  <w:tcW w:w="3219" w:type="dxa"/>
                  <w:tcBorders>
                    <w:tl2br w:val="nil"/>
                    <w:tr2bl w:val="nil"/>
                  </w:tcBorders>
                  <w:noWrap w:val="0"/>
                  <w:vAlign w:val="center"/>
                </w:tcPr>
                <w:p w14:paraId="1C2B00C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olor w:val="auto"/>
                      <w:kern w:val="2"/>
                      <w:sz w:val="21"/>
                      <w:szCs w:val="21"/>
                      <w:lang w:val="en-US" w:eastAsia="zh-CN" w:bidi="ar-SA"/>
                    </w:rPr>
                  </w:pPr>
                  <w:r>
                    <w:rPr>
                      <w:rFonts w:hint="eastAsia"/>
                      <w:color w:val="auto"/>
                      <w:sz w:val="21"/>
                      <w:szCs w:val="21"/>
                    </w:rPr>
                    <w:t>（十）严格合理控制煤炭消费总量。在保障能源安全供应的前提下，重点区域继续实施煤炭消费总量控制。到2025年，京津冀及周边地区、长三角地区煤炭消费量较2020年分别下降10%和5%左右，汾渭平原煤炭消费量实现负增长，重点削减非电力用煤。重点区域新改扩建用煤项目，依法实行煤炭等量或减量替代，替代方案不完善的不予审批；不得将使用石油焦、焦炭、兰炭等高污染燃料作为煤炭减量替代措施。完善重点区域煤炭消费减量替代管理办法，煤矸石、原料用煤不纳入煤炭消费总量考核。原则上不再新增自备燃煤机组，支持自备燃煤机组实施清洁能源替代。对支撑电力稳定供应、电网安全运行、清洁能源大规模并网消纳的煤电项目及其用煤量应予以合理保障。</w:t>
                  </w:r>
                </w:p>
              </w:tc>
              <w:tc>
                <w:tcPr>
                  <w:tcW w:w="2690" w:type="dxa"/>
                  <w:tcBorders>
                    <w:tl2br w:val="nil"/>
                    <w:tr2bl w:val="nil"/>
                  </w:tcBorders>
                  <w:noWrap w:val="0"/>
                  <w:vAlign w:val="center"/>
                </w:tcPr>
                <w:p w14:paraId="51B83B93">
                  <w:pPr>
                    <w:pStyle w:val="86"/>
                    <w:ind w:firstLine="0" w:firstLineChars="0"/>
                    <w:jc w:val="both"/>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本项目不使用燃煤。</w:t>
                  </w:r>
                </w:p>
              </w:tc>
              <w:tc>
                <w:tcPr>
                  <w:tcW w:w="917" w:type="dxa"/>
                  <w:tcBorders>
                    <w:tl2br w:val="nil"/>
                    <w:tr2bl w:val="nil"/>
                  </w:tcBorders>
                  <w:noWrap w:val="0"/>
                  <w:vAlign w:val="center"/>
                </w:tcPr>
                <w:p w14:paraId="09F3B10F">
                  <w:pPr>
                    <w:pStyle w:val="49"/>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符合</w:t>
                  </w:r>
                </w:p>
              </w:tc>
            </w:tr>
            <w:tr w14:paraId="6C90AD0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continue"/>
                  <w:tcBorders>
                    <w:tl2br w:val="nil"/>
                    <w:tr2bl w:val="nil"/>
                  </w:tcBorders>
                  <w:noWrap w:val="0"/>
                  <w:vAlign w:val="center"/>
                </w:tcPr>
                <w:p w14:paraId="1C9B4DE5">
                  <w:pPr>
                    <w:pStyle w:val="86"/>
                    <w:ind w:firstLine="0" w:firstLineChars="0"/>
                    <w:jc w:val="center"/>
                    <w:rPr>
                      <w:rFonts w:hint="eastAsia" w:ascii="Times New Roman" w:hAnsi="Times New Roman" w:eastAsia="宋体" w:cs="Times New Roman"/>
                      <w:b w:val="0"/>
                      <w:color w:val="auto"/>
                      <w:kern w:val="2"/>
                      <w:sz w:val="21"/>
                      <w:szCs w:val="24"/>
                      <w:highlight w:val="none"/>
                      <w:lang w:val="en-US" w:eastAsia="zh-CN" w:bidi="ar-SA"/>
                    </w:rPr>
                  </w:pPr>
                </w:p>
              </w:tc>
              <w:tc>
                <w:tcPr>
                  <w:tcW w:w="3219" w:type="dxa"/>
                  <w:tcBorders>
                    <w:tl2br w:val="nil"/>
                    <w:tr2bl w:val="nil"/>
                  </w:tcBorders>
                  <w:noWrap w:val="0"/>
                  <w:vAlign w:val="center"/>
                </w:tcPr>
                <w:p w14:paraId="764DD5F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十八</w:t>
                  </w:r>
                  <w:r>
                    <w:rPr>
                      <w:rFonts w:hint="eastAsia" w:ascii="Times New Roman" w:hAnsi="Times New Roman" w:cs="Times New Roman"/>
                      <w:color w:val="auto"/>
                      <w:sz w:val="21"/>
                      <w:szCs w:val="21"/>
                      <w:lang w:eastAsia="zh-CN"/>
                    </w:rPr>
                    <w:t>）深化扬尘污染综合治理。鼓励经济发达地区5000平方米及以上建筑工地安装视频监控并接入当地监管平台；重点区域道路、水务等长距离线性工程实行分段施工。将防治扬尘污染费用纳入工程造价。到2025年，装配式建筑占新建建筑面积比例达30%；地级及以上城市建成区道路机械化清扫率达80%左右，县城达70%左右。对城市公共裸地进行排查建档并采取防尘措施。城市大型煤炭、矿石等干散货码头物料堆场基本完成抑尘设施建设和物料输送系统封闭改造。</w:t>
                  </w:r>
                </w:p>
              </w:tc>
              <w:tc>
                <w:tcPr>
                  <w:tcW w:w="2690" w:type="dxa"/>
                  <w:tcBorders>
                    <w:tl2br w:val="nil"/>
                    <w:tr2bl w:val="nil"/>
                  </w:tcBorders>
                  <w:noWrap w:val="0"/>
                  <w:vAlign w:val="center"/>
                </w:tcPr>
                <w:p w14:paraId="2B6970AB">
                  <w:pPr>
                    <w:pStyle w:val="86"/>
                    <w:ind w:firstLine="0" w:firstLineChars="0"/>
                    <w:jc w:val="both"/>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本项目不涉及散料堆存。本项目施工期采取围挡、洒水等措施，出厂车辆进行冲洗，将防治扬尘</w:t>
                  </w:r>
                  <w:r>
                    <w:rPr>
                      <w:rFonts w:hint="eastAsia" w:cs="Times New Roman"/>
                      <w:b w:val="0"/>
                      <w:bCs/>
                      <w:color w:val="auto"/>
                      <w:kern w:val="0"/>
                      <w:sz w:val="21"/>
                      <w:szCs w:val="21"/>
                      <w:lang w:val="en-US" w:eastAsia="zh-CN" w:bidi="ar-SA"/>
                    </w:rPr>
                    <w:t>污染</w:t>
                  </w:r>
                  <w:r>
                    <w:rPr>
                      <w:rFonts w:hint="eastAsia" w:ascii="Times New Roman" w:hAnsi="Times New Roman" w:eastAsia="宋体" w:cs="Times New Roman"/>
                      <w:b w:val="0"/>
                      <w:bCs/>
                      <w:color w:val="auto"/>
                      <w:kern w:val="0"/>
                      <w:sz w:val="21"/>
                      <w:szCs w:val="21"/>
                      <w:lang w:val="en-US" w:eastAsia="zh-CN" w:bidi="ar-SA"/>
                    </w:rPr>
                    <w:t>的费用纳入环保投资估算。</w:t>
                  </w:r>
                </w:p>
              </w:tc>
              <w:tc>
                <w:tcPr>
                  <w:tcW w:w="917" w:type="dxa"/>
                  <w:tcBorders>
                    <w:tl2br w:val="nil"/>
                    <w:tr2bl w:val="nil"/>
                  </w:tcBorders>
                  <w:noWrap w:val="0"/>
                  <w:vAlign w:val="center"/>
                </w:tcPr>
                <w:p w14:paraId="13F750F4">
                  <w:pPr>
                    <w:pStyle w:val="49"/>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符合</w:t>
                  </w:r>
                </w:p>
              </w:tc>
            </w:tr>
            <w:tr w14:paraId="23A6699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restart"/>
                  <w:tcBorders>
                    <w:tl2br w:val="nil"/>
                    <w:tr2bl w:val="nil"/>
                  </w:tcBorders>
                  <w:noWrap w:val="0"/>
                  <w:vAlign w:val="center"/>
                </w:tcPr>
                <w:p w14:paraId="280EB5B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《水污染防治行动计划》（国发〔2015〕</w:t>
                  </w:r>
                </w:p>
                <w:p w14:paraId="62A9894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17号）</w:t>
                  </w:r>
                </w:p>
                <w:p w14:paraId="25ABAB47">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3219" w:type="dxa"/>
                  <w:tcBorders>
                    <w:tl2br w:val="nil"/>
                    <w:tr2bl w:val="nil"/>
                  </w:tcBorders>
                  <w:noWrap w:val="0"/>
                  <w:vAlign w:val="center"/>
                </w:tcPr>
                <w:p w14:paraId="34165E8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（一）狠抓工业污染防治。取缔</w:t>
                  </w:r>
                  <w:r>
                    <w:rPr>
                      <w:rFonts w:hint="eastAsia" w:cs="Times New Roman"/>
                      <w:color w:val="auto"/>
                      <w:sz w:val="21"/>
                      <w:szCs w:val="21"/>
                      <w:lang w:eastAsia="zh-CN"/>
                    </w:rPr>
                    <w:t>”</w:t>
                  </w:r>
                  <w:r>
                    <w:rPr>
                      <w:rFonts w:hint="default" w:ascii="Times New Roman" w:hAnsi="Times New Roman" w:cs="Times New Roman"/>
                      <w:color w:val="auto"/>
                      <w:sz w:val="21"/>
                      <w:szCs w:val="21"/>
                    </w:rPr>
                    <w:t>十小</w:t>
                  </w:r>
                  <w:r>
                    <w:rPr>
                      <w:rFonts w:hint="eastAsia" w:cs="Times New Roman"/>
                      <w:color w:val="auto"/>
                      <w:sz w:val="21"/>
                      <w:szCs w:val="21"/>
                      <w:lang w:eastAsia="zh-CN"/>
                    </w:rPr>
                    <w:t>”</w:t>
                  </w:r>
                  <w:r>
                    <w:rPr>
                      <w:rFonts w:hint="default" w:ascii="Times New Roman" w:hAnsi="Times New Roman" w:cs="Times New Roman"/>
                      <w:color w:val="auto"/>
                      <w:sz w:val="21"/>
                      <w:szCs w:val="21"/>
                    </w:rPr>
                    <w:t>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2690" w:type="dxa"/>
                  <w:tcBorders>
                    <w:tl2br w:val="nil"/>
                    <w:tr2bl w:val="nil"/>
                  </w:tcBorders>
                  <w:noWrap w:val="0"/>
                  <w:vAlign w:val="center"/>
                </w:tcPr>
                <w:p w14:paraId="3751B9F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项目不属于</w:t>
                  </w:r>
                  <w:r>
                    <w:rPr>
                      <w:rFonts w:hint="eastAsia" w:cs="Times New Roman"/>
                      <w:bCs/>
                      <w:color w:val="auto"/>
                      <w:sz w:val="21"/>
                      <w:szCs w:val="21"/>
                      <w:lang w:eastAsia="zh-CN"/>
                    </w:rPr>
                    <w:t>”</w:t>
                  </w:r>
                  <w:r>
                    <w:rPr>
                      <w:rFonts w:hint="default" w:ascii="Times New Roman" w:hAnsi="Times New Roman" w:cs="Times New Roman"/>
                      <w:bCs/>
                      <w:color w:val="auto"/>
                      <w:sz w:val="21"/>
                      <w:szCs w:val="21"/>
                    </w:rPr>
                    <w:t>十小</w:t>
                  </w:r>
                  <w:r>
                    <w:rPr>
                      <w:rFonts w:hint="eastAsia" w:cs="Times New Roman"/>
                      <w:bCs/>
                      <w:color w:val="auto"/>
                      <w:sz w:val="21"/>
                      <w:szCs w:val="21"/>
                      <w:lang w:eastAsia="zh-CN"/>
                    </w:rPr>
                    <w:t>”</w:t>
                  </w:r>
                  <w:r>
                    <w:rPr>
                      <w:rFonts w:hint="default" w:ascii="Times New Roman" w:hAnsi="Times New Roman" w:cs="Times New Roman"/>
                      <w:bCs/>
                      <w:color w:val="auto"/>
                      <w:sz w:val="21"/>
                      <w:szCs w:val="21"/>
                    </w:rPr>
                    <w:t>企业</w:t>
                  </w:r>
                  <w:r>
                    <w:rPr>
                      <w:rFonts w:hint="eastAsia" w:cs="Times New Roman"/>
                      <w:bCs/>
                      <w:color w:val="auto"/>
                      <w:sz w:val="21"/>
                      <w:szCs w:val="21"/>
                      <w:lang w:val="en-US" w:eastAsia="zh-CN"/>
                    </w:rPr>
                    <w:t>范围</w:t>
                  </w:r>
                  <w:r>
                    <w:rPr>
                      <w:rFonts w:hint="default" w:ascii="Times New Roman" w:hAnsi="Times New Roman" w:cs="Times New Roman"/>
                      <w:bCs/>
                      <w:color w:val="auto"/>
                      <w:sz w:val="21"/>
                      <w:szCs w:val="21"/>
                    </w:rPr>
                    <w:t>。</w:t>
                  </w:r>
                </w:p>
              </w:tc>
              <w:tc>
                <w:tcPr>
                  <w:tcW w:w="917" w:type="dxa"/>
                  <w:tcBorders>
                    <w:tl2br w:val="nil"/>
                    <w:tr2bl w:val="nil"/>
                  </w:tcBorders>
                  <w:noWrap w:val="0"/>
                  <w:vAlign w:val="center"/>
                </w:tcPr>
                <w:p w14:paraId="54726DF6">
                  <w:pPr>
                    <w:pStyle w:val="49"/>
                    <w:bidi w:val="0"/>
                    <w:jc w:val="center"/>
                    <w:rPr>
                      <w:rFonts w:hint="eastAsia" w:ascii="Times New Roman" w:hAnsi="Times New Roman" w:eastAsia="宋体" w:cs="Times New Roman"/>
                      <w:color w:val="auto"/>
                      <w:highlight w:val="none"/>
                      <w:lang w:val="en-US" w:eastAsia="zh-CN"/>
                    </w:rPr>
                  </w:pPr>
                </w:p>
              </w:tc>
            </w:tr>
            <w:tr w14:paraId="14B557F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continue"/>
                  <w:tcBorders>
                    <w:tl2br w:val="nil"/>
                    <w:tr2bl w:val="nil"/>
                  </w:tcBorders>
                  <w:noWrap w:val="0"/>
                  <w:vAlign w:val="center"/>
                </w:tcPr>
                <w:p w14:paraId="76AEA45A">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3219" w:type="dxa"/>
                  <w:tcBorders>
                    <w:tl2br w:val="nil"/>
                    <w:tr2bl w:val="nil"/>
                  </w:tcBorders>
                  <w:noWrap w:val="0"/>
                  <w:vAlign w:val="center"/>
                </w:tcPr>
                <w:p w14:paraId="5AD5F75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六）优化空间布局。合理确定发展布局、结构和规模。充分考虑水资源、水环境承载能力，以水定城、以水定地、以水定人、以水定产。重大项目原则上布局在优化开发区和重点开发区，并符合城乡规划和土地利用总体规划。……，严格控制缺水地区、水污染严重地区和敏感区域高耗水、高污染行业发展，新建、改建、扩建重点行业建设项目实行主要污染物排放减量置换。七大重点流域干流沿岸，要严格控制石油加工、化学原料和化学制品制造、医药制造、化学纤维制造、有色金属冶炼、纺织印染等项目环境风险，合理布局生产装置及危险化学品仓储等设施。</w:t>
                  </w:r>
                </w:p>
              </w:tc>
              <w:tc>
                <w:tcPr>
                  <w:tcW w:w="2690" w:type="dxa"/>
                  <w:tcBorders>
                    <w:tl2br w:val="nil"/>
                    <w:tr2bl w:val="nil"/>
                  </w:tcBorders>
                  <w:noWrap w:val="0"/>
                  <w:vAlign w:val="center"/>
                </w:tcPr>
                <w:p w14:paraId="3D6808B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lang w:val="en-US" w:eastAsia="zh-CN"/>
                    </w:rPr>
                  </w:pPr>
                  <w:r>
                    <w:rPr>
                      <w:rFonts w:hint="default" w:ascii="Times New Roman" w:hAnsi="Times New Roman" w:cs="Times New Roman"/>
                      <w:bCs/>
                      <w:color w:val="auto"/>
                      <w:sz w:val="21"/>
                      <w:szCs w:val="21"/>
                    </w:rPr>
                    <w:t>本项目为迁建项目，位于凤翔县长青工业园区（化工园区），项目建设内容发生变化，本项目在宝鸡渭河气体有限公司工业气体建设项目（原宝鸡渭河电石公司异地搬迁项目）占地范围内进行建设，不新增占地。项目所在区域不属于缺水地区、水污染严重地区和敏感区域；项目不属于高耗水企业、高污染行业，不在严格控制发展之列。</w:t>
                  </w:r>
                  <w:r>
                    <w:rPr>
                      <w:rFonts w:hint="default" w:ascii="Times New Roman" w:hAnsi="Times New Roman" w:cs="Times New Roman"/>
                      <w:color w:val="auto"/>
                      <w:spacing w:val="0"/>
                      <w:kern w:val="0"/>
                      <w:sz w:val="21"/>
                      <w:szCs w:val="21"/>
                      <w:lang w:val="en-US" w:eastAsia="zh-CN"/>
                    </w:rPr>
                    <w:t>本项目生产废水仅为设备冷却循环水排污水</w:t>
                  </w:r>
                  <w:r>
                    <w:rPr>
                      <w:rFonts w:hint="eastAsia" w:cs="Times New Roman"/>
                      <w:color w:val="auto"/>
                      <w:spacing w:val="0"/>
                      <w:kern w:val="0"/>
                      <w:sz w:val="21"/>
                      <w:szCs w:val="21"/>
                      <w:lang w:val="en-US" w:eastAsia="zh-CN"/>
                    </w:rPr>
                    <w:t>，</w:t>
                  </w:r>
                  <w:r>
                    <w:rPr>
                      <w:rFonts w:hint="default" w:ascii="Times New Roman" w:hAnsi="Times New Roman" w:eastAsia="宋体" w:cs="Times New Roman"/>
                      <w:bCs/>
                      <w:color w:val="auto"/>
                      <w:kern w:val="2"/>
                      <w:sz w:val="21"/>
                      <w:szCs w:val="21"/>
                      <w:highlight w:val="none"/>
                      <w:lang w:val="en-US" w:eastAsia="zh-CN" w:bidi="ar-SA"/>
                    </w:rPr>
                    <w:t>生活污水</w:t>
                  </w:r>
                  <w:r>
                    <w:rPr>
                      <w:rFonts w:hint="eastAsia" w:ascii="Times New Roman" w:hAnsi="Times New Roman" w:eastAsia="宋体" w:cs="Times New Roman"/>
                      <w:bCs/>
                      <w:color w:val="auto"/>
                      <w:kern w:val="2"/>
                      <w:sz w:val="21"/>
                      <w:szCs w:val="21"/>
                      <w:highlight w:val="none"/>
                      <w:lang w:val="en-US" w:eastAsia="zh-CN" w:bidi="ar-SA"/>
                    </w:rPr>
                    <w:t>经</w:t>
                  </w:r>
                  <w:r>
                    <w:rPr>
                      <w:rFonts w:hint="eastAsia" w:cs="Times New Roman"/>
                      <w:bCs/>
                      <w:color w:val="auto"/>
                      <w:kern w:val="2"/>
                      <w:sz w:val="21"/>
                      <w:szCs w:val="21"/>
                      <w:highlight w:val="none"/>
                      <w:lang w:val="en-US" w:eastAsia="zh-CN" w:bidi="ar-SA"/>
                    </w:rPr>
                    <w:t>化粪</w:t>
                  </w:r>
                  <w:r>
                    <w:rPr>
                      <w:rFonts w:hint="eastAsia" w:ascii="Times New Roman" w:hAnsi="Times New Roman" w:eastAsia="宋体" w:cs="Times New Roman"/>
                      <w:bCs/>
                      <w:color w:val="auto"/>
                      <w:kern w:val="2"/>
                      <w:sz w:val="21"/>
                      <w:szCs w:val="21"/>
                      <w:highlight w:val="none"/>
                      <w:lang w:val="en-US" w:eastAsia="zh-CN" w:bidi="ar-SA"/>
                    </w:rPr>
                    <w:t>池收集预处理后进入市政污水管网长青工业园区污水处理厂进一步处理。</w:t>
                  </w:r>
                </w:p>
              </w:tc>
              <w:tc>
                <w:tcPr>
                  <w:tcW w:w="917" w:type="dxa"/>
                  <w:tcBorders>
                    <w:tl2br w:val="nil"/>
                    <w:tr2bl w:val="nil"/>
                  </w:tcBorders>
                  <w:noWrap w:val="0"/>
                  <w:vAlign w:val="center"/>
                </w:tcPr>
                <w:p w14:paraId="534C16C7">
                  <w:pPr>
                    <w:pStyle w:val="49"/>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符合</w:t>
                  </w:r>
                </w:p>
              </w:tc>
            </w:tr>
            <w:tr w14:paraId="75BFB00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continue"/>
                  <w:tcBorders>
                    <w:tl2br w:val="nil"/>
                    <w:tr2bl w:val="nil"/>
                  </w:tcBorders>
                  <w:noWrap w:val="0"/>
                  <w:vAlign w:val="center"/>
                </w:tcPr>
                <w:p w14:paraId="18E53D52">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p>
              </w:tc>
              <w:tc>
                <w:tcPr>
                  <w:tcW w:w="3219" w:type="dxa"/>
                  <w:tcBorders>
                    <w:tl2br w:val="nil"/>
                    <w:tr2bl w:val="nil"/>
                  </w:tcBorders>
                  <w:noWrap w:val="0"/>
                  <w:vAlign w:val="center"/>
                </w:tcPr>
                <w:p w14:paraId="5265F4E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七）推进循环发展。加强工业水循环利用。推进矿井水综合利用，煤炭矿区的补充用水、周边地区生产和生态用水应优先使用矿井水，加强洗煤废水循环利用。鼓励钢铁、纺织印染、造纸、石油石化、化工、制革等高耗水企业废水深度处理回用。具备使用再生水条件但未充分利用的钢铁、火电、化工、制浆造纸、印染等项目，不得批准其新增取水许可。</w:t>
                  </w:r>
                </w:p>
              </w:tc>
              <w:tc>
                <w:tcPr>
                  <w:tcW w:w="2690" w:type="dxa"/>
                  <w:tcBorders>
                    <w:tl2br w:val="nil"/>
                    <w:tr2bl w:val="nil"/>
                  </w:tcBorders>
                  <w:noWrap w:val="0"/>
                  <w:vAlign w:val="center"/>
                </w:tcPr>
                <w:p w14:paraId="6C5F47D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pacing w:val="0"/>
                      <w:kern w:val="0"/>
                      <w:sz w:val="21"/>
                      <w:szCs w:val="21"/>
                      <w:lang w:val="en-US" w:eastAsia="zh-CN"/>
                    </w:rPr>
                    <w:t>本项目生产废水和生活污水均</w:t>
                  </w:r>
                  <w:r>
                    <w:rPr>
                      <w:rFonts w:hint="eastAsia" w:ascii="Times New Roman" w:hAnsi="Times New Roman" w:eastAsia="宋体" w:cs="Times New Roman"/>
                      <w:bCs/>
                      <w:color w:val="auto"/>
                      <w:kern w:val="2"/>
                      <w:sz w:val="21"/>
                      <w:szCs w:val="21"/>
                      <w:highlight w:val="none"/>
                      <w:lang w:val="en-US" w:eastAsia="zh-CN" w:bidi="ar-SA"/>
                    </w:rPr>
                    <w:t>进入市政污水管网长青工业园区污水处理厂进一步处理。</w:t>
                  </w:r>
                </w:p>
              </w:tc>
              <w:tc>
                <w:tcPr>
                  <w:tcW w:w="917" w:type="dxa"/>
                  <w:tcBorders>
                    <w:tl2br w:val="nil"/>
                    <w:tr2bl w:val="nil"/>
                  </w:tcBorders>
                  <w:noWrap w:val="0"/>
                  <w:vAlign w:val="center"/>
                </w:tcPr>
                <w:p w14:paraId="65C1DF20">
                  <w:pPr>
                    <w:pStyle w:val="49"/>
                    <w:bidi w:val="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符合</w:t>
                  </w:r>
                </w:p>
              </w:tc>
            </w:tr>
            <w:tr w14:paraId="2FE5D9F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tcBorders>
                    <w:tl2br w:val="nil"/>
                    <w:tr2bl w:val="nil"/>
                  </w:tcBorders>
                  <w:noWrap w:val="0"/>
                  <w:vAlign w:val="center"/>
                </w:tcPr>
                <w:p w14:paraId="7DE81A5E">
                  <w:pPr>
                    <w:pStyle w:val="24"/>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eastAsia="zh-CN"/>
                    </w:rPr>
                    <w:t>《陕西省大气污染治理专项行动方案》（2023-2027年）（陕发〔2023〕4号</w:t>
                  </w:r>
                  <w:r>
                    <w:rPr>
                      <w:rFonts w:hint="eastAsia" w:ascii="Times New Roman" w:hAnsi="Times New Roman" w:cs="Times New Roman"/>
                      <w:color w:val="auto"/>
                      <w:sz w:val="21"/>
                      <w:szCs w:val="21"/>
                      <w:vertAlign w:val="baseline"/>
                      <w:lang w:eastAsia="zh-CN"/>
                    </w:rPr>
                    <w:t>）</w:t>
                  </w:r>
                </w:p>
              </w:tc>
              <w:tc>
                <w:tcPr>
                  <w:tcW w:w="3219" w:type="dxa"/>
                  <w:tcBorders>
                    <w:tl2br w:val="nil"/>
                    <w:tr2bl w:val="nil"/>
                  </w:tcBorders>
                  <w:noWrap w:val="0"/>
                  <w:vAlign w:val="center"/>
                </w:tcPr>
                <w:p w14:paraId="4624F0D1">
                  <w:pPr>
                    <w:pStyle w:val="24"/>
                    <w:numPr>
                      <w:ilvl w:val="0"/>
                      <w:numId w:val="0"/>
                    </w:numPr>
                    <w:spacing w:line="240" w:lineRule="auto"/>
                    <w:ind w:leftChars="0"/>
                    <w:jc w:val="both"/>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3.产业发展结构调整。关中地区严禁新增钢铁、焦化、水泥熟料、平板玻璃、电解铝、氧化铝、煤化工产能，合理控制煤制油气产能规模，严控新增炼油产能。</w:t>
                  </w:r>
                </w:p>
                <w:p w14:paraId="79F15894">
                  <w:pPr>
                    <w:pStyle w:val="24"/>
                    <w:numPr>
                      <w:ilvl w:val="0"/>
                      <w:numId w:val="0"/>
                    </w:numPr>
                    <w:spacing w:line="240" w:lineRule="auto"/>
                    <w:ind w:leftChars="0"/>
                    <w:jc w:val="both"/>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关中地区市辖区及开发区范围内新、改、扩建涉气重点行业企业应达到环保绩效A级、绩效引领性水平，西安市、渭南市的其他区域应达到环保绩效B级及以上水平。</w:t>
                  </w:r>
                </w:p>
              </w:tc>
              <w:tc>
                <w:tcPr>
                  <w:tcW w:w="2690" w:type="dxa"/>
                  <w:tcBorders>
                    <w:tl2br w:val="nil"/>
                    <w:tr2bl w:val="nil"/>
                  </w:tcBorders>
                  <w:noWrap w:val="0"/>
                  <w:vAlign w:val="center"/>
                </w:tcPr>
                <w:p w14:paraId="176466EB">
                  <w:pPr>
                    <w:pStyle w:val="24"/>
                    <w:spacing w:line="240" w:lineRule="auto"/>
                    <w:ind w:left="0" w:leftChars="0" w:firstLine="0" w:firstLineChars="0"/>
                    <w:jc w:val="both"/>
                    <w:rPr>
                      <w:rFonts w:hint="eastAsia" w:ascii="Times New Roman" w:hAnsi="Times New Roman"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根据《国民经济行业分类》（GB/T4754-2017），本项目属于</w:t>
                  </w:r>
                  <w:r>
                    <w:rPr>
                      <w:rFonts w:hint="eastAsia" w:ascii="Times New Roman" w:hAnsi="Times New Roman"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其他基础化学原料制造项目（C2619）</w:t>
                  </w:r>
                  <w:r>
                    <w:rPr>
                      <w:rFonts w:hint="eastAsia" w:ascii="Times New Roman" w:hAnsi="Times New Roman"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，本项目不属于</w:t>
                  </w:r>
                  <w:r>
                    <w:rPr>
                      <w:rFonts w:hint="eastAsia" w:ascii="Times New Roman" w:hAnsi="Times New Roman" w:cs="Times New Roman"/>
                      <w:color w:val="auto"/>
                      <w:sz w:val="21"/>
                      <w:szCs w:val="21"/>
                      <w:vertAlign w:val="baseline"/>
                      <w:lang w:val="en-US" w:eastAsia="zh-CN"/>
                    </w:rPr>
                    <w:t>严禁新增钢铁、焦化、水泥熟料、平板玻璃、电解铝、氧化铝、煤化工产能，合理控制煤制油气产能规模，严控新增炼油产能。</w:t>
                  </w:r>
                </w:p>
                <w:p w14:paraId="61824259">
                  <w:pPr>
                    <w:pStyle w:val="24"/>
                    <w:spacing w:line="240" w:lineRule="auto"/>
                    <w:ind w:left="0" w:leftChars="0" w:firstLine="0" w:firstLineChars="0"/>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sz w:val="21"/>
                      <w:szCs w:val="21"/>
                      <w:vertAlign w:val="baseline"/>
                      <w:lang w:val="en-US" w:eastAsia="zh-CN"/>
                    </w:rPr>
                    <w:t>对照《重污染天气重点行业应急减排措施制定技术指南（2020年修订版）》，本项目不属于</w:t>
                  </w:r>
                  <w:r>
                    <w:rPr>
                      <w:rFonts w:hint="eastAsia" w:ascii="Times New Roman" w:hAnsi="Times New Roman" w:cs="Times New Roman"/>
                      <w:color w:val="auto"/>
                      <w:sz w:val="21"/>
                      <w:szCs w:val="21"/>
                      <w:vertAlign w:val="baseline"/>
                      <w:lang w:val="en-US" w:eastAsia="zh-CN"/>
                    </w:rPr>
                    <w:t>涉气重点行业</w:t>
                  </w:r>
                  <w:r>
                    <w:rPr>
                      <w:rFonts w:hint="eastAsia" w:ascii="Times New Roman" w:hAnsi="Times New Roman" w:eastAsia="宋体" w:cs="Times New Roman"/>
                      <w:color w:val="auto"/>
                      <w:sz w:val="21"/>
                      <w:szCs w:val="21"/>
                      <w:vertAlign w:val="baseline"/>
                      <w:lang w:val="en-US" w:eastAsia="zh-CN"/>
                    </w:rPr>
                    <w:t>。</w:t>
                  </w:r>
                </w:p>
              </w:tc>
              <w:tc>
                <w:tcPr>
                  <w:tcW w:w="917" w:type="dxa"/>
                  <w:tcBorders>
                    <w:tl2br w:val="nil"/>
                    <w:tr2bl w:val="nil"/>
                  </w:tcBorders>
                  <w:noWrap w:val="0"/>
                  <w:vAlign w:val="center"/>
                </w:tcPr>
                <w:p w14:paraId="699BB908">
                  <w:pPr>
                    <w:pStyle w:val="24"/>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eastAsia="zh-CN"/>
                    </w:rPr>
                    <w:t>符合</w:t>
                  </w:r>
                </w:p>
              </w:tc>
            </w:tr>
            <w:tr w14:paraId="0B17C38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restart"/>
                  <w:tcBorders>
                    <w:tl2br w:val="nil"/>
                    <w:tr2bl w:val="nil"/>
                  </w:tcBorders>
                  <w:noWrap w:val="0"/>
                  <w:vAlign w:val="center"/>
                </w:tcPr>
                <w:p w14:paraId="671DF6FA">
                  <w:pPr>
                    <w:pStyle w:val="24"/>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eastAsia="zh-CN"/>
                    </w:rPr>
                    <w:t>《陕西省</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十四五</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生态环境保护规划》</w:t>
                  </w:r>
                </w:p>
              </w:tc>
              <w:tc>
                <w:tcPr>
                  <w:tcW w:w="3219" w:type="dxa"/>
                  <w:tcBorders>
                    <w:tl2br w:val="nil"/>
                    <w:tr2bl w:val="nil"/>
                  </w:tcBorders>
                  <w:noWrap w:val="0"/>
                  <w:vAlign w:val="center"/>
                </w:tcPr>
                <w:p w14:paraId="3C638356">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实施重点行业氮氧化物等污染物深度治理。持续推进钢铁企业超低排放改造，探索研究开展焦化、水泥行业超低排放改造并推进玻璃、陶瓷、铸造、铁合金、有色等行业污染深度治理。加强自备燃煤机组污染治理设施运行管控，确保超低排放运行。严格控制焦化、水泥、砖瓦、石灰、耐火材料、有色金属冶炼等行业物料储存、输送及生产工艺过程中无组织排放。推动平板玻璃、建筑陶瓷等行业取消烟气旁路，因安全生产无法取消的，按要求安装监管装置，加强监管。</w:t>
                  </w:r>
                </w:p>
              </w:tc>
              <w:tc>
                <w:tcPr>
                  <w:tcW w:w="2690" w:type="dxa"/>
                  <w:tcBorders>
                    <w:tl2br w:val="nil"/>
                    <w:tr2bl w:val="nil"/>
                  </w:tcBorders>
                  <w:noWrap w:val="0"/>
                  <w:vAlign w:val="center"/>
                </w:tcPr>
                <w:p w14:paraId="1EC65C9C">
                  <w:pPr>
                    <w:keepNext w:val="0"/>
                    <w:keepLines w:val="0"/>
                    <w:widowControl/>
                    <w:suppressLineNumbers w:val="0"/>
                    <w:spacing w:line="240" w:lineRule="auto"/>
                    <w:ind w:left="0" w:leftChars="0" w:firstLine="0" w:firstLineChars="0"/>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sz w:val="21"/>
                      <w:szCs w:val="21"/>
                      <w:vertAlign w:val="baseline"/>
                      <w:lang w:val="en-US" w:eastAsia="zh-CN"/>
                    </w:rPr>
                    <w:t>根据《国民经济行业分类》（GB/T4754-2017），本项目属于</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其他基础化学原料制造项目（C2619）</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，本项目不涉及</w:t>
                  </w:r>
                  <w:r>
                    <w:rPr>
                      <w:rFonts w:hint="default" w:ascii="Times New Roman" w:hAnsi="Times New Roman" w:cs="Times New Roman"/>
                      <w:color w:val="auto"/>
                      <w:sz w:val="21"/>
                      <w:szCs w:val="21"/>
                      <w:lang w:eastAsia="zh-CN"/>
                    </w:rPr>
                    <w:t>氮氧化物</w:t>
                  </w:r>
                  <w:r>
                    <w:rPr>
                      <w:rFonts w:hint="eastAsia" w:ascii="Times New Roman" w:hAnsi="Times New Roman" w:cs="Times New Roman"/>
                      <w:color w:val="auto"/>
                      <w:sz w:val="21"/>
                      <w:szCs w:val="21"/>
                      <w:lang w:val="en-US" w:eastAsia="zh-CN"/>
                    </w:rPr>
                    <w:t>排放</w:t>
                  </w:r>
                  <w:r>
                    <w:rPr>
                      <w:rFonts w:hint="eastAsia" w:ascii="Times New Roman" w:hAnsi="Times New Roman" w:eastAsia="宋体" w:cs="Times New Roman"/>
                      <w:color w:val="auto"/>
                      <w:sz w:val="21"/>
                      <w:szCs w:val="21"/>
                      <w:vertAlign w:val="baseline"/>
                      <w:lang w:val="en-US" w:eastAsia="zh-CN"/>
                    </w:rPr>
                    <w:t>。</w:t>
                  </w:r>
                </w:p>
              </w:tc>
              <w:tc>
                <w:tcPr>
                  <w:tcW w:w="917" w:type="dxa"/>
                  <w:tcBorders>
                    <w:tl2br w:val="nil"/>
                    <w:tr2bl w:val="nil"/>
                  </w:tcBorders>
                  <w:noWrap w:val="0"/>
                  <w:vAlign w:val="center"/>
                </w:tcPr>
                <w:p w14:paraId="67D29004">
                  <w:pPr>
                    <w:pStyle w:val="24"/>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eastAsia="zh-CN"/>
                    </w:rPr>
                    <w:t>符合</w:t>
                  </w:r>
                </w:p>
              </w:tc>
            </w:tr>
            <w:tr w14:paraId="18FD626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continue"/>
                  <w:tcBorders>
                    <w:tl2br w:val="nil"/>
                    <w:tr2bl w:val="nil"/>
                  </w:tcBorders>
                  <w:noWrap w:val="0"/>
                  <w:vAlign w:val="center"/>
                </w:tcPr>
                <w:p w14:paraId="29936CAF">
                  <w:pPr>
                    <w:pStyle w:val="24"/>
                    <w:spacing w:line="240" w:lineRule="auto"/>
                    <w:ind w:left="0" w:leftChars="0" w:firstLine="0" w:firstLineChars="0"/>
                    <w:jc w:val="center"/>
                    <w:rPr>
                      <w:rFonts w:hint="default" w:ascii="Times New Roman" w:hAnsi="Times New Roman" w:cs="Times New Roman"/>
                      <w:b/>
                      <w:bCs/>
                      <w:color w:val="auto"/>
                      <w:sz w:val="21"/>
                      <w:szCs w:val="21"/>
                      <w:vertAlign w:val="baseline"/>
                      <w:lang w:eastAsia="zh-CN"/>
                    </w:rPr>
                  </w:pPr>
                </w:p>
              </w:tc>
              <w:tc>
                <w:tcPr>
                  <w:tcW w:w="3219" w:type="dxa"/>
                  <w:tcBorders>
                    <w:tl2br w:val="nil"/>
                    <w:tr2bl w:val="nil"/>
                  </w:tcBorders>
                  <w:noWrap w:val="0"/>
                  <w:vAlign w:val="center"/>
                </w:tcPr>
                <w:p w14:paraId="397004F0">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
                    </w:rPr>
                    <w:t>持续深化水污染治理：持续推进工业污水治理，引导工业企业污水近零排放，降低污染负荷。</w:t>
                  </w:r>
                </w:p>
              </w:tc>
              <w:tc>
                <w:tcPr>
                  <w:tcW w:w="2690" w:type="dxa"/>
                  <w:tcBorders>
                    <w:tl2br w:val="nil"/>
                    <w:tr2bl w:val="nil"/>
                  </w:tcBorders>
                  <w:noWrap w:val="0"/>
                  <w:vAlign w:val="center"/>
                </w:tcPr>
                <w:p w14:paraId="1F370F68">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spacing w:val="0"/>
                      <w:kern w:val="0"/>
                      <w:sz w:val="21"/>
                      <w:szCs w:val="21"/>
                      <w:lang w:val="en-US" w:eastAsia="zh-CN"/>
                    </w:rPr>
                    <w:t>本项目生产废水和生活污水均</w:t>
                  </w:r>
                  <w:r>
                    <w:rPr>
                      <w:rFonts w:hint="eastAsia" w:ascii="Times New Roman" w:hAnsi="Times New Roman" w:eastAsia="宋体" w:cs="Times New Roman"/>
                      <w:bCs/>
                      <w:color w:val="auto"/>
                      <w:kern w:val="2"/>
                      <w:sz w:val="21"/>
                      <w:szCs w:val="21"/>
                      <w:highlight w:val="none"/>
                      <w:lang w:val="en-US" w:eastAsia="zh-CN" w:bidi="ar-SA"/>
                    </w:rPr>
                    <w:t>进入市政污水管网长青工业园区污水处理厂进一步处理。</w:t>
                  </w:r>
                </w:p>
              </w:tc>
              <w:tc>
                <w:tcPr>
                  <w:tcW w:w="917" w:type="dxa"/>
                  <w:tcBorders>
                    <w:tl2br w:val="nil"/>
                    <w:tr2bl w:val="nil"/>
                  </w:tcBorders>
                  <w:noWrap w:val="0"/>
                  <w:vAlign w:val="center"/>
                </w:tcPr>
                <w:p w14:paraId="6CD5E982">
                  <w:pPr>
                    <w:pStyle w:val="24"/>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eastAsia="zh-CN"/>
                    </w:rPr>
                    <w:t>符合</w:t>
                  </w:r>
                </w:p>
              </w:tc>
            </w:tr>
            <w:tr w14:paraId="0550550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tcBorders>
                    <w:tl2br w:val="nil"/>
                    <w:tr2bl w:val="nil"/>
                  </w:tcBorders>
                  <w:noWrap w:val="0"/>
                  <w:vAlign w:val="center"/>
                </w:tcPr>
                <w:p w14:paraId="50FCBF57">
                  <w:pPr>
                    <w:pStyle w:val="24"/>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eastAsia="zh-CN"/>
                    </w:rPr>
                    <w:t>《陕西省噪声污染防治行动计划（2023-2025年）》</w:t>
                  </w:r>
                </w:p>
              </w:tc>
              <w:tc>
                <w:tcPr>
                  <w:tcW w:w="3219" w:type="dxa"/>
                  <w:tcBorders>
                    <w:tl2br w:val="nil"/>
                    <w:tr2bl w:val="nil"/>
                  </w:tcBorders>
                  <w:noWrap w:val="0"/>
                  <w:vAlign w:val="center"/>
                </w:tcPr>
                <w:p w14:paraId="02E0E877">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强化工业园区噪声管控。鼓励工业园区进行噪声污染分区管控，优化设备布局和物流运输路线，采用低噪声设备和运输工具。推动有高噪声设备的工业企业项目和噪声重点排污企业进入工业或产业园区，严控向乡村居住区域转移。</w:t>
                  </w:r>
                </w:p>
                <w:p w14:paraId="7E5ABCB2">
                  <w:pPr>
                    <w:keepNext w:val="0"/>
                    <w:keepLines w:val="0"/>
                    <w:pageBreakBefore w:val="0"/>
                    <w:widowControl w:val="0"/>
                    <w:kinsoku/>
                    <w:wordWrap/>
                    <w:overflowPunct/>
                    <w:topLinePunct w:val="0"/>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推进工业噪声实施排污许可管理。</w:t>
                  </w:r>
                  <w:r>
                    <w:rPr>
                      <w:rFonts w:hint="eastAsia" w:ascii="Times New Roman" w:hAnsi="Times New Roman" w:eastAsia="宋体" w:cs="Times New Roman"/>
                      <w:color w:val="auto"/>
                      <w:sz w:val="21"/>
                      <w:szCs w:val="21"/>
                      <w:highlight w:val="none"/>
                      <w:lang w:eastAsia="zh-CN"/>
                    </w:rPr>
                    <w:t>根据</w:t>
                  </w:r>
                  <w:r>
                    <w:rPr>
                      <w:rFonts w:hint="default" w:ascii="Times New Roman" w:hAnsi="Times New Roman" w:eastAsia="宋体" w:cs="Times New Roman"/>
                      <w:color w:val="auto"/>
                      <w:sz w:val="21"/>
                      <w:szCs w:val="21"/>
                      <w:highlight w:val="none"/>
                      <w:lang w:eastAsia="zh-CN"/>
                    </w:rPr>
                    <w:t>工业噪声排污许可证申请与核发技术规范，依法开展工业噪声排污许可证核发及排污登记工作，严格执行排污许可证、环评及批复文件的噪声排放管理要求；实行排污许可管理的单位依证排污，按照规定开展自行监测并向社会公开。</w:t>
                  </w:r>
                </w:p>
              </w:tc>
              <w:tc>
                <w:tcPr>
                  <w:tcW w:w="2690" w:type="dxa"/>
                  <w:tcBorders>
                    <w:tl2br w:val="nil"/>
                    <w:tr2bl w:val="nil"/>
                  </w:tcBorders>
                  <w:noWrap w:val="0"/>
                  <w:vAlign w:val="center"/>
                </w:tcPr>
                <w:p w14:paraId="103C6438">
                  <w:pPr>
                    <w:pStyle w:val="62"/>
                    <w:keepNext w:val="0"/>
                    <w:keepLines w:val="0"/>
                    <w:pageBreakBefore w:val="0"/>
                    <w:kinsoku/>
                    <w:wordWrap/>
                    <w:overflowPunct/>
                    <w:topLinePunct w:val="0"/>
                    <w:autoSpaceDE/>
                    <w:autoSpaceDN/>
                    <w:bidi w:val="0"/>
                    <w:spacing w:line="240" w:lineRule="auto"/>
                    <w:ind w:firstLine="0" w:firstLineChars="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本项目</w:t>
                  </w:r>
                  <w:r>
                    <w:rPr>
                      <w:rFonts w:hint="eastAsia" w:ascii="Times New Roman" w:hAnsi="Times New Roman" w:cs="Times New Roman"/>
                      <w:color w:val="auto"/>
                      <w:sz w:val="21"/>
                      <w:szCs w:val="21"/>
                      <w:lang w:val="en-US" w:eastAsia="zh-CN"/>
                    </w:rPr>
                    <w:t>位于陕西省宝鸡市凤翔高新区长青工业园。</w:t>
                  </w:r>
                  <w:r>
                    <w:rPr>
                      <w:rFonts w:hint="eastAsia" w:ascii="Times New Roman" w:hAnsi="Times New Roman" w:cs="Times New Roman"/>
                      <w:color w:val="auto"/>
                      <w:kern w:val="2"/>
                      <w:sz w:val="21"/>
                      <w:szCs w:val="21"/>
                      <w:lang w:val="en-US" w:eastAsia="zh-CN" w:bidi="ar-SA"/>
                    </w:rPr>
                    <w:t>通过</w:t>
                  </w:r>
                  <w:r>
                    <w:rPr>
                      <w:rFonts w:hint="default" w:ascii="Times New Roman" w:hAnsi="Times New Roman" w:cs="Times New Roman"/>
                      <w:color w:val="auto"/>
                      <w:kern w:val="2"/>
                      <w:sz w:val="21"/>
                      <w:szCs w:val="21"/>
                      <w:lang w:val="en-US" w:eastAsia="zh-CN" w:bidi="ar-SA"/>
                    </w:rPr>
                    <w:t>合理布局，高噪声设备尽可能远离声环境保护目标。选用低噪声设备，低噪声工艺；采取声学控制措施，如对</w:t>
                  </w:r>
                  <w:r>
                    <w:rPr>
                      <w:rFonts w:hint="eastAsia" w:ascii="Times New Roman" w:hAnsi="Times New Roman" w:cs="Times New Roman"/>
                      <w:color w:val="auto"/>
                      <w:kern w:val="2"/>
                      <w:sz w:val="21"/>
                      <w:szCs w:val="21"/>
                      <w:lang w:val="en-US" w:eastAsia="zh-CN" w:bidi="ar-SA"/>
                    </w:rPr>
                    <w:t>噪声源强较大的设备</w:t>
                  </w:r>
                  <w:r>
                    <w:rPr>
                      <w:rFonts w:hint="default" w:ascii="Times New Roman" w:hAnsi="Times New Roman" w:cs="Times New Roman"/>
                      <w:color w:val="auto"/>
                      <w:kern w:val="2"/>
                      <w:sz w:val="21"/>
                      <w:szCs w:val="21"/>
                      <w:lang w:val="en-US" w:eastAsia="zh-CN" w:bidi="ar-SA"/>
                    </w:rPr>
                    <w:t>声源采用吸声、减振等措施，对</w:t>
                  </w:r>
                  <w:r>
                    <w:rPr>
                      <w:rFonts w:hint="eastAsia" w:ascii="Times New Roman" w:hAnsi="Times New Roman" w:cs="Times New Roman"/>
                      <w:color w:val="auto"/>
                      <w:kern w:val="2"/>
                      <w:sz w:val="21"/>
                      <w:szCs w:val="21"/>
                      <w:lang w:val="en-US" w:eastAsia="zh-CN" w:bidi="ar-SA"/>
                    </w:rPr>
                    <w:t>设备定期</w:t>
                  </w:r>
                  <w:r>
                    <w:rPr>
                      <w:rFonts w:hint="default" w:ascii="Times New Roman" w:hAnsi="Times New Roman" w:cs="Times New Roman"/>
                      <w:color w:val="auto"/>
                      <w:kern w:val="2"/>
                      <w:sz w:val="21"/>
                      <w:szCs w:val="21"/>
                      <w:lang w:val="en-US" w:eastAsia="zh-CN" w:bidi="ar-SA"/>
                    </w:rPr>
                    <w:t>维护保养。</w:t>
                  </w:r>
                  <w:r>
                    <w:rPr>
                      <w:rFonts w:hint="eastAsia" w:ascii="Times New Roman" w:hAnsi="Times New Roman" w:cs="Times New Roman"/>
                      <w:color w:val="auto"/>
                      <w:kern w:val="2"/>
                      <w:sz w:val="21"/>
                      <w:szCs w:val="21"/>
                      <w:lang w:val="en-US" w:eastAsia="zh-CN" w:bidi="ar-SA"/>
                    </w:rPr>
                    <w:t>本次环评要求项目</w:t>
                  </w:r>
                  <w:r>
                    <w:rPr>
                      <w:rFonts w:hint="default" w:ascii="Times New Roman" w:hAnsi="Times New Roman" w:cs="Times New Roman"/>
                      <w:color w:val="auto"/>
                      <w:kern w:val="2"/>
                      <w:sz w:val="21"/>
                      <w:szCs w:val="21"/>
                      <w:lang w:val="en-US" w:eastAsia="zh-CN" w:bidi="ar-SA"/>
                    </w:rPr>
                    <w:t>严格按照</w:t>
                  </w:r>
                  <w:r>
                    <w:rPr>
                      <w:rFonts w:hint="default" w:ascii="Times New Roman" w:hAnsi="Times New Roman" w:eastAsia="宋体" w:cs="Times New Roman"/>
                      <w:color w:val="auto"/>
                      <w:sz w:val="21"/>
                      <w:szCs w:val="21"/>
                      <w:highlight w:val="none"/>
                      <w:lang w:eastAsia="zh-CN"/>
                    </w:rPr>
                    <w:t>工业噪声排污许可证申请与核发技术规范，</w:t>
                  </w:r>
                  <w:r>
                    <w:rPr>
                      <w:rFonts w:hint="default" w:ascii="Times New Roman" w:hAnsi="Times New Roman" w:cs="Times New Roman"/>
                      <w:color w:val="auto"/>
                      <w:kern w:val="2"/>
                      <w:sz w:val="21"/>
                      <w:szCs w:val="21"/>
                      <w:lang w:val="en-US" w:eastAsia="zh-CN" w:bidi="ar-SA"/>
                    </w:rPr>
                    <w:t>按照规定开展自行监测并向社会公开。</w:t>
                  </w:r>
                </w:p>
              </w:tc>
              <w:tc>
                <w:tcPr>
                  <w:tcW w:w="917" w:type="dxa"/>
                  <w:tcBorders>
                    <w:tl2br w:val="nil"/>
                    <w:tr2bl w:val="nil"/>
                  </w:tcBorders>
                  <w:noWrap w:val="0"/>
                  <w:vAlign w:val="center"/>
                </w:tcPr>
                <w:p w14:paraId="5D8E1C54">
                  <w:pPr>
                    <w:pStyle w:val="24"/>
                    <w:spacing w:line="240" w:lineRule="auto"/>
                    <w:ind w:left="0" w:lef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符合</w:t>
                  </w:r>
                </w:p>
              </w:tc>
            </w:tr>
            <w:tr w14:paraId="735A1A3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restart"/>
                  <w:tcBorders>
                    <w:tl2br w:val="nil"/>
                    <w:tr2bl w:val="nil"/>
                  </w:tcBorders>
                  <w:noWrap w:val="0"/>
                  <w:vAlign w:val="center"/>
                </w:tcPr>
                <w:p w14:paraId="4ADF4866">
                  <w:pPr>
                    <w:pStyle w:val="24"/>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《宝鸡市大气污染专项行动方案》（2023-2027年）</w:t>
                  </w:r>
                </w:p>
              </w:tc>
              <w:tc>
                <w:tcPr>
                  <w:tcW w:w="3219" w:type="dxa"/>
                  <w:tcBorders>
                    <w:tl2br w:val="nil"/>
                    <w:tr2bl w:val="nil"/>
                  </w:tcBorders>
                  <w:noWrap w:val="0"/>
                  <w:vAlign w:val="center"/>
                </w:tcPr>
                <w:p w14:paraId="40E7A036">
                  <w:pPr>
                    <w:pStyle w:val="24"/>
                    <w:spacing w:line="240" w:lineRule="auto"/>
                    <w:ind w:left="0" w:lef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严格执行施工场地</w:t>
                  </w:r>
                  <w:r>
                    <w:rPr>
                      <w:rFonts w:hint="eastAsia" w:ascii="Times New Roman" w:hAnsi="Times New Roman"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lang w:eastAsia="zh-CN"/>
                    </w:rPr>
                    <w:t>六个百分百</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lang w:eastAsia="zh-CN"/>
                    </w:rPr>
                    <w:t>，施工工地扬尘排放超过《施工场界扬尘排放限值</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lang w:eastAsia="zh-CN"/>
                    </w:rPr>
                    <w:t>DB61/1078-2017</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vertAlign w:val="baseline"/>
                      <w:lang w:eastAsia="zh-CN"/>
                    </w:rPr>
                    <w:t>》的立即停工整改。强化渣土车运输管理，依法从严查处无证运输、冒尖运输、不按规定路线和时间运输、带泥上路、沿街抛洒等行为。城市建成区、城乡</w:t>
                  </w:r>
                  <w:r>
                    <w:rPr>
                      <w:rFonts w:hint="eastAsia" w:ascii="Times New Roman" w:hAnsi="Times New Roman" w:eastAsia="宋体" w:cs="Times New Roman"/>
                      <w:color w:val="auto"/>
                      <w:sz w:val="21"/>
                      <w:szCs w:val="21"/>
                      <w:vertAlign w:val="baseline"/>
                      <w:lang w:eastAsia="zh-CN"/>
                    </w:rPr>
                    <w:t>接</w:t>
                  </w:r>
                  <w:r>
                    <w:rPr>
                      <w:rFonts w:hint="default" w:ascii="Times New Roman" w:hAnsi="Times New Roman" w:eastAsia="宋体" w:cs="Times New Roman"/>
                      <w:color w:val="auto"/>
                      <w:sz w:val="21"/>
                      <w:szCs w:val="21"/>
                      <w:vertAlign w:val="baseline"/>
                      <w:lang w:eastAsia="zh-CN"/>
                    </w:rPr>
                    <w:t>合部等区域易产生扬尘物料堆放及裸露地块应采取苫盖、植绿等有效抑尘措施。严禁露天装卸作业和物料干法作业。</w:t>
                  </w:r>
                </w:p>
              </w:tc>
              <w:tc>
                <w:tcPr>
                  <w:tcW w:w="2690" w:type="dxa"/>
                  <w:tcBorders>
                    <w:tl2br w:val="nil"/>
                    <w:tr2bl w:val="nil"/>
                  </w:tcBorders>
                  <w:noWrap w:val="0"/>
                  <w:vAlign w:val="center"/>
                </w:tcPr>
                <w:p w14:paraId="2651CC22">
                  <w:pPr>
                    <w:pStyle w:val="24"/>
                    <w:spacing w:line="240" w:lineRule="auto"/>
                    <w:ind w:left="0" w:leftChars="0" w:firstLine="0" w:firstLineChars="0"/>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eastAsia="zh-CN"/>
                    </w:rPr>
                    <w:t>本项目施工期严格按照要求施工；</w:t>
                  </w:r>
                  <w:r>
                    <w:rPr>
                      <w:rFonts w:hint="eastAsia" w:ascii="Times New Roman" w:hAnsi="Times New Roman" w:eastAsia="宋体" w:cs="Times New Roman"/>
                      <w:color w:val="auto"/>
                      <w:kern w:val="0"/>
                      <w:sz w:val="21"/>
                      <w:szCs w:val="21"/>
                      <w:lang w:val="en-US" w:eastAsia="zh-CN" w:bidi="ar"/>
                    </w:rPr>
                    <w:t>施工期严格落实”六</w:t>
                  </w:r>
                  <w:r>
                    <w:rPr>
                      <w:rFonts w:hint="default" w:ascii="Times New Roman" w:hAnsi="Times New Roman" w:eastAsia="宋体" w:cs="Times New Roman"/>
                      <w:color w:val="auto"/>
                      <w:kern w:val="0"/>
                      <w:sz w:val="21"/>
                      <w:szCs w:val="21"/>
                      <w:lang w:val="en-US" w:eastAsia="zh-CN" w:bidi="ar"/>
                    </w:rPr>
                    <w:t>个100%</w:t>
                  </w:r>
                  <w:r>
                    <w:rPr>
                      <w:rFonts w:hint="eastAsia" w:ascii="Times New Roman" w:hAnsi="Times New Roman" w:eastAsia="宋体" w:cs="Times New Roman"/>
                      <w:color w:val="auto"/>
                      <w:kern w:val="0"/>
                      <w:sz w:val="21"/>
                      <w:szCs w:val="21"/>
                      <w:lang w:val="en-US" w:eastAsia="zh-CN" w:bidi="ar"/>
                    </w:rPr>
                    <w:t>”，施工期及运行期严格加强道路扬尘治理。</w:t>
                  </w:r>
                </w:p>
              </w:tc>
              <w:tc>
                <w:tcPr>
                  <w:tcW w:w="917" w:type="dxa"/>
                  <w:tcBorders>
                    <w:tl2br w:val="nil"/>
                    <w:tr2bl w:val="nil"/>
                  </w:tcBorders>
                  <w:noWrap w:val="0"/>
                  <w:vAlign w:val="center"/>
                </w:tcPr>
                <w:p w14:paraId="6E20492C">
                  <w:pPr>
                    <w:pStyle w:val="24"/>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eastAsia="zh-CN"/>
                    </w:rPr>
                    <w:t>符合</w:t>
                  </w:r>
                </w:p>
              </w:tc>
            </w:tr>
            <w:tr w14:paraId="4084545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continue"/>
                  <w:tcBorders>
                    <w:tl2br w:val="nil"/>
                    <w:tr2bl w:val="nil"/>
                  </w:tcBorders>
                  <w:noWrap w:val="0"/>
                  <w:vAlign w:val="center"/>
                </w:tcPr>
                <w:p w14:paraId="16699CA8">
                  <w:pPr>
                    <w:pStyle w:val="24"/>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p>
              </w:tc>
              <w:tc>
                <w:tcPr>
                  <w:tcW w:w="3219" w:type="dxa"/>
                  <w:tcBorders>
                    <w:tl2br w:val="nil"/>
                    <w:tr2bl w:val="nil"/>
                  </w:tcBorders>
                  <w:noWrap w:val="0"/>
                  <w:vAlign w:val="center"/>
                </w:tcPr>
                <w:p w14:paraId="78575C68">
                  <w:pPr>
                    <w:pStyle w:val="24"/>
                    <w:spacing w:line="240" w:lineRule="auto"/>
                    <w:ind w:left="0" w:leftChars="0" w:firstLine="0" w:firstLineChars="0"/>
                    <w:jc w:val="both"/>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市辖区及开发区新、改、扩建涉气重点行业企业应达到环保绩效A级、绩效引领性水平。</w:t>
                  </w:r>
                </w:p>
              </w:tc>
              <w:tc>
                <w:tcPr>
                  <w:tcW w:w="2690" w:type="dxa"/>
                  <w:tcBorders>
                    <w:tl2br w:val="nil"/>
                    <w:tr2bl w:val="nil"/>
                  </w:tcBorders>
                  <w:noWrap w:val="0"/>
                  <w:vAlign w:val="center"/>
                </w:tcPr>
                <w:p w14:paraId="076DF1A1">
                  <w:pPr>
                    <w:pStyle w:val="24"/>
                    <w:spacing w:line="240" w:lineRule="auto"/>
                    <w:ind w:left="0" w:leftChars="0" w:firstLine="0" w:firstLineChars="0"/>
                    <w:jc w:val="both"/>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根据《国民经济行业分类》（GB/T4754-2017），本项目属于</w:t>
                  </w:r>
                  <w:r>
                    <w:rPr>
                      <w:rFonts w:hint="eastAsia" w:ascii="Times New Roman" w:hAnsi="Times New Roman"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其他基础化学原料制造项目（C2619）</w:t>
                  </w:r>
                  <w:r>
                    <w:rPr>
                      <w:rFonts w:hint="eastAsia" w:ascii="Times New Roman" w:hAnsi="Times New Roman"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，对照《重污染天气重点行业应急减排措施制定技术指南（2020年修订版）》，本项目不属于</w:t>
                  </w:r>
                  <w:r>
                    <w:rPr>
                      <w:rFonts w:hint="eastAsia" w:ascii="Times New Roman" w:hAnsi="Times New Roman" w:cs="Times New Roman"/>
                      <w:color w:val="auto"/>
                      <w:sz w:val="21"/>
                      <w:szCs w:val="21"/>
                      <w:vertAlign w:val="baseline"/>
                      <w:lang w:val="en-US" w:eastAsia="zh-CN"/>
                    </w:rPr>
                    <w:t>涉气重点行业</w:t>
                  </w:r>
                  <w:r>
                    <w:rPr>
                      <w:rFonts w:hint="eastAsia" w:ascii="Times New Roman" w:hAnsi="Times New Roman" w:eastAsia="宋体" w:cs="Times New Roman"/>
                      <w:color w:val="auto"/>
                      <w:sz w:val="21"/>
                      <w:szCs w:val="21"/>
                      <w:vertAlign w:val="baseline"/>
                      <w:lang w:val="en-US" w:eastAsia="zh-CN"/>
                    </w:rPr>
                    <w:t>。</w:t>
                  </w:r>
                </w:p>
              </w:tc>
              <w:tc>
                <w:tcPr>
                  <w:tcW w:w="917" w:type="dxa"/>
                  <w:tcBorders>
                    <w:tl2br w:val="nil"/>
                    <w:tr2bl w:val="nil"/>
                  </w:tcBorders>
                  <w:noWrap w:val="0"/>
                  <w:vAlign w:val="center"/>
                </w:tcPr>
                <w:p w14:paraId="04423184">
                  <w:pPr>
                    <w:pStyle w:val="24"/>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符合</w:t>
                  </w:r>
                </w:p>
              </w:tc>
            </w:tr>
            <w:tr w14:paraId="37E9028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restart"/>
                  <w:tcBorders>
                    <w:tl2br w:val="nil"/>
                    <w:tr2bl w:val="nil"/>
                  </w:tcBorders>
                  <w:noWrap w:val="0"/>
                  <w:vAlign w:val="center"/>
                </w:tcPr>
                <w:p w14:paraId="5720F7CF">
                  <w:pPr>
                    <w:pStyle w:val="24"/>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《宝鸡市</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十四五</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生态环境保护规划》</w:t>
                  </w:r>
                </w:p>
              </w:tc>
              <w:tc>
                <w:tcPr>
                  <w:tcW w:w="3219" w:type="dxa"/>
                  <w:tcBorders>
                    <w:tl2br w:val="nil"/>
                    <w:tr2bl w:val="nil"/>
                  </w:tcBorders>
                  <w:noWrap w:val="0"/>
                  <w:vAlign w:val="center"/>
                </w:tcPr>
                <w:p w14:paraId="12D954D0">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加强工业污染治理持续实施重点行业提标改造。降低电力、水泥、玻璃、石油、化工、有色金属、纺织印染、建材等行业大气污染排放。严格执行重点行业主要大气污染物排放标准，倒逼相关企业对烟粉尘、二氧化硫、氮氧化物等主要污染物治理设施进行提标改造。加强焦化、石化、水泥等行业无组织排放监督管理，采取高效扬尘管控措施，有效防止起尘。</w:t>
                  </w:r>
                </w:p>
              </w:tc>
              <w:tc>
                <w:tcPr>
                  <w:tcW w:w="2690" w:type="dxa"/>
                  <w:tcBorders>
                    <w:tl2br w:val="nil"/>
                    <w:tr2bl w:val="nil"/>
                  </w:tcBorders>
                  <w:noWrap w:val="0"/>
                  <w:vAlign w:val="center"/>
                </w:tcPr>
                <w:p w14:paraId="7E37E3A0">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both"/>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sz w:val="21"/>
                      <w:szCs w:val="21"/>
                      <w:vertAlign w:val="baseline"/>
                      <w:lang w:val="en-US" w:eastAsia="zh-CN"/>
                    </w:rPr>
                    <w:t>根据《国民经济行业分类》（GB/T4754-2017），本项目属于</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其他基础化学原料制造项目（C2619）</w:t>
                  </w:r>
                  <w:r>
                    <w:rPr>
                      <w:rFonts w:hint="eastAsia"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，不属于重点行业，</w:t>
                  </w:r>
                  <w:r>
                    <w:rPr>
                      <w:rFonts w:hint="default" w:ascii="Times New Roman" w:hAnsi="Times New Roman" w:eastAsia="宋体" w:cs="Times New Roman"/>
                      <w:color w:val="auto"/>
                      <w:kern w:val="0"/>
                      <w:sz w:val="21"/>
                      <w:szCs w:val="21"/>
                      <w:lang w:val="en-US" w:eastAsia="zh-CN" w:bidi="ar"/>
                    </w:rPr>
                    <w:t>项目</w:t>
                  </w:r>
                  <w:r>
                    <w:rPr>
                      <w:rFonts w:hint="eastAsia" w:ascii="Times New Roman" w:hAnsi="Times New Roman" w:eastAsia="宋体" w:cs="Times New Roman"/>
                      <w:color w:val="auto"/>
                      <w:kern w:val="0"/>
                      <w:sz w:val="21"/>
                      <w:szCs w:val="21"/>
                      <w:lang w:val="en-US" w:eastAsia="zh-CN" w:bidi="ar"/>
                    </w:rPr>
                    <w:t>严格落实扬尘污染治理措施，加强无组织排放监督管理，采取高效扬尘管控措施。</w:t>
                  </w:r>
                </w:p>
              </w:tc>
              <w:tc>
                <w:tcPr>
                  <w:tcW w:w="917" w:type="dxa"/>
                  <w:tcBorders>
                    <w:tl2br w:val="nil"/>
                    <w:tr2bl w:val="nil"/>
                  </w:tcBorders>
                  <w:noWrap w:val="0"/>
                  <w:vAlign w:val="center"/>
                </w:tcPr>
                <w:p w14:paraId="226D8D74">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符合</w:t>
                  </w:r>
                </w:p>
              </w:tc>
            </w:tr>
            <w:tr w14:paraId="782CC5B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continue"/>
                  <w:tcBorders>
                    <w:tl2br w:val="nil"/>
                    <w:tr2bl w:val="nil"/>
                  </w:tcBorders>
                  <w:noWrap w:val="0"/>
                  <w:vAlign w:val="center"/>
                </w:tcPr>
                <w:p w14:paraId="31C1B387">
                  <w:pPr>
                    <w:pStyle w:val="24"/>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p>
              </w:tc>
              <w:tc>
                <w:tcPr>
                  <w:tcW w:w="3219" w:type="dxa"/>
                  <w:tcBorders>
                    <w:tl2br w:val="nil"/>
                    <w:tr2bl w:val="nil"/>
                  </w:tcBorders>
                  <w:noWrap w:val="0"/>
                  <w:vAlign w:val="center"/>
                </w:tcPr>
                <w:p w14:paraId="396DC780">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强化涉固体废物建设项目</w:t>
                  </w:r>
                  <w:r>
                    <w:rPr>
                      <w:rFonts w:hint="eastAsia" w:ascii="Times New Roman" w:hAnsi="Times New Roman" w:eastAsia="宋体" w:cs="Times New Roman"/>
                      <w:color w:val="auto"/>
                      <w:kern w:val="0"/>
                      <w:sz w:val="21"/>
                      <w:szCs w:val="21"/>
                      <w:lang w:val="en-US" w:eastAsia="zh-CN" w:bidi="ar"/>
                    </w:rPr>
                    <w:t>的环</w:t>
                  </w:r>
                  <w:r>
                    <w:rPr>
                      <w:rFonts w:hint="default" w:ascii="Times New Roman" w:hAnsi="Times New Roman" w:eastAsia="宋体" w:cs="Times New Roman"/>
                      <w:color w:val="auto"/>
                      <w:kern w:val="0"/>
                      <w:sz w:val="21"/>
                      <w:szCs w:val="21"/>
                      <w:lang w:val="en-US" w:eastAsia="zh-CN" w:bidi="ar"/>
                    </w:rPr>
                    <w:t>境准入管理，从源头杜绝工业固体废物产生量大且综合</w:t>
                  </w:r>
                  <w:r>
                    <w:rPr>
                      <w:rFonts w:hint="eastAsia" w:cs="Times New Roman"/>
                      <w:color w:val="auto"/>
                      <w:kern w:val="0"/>
                      <w:sz w:val="21"/>
                      <w:szCs w:val="21"/>
                      <w:lang w:val="en-US" w:eastAsia="zh-CN" w:bidi="ar"/>
                    </w:rPr>
                    <w:t>利用率</w:t>
                  </w:r>
                  <w:r>
                    <w:rPr>
                      <w:rFonts w:hint="default" w:ascii="Times New Roman" w:hAnsi="Times New Roman" w:eastAsia="宋体" w:cs="Times New Roman"/>
                      <w:color w:val="auto"/>
                      <w:kern w:val="0"/>
                      <w:sz w:val="21"/>
                      <w:szCs w:val="21"/>
                      <w:lang w:val="en-US" w:eastAsia="zh-CN" w:bidi="ar"/>
                    </w:rPr>
                    <w:t>低，难以实现经济效益、环境效益和社会效益相协调的项目落地。</w:t>
                  </w:r>
                </w:p>
              </w:tc>
              <w:tc>
                <w:tcPr>
                  <w:tcW w:w="2690" w:type="dxa"/>
                  <w:tcBorders>
                    <w:tl2br w:val="nil"/>
                    <w:tr2bl w:val="nil"/>
                  </w:tcBorders>
                  <w:noWrap w:val="0"/>
                  <w:vAlign w:val="center"/>
                </w:tcPr>
                <w:p w14:paraId="56B37B4D">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本项目</w:t>
                  </w:r>
                  <w:r>
                    <w:rPr>
                      <w:rFonts w:hint="eastAsia" w:ascii="Times New Roman" w:hAnsi="Times New Roman" w:eastAsia="宋体" w:cs="Times New Roman"/>
                      <w:color w:val="auto"/>
                      <w:kern w:val="0"/>
                      <w:sz w:val="21"/>
                      <w:szCs w:val="21"/>
                      <w:lang w:val="en-US" w:eastAsia="zh-CN" w:bidi="ar"/>
                    </w:rPr>
                    <w:t>一般固体废物均综合利用，</w:t>
                  </w:r>
                  <w:r>
                    <w:rPr>
                      <w:rFonts w:hint="default" w:ascii="Times New Roman" w:hAnsi="Times New Roman" w:eastAsia="宋体" w:cs="Times New Roman"/>
                      <w:color w:val="auto"/>
                      <w:kern w:val="0"/>
                      <w:sz w:val="21"/>
                      <w:szCs w:val="21"/>
                      <w:lang w:val="en-US" w:eastAsia="zh-CN" w:bidi="ar"/>
                    </w:rPr>
                    <w:t>实现一般</w:t>
                  </w:r>
                  <w:r>
                    <w:rPr>
                      <w:rFonts w:hint="eastAsia" w:cs="Times New Roman"/>
                      <w:color w:val="auto"/>
                      <w:kern w:val="0"/>
                      <w:sz w:val="21"/>
                      <w:szCs w:val="21"/>
                      <w:lang w:val="en-US" w:eastAsia="zh-CN" w:bidi="ar"/>
                    </w:rPr>
                    <w:t>固体废物</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资源化</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利用，严格落实本评价提出的措施后，固体废物</w:t>
                  </w:r>
                  <w:r>
                    <w:rPr>
                      <w:rFonts w:hint="eastAsia" w:ascii="Times New Roman" w:hAnsi="Times New Roman" w:eastAsia="宋体" w:cs="Times New Roman"/>
                      <w:color w:val="auto"/>
                      <w:kern w:val="0"/>
                      <w:sz w:val="21"/>
                      <w:szCs w:val="21"/>
                      <w:lang w:val="en-US" w:eastAsia="zh-CN" w:bidi="ar"/>
                    </w:rPr>
                    <w:t>利用</w:t>
                  </w:r>
                  <w:r>
                    <w:rPr>
                      <w:rFonts w:hint="default" w:ascii="Times New Roman" w:hAnsi="Times New Roman" w:eastAsia="宋体" w:cs="Times New Roman"/>
                      <w:color w:val="auto"/>
                      <w:kern w:val="0"/>
                      <w:sz w:val="21"/>
                      <w:szCs w:val="21"/>
                      <w:lang w:val="en-US" w:eastAsia="zh-CN" w:bidi="ar"/>
                    </w:rPr>
                    <w:t>率达100%。</w:t>
                  </w:r>
                </w:p>
              </w:tc>
              <w:tc>
                <w:tcPr>
                  <w:tcW w:w="917" w:type="dxa"/>
                  <w:tcBorders>
                    <w:tl2br w:val="nil"/>
                    <w:tr2bl w:val="nil"/>
                  </w:tcBorders>
                  <w:noWrap w:val="0"/>
                  <w:vAlign w:val="center"/>
                </w:tcPr>
                <w:p w14:paraId="358E8B4A">
                  <w:pPr>
                    <w:pStyle w:val="24"/>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eastAsia="zh-CN"/>
                    </w:rPr>
                    <w:t>符合</w:t>
                  </w:r>
                </w:p>
              </w:tc>
            </w:tr>
            <w:tr w14:paraId="5816701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restart"/>
                  <w:tcBorders>
                    <w:tl2br w:val="nil"/>
                    <w:tr2bl w:val="nil"/>
                  </w:tcBorders>
                  <w:noWrap w:val="0"/>
                  <w:vAlign w:val="center"/>
                </w:tcPr>
                <w:p w14:paraId="6D40395A">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w:t>
                  </w:r>
                  <w:r>
                    <w:rPr>
                      <w:rFonts w:hint="default" w:ascii="Times New Roman" w:hAnsi="Times New Roman" w:eastAsia="宋体" w:cs="Times New Roman"/>
                      <w:color w:val="auto"/>
                      <w:spacing w:val="0"/>
                      <w:position w:val="0"/>
                      <w:sz w:val="21"/>
                      <w:szCs w:val="21"/>
                      <w:highlight w:val="none"/>
                      <w:lang w:val="en-US" w:eastAsia="zh-CN"/>
                    </w:rPr>
                    <w:t>宝鸡市环境空气质量限期达标规划</w:t>
                  </w:r>
                </w:p>
                <w:p w14:paraId="2F817C53">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sz w:val="21"/>
                      <w:szCs w:val="21"/>
                      <w:highlight w:val="none"/>
                      <w:lang w:val="en-US" w:eastAsia="zh-CN"/>
                    </w:rPr>
                    <w:t>（2023-2030年）</w:t>
                  </w:r>
                  <w:r>
                    <w:rPr>
                      <w:rFonts w:hint="eastAsia" w:ascii="Times New Roman" w:hAnsi="Times New Roman" w:eastAsia="宋体" w:cs="Times New Roman"/>
                      <w:color w:val="auto"/>
                      <w:spacing w:val="0"/>
                      <w:position w:val="0"/>
                      <w:sz w:val="21"/>
                      <w:szCs w:val="21"/>
                      <w:highlight w:val="none"/>
                      <w:lang w:val="en-US" w:eastAsia="zh-CN"/>
                    </w:rPr>
                    <w:t>》</w:t>
                  </w:r>
                </w:p>
              </w:tc>
              <w:tc>
                <w:tcPr>
                  <w:tcW w:w="3219" w:type="dxa"/>
                  <w:tcBorders>
                    <w:tl2br w:val="nil"/>
                    <w:tr2bl w:val="nil"/>
                  </w:tcBorders>
                  <w:noWrap w:val="0"/>
                  <w:vAlign w:val="center"/>
                </w:tcPr>
                <w:p w14:paraId="26C252A0">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zh-CN" w:eastAsia="zh-CN" w:bidi="ar"/>
                    </w:rPr>
                    <w:t>不断优化用地结构</w:t>
                  </w:r>
                  <w:r>
                    <w:rPr>
                      <w:rFonts w:hint="eastAsia"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一是开展露天矿山综合整治。对全市露天矿山进行摸底排查，建立清单，完成19</w:t>
                  </w:r>
                  <w:r>
                    <w:rPr>
                      <w:rFonts w:hint="eastAsia" w:cs="Times New Roman"/>
                      <w:color w:val="auto"/>
                      <w:kern w:val="0"/>
                      <w:sz w:val="21"/>
                      <w:szCs w:val="21"/>
                      <w:lang w:val="en-US" w:eastAsia="zh-CN" w:bidi="ar"/>
                    </w:rPr>
                    <w:t>处</w:t>
                  </w:r>
                  <w:r>
                    <w:rPr>
                      <w:rFonts w:hint="default" w:ascii="Times New Roman" w:hAnsi="Times New Roman" w:eastAsia="宋体" w:cs="Times New Roman"/>
                      <w:color w:val="auto"/>
                      <w:kern w:val="0"/>
                      <w:sz w:val="21"/>
                      <w:szCs w:val="21"/>
                      <w:lang w:val="en-US" w:eastAsia="zh-CN" w:bidi="ar"/>
                    </w:rPr>
                    <w:t>露天矿山综合整治。二是强化建筑工地扬尘管控。盯紧看牢涉土石方作业及拆迁工地，对</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6个100%</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落实不到位的严格执法，限期整改，并纳入建筑市场信用管理体系，情节严重的，列入建筑市场主体</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黑名单</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。从严管控渣土运输，分类调整渣土运输时间，大力推广阳光运输。三是加强道路扬尘治理。</w:t>
                  </w:r>
                </w:p>
              </w:tc>
              <w:tc>
                <w:tcPr>
                  <w:tcW w:w="2690" w:type="dxa"/>
                  <w:tcBorders>
                    <w:tl2br w:val="nil"/>
                    <w:tr2bl w:val="nil"/>
                  </w:tcBorders>
                  <w:noWrap w:val="0"/>
                  <w:vAlign w:val="center"/>
                </w:tcPr>
                <w:p w14:paraId="3E9615A4">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本项目施工期严格落实”</w:t>
                  </w:r>
                  <w:r>
                    <w:rPr>
                      <w:rFonts w:hint="default" w:ascii="Times New Roman" w:hAnsi="Times New Roman" w:eastAsia="宋体" w:cs="Times New Roman"/>
                      <w:color w:val="auto"/>
                      <w:kern w:val="0"/>
                      <w:sz w:val="21"/>
                      <w:szCs w:val="21"/>
                      <w:lang w:val="en-US" w:eastAsia="zh-CN" w:bidi="ar"/>
                    </w:rPr>
                    <w:t>6个100%</w:t>
                  </w:r>
                  <w:r>
                    <w:rPr>
                      <w:rFonts w:hint="eastAsia" w:ascii="Times New Roman" w:hAnsi="Times New Roman" w:eastAsia="宋体" w:cs="Times New Roman"/>
                      <w:color w:val="auto"/>
                      <w:kern w:val="0"/>
                      <w:sz w:val="21"/>
                      <w:szCs w:val="21"/>
                      <w:lang w:val="en-US" w:eastAsia="zh-CN" w:bidi="ar"/>
                    </w:rPr>
                    <w:t>”，施工期及运行期严格加强道路扬尘治理。</w:t>
                  </w:r>
                </w:p>
              </w:tc>
              <w:tc>
                <w:tcPr>
                  <w:tcW w:w="917" w:type="dxa"/>
                  <w:tcBorders>
                    <w:tl2br w:val="nil"/>
                    <w:tr2bl w:val="nil"/>
                  </w:tcBorders>
                  <w:noWrap w:val="0"/>
                  <w:vAlign w:val="center"/>
                </w:tcPr>
                <w:p w14:paraId="78A3F179">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符合</w:t>
                  </w:r>
                </w:p>
              </w:tc>
            </w:tr>
            <w:tr w14:paraId="0E65430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continue"/>
                  <w:tcBorders>
                    <w:tl2br w:val="nil"/>
                    <w:tr2bl w:val="nil"/>
                  </w:tcBorders>
                  <w:noWrap w:val="0"/>
                  <w:vAlign w:val="center"/>
                </w:tcPr>
                <w:p w14:paraId="52210AB1">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p>
              </w:tc>
              <w:tc>
                <w:tcPr>
                  <w:tcW w:w="3219" w:type="dxa"/>
                  <w:tcBorders>
                    <w:tl2br w:val="nil"/>
                    <w:tr2bl w:val="nil"/>
                  </w:tcBorders>
                  <w:noWrap w:val="0"/>
                  <w:vAlign w:val="center"/>
                </w:tcPr>
                <w:p w14:paraId="7C6E47E8">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eastAsia="宋体" w:cs="Times New Roman"/>
                      <w:color w:val="auto"/>
                      <w:kern w:val="0"/>
                      <w:sz w:val="21"/>
                      <w:szCs w:val="21"/>
                      <w:lang w:val="zh-CN" w:eastAsia="zh-CN" w:bidi="ar"/>
                    </w:rPr>
                  </w:pPr>
                  <w:r>
                    <w:rPr>
                      <w:rFonts w:hint="default" w:ascii="Times New Roman" w:hAnsi="Times New Roman" w:eastAsia="宋体" w:cs="Times New Roman"/>
                      <w:color w:val="auto"/>
                      <w:kern w:val="0"/>
                      <w:sz w:val="21"/>
                      <w:szCs w:val="21"/>
                      <w:lang w:val="zh-CN" w:eastAsia="zh-CN" w:bidi="ar"/>
                    </w:rPr>
                    <w:t>科学规划产业布局</w:t>
                  </w:r>
                  <w:r>
                    <w:rPr>
                      <w:rFonts w:hint="eastAsia"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zh-CN" w:eastAsia="zh-CN" w:bidi="ar"/>
                    </w:rPr>
                    <w:t>严格落实国家产业规划、产业政策、</w:t>
                  </w:r>
                  <w:r>
                    <w:rPr>
                      <w:rFonts w:hint="eastAsia"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zh-CN" w:eastAsia="zh-CN" w:bidi="ar"/>
                    </w:rPr>
                    <w:t>三线一单</w:t>
                  </w:r>
                  <w:r>
                    <w:rPr>
                      <w:rFonts w:hint="eastAsia"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zh-CN" w:eastAsia="zh-CN" w:bidi="ar"/>
                    </w:rPr>
                    <w:t>、规划环评以及产能置换、煤炭消费减量替代、区域污染物削减等要求，严禁不符合规定的项目建设。严格执行高耗能、高污染和资源型行业准入条件，明确各县（区）资源能源集约利用、单位GDP污染物排放、单位GDP建设用地使用面积等指标要求，严格控制高耗能、高污染项目建设，推动地区产业高质量发展。严把重大建设项目环境影响评价、节能评估准入关口，严格执行主要污染物总量等量或倍量削减要求，以总量定项目和产能，从源头预防大气环境污染。</w:t>
                  </w:r>
                </w:p>
              </w:tc>
              <w:tc>
                <w:tcPr>
                  <w:tcW w:w="2690" w:type="dxa"/>
                  <w:tcBorders>
                    <w:tl2br w:val="nil"/>
                    <w:tr2bl w:val="nil"/>
                  </w:tcBorders>
                  <w:noWrap w:val="0"/>
                  <w:vAlign w:val="center"/>
                </w:tcPr>
                <w:p w14:paraId="4052227E">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both"/>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本项目为工业气体生产项目，属于C2619其他基础化学原料制造，属于危险化学品生产</w:t>
                  </w:r>
                  <w:r>
                    <w:rPr>
                      <w:rFonts w:hint="eastAsia"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位于陕西省宝鸡市凤翔高新区长青工业园循环经济产业区。</w:t>
                  </w:r>
                </w:p>
                <w:p w14:paraId="786E59F7">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本项目符合</w:t>
                  </w:r>
                  <w:r>
                    <w:rPr>
                      <w:rFonts w:hint="default" w:ascii="Times New Roman" w:hAnsi="Times New Roman" w:eastAsia="宋体" w:cs="Times New Roman"/>
                      <w:color w:val="auto"/>
                      <w:kern w:val="0"/>
                      <w:sz w:val="21"/>
                      <w:szCs w:val="21"/>
                      <w:lang w:val="zh-CN" w:eastAsia="zh-CN" w:bidi="ar"/>
                    </w:rPr>
                    <w:t>国家产业规划、产业政策、</w:t>
                  </w:r>
                  <w:r>
                    <w:rPr>
                      <w:rFonts w:hint="eastAsia"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zh-CN" w:eastAsia="zh-CN" w:bidi="ar"/>
                    </w:rPr>
                    <w:t>三线一单</w:t>
                  </w:r>
                  <w:r>
                    <w:rPr>
                      <w:rFonts w:hint="eastAsia" w:ascii="Times New Roman" w:hAnsi="Times New Roman" w:eastAsia="宋体" w:cs="Times New Roman"/>
                      <w:color w:val="auto"/>
                      <w:kern w:val="0"/>
                      <w:sz w:val="21"/>
                      <w:szCs w:val="21"/>
                      <w:lang w:val="zh-CN" w:eastAsia="zh-CN" w:bidi="ar"/>
                    </w:rPr>
                    <w:t>”</w:t>
                  </w:r>
                  <w:r>
                    <w:rPr>
                      <w:rFonts w:hint="eastAsia" w:ascii="Times New Roman" w:hAnsi="Times New Roman" w:eastAsia="宋体" w:cs="Times New Roman"/>
                      <w:color w:val="auto"/>
                      <w:kern w:val="0"/>
                      <w:sz w:val="21"/>
                      <w:szCs w:val="21"/>
                      <w:lang w:val="en-US" w:eastAsia="zh-CN" w:bidi="ar"/>
                    </w:rPr>
                    <w:t>等政策，项目不属于</w:t>
                  </w:r>
                  <w:r>
                    <w:rPr>
                      <w:rFonts w:hint="default" w:ascii="Times New Roman" w:hAnsi="Times New Roman" w:eastAsia="宋体" w:cs="Times New Roman"/>
                      <w:color w:val="auto"/>
                      <w:kern w:val="0"/>
                      <w:sz w:val="21"/>
                      <w:szCs w:val="21"/>
                      <w:lang w:val="zh-CN" w:eastAsia="zh-CN" w:bidi="ar"/>
                    </w:rPr>
                    <w:t>高耗能、高污染和资源型行业</w:t>
                  </w:r>
                  <w:r>
                    <w:rPr>
                      <w:rFonts w:hint="eastAsia" w:ascii="Times New Roman" w:hAnsi="Times New Roman" w:eastAsia="宋体" w:cs="Times New Roman"/>
                      <w:color w:val="auto"/>
                      <w:kern w:val="0"/>
                      <w:sz w:val="21"/>
                      <w:szCs w:val="21"/>
                      <w:lang w:val="zh-CN" w:eastAsia="zh-CN" w:bidi="ar"/>
                    </w:rPr>
                    <w:t>，</w:t>
                  </w:r>
                  <w:r>
                    <w:rPr>
                      <w:rFonts w:hint="eastAsia" w:ascii="Times New Roman" w:hAnsi="Times New Roman" w:eastAsia="宋体" w:cs="Times New Roman"/>
                      <w:color w:val="auto"/>
                      <w:kern w:val="0"/>
                      <w:sz w:val="21"/>
                      <w:szCs w:val="21"/>
                      <w:lang w:val="en-US" w:eastAsia="zh-CN" w:bidi="ar"/>
                    </w:rPr>
                    <w:t>项目不涉及</w:t>
                  </w:r>
                  <w:r>
                    <w:rPr>
                      <w:rFonts w:hint="default" w:ascii="Times New Roman" w:hAnsi="Times New Roman" w:eastAsia="宋体" w:cs="Times New Roman"/>
                      <w:color w:val="auto"/>
                      <w:kern w:val="0"/>
                      <w:sz w:val="21"/>
                      <w:szCs w:val="21"/>
                      <w:lang w:val="zh-CN" w:eastAsia="zh-CN" w:bidi="ar"/>
                    </w:rPr>
                    <w:t>主要污染物总量等量或倍量削减</w:t>
                  </w:r>
                  <w:r>
                    <w:rPr>
                      <w:rFonts w:hint="eastAsia" w:ascii="Times New Roman" w:hAnsi="Times New Roman" w:eastAsia="宋体" w:cs="Times New Roman"/>
                      <w:color w:val="auto"/>
                      <w:kern w:val="0"/>
                      <w:sz w:val="21"/>
                      <w:szCs w:val="21"/>
                      <w:lang w:val="zh-CN" w:eastAsia="zh-CN" w:bidi="ar"/>
                    </w:rPr>
                    <w:t>。</w:t>
                  </w:r>
                </w:p>
              </w:tc>
              <w:tc>
                <w:tcPr>
                  <w:tcW w:w="917" w:type="dxa"/>
                  <w:tcBorders>
                    <w:tl2br w:val="nil"/>
                    <w:tr2bl w:val="nil"/>
                  </w:tcBorders>
                  <w:noWrap w:val="0"/>
                  <w:vAlign w:val="center"/>
                </w:tcPr>
                <w:p w14:paraId="18B19BC0">
                  <w:pPr>
                    <w:keepNext w:val="0"/>
                    <w:keepLines w:val="0"/>
                    <w:pageBreakBefore w:val="0"/>
                    <w:widowControl/>
                    <w:suppressLineNumbers w:val="0"/>
                    <w:kinsoku/>
                    <w:wordWrap/>
                    <w:overflowPunct/>
                    <w:topLinePunct w:val="0"/>
                    <w:autoSpaceDE/>
                    <w:autoSpaceDN/>
                    <w:bidi w:val="0"/>
                    <w:snapToGrid/>
                    <w:spacing w:line="240" w:lineRule="auto"/>
                    <w:ind w:left="0" w:leftChars="0"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spacing w:val="0"/>
                      <w:position w:val="0"/>
                      <w:sz w:val="21"/>
                      <w:szCs w:val="21"/>
                      <w:highlight w:val="none"/>
                      <w:lang w:val="en-US" w:eastAsia="zh-CN"/>
                    </w:rPr>
                    <w:t>符合</w:t>
                  </w:r>
                </w:p>
              </w:tc>
            </w:tr>
            <w:tr w14:paraId="0C6B67B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continue"/>
                  <w:tcBorders>
                    <w:tl2br w:val="nil"/>
                    <w:tr2bl w:val="nil"/>
                  </w:tcBorders>
                  <w:noWrap w:val="0"/>
                  <w:vAlign w:val="center"/>
                </w:tcPr>
                <w:p w14:paraId="2194DFE8">
                  <w:pPr>
                    <w:pStyle w:val="24"/>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p>
              </w:tc>
              <w:tc>
                <w:tcPr>
                  <w:tcW w:w="3219" w:type="dxa"/>
                  <w:tcBorders>
                    <w:tl2br w:val="nil"/>
                    <w:tr2bl w:val="nil"/>
                  </w:tcBorders>
                  <w:noWrap w:val="0"/>
                  <w:vAlign w:val="center"/>
                </w:tcPr>
                <w:p w14:paraId="2094F996">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both"/>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default" w:ascii="Times New Roman" w:hAnsi="Times New Roman" w:eastAsia="宋体" w:cs="Times New Roman"/>
                      <w:color w:val="auto"/>
                      <w:spacing w:val="0"/>
                      <w:position w:val="0"/>
                      <w:sz w:val="21"/>
                      <w:szCs w:val="21"/>
                      <w:highlight w:val="none"/>
                    </w:rPr>
                    <w:t>坚决遏制</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两高</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项目盲目发展。严格能耗、环保、质量、安全、技术等综合标准，严禁新增钢铁、焦化、水泥熟料、平板玻璃、电解铝、氧化铝、煤化工产能，合理控制煤制油气产能规模，严控新增炼油产能。不得违规新增化工园区。严格执行《产业结构调整指导目录》，坚决遏制</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两高</w:t>
                  </w:r>
                  <w:r>
                    <w:rPr>
                      <w:rFonts w:hint="eastAsia" w:ascii="Times New Roman" w:hAnsi="Times New Roman" w:eastAsia="宋体" w:cs="Times New Roman"/>
                      <w:color w:val="auto"/>
                      <w:spacing w:val="0"/>
                      <w:position w:val="0"/>
                      <w:sz w:val="21"/>
                      <w:szCs w:val="21"/>
                      <w:highlight w:val="none"/>
                      <w:lang w:eastAsia="zh-CN"/>
                    </w:rPr>
                    <w:t>”</w:t>
                  </w:r>
                  <w:r>
                    <w:rPr>
                      <w:rFonts w:hint="default" w:ascii="Times New Roman" w:hAnsi="Times New Roman" w:eastAsia="宋体" w:cs="Times New Roman"/>
                      <w:color w:val="auto"/>
                      <w:spacing w:val="0"/>
                      <w:position w:val="0"/>
                      <w:sz w:val="21"/>
                      <w:szCs w:val="21"/>
                      <w:highlight w:val="none"/>
                    </w:rPr>
                    <w:t>项目盲目发展。市辖区及开发区新、改、扩建涉气重点行业企业应达到环保绩效A级、绩效引领性水平。</w:t>
                  </w:r>
                </w:p>
              </w:tc>
              <w:tc>
                <w:tcPr>
                  <w:tcW w:w="2690" w:type="dxa"/>
                  <w:tcBorders>
                    <w:tl2br w:val="nil"/>
                    <w:tr2bl w:val="nil"/>
                  </w:tcBorders>
                  <w:noWrap w:val="0"/>
                  <w:vAlign w:val="center"/>
                </w:tcPr>
                <w:p w14:paraId="7562EB06">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根据《陕西省”两高”项目管理暂行目录（2022年版）》（陕发改环资〔2022〕110号）本项目不属于”两高”项目。项目能源为电能。</w:t>
                  </w:r>
                </w:p>
                <w:p w14:paraId="3808DACB">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both"/>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z w:val="21"/>
                      <w:szCs w:val="21"/>
                      <w:vertAlign w:val="baseline"/>
                      <w:lang w:val="en-US" w:eastAsia="zh-CN"/>
                    </w:rPr>
                    <w:t>对照《重污染天气重点行业应急减排措施制定技术指南（2020年修订版）》，本项目不属于</w:t>
                  </w:r>
                  <w:r>
                    <w:rPr>
                      <w:rFonts w:hint="eastAsia" w:ascii="Times New Roman" w:hAnsi="Times New Roman" w:cs="Times New Roman"/>
                      <w:color w:val="auto"/>
                      <w:sz w:val="21"/>
                      <w:szCs w:val="21"/>
                      <w:vertAlign w:val="baseline"/>
                      <w:lang w:val="en-US" w:eastAsia="zh-CN"/>
                    </w:rPr>
                    <w:t>涉气重点行业</w:t>
                  </w:r>
                  <w:r>
                    <w:rPr>
                      <w:rFonts w:hint="eastAsia" w:ascii="Times New Roman" w:hAnsi="Times New Roman" w:eastAsia="宋体" w:cs="Times New Roman"/>
                      <w:color w:val="auto"/>
                      <w:sz w:val="21"/>
                      <w:szCs w:val="21"/>
                      <w:vertAlign w:val="baseline"/>
                      <w:lang w:val="en-US" w:eastAsia="zh-CN"/>
                    </w:rPr>
                    <w:t>。</w:t>
                  </w:r>
                </w:p>
              </w:tc>
              <w:tc>
                <w:tcPr>
                  <w:tcW w:w="917" w:type="dxa"/>
                  <w:tcBorders>
                    <w:tl2br w:val="nil"/>
                    <w:tr2bl w:val="nil"/>
                  </w:tcBorders>
                  <w:noWrap w:val="0"/>
                  <w:vAlign w:val="center"/>
                </w:tcPr>
                <w:p w14:paraId="2CBD11A7">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符合</w:t>
                  </w:r>
                </w:p>
              </w:tc>
            </w:tr>
            <w:tr w14:paraId="0519B08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78" w:type="dxa"/>
                  <w:vMerge w:val="restart"/>
                  <w:tcBorders>
                    <w:tl2br w:val="nil"/>
                    <w:tr2bl w:val="nil"/>
                  </w:tcBorders>
                  <w:noWrap w:val="0"/>
                  <w:vAlign w:val="center"/>
                </w:tcPr>
                <w:p w14:paraId="7B2B5DAC">
                  <w:pPr>
                    <w:pStyle w:val="24"/>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《宝鸡市凤翔区大气污染治理专项行动方案（2023-2027年）》</w:t>
                  </w:r>
                </w:p>
              </w:tc>
              <w:tc>
                <w:tcPr>
                  <w:tcW w:w="3219" w:type="dxa"/>
                  <w:tcBorders>
                    <w:tl2br w:val="nil"/>
                    <w:tr2bl w:val="nil"/>
                  </w:tcBorders>
                  <w:noWrap w:val="0"/>
                  <w:vAlign w:val="center"/>
                </w:tcPr>
                <w:p w14:paraId="6D38A710">
                  <w:pPr>
                    <w:pStyle w:val="24"/>
                    <w:spacing w:line="240" w:lineRule="auto"/>
                    <w:ind w:left="0" w:leftChars="0" w:firstLine="0" w:firstLineChars="0"/>
                    <w:jc w:val="both"/>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eastAsia="zh-CN"/>
                    </w:rPr>
                    <w:t>新、改、扩建涉气重点行业企业应达到环保绩效A级、绩效引领性水平。</w:t>
                  </w:r>
                </w:p>
              </w:tc>
              <w:tc>
                <w:tcPr>
                  <w:tcW w:w="2690" w:type="dxa"/>
                  <w:tcBorders>
                    <w:tl2br w:val="nil"/>
                    <w:tr2bl w:val="nil"/>
                  </w:tcBorders>
                  <w:noWrap w:val="0"/>
                  <w:vAlign w:val="center"/>
                </w:tcPr>
                <w:p w14:paraId="4596E396">
                  <w:pPr>
                    <w:pStyle w:val="24"/>
                    <w:spacing w:line="240" w:lineRule="auto"/>
                    <w:ind w:left="0" w:leftChars="0" w:firstLine="0" w:firstLineChars="0"/>
                    <w:jc w:val="both"/>
                    <w:rPr>
                      <w:rFonts w:hint="default" w:ascii="Calibri" w:hAnsi="Calibri" w:eastAsia="宋体" w:cs="Times New Roman"/>
                      <w:color w:val="auto"/>
                      <w:kern w:val="0"/>
                      <w:sz w:val="21"/>
                      <w:szCs w:val="21"/>
                      <w:lang w:val="en-US" w:eastAsia="zh-CN" w:bidi="ar"/>
                    </w:rPr>
                  </w:pPr>
                  <w:r>
                    <w:rPr>
                      <w:rFonts w:hint="eastAsia" w:ascii="Times New Roman" w:hAnsi="Times New Roman" w:eastAsia="宋体" w:cs="Times New Roman"/>
                      <w:color w:val="auto"/>
                      <w:sz w:val="21"/>
                      <w:szCs w:val="21"/>
                      <w:vertAlign w:val="baseline"/>
                      <w:lang w:val="en-US" w:eastAsia="zh-CN"/>
                    </w:rPr>
                    <w:t>根据《国民经济行业分类》（GB/T4754-2017），本项目属于</w:t>
                  </w:r>
                  <w:r>
                    <w:rPr>
                      <w:rFonts w:hint="eastAsia" w:ascii="Times New Roman" w:hAnsi="Times New Roman"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其他基础化学原料制造项目（C2619）</w:t>
                  </w:r>
                  <w:r>
                    <w:rPr>
                      <w:rFonts w:hint="eastAsia" w:ascii="Times New Roman" w:hAnsi="Times New Roman"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，对照《重污染天气重点行业应急减排措施制定技术指南（2020年修订版）》，本项目不属于</w:t>
                  </w:r>
                  <w:r>
                    <w:rPr>
                      <w:rFonts w:hint="eastAsia" w:ascii="Times New Roman" w:hAnsi="Times New Roman" w:cs="Times New Roman"/>
                      <w:color w:val="auto"/>
                      <w:sz w:val="21"/>
                      <w:szCs w:val="21"/>
                      <w:vertAlign w:val="baseline"/>
                      <w:lang w:val="en-US" w:eastAsia="zh-CN"/>
                    </w:rPr>
                    <w:t>涉气重点行业</w:t>
                  </w:r>
                  <w:r>
                    <w:rPr>
                      <w:rFonts w:hint="eastAsia" w:ascii="Times New Roman" w:hAnsi="Times New Roman" w:eastAsia="宋体" w:cs="Times New Roman"/>
                      <w:color w:val="auto"/>
                      <w:sz w:val="21"/>
                      <w:szCs w:val="21"/>
                      <w:vertAlign w:val="baseline"/>
                      <w:lang w:val="en-US" w:eastAsia="zh-CN"/>
                    </w:rPr>
                    <w:t>。</w:t>
                  </w:r>
                </w:p>
              </w:tc>
              <w:tc>
                <w:tcPr>
                  <w:tcW w:w="917" w:type="dxa"/>
                  <w:tcBorders>
                    <w:tl2br w:val="nil"/>
                    <w:tr2bl w:val="nil"/>
                  </w:tcBorders>
                  <w:noWrap w:val="0"/>
                  <w:vAlign w:val="center"/>
                </w:tcPr>
                <w:p w14:paraId="74DEA04F">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符合</w:t>
                  </w:r>
                </w:p>
              </w:tc>
            </w:tr>
            <w:tr w14:paraId="4CDA44B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178" w:type="dxa"/>
                  <w:vMerge w:val="continue"/>
                  <w:tcBorders>
                    <w:tl2br w:val="nil"/>
                    <w:tr2bl w:val="nil"/>
                  </w:tcBorders>
                  <w:noWrap w:val="0"/>
                  <w:vAlign w:val="center"/>
                </w:tcPr>
                <w:p w14:paraId="3799AB7C">
                  <w:pPr>
                    <w:pStyle w:val="24"/>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p>
              </w:tc>
              <w:tc>
                <w:tcPr>
                  <w:tcW w:w="3219" w:type="dxa"/>
                  <w:tcBorders>
                    <w:tl2br w:val="nil"/>
                    <w:tr2bl w:val="nil"/>
                  </w:tcBorders>
                  <w:noWrap w:val="0"/>
                  <w:vAlign w:val="center"/>
                </w:tcPr>
                <w:p w14:paraId="2E3AE93E">
                  <w:pPr>
                    <w:pStyle w:val="24"/>
                    <w:spacing w:line="240" w:lineRule="auto"/>
                    <w:ind w:left="0" w:leftChars="0" w:firstLine="0" w:firstLineChars="0"/>
                    <w:jc w:val="both"/>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eastAsia="zh-CN"/>
                    </w:rPr>
                    <w:t>严格执行施工场地</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六个百分百</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，实施建设施工全过程精细化管理，施工工地扬尘排放超过《施工场界扬尘排放限值</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DB61/1078-2017</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》的立即停工整改。除沙尘天气影响外，PM</w:t>
                  </w:r>
                  <w:r>
                    <w:rPr>
                      <w:rFonts w:hint="eastAsia" w:ascii="Times New Roman" w:hAnsi="Times New Roman" w:cs="Times New Roman"/>
                      <w:color w:val="auto"/>
                      <w:sz w:val="21"/>
                      <w:szCs w:val="21"/>
                      <w:vertAlign w:val="subscript"/>
                      <w:lang w:val="en-US" w:eastAsia="zh-CN"/>
                    </w:rPr>
                    <w:t>10</w:t>
                  </w:r>
                  <w:r>
                    <w:rPr>
                      <w:rFonts w:hint="default" w:ascii="Times New Roman" w:hAnsi="Times New Roman" w:cs="Times New Roman"/>
                      <w:color w:val="auto"/>
                      <w:sz w:val="21"/>
                      <w:szCs w:val="21"/>
                      <w:vertAlign w:val="baseline"/>
                      <w:lang w:eastAsia="zh-CN"/>
                    </w:rPr>
                    <w:t>小时浓度连续3小时超过150微克/立方米时，暂停超过环境质量监测值2.5倍以上的施工工地作业。</w:t>
                  </w:r>
                </w:p>
              </w:tc>
              <w:tc>
                <w:tcPr>
                  <w:tcW w:w="2690" w:type="dxa"/>
                  <w:tcBorders>
                    <w:tl2br w:val="nil"/>
                    <w:tr2bl w:val="nil"/>
                  </w:tcBorders>
                  <w:noWrap w:val="0"/>
                  <w:vAlign w:val="center"/>
                </w:tcPr>
                <w:p w14:paraId="76B955DD">
                  <w:pPr>
                    <w:pStyle w:val="24"/>
                    <w:spacing w:line="240" w:lineRule="auto"/>
                    <w:ind w:left="0" w:leftChars="0" w:firstLine="0" w:firstLineChars="0"/>
                    <w:jc w:val="both"/>
                    <w:rPr>
                      <w:rFonts w:hint="eastAsia" w:ascii="Calibri" w:hAnsi="Calibri" w:eastAsia="宋体" w:cs="Times New Roman"/>
                      <w:color w:val="auto"/>
                      <w:kern w:val="0"/>
                      <w:sz w:val="21"/>
                      <w:szCs w:val="21"/>
                      <w:lang w:val="en-US" w:eastAsia="zh-CN" w:bidi="ar"/>
                    </w:rPr>
                  </w:pPr>
                  <w:r>
                    <w:rPr>
                      <w:rFonts w:hint="eastAsia" w:eastAsia="宋体" w:cs="Times New Roman"/>
                      <w:color w:val="auto"/>
                      <w:kern w:val="0"/>
                      <w:sz w:val="21"/>
                      <w:szCs w:val="21"/>
                      <w:lang w:val="en-US" w:eastAsia="zh-CN" w:bidi="ar"/>
                    </w:rPr>
                    <w:t>本项目施工过程严格落实</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六个百分百</w:t>
                  </w:r>
                  <w:r>
                    <w:rPr>
                      <w:rFonts w:hint="eastAsia" w:ascii="Times New Roman" w:hAnsi="Times New Roman" w:cs="Times New Roman"/>
                      <w:color w:val="auto"/>
                      <w:sz w:val="21"/>
                      <w:szCs w:val="21"/>
                      <w:vertAlign w:val="baseline"/>
                      <w:lang w:eastAsia="zh-CN"/>
                    </w:rPr>
                    <w:t>”</w:t>
                  </w:r>
                  <w:r>
                    <w:rPr>
                      <w:rFonts w:hint="eastAsia" w:ascii="Times New Roman" w:hAnsi="Times New Roman" w:cs="Times New Roman"/>
                      <w:color w:val="auto"/>
                      <w:sz w:val="21"/>
                      <w:szCs w:val="21"/>
                      <w:vertAlign w:val="baseline"/>
                      <w:lang w:val="en-US" w:eastAsia="zh-CN"/>
                    </w:rPr>
                    <w:t>相关要求，若出现</w:t>
                  </w:r>
                  <w:r>
                    <w:rPr>
                      <w:rFonts w:hint="default" w:ascii="Times New Roman" w:hAnsi="Times New Roman" w:cs="Times New Roman"/>
                      <w:color w:val="auto"/>
                      <w:sz w:val="21"/>
                      <w:szCs w:val="21"/>
                      <w:vertAlign w:val="baseline"/>
                      <w:lang w:eastAsia="zh-CN"/>
                    </w:rPr>
                    <w:t>施工工地扬尘排放超过《施工场界扬尘排放限值</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DB61/1078-2017</w:t>
                  </w:r>
                  <w:r>
                    <w:rPr>
                      <w:rFonts w:hint="eastAsia" w:ascii="Times New Roman" w:hAnsi="Times New Roman" w:cs="Times New Roman"/>
                      <w:color w:val="auto"/>
                      <w:sz w:val="21"/>
                      <w:szCs w:val="21"/>
                      <w:vertAlign w:val="baseline"/>
                      <w:lang w:eastAsia="zh-CN"/>
                    </w:rPr>
                    <w:t>）</w:t>
                  </w:r>
                  <w:r>
                    <w:rPr>
                      <w:rFonts w:hint="default" w:ascii="Times New Roman" w:hAnsi="Times New Roman" w:cs="Times New Roman"/>
                      <w:color w:val="auto"/>
                      <w:sz w:val="21"/>
                      <w:szCs w:val="21"/>
                      <w:vertAlign w:val="baseline"/>
                      <w:lang w:eastAsia="zh-CN"/>
                    </w:rPr>
                    <w:t>》的立即停工整改。</w:t>
                  </w:r>
                </w:p>
              </w:tc>
              <w:tc>
                <w:tcPr>
                  <w:tcW w:w="917" w:type="dxa"/>
                  <w:tcBorders>
                    <w:tl2br w:val="nil"/>
                    <w:tr2bl w:val="nil"/>
                  </w:tcBorders>
                  <w:noWrap w:val="0"/>
                  <w:vAlign w:val="center"/>
                </w:tcPr>
                <w:p w14:paraId="28D0EEBB">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kern w:val="2"/>
                      <w:position w:val="0"/>
                      <w:sz w:val="21"/>
                      <w:szCs w:val="21"/>
                      <w:highlight w:val="none"/>
                      <w:lang w:val="en-US" w:eastAsia="zh-CN" w:bidi="ar-SA"/>
                    </w:rPr>
                  </w:pPr>
                  <w:r>
                    <w:rPr>
                      <w:rFonts w:hint="eastAsia" w:ascii="Times New Roman" w:hAnsi="Times New Roman" w:eastAsia="宋体" w:cs="Times New Roman"/>
                      <w:color w:val="auto"/>
                      <w:spacing w:val="0"/>
                      <w:position w:val="0"/>
                      <w:sz w:val="21"/>
                      <w:szCs w:val="21"/>
                      <w:highlight w:val="none"/>
                      <w:lang w:val="en-US" w:eastAsia="zh-CN"/>
                    </w:rPr>
                    <w:t>符合</w:t>
                  </w:r>
                </w:p>
              </w:tc>
            </w:tr>
            <w:tr w14:paraId="12DC746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178" w:type="dxa"/>
                  <w:vMerge w:val="restart"/>
                  <w:tcBorders>
                    <w:tl2br w:val="nil"/>
                    <w:tr2bl w:val="nil"/>
                  </w:tcBorders>
                  <w:noWrap w:val="0"/>
                  <w:vAlign w:val="center"/>
                </w:tcPr>
                <w:p w14:paraId="6687F1D6">
                  <w:pPr>
                    <w:pStyle w:val="24"/>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r>
                    <w:rPr>
                      <w:rFonts w:hint="default" w:ascii="Times New Roman" w:hAnsi="Times New Roman" w:cs="Times New Roman"/>
                      <w:color w:val="auto"/>
                      <w:sz w:val="21"/>
                      <w:szCs w:val="21"/>
                      <w:vertAlign w:val="baseline"/>
                      <w:lang w:eastAsia="zh-CN"/>
                    </w:rPr>
                    <w:t>《挥发性有机物无组织排放控制标准》（GB37822-2019）</w:t>
                  </w:r>
                </w:p>
              </w:tc>
              <w:tc>
                <w:tcPr>
                  <w:tcW w:w="3219" w:type="dxa"/>
                  <w:tcBorders>
                    <w:tl2br w:val="nil"/>
                    <w:tr2bl w:val="nil"/>
                  </w:tcBorders>
                  <w:noWrap w:val="0"/>
                  <w:vAlign w:val="center"/>
                </w:tcPr>
                <w:p w14:paraId="7E2C9EC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VOCs物料应储存于密闭的容器、包装袋、储罐、储库、仓库中。盛装VOCs物料的容器或包装袋应存放于室内，或存放于设置雨棚、遮阳和防渗设施的专用场地。盛装VOCs物料的容器或包装袋在非取用状态时应加盖、封口，保持密闭。VOCs物料储罐应密封良好。VOCs物料储库、仓库应为封闭式建筑，除人员、车辆、设备、物料进出时以及依法设立的排气筒、通风口外，门窗及其他开口</w:t>
                  </w:r>
                  <w:r>
                    <w:rPr>
                      <w:rFonts w:hint="eastAsia" w:cs="Times New Roman"/>
                      <w:sz w:val="21"/>
                      <w:szCs w:val="21"/>
                      <w:lang w:eastAsia="zh-CN"/>
                    </w:rPr>
                    <w:t>（</w:t>
                  </w:r>
                  <w:r>
                    <w:rPr>
                      <w:rFonts w:hint="default" w:ascii="Times New Roman" w:hAnsi="Times New Roman" w:eastAsia="宋体" w:cs="Times New Roman"/>
                      <w:sz w:val="21"/>
                      <w:szCs w:val="21"/>
                    </w:rPr>
                    <w:t>孔</w:t>
                  </w:r>
                  <w:r>
                    <w:rPr>
                      <w:rFonts w:hint="eastAsia" w:cs="Times New Roman"/>
                      <w:sz w:val="21"/>
                      <w:szCs w:val="21"/>
                      <w:lang w:eastAsia="zh-CN"/>
                    </w:rPr>
                    <w:t>）</w:t>
                  </w:r>
                  <w:r>
                    <w:rPr>
                      <w:rFonts w:hint="default" w:ascii="Times New Roman" w:hAnsi="Times New Roman" w:eastAsia="宋体" w:cs="Times New Roman"/>
                      <w:sz w:val="21"/>
                      <w:szCs w:val="21"/>
                    </w:rPr>
                    <w:t>部位应随时保持关闭状态。</w:t>
                  </w:r>
                </w:p>
              </w:tc>
              <w:tc>
                <w:tcPr>
                  <w:tcW w:w="2690" w:type="dxa"/>
                  <w:tcBorders>
                    <w:tl2br w:val="nil"/>
                    <w:tr2bl w:val="nil"/>
                  </w:tcBorders>
                  <w:noWrap w:val="0"/>
                  <w:vAlign w:val="center"/>
                </w:tcPr>
                <w:p w14:paraId="2DD097E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lang w:val="en-US" w:eastAsia="zh-CN"/>
                    </w:rPr>
                    <w:t>本项目为工业</w:t>
                  </w:r>
                  <w:r>
                    <w:rPr>
                      <w:rFonts w:hint="eastAsia" w:ascii="Times New Roman" w:hAnsi="Times New Roman" w:eastAsia="宋体" w:cs="Times New Roman"/>
                      <w:b w:val="0"/>
                      <w:bCs w:val="0"/>
                      <w:color w:val="000000"/>
                      <w:sz w:val="21"/>
                      <w:szCs w:val="21"/>
                      <w:lang w:val="en-US" w:eastAsia="zh-CN"/>
                    </w:rPr>
                    <w:t>/医用</w:t>
                  </w:r>
                  <w:r>
                    <w:rPr>
                      <w:rFonts w:hint="default" w:ascii="Times New Roman" w:hAnsi="Times New Roman" w:eastAsia="宋体" w:cs="Times New Roman"/>
                      <w:b w:val="0"/>
                      <w:bCs w:val="0"/>
                      <w:color w:val="000000"/>
                      <w:sz w:val="21"/>
                      <w:szCs w:val="21"/>
                      <w:lang w:val="en-US" w:eastAsia="zh-CN"/>
                    </w:rPr>
                    <w:t>气体的生产、存储及充装，涉及的工业气体种类为</w:t>
                  </w:r>
                  <w:r>
                    <w:rPr>
                      <w:rFonts w:hint="default" w:ascii="Times New Roman" w:hAnsi="Times New Roman" w:eastAsia="宋体" w:cs="Times New Roman"/>
                      <w:b w:val="0"/>
                      <w:bCs w:val="0"/>
                      <w:color w:val="000000"/>
                      <w:sz w:val="21"/>
                      <w:szCs w:val="21"/>
                      <w:highlight w:val="none"/>
                      <w:lang w:val="en-US" w:eastAsia="zh-CN"/>
                    </w:rPr>
                    <w:t>氧</w:t>
                  </w:r>
                  <w:r>
                    <w:rPr>
                      <w:rFonts w:hint="eastAsia" w:cs="Times New Roman"/>
                      <w:b w:val="0"/>
                      <w:bCs w:val="0"/>
                      <w:color w:val="000000"/>
                      <w:sz w:val="21"/>
                      <w:szCs w:val="21"/>
                      <w:highlight w:val="none"/>
                      <w:lang w:val="en-US" w:eastAsia="zh-CN"/>
                    </w:rPr>
                    <w:t>气</w:t>
                  </w:r>
                  <w:r>
                    <w:rPr>
                      <w:rFonts w:hint="default" w:ascii="Times New Roman" w:hAnsi="Times New Roman" w:eastAsia="宋体" w:cs="Times New Roman"/>
                      <w:b w:val="0"/>
                      <w:bCs w:val="0"/>
                      <w:color w:val="000000"/>
                      <w:sz w:val="21"/>
                      <w:szCs w:val="21"/>
                      <w:highlight w:val="none"/>
                      <w:lang w:val="en-US" w:eastAsia="zh-CN"/>
                    </w:rPr>
                    <w:t>、氮</w:t>
                  </w:r>
                  <w:r>
                    <w:rPr>
                      <w:rFonts w:hint="eastAsia" w:cs="Times New Roman"/>
                      <w:b w:val="0"/>
                      <w:bCs w:val="0"/>
                      <w:color w:val="000000"/>
                      <w:sz w:val="21"/>
                      <w:szCs w:val="21"/>
                      <w:highlight w:val="none"/>
                      <w:lang w:val="en-US" w:eastAsia="zh-CN"/>
                    </w:rPr>
                    <w:t>气</w:t>
                  </w:r>
                  <w:r>
                    <w:rPr>
                      <w:rFonts w:hint="default" w:ascii="Times New Roman" w:hAnsi="Times New Roman" w:eastAsia="宋体" w:cs="Times New Roman"/>
                      <w:b w:val="0"/>
                      <w:bCs w:val="0"/>
                      <w:color w:val="000000"/>
                      <w:sz w:val="21"/>
                      <w:szCs w:val="21"/>
                      <w:highlight w:val="none"/>
                      <w:lang w:val="en-US" w:eastAsia="zh-CN"/>
                    </w:rPr>
                    <w:t>、氩</w:t>
                  </w:r>
                  <w:r>
                    <w:rPr>
                      <w:rFonts w:hint="eastAsia" w:cs="Times New Roman"/>
                      <w:b w:val="0"/>
                      <w:bCs w:val="0"/>
                      <w:color w:val="000000"/>
                      <w:sz w:val="21"/>
                      <w:szCs w:val="21"/>
                      <w:highlight w:val="none"/>
                      <w:lang w:val="en-US" w:eastAsia="zh-CN"/>
                    </w:rPr>
                    <w:t>气</w:t>
                  </w:r>
                  <w:r>
                    <w:rPr>
                      <w:rFonts w:hint="default" w:ascii="Times New Roman" w:hAnsi="Times New Roman" w:eastAsia="宋体" w:cs="Times New Roman"/>
                      <w:b w:val="0"/>
                      <w:bCs w:val="0"/>
                      <w:color w:val="000000"/>
                      <w:sz w:val="21"/>
                      <w:szCs w:val="21"/>
                      <w:highlight w:val="none"/>
                      <w:lang w:val="en-US" w:eastAsia="zh-CN"/>
                    </w:rPr>
                    <w:t>、二氧化碳，</w:t>
                  </w:r>
                  <w:r>
                    <w:rPr>
                      <w:rFonts w:hint="eastAsia" w:cs="Times New Roman"/>
                      <w:b w:val="0"/>
                      <w:bCs w:val="0"/>
                      <w:color w:val="000000"/>
                      <w:sz w:val="21"/>
                      <w:szCs w:val="21"/>
                      <w:highlight w:val="none"/>
                      <w:lang w:val="en-US" w:eastAsia="zh-CN"/>
                    </w:rPr>
                    <w:t>混合气体、</w:t>
                  </w:r>
                  <w:r>
                    <w:rPr>
                      <w:rFonts w:hint="default" w:ascii="Times New Roman" w:hAnsi="Times New Roman" w:eastAsia="宋体" w:cs="Times New Roman"/>
                      <w:b w:val="0"/>
                      <w:bCs w:val="0"/>
                      <w:color w:val="000000"/>
                      <w:sz w:val="21"/>
                      <w:szCs w:val="21"/>
                      <w:highlight w:val="none"/>
                      <w:lang w:val="en-US" w:eastAsia="zh-CN"/>
                    </w:rPr>
                    <w:t>丙烷、液化石油气</w:t>
                  </w:r>
                  <w:r>
                    <w:rPr>
                      <w:rFonts w:hint="eastAsia" w:cs="Times New Roman"/>
                      <w:b w:val="0"/>
                      <w:bCs w:val="0"/>
                      <w:color w:val="000000"/>
                      <w:sz w:val="21"/>
                      <w:szCs w:val="21"/>
                      <w:highlight w:val="none"/>
                      <w:lang w:val="en-US" w:eastAsia="zh-CN"/>
                    </w:rPr>
                    <w:t>、乙炔</w:t>
                  </w:r>
                  <w:r>
                    <w:rPr>
                      <w:rFonts w:hint="default" w:ascii="Times New Roman" w:hAnsi="Times New Roman" w:eastAsia="宋体" w:cs="Times New Roman"/>
                      <w:b w:val="0"/>
                      <w:bCs w:val="0"/>
                      <w:color w:val="000000"/>
                      <w:sz w:val="21"/>
                      <w:szCs w:val="21"/>
                      <w:highlight w:val="none"/>
                      <w:lang w:val="en-US" w:eastAsia="zh-CN"/>
                    </w:rPr>
                    <w:t>共计</w:t>
                  </w:r>
                  <w:r>
                    <w:rPr>
                      <w:rFonts w:hint="eastAsia" w:cs="Times New Roman"/>
                      <w:b w:val="0"/>
                      <w:bCs w:val="0"/>
                      <w:color w:val="000000"/>
                      <w:sz w:val="21"/>
                      <w:szCs w:val="21"/>
                      <w:highlight w:val="none"/>
                      <w:lang w:val="en-US" w:eastAsia="zh-CN"/>
                    </w:rPr>
                    <w:t>8</w:t>
                  </w:r>
                  <w:r>
                    <w:rPr>
                      <w:rFonts w:hint="default" w:ascii="Times New Roman" w:hAnsi="Times New Roman" w:eastAsia="宋体" w:cs="Times New Roman"/>
                      <w:b w:val="0"/>
                      <w:bCs w:val="0"/>
                      <w:color w:val="000000"/>
                      <w:sz w:val="21"/>
                      <w:szCs w:val="21"/>
                      <w:highlight w:val="none"/>
                      <w:lang w:val="en-US" w:eastAsia="zh-CN"/>
                    </w:rPr>
                    <w:t>类，</w:t>
                  </w:r>
                  <w:r>
                    <w:rPr>
                      <w:rFonts w:hint="eastAsia" w:ascii="Times New Roman" w:hAnsi="Times New Roman" w:eastAsia="宋体" w:cs="Times New Roman"/>
                      <w:b w:val="0"/>
                      <w:bCs w:val="0"/>
                      <w:color w:val="000000"/>
                      <w:sz w:val="21"/>
                      <w:szCs w:val="21"/>
                      <w:lang w:val="en-US" w:eastAsia="zh-CN"/>
                    </w:rPr>
                    <w:t>其中，</w:t>
                  </w:r>
                  <w:r>
                    <w:rPr>
                      <w:rFonts w:hint="eastAsia" w:cs="Times New Roman"/>
                      <w:b w:val="0"/>
                      <w:bCs w:val="0"/>
                      <w:color w:val="000000"/>
                      <w:sz w:val="21"/>
                      <w:szCs w:val="21"/>
                      <w:lang w:val="en-US" w:eastAsia="zh-CN"/>
                    </w:rPr>
                    <w:t>乙炔为外购瓶装成品在甲类仓库暂存后直接销售，不进行分装。</w:t>
                  </w:r>
                  <w:r>
                    <w:rPr>
                      <w:rFonts w:hint="eastAsia" w:ascii="Times New Roman" w:hAnsi="Times New Roman" w:eastAsia="宋体" w:cs="Times New Roman"/>
                      <w:b w:val="0"/>
                      <w:bCs w:val="0"/>
                      <w:color w:val="000000"/>
                      <w:sz w:val="21"/>
                      <w:szCs w:val="21"/>
                      <w:lang w:val="en-US" w:eastAsia="zh-CN"/>
                    </w:rPr>
                    <w:t>丙烷和液化石油气为</w:t>
                  </w:r>
                  <w:r>
                    <w:rPr>
                      <w:rFonts w:hint="default" w:ascii="Times New Roman" w:hAnsi="Times New Roman" w:eastAsia="宋体" w:cs="Times New Roman"/>
                      <w:sz w:val="21"/>
                      <w:szCs w:val="21"/>
                    </w:rPr>
                    <w:t>VOCs</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b w:val="0"/>
                      <w:bCs w:val="0"/>
                      <w:color w:val="000000"/>
                      <w:sz w:val="21"/>
                      <w:szCs w:val="21"/>
                      <w:lang w:val="en-US" w:eastAsia="zh-CN"/>
                    </w:rPr>
                    <w:t>本项目</w:t>
                  </w:r>
                  <w:r>
                    <w:rPr>
                      <w:rFonts w:hint="eastAsia" w:ascii="Times New Roman" w:hAnsi="Times New Roman" w:eastAsia="宋体" w:cs="Times New Roman"/>
                      <w:b w:val="0"/>
                      <w:bCs w:val="0"/>
                      <w:color w:val="000000"/>
                      <w:sz w:val="21"/>
                      <w:szCs w:val="21"/>
                      <w:lang w:val="en-US" w:eastAsia="zh-CN"/>
                    </w:rPr>
                    <w:t>产品气体</w:t>
                  </w:r>
                  <w:r>
                    <w:rPr>
                      <w:rFonts w:hint="default" w:ascii="Times New Roman" w:hAnsi="Times New Roman" w:eastAsia="宋体" w:cs="Times New Roman"/>
                      <w:b w:val="0"/>
                      <w:bCs w:val="0"/>
                      <w:color w:val="000000"/>
                      <w:sz w:val="21"/>
                      <w:szCs w:val="21"/>
                      <w:lang w:val="en-US" w:eastAsia="zh-CN"/>
                    </w:rPr>
                    <w:t>均储存于密闭的储罐及充装瓶内。储罐及充装瓶在卸车、充装外均保持密封状态。</w:t>
                  </w:r>
                </w:p>
              </w:tc>
              <w:tc>
                <w:tcPr>
                  <w:tcW w:w="917" w:type="dxa"/>
                  <w:tcBorders>
                    <w:tl2br w:val="nil"/>
                    <w:tr2bl w:val="nil"/>
                  </w:tcBorders>
                  <w:noWrap w:val="0"/>
                  <w:vAlign w:val="center"/>
                </w:tcPr>
                <w:p w14:paraId="39E78788">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符合</w:t>
                  </w:r>
                </w:p>
              </w:tc>
            </w:tr>
            <w:tr w14:paraId="3BD9329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178" w:type="dxa"/>
                  <w:vMerge w:val="continue"/>
                  <w:tcBorders>
                    <w:tl2br w:val="nil"/>
                    <w:tr2bl w:val="nil"/>
                  </w:tcBorders>
                  <w:noWrap w:val="0"/>
                  <w:vAlign w:val="center"/>
                </w:tcPr>
                <w:p w14:paraId="7B4D4258">
                  <w:pPr>
                    <w:pStyle w:val="24"/>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p>
              </w:tc>
              <w:tc>
                <w:tcPr>
                  <w:tcW w:w="3219" w:type="dxa"/>
                  <w:tcBorders>
                    <w:tl2br w:val="nil"/>
                    <w:tr2bl w:val="nil"/>
                  </w:tcBorders>
                  <w:noWrap w:val="0"/>
                  <w:vAlign w:val="center"/>
                </w:tcPr>
                <w:p w14:paraId="0C3C24C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储罐储存真实蒸气压≥76.6kPa且储罐容积≥75m³的挥发性有机液体储罐，应采用低压罐、压力罐或其他等效措施。储存真实蒸气压≥27.6kPa但&lt;76.6kPa且储罐容积≥75m³的挥发性有机液体储罐，应符合下列规定之一</w:t>
                  </w:r>
                  <w:r>
                    <w:rPr>
                      <w:rFonts w:hint="eastAsia" w:ascii="Times New Roman" w:hAnsi="Times New Roman" w:eastAsia="宋体" w:cs="Times New Roman"/>
                      <w:sz w:val="21"/>
                      <w:szCs w:val="21"/>
                      <w:lang w:eastAsia="zh-CN"/>
                    </w:rPr>
                    <w:t>：</w:t>
                  </w:r>
                </w:p>
                <w:p w14:paraId="0B6C78E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r>
                    <w:rPr>
                      <w:rFonts w:hint="eastAsia" w:cs="Times New Roman"/>
                      <w:sz w:val="21"/>
                      <w:szCs w:val="21"/>
                      <w:lang w:eastAsia="zh-CN"/>
                    </w:rPr>
                    <w:t>）</w:t>
                  </w:r>
                  <w:r>
                    <w:rPr>
                      <w:rFonts w:hint="default" w:ascii="Times New Roman" w:hAnsi="Times New Roman" w:eastAsia="宋体" w:cs="Times New Roman"/>
                      <w:sz w:val="21"/>
                      <w:szCs w:val="21"/>
                    </w:rPr>
                    <w:t>采用浮顶罐。对于内浮顶罐，浮顶与罐壁之间应采用浸液式密封、机械式鞋形密封等高效密封方式</w:t>
                  </w:r>
                  <w:r>
                    <w:rPr>
                      <w:rFonts w:hint="eastAsia" w:cs="Times New Roman"/>
                      <w:sz w:val="21"/>
                      <w:szCs w:val="21"/>
                      <w:lang w:eastAsia="zh-CN"/>
                    </w:rPr>
                    <w:t>；</w:t>
                  </w:r>
                  <w:r>
                    <w:rPr>
                      <w:rFonts w:hint="default" w:ascii="Times New Roman" w:hAnsi="Times New Roman" w:eastAsia="宋体" w:cs="Times New Roman"/>
                      <w:sz w:val="21"/>
                      <w:szCs w:val="21"/>
                    </w:rPr>
                    <w:t>对于外浮顶罐，浮顶与罐壁之间应采用双重密封，且一次密封应采用浸液式密封、机械式鞋形密封等高效密封方式。</w:t>
                  </w:r>
                </w:p>
                <w:p w14:paraId="1557782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w:t>
                  </w:r>
                  <w:r>
                    <w:rPr>
                      <w:rFonts w:hint="eastAsia" w:cs="Times New Roman"/>
                      <w:sz w:val="21"/>
                      <w:szCs w:val="21"/>
                      <w:lang w:eastAsia="zh-CN"/>
                    </w:rPr>
                    <w:t>）</w:t>
                  </w:r>
                  <w:r>
                    <w:rPr>
                      <w:rFonts w:hint="default" w:ascii="Times New Roman" w:hAnsi="Times New Roman" w:eastAsia="宋体" w:cs="Times New Roman"/>
                      <w:sz w:val="21"/>
                      <w:szCs w:val="21"/>
                    </w:rPr>
                    <w:t>采用固定顶罐，排放的废气应收集处理并满足相关行业排放标准的要求</w:t>
                  </w:r>
                  <w:r>
                    <w:rPr>
                      <w:rFonts w:hint="eastAsia" w:cs="Times New Roman"/>
                      <w:sz w:val="21"/>
                      <w:szCs w:val="21"/>
                      <w:lang w:eastAsia="zh-CN"/>
                    </w:rPr>
                    <w:t>（</w:t>
                  </w:r>
                  <w:r>
                    <w:rPr>
                      <w:rFonts w:hint="default" w:ascii="Times New Roman" w:hAnsi="Times New Roman" w:eastAsia="宋体" w:cs="Times New Roman"/>
                      <w:sz w:val="21"/>
                      <w:szCs w:val="21"/>
                    </w:rPr>
                    <w:t>无行业排放标准的应满足GB 16297的要求</w:t>
                  </w:r>
                  <w:r>
                    <w:rPr>
                      <w:rFonts w:hint="eastAsia" w:cs="Times New Roman"/>
                      <w:sz w:val="21"/>
                      <w:szCs w:val="21"/>
                      <w:lang w:eastAsia="zh-CN"/>
                    </w:rPr>
                    <w:t>），</w:t>
                  </w:r>
                  <w:r>
                    <w:rPr>
                      <w:rFonts w:hint="default" w:ascii="Times New Roman" w:hAnsi="Times New Roman" w:eastAsia="宋体" w:cs="Times New Roman"/>
                      <w:sz w:val="21"/>
                      <w:szCs w:val="21"/>
                    </w:rPr>
                    <w:t>或者处理效率不低于80%。</w:t>
                  </w:r>
                </w:p>
                <w:p w14:paraId="687D584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w:t>
                  </w:r>
                  <w:r>
                    <w:rPr>
                      <w:rFonts w:hint="eastAsia" w:cs="Times New Roman"/>
                      <w:sz w:val="21"/>
                      <w:szCs w:val="21"/>
                      <w:lang w:eastAsia="zh-CN"/>
                    </w:rPr>
                    <w:t>）</w:t>
                  </w:r>
                  <w:r>
                    <w:rPr>
                      <w:rFonts w:hint="default" w:ascii="Times New Roman" w:hAnsi="Times New Roman" w:eastAsia="宋体" w:cs="Times New Roman"/>
                      <w:sz w:val="21"/>
                      <w:szCs w:val="21"/>
                    </w:rPr>
                    <w:t>采用气相平衡系统。</w:t>
                  </w:r>
                </w:p>
                <w:p w14:paraId="340FCB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kern w:val="2"/>
                      <w:sz w:val="24"/>
                      <w:szCs w:val="24"/>
                      <w:lang w:val="en-US" w:eastAsia="zh-CN" w:bidi="ar-SA"/>
                    </w:rPr>
                  </w:pPr>
                  <w:r>
                    <w:rPr>
                      <w:rFonts w:hint="default" w:ascii="Times New Roman" w:hAnsi="Times New Roman" w:eastAsia="宋体" w:cs="Times New Roman"/>
                      <w:sz w:val="21"/>
                      <w:szCs w:val="21"/>
                    </w:rPr>
                    <w:t>d</w:t>
                  </w:r>
                  <w:r>
                    <w:rPr>
                      <w:rFonts w:hint="eastAsia" w:cs="Times New Roman"/>
                      <w:sz w:val="21"/>
                      <w:szCs w:val="21"/>
                      <w:lang w:eastAsia="zh-CN"/>
                    </w:rPr>
                    <w:t>）</w:t>
                  </w:r>
                  <w:r>
                    <w:rPr>
                      <w:rFonts w:hint="default" w:ascii="Times New Roman" w:hAnsi="Times New Roman" w:eastAsia="宋体" w:cs="Times New Roman"/>
                      <w:sz w:val="21"/>
                      <w:szCs w:val="21"/>
                    </w:rPr>
                    <w:t>采取其他等效措施</w:t>
                  </w:r>
                </w:p>
              </w:tc>
              <w:tc>
                <w:tcPr>
                  <w:tcW w:w="2690" w:type="dxa"/>
                  <w:tcBorders>
                    <w:tl2br w:val="nil"/>
                    <w:tr2bl w:val="nil"/>
                  </w:tcBorders>
                  <w:noWrap w:val="0"/>
                  <w:vAlign w:val="center"/>
                </w:tcPr>
                <w:p w14:paraId="4A9A7A6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项目</w:t>
                  </w:r>
                  <w:r>
                    <w:rPr>
                      <w:rFonts w:hint="eastAsia" w:ascii="Times New Roman" w:hAnsi="Times New Roman" w:cs="Times New Roman"/>
                      <w:sz w:val="21"/>
                      <w:szCs w:val="21"/>
                      <w:lang w:val="en-US" w:eastAsia="zh-CN"/>
                    </w:rPr>
                    <w:t>丙烷及液化石油气</w:t>
                  </w:r>
                  <w:r>
                    <w:rPr>
                      <w:rFonts w:hint="default" w:ascii="Times New Roman" w:hAnsi="Times New Roman" w:cs="Times New Roman"/>
                      <w:sz w:val="21"/>
                      <w:szCs w:val="21"/>
                      <w:lang w:eastAsia="zh-CN"/>
                    </w:rPr>
                    <w:t>储罐安全压力为1.77MPa，</w:t>
                  </w:r>
                  <w:r>
                    <w:rPr>
                      <w:rFonts w:hint="eastAsia" w:ascii="Times New Roman" w:hAnsi="Times New Roman" w:cs="Times New Roman"/>
                      <w:sz w:val="21"/>
                      <w:szCs w:val="21"/>
                      <w:lang w:val="en-US" w:eastAsia="zh-CN"/>
                    </w:rPr>
                    <w:t>丙烷及液化石油气</w:t>
                  </w:r>
                  <w:r>
                    <w:rPr>
                      <w:rFonts w:hint="default" w:ascii="Times New Roman" w:hAnsi="Times New Roman" w:cs="Times New Roman"/>
                      <w:sz w:val="21"/>
                      <w:szCs w:val="21"/>
                      <w:lang w:eastAsia="zh-CN"/>
                    </w:rPr>
                    <w:t>储罐容积</w:t>
                  </w:r>
                  <w:r>
                    <w:rPr>
                      <w:rFonts w:hint="eastAsia" w:ascii="Times New Roman" w:hAnsi="Times New Roman" w:cs="Times New Roman"/>
                      <w:sz w:val="21"/>
                      <w:szCs w:val="21"/>
                      <w:lang w:val="en-US" w:eastAsia="zh-CN"/>
                    </w:rPr>
                    <w:t>均</w:t>
                  </w:r>
                  <w:r>
                    <w:rPr>
                      <w:rFonts w:hint="default" w:ascii="Times New Roman" w:hAnsi="Times New Roman" w:cs="Times New Roman"/>
                      <w:sz w:val="21"/>
                      <w:szCs w:val="21"/>
                      <w:lang w:eastAsia="zh-CN"/>
                    </w:rPr>
                    <w:t>为50m³，项目排放的废气满足GB16297的要求。</w:t>
                  </w:r>
                </w:p>
              </w:tc>
              <w:tc>
                <w:tcPr>
                  <w:tcW w:w="917" w:type="dxa"/>
                  <w:tcBorders>
                    <w:tl2br w:val="nil"/>
                    <w:tr2bl w:val="nil"/>
                  </w:tcBorders>
                  <w:noWrap w:val="0"/>
                  <w:vAlign w:val="center"/>
                </w:tcPr>
                <w:p w14:paraId="4C938608">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符合</w:t>
                  </w:r>
                </w:p>
              </w:tc>
            </w:tr>
            <w:tr w14:paraId="4600C6B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1178" w:type="dxa"/>
                  <w:vMerge w:val="continue"/>
                  <w:noWrap w:val="0"/>
                  <w:vAlign w:val="top"/>
                </w:tcPr>
                <w:p w14:paraId="23E91D94">
                  <w:pPr>
                    <w:pStyle w:val="24"/>
                    <w:spacing w:line="240" w:lineRule="auto"/>
                    <w:ind w:left="0" w:leftChars="0" w:firstLine="0" w:firstLineChars="0"/>
                    <w:jc w:val="center"/>
                    <w:rPr>
                      <w:rFonts w:hint="default" w:ascii="Times New Roman" w:hAnsi="Times New Roman" w:cs="Times New Roman"/>
                      <w:color w:val="auto"/>
                      <w:sz w:val="21"/>
                      <w:szCs w:val="21"/>
                      <w:vertAlign w:val="baseline"/>
                      <w:lang w:eastAsia="zh-CN"/>
                    </w:rPr>
                  </w:pPr>
                </w:p>
              </w:tc>
              <w:tc>
                <w:tcPr>
                  <w:tcW w:w="0" w:type="auto"/>
                  <w:noWrap w:val="0"/>
                  <w:vAlign w:val="center"/>
                </w:tcPr>
                <w:p w14:paraId="381B6A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液态VOCs物料应采用密闭管道输送。采用非管道输送方式转移液态VOCs物料时，应采用密闭容器、罐车。</w:t>
                  </w:r>
                </w:p>
              </w:tc>
              <w:tc>
                <w:tcPr>
                  <w:tcW w:w="0" w:type="auto"/>
                  <w:noWrap w:val="0"/>
                  <w:vAlign w:val="center"/>
                </w:tcPr>
                <w:p w14:paraId="664FF22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本项目丙烷、液化石油气及残液均由密闭槽车运输。</w:t>
                  </w:r>
                </w:p>
              </w:tc>
              <w:tc>
                <w:tcPr>
                  <w:tcW w:w="0" w:type="auto"/>
                  <w:noWrap w:val="0"/>
                  <w:vAlign w:val="center"/>
                </w:tcPr>
                <w:p w14:paraId="531D2D23">
                  <w:pPr>
                    <w:keepNext w:val="0"/>
                    <w:keepLines w:val="0"/>
                    <w:pageBreakBefore w:val="0"/>
                    <w:widowControl w:val="0"/>
                    <w:shd w:val="clear" w:color="auto" w:fill="auto"/>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符合</w:t>
                  </w:r>
                </w:p>
              </w:tc>
            </w:tr>
          </w:tbl>
          <w:p w14:paraId="11A8B0BD">
            <w:pPr>
              <w:pStyle w:val="103"/>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val="0"/>
                <w:kern w:val="2"/>
                <w:sz w:val="24"/>
                <w:szCs w:val="24"/>
                <w:lang w:val="en-US" w:eastAsia="zh-CN" w:bidi="ar-SA"/>
              </w:rPr>
            </w:pPr>
            <w:r>
              <w:rPr>
                <w:rFonts w:hint="eastAsia" w:ascii="Times New Roman" w:cs="Times New Roman"/>
                <w:b/>
                <w:bCs w:val="0"/>
                <w:kern w:val="2"/>
                <w:sz w:val="24"/>
                <w:szCs w:val="24"/>
                <w:lang w:val="en-US" w:eastAsia="zh-CN" w:bidi="ar-SA"/>
              </w:rPr>
              <w:t>五</w:t>
            </w:r>
            <w:r>
              <w:rPr>
                <w:rFonts w:hint="eastAsia" w:ascii="Times New Roman" w:hAnsi="Times New Roman" w:eastAsia="宋体" w:cs="Times New Roman"/>
                <w:b/>
                <w:bCs w:val="0"/>
                <w:kern w:val="2"/>
                <w:sz w:val="24"/>
                <w:szCs w:val="24"/>
                <w:lang w:val="en-US" w:eastAsia="zh-CN" w:bidi="ar-SA"/>
              </w:rPr>
              <w:t>、</w:t>
            </w:r>
            <w:r>
              <w:rPr>
                <w:rFonts w:hint="default" w:ascii="Times New Roman" w:hAnsi="Times New Roman" w:eastAsia="宋体" w:cs="Times New Roman"/>
                <w:b/>
                <w:bCs w:val="0"/>
                <w:kern w:val="2"/>
                <w:sz w:val="24"/>
                <w:szCs w:val="24"/>
                <w:lang w:val="en-US" w:eastAsia="zh-CN" w:bidi="ar-SA"/>
              </w:rPr>
              <w:t>与《液化石油气供应工程设计规范》（</w:t>
            </w:r>
            <w:r>
              <w:rPr>
                <w:rFonts w:hint="eastAsia" w:ascii="Times New Roman" w:cs="Times New Roman"/>
                <w:b/>
                <w:bCs w:val="0"/>
                <w:kern w:val="2"/>
                <w:sz w:val="24"/>
                <w:szCs w:val="24"/>
                <w:lang w:val="en-US" w:eastAsia="zh-CN" w:bidi="ar-SA"/>
              </w:rPr>
              <w:t>GB51142-2015</w:t>
            </w:r>
            <w:r>
              <w:rPr>
                <w:rFonts w:hint="default" w:ascii="Times New Roman" w:hAnsi="Times New Roman" w:eastAsia="宋体" w:cs="Times New Roman"/>
                <w:b/>
                <w:bCs w:val="0"/>
                <w:kern w:val="2"/>
                <w:sz w:val="24"/>
                <w:szCs w:val="24"/>
                <w:lang w:val="en-US" w:eastAsia="zh-CN" w:bidi="ar-SA"/>
              </w:rPr>
              <w:t>）符合性分析</w:t>
            </w:r>
          </w:p>
          <w:p w14:paraId="3ECB6D0E">
            <w:pPr>
              <w:pStyle w:val="103"/>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jc w:val="left"/>
              <w:textAlignment w:val="auto"/>
              <w:rPr>
                <w:rFonts w:hint="eastAsia" w:ascii="Times New Roman" w:hAnsi="Times New Roman" w:eastAsia="宋体" w:cs="Times New Roman"/>
                <w:b w:val="0"/>
                <w:bCs/>
                <w:kern w:val="2"/>
                <w:sz w:val="24"/>
                <w:szCs w:val="24"/>
                <w:vertAlign w:val="baseline"/>
                <w:lang w:val="en-US" w:eastAsia="zh-CN" w:bidi="ar-SA"/>
              </w:rPr>
            </w:pPr>
            <w:r>
              <w:rPr>
                <w:rFonts w:hint="eastAsia" w:ascii="Times New Roman" w:hAnsi="Times New Roman" w:eastAsia="宋体" w:cs="Times New Roman"/>
                <w:b w:val="0"/>
                <w:bCs/>
                <w:kern w:val="2"/>
                <w:sz w:val="24"/>
                <w:szCs w:val="24"/>
                <w:lang w:val="en-US" w:eastAsia="zh-CN" w:bidi="ar-SA"/>
              </w:rPr>
              <w:t>本项目设置</w:t>
            </w:r>
            <w:r>
              <w:rPr>
                <w:rFonts w:hint="eastAsia" w:ascii="Times New Roman" w:cs="Times New Roman"/>
                <w:b w:val="0"/>
                <w:bCs/>
                <w:kern w:val="2"/>
                <w:sz w:val="24"/>
                <w:szCs w:val="24"/>
                <w:lang w:val="en-US" w:eastAsia="zh-CN" w:bidi="ar-SA"/>
              </w:rPr>
              <w:t>2</w:t>
            </w:r>
            <w:r>
              <w:rPr>
                <w:rFonts w:hint="eastAsia" w:ascii="Times New Roman" w:hAnsi="Times New Roman" w:eastAsia="宋体" w:cs="Times New Roman"/>
                <w:b w:val="0"/>
                <w:bCs/>
                <w:kern w:val="2"/>
                <w:sz w:val="24"/>
                <w:szCs w:val="24"/>
                <w:lang w:val="en-US" w:eastAsia="zh-CN" w:bidi="ar-SA"/>
              </w:rPr>
              <w:t>个50m</w:t>
            </w:r>
            <w:r>
              <w:rPr>
                <w:rFonts w:hint="eastAsia" w:ascii="Times New Roman" w:hAnsi="Times New Roman" w:eastAsia="宋体" w:cs="Times New Roman"/>
                <w:b w:val="0"/>
                <w:bCs/>
                <w:kern w:val="2"/>
                <w:sz w:val="24"/>
                <w:szCs w:val="24"/>
                <w:vertAlign w:val="superscript"/>
                <w:lang w:val="en-US" w:eastAsia="zh-CN" w:bidi="ar-SA"/>
              </w:rPr>
              <w:t>3</w:t>
            </w:r>
            <w:r>
              <w:rPr>
                <w:rFonts w:hint="eastAsia" w:ascii="Times New Roman" w:hAnsi="Times New Roman" w:eastAsia="宋体" w:cs="Times New Roman"/>
                <w:b w:val="0"/>
                <w:bCs/>
                <w:kern w:val="2"/>
                <w:sz w:val="24"/>
                <w:szCs w:val="24"/>
                <w:vertAlign w:val="baseline"/>
                <w:lang w:val="en-US" w:eastAsia="zh-CN" w:bidi="ar-SA"/>
              </w:rPr>
              <w:t>卧式液化石油气储罐，1个</w:t>
            </w:r>
            <w:r>
              <w:rPr>
                <w:rFonts w:hint="eastAsia" w:ascii="Times New Roman" w:hAnsi="Times New Roman" w:eastAsia="宋体" w:cs="Times New Roman"/>
                <w:b w:val="0"/>
                <w:bCs/>
                <w:kern w:val="2"/>
                <w:sz w:val="24"/>
                <w:szCs w:val="24"/>
                <w:lang w:val="en-US" w:eastAsia="zh-CN" w:bidi="ar-SA"/>
              </w:rPr>
              <w:t>50m</w:t>
            </w:r>
            <w:r>
              <w:rPr>
                <w:rFonts w:hint="eastAsia" w:ascii="Times New Roman" w:hAnsi="Times New Roman" w:eastAsia="宋体" w:cs="Times New Roman"/>
                <w:b w:val="0"/>
                <w:bCs/>
                <w:kern w:val="2"/>
                <w:sz w:val="24"/>
                <w:szCs w:val="24"/>
                <w:vertAlign w:val="superscript"/>
                <w:lang w:val="en-US" w:eastAsia="zh-CN" w:bidi="ar-SA"/>
              </w:rPr>
              <w:t>3</w:t>
            </w:r>
            <w:r>
              <w:rPr>
                <w:rFonts w:hint="eastAsia" w:ascii="Times New Roman" w:hAnsi="Times New Roman" w:eastAsia="宋体" w:cs="Times New Roman"/>
                <w:b w:val="0"/>
                <w:bCs/>
                <w:kern w:val="2"/>
                <w:sz w:val="24"/>
                <w:szCs w:val="24"/>
                <w:vertAlign w:val="baseline"/>
                <w:lang w:val="en-US" w:eastAsia="zh-CN" w:bidi="ar-SA"/>
              </w:rPr>
              <w:t>卧式液化石油气残液储罐，根据《液化石油气供应工程设计规范》（</w:t>
            </w:r>
            <w:r>
              <w:rPr>
                <w:rFonts w:hint="eastAsia" w:ascii="Times New Roman" w:cs="Times New Roman"/>
                <w:b w:val="0"/>
                <w:bCs/>
                <w:kern w:val="2"/>
                <w:sz w:val="24"/>
                <w:szCs w:val="24"/>
                <w:vertAlign w:val="baseline"/>
                <w:lang w:val="en-US" w:eastAsia="zh-CN" w:bidi="ar-SA"/>
              </w:rPr>
              <w:t>GB51142-2015</w:t>
            </w:r>
            <w:r>
              <w:rPr>
                <w:rFonts w:hint="eastAsia" w:ascii="Times New Roman" w:hAnsi="Times New Roman" w:eastAsia="宋体" w:cs="Times New Roman"/>
                <w:b w:val="0"/>
                <w:bCs/>
                <w:kern w:val="2"/>
                <w:sz w:val="24"/>
                <w:szCs w:val="24"/>
                <w:vertAlign w:val="baseline"/>
                <w:lang w:val="en-US" w:eastAsia="zh-CN" w:bidi="ar-SA"/>
              </w:rPr>
              <w:t>）可知，本项目属于液化石油气供应站中的六级。本项目与《液化石油气供应工程设计规范》（</w:t>
            </w:r>
            <w:r>
              <w:rPr>
                <w:rFonts w:hint="eastAsia" w:ascii="Times New Roman" w:cs="Times New Roman"/>
                <w:b w:val="0"/>
                <w:bCs/>
                <w:kern w:val="2"/>
                <w:sz w:val="24"/>
                <w:szCs w:val="24"/>
                <w:vertAlign w:val="baseline"/>
                <w:lang w:val="en-US" w:eastAsia="zh-CN" w:bidi="ar-SA"/>
              </w:rPr>
              <w:t>GB51142-2015</w:t>
            </w:r>
            <w:r>
              <w:rPr>
                <w:rFonts w:hint="eastAsia" w:ascii="Times New Roman" w:hAnsi="Times New Roman" w:eastAsia="宋体" w:cs="Times New Roman"/>
                <w:b w:val="0"/>
                <w:bCs/>
                <w:kern w:val="2"/>
                <w:sz w:val="24"/>
                <w:szCs w:val="24"/>
                <w:vertAlign w:val="baseline"/>
                <w:lang w:val="en-US" w:eastAsia="zh-CN" w:bidi="ar-SA"/>
              </w:rPr>
              <w:t>）符合性分析见下表</w:t>
            </w:r>
            <w:r>
              <w:rPr>
                <w:rFonts w:hint="eastAsia" w:ascii="Times New Roman" w:cs="Times New Roman"/>
                <w:b w:val="0"/>
                <w:bCs/>
                <w:kern w:val="2"/>
                <w:sz w:val="24"/>
                <w:szCs w:val="24"/>
                <w:vertAlign w:val="baseline"/>
                <w:lang w:val="en-US" w:eastAsia="zh-CN" w:bidi="ar-SA"/>
              </w:rPr>
              <w:t>1-8</w:t>
            </w:r>
            <w:r>
              <w:rPr>
                <w:rFonts w:hint="eastAsia" w:ascii="Times New Roman" w:hAnsi="Times New Roman" w:eastAsia="宋体" w:cs="Times New Roman"/>
                <w:b w:val="0"/>
                <w:bCs/>
                <w:kern w:val="2"/>
                <w:sz w:val="24"/>
                <w:szCs w:val="24"/>
                <w:vertAlign w:val="baseline"/>
                <w:lang w:val="en-US" w:eastAsia="zh-CN" w:bidi="ar-SA"/>
              </w:rPr>
              <w:t>。</w:t>
            </w:r>
          </w:p>
          <w:p w14:paraId="0DD2CEF4">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2" w:firstLineChars="200"/>
              <w:jc w:val="left"/>
              <w:textAlignment w:val="auto"/>
              <w:rPr>
                <w:rFonts w:hint="default" w:ascii="Times New Roman" w:hAnsi="Times New Roman" w:eastAsia="宋体" w:cs="Times New Roman"/>
                <w:b w:val="0"/>
                <w:bCs/>
                <w:kern w:val="2"/>
                <w:sz w:val="24"/>
                <w:szCs w:val="24"/>
                <w:vertAlign w:val="baseline"/>
                <w:lang w:val="en-US" w:eastAsia="zh-CN" w:bidi="ar-SA"/>
              </w:rPr>
            </w:pPr>
            <w:r>
              <w:rPr>
                <w:rFonts w:hint="eastAsia" w:ascii="Times New Roman" w:hAnsi="Times New Roman" w:eastAsia="宋体" w:cs="Times New Roman"/>
                <w:b/>
                <w:bCs w:val="0"/>
                <w:kern w:val="2"/>
                <w:sz w:val="21"/>
                <w:szCs w:val="21"/>
                <w:lang w:val="en-US" w:eastAsia="zh-CN" w:bidi="ar-SA"/>
              </w:rPr>
              <w:t>表1-</w:t>
            </w:r>
            <w:r>
              <w:rPr>
                <w:rFonts w:hint="eastAsia" w:ascii="Times New Roman" w:cs="Times New Roman"/>
                <w:b/>
                <w:bCs w:val="0"/>
                <w:kern w:val="2"/>
                <w:sz w:val="21"/>
                <w:szCs w:val="21"/>
                <w:lang w:val="en-US" w:eastAsia="zh-CN" w:bidi="ar-SA"/>
              </w:rPr>
              <w:t xml:space="preserve">8     </w:t>
            </w:r>
            <w:r>
              <w:rPr>
                <w:rFonts w:hint="default" w:ascii="Times New Roman" w:hAnsi="Times New Roman" w:eastAsia="宋体" w:cs="Times New Roman"/>
                <w:b/>
                <w:bCs w:val="0"/>
                <w:kern w:val="2"/>
                <w:sz w:val="21"/>
                <w:szCs w:val="21"/>
                <w:lang w:val="en-US" w:eastAsia="zh-CN" w:bidi="ar-SA"/>
              </w:rPr>
              <w:t>与《液化石油气供应工程设计规范》（</w:t>
            </w:r>
            <w:r>
              <w:rPr>
                <w:rFonts w:hint="eastAsia" w:ascii="Times New Roman" w:cs="Times New Roman"/>
                <w:b/>
                <w:bCs w:val="0"/>
                <w:kern w:val="2"/>
                <w:sz w:val="21"/>
                <w:szCs w:val="21"/>
                <w:lang w:val="en-US" w:eastAsia="zh-CN" w:bidi="ar-SA"/>
              </w:rPr>
              <w:t>GB51142-2015</w:t>
            </w:r>
            <w:r>
              <w:rPr>
                <w:rFonts w:hint="default" w:ascii="Times New Roman" w:hAnsi="Times New Roman" w:eastAsia="宋体" w:cs="Times New Roman"/>
                <w:b/>
                <w:bCs w:val="0"/>
                <w:kern w:val="2"/>
                <w:sz w:val="21"/>
                <w:szCs w:val="21"/>
                <w:lang w:val="en-US" w:eastAsia="zh-CN" w:bidi="ar-SA"/>
              </w:rPr>
              <w:t>）符合性分析</w:t>
            </w:r>
          </w:p>
          <w:tbl>
            <w:tblPr>
              <w:tblStyle w:val="31"/>
              <w:tblW w:w="79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327"/>
              <w:gridCol w:w="3039"/>
              <w:gridCol w:w="870"/>
            </w:tblGrid>
            <w:tr w14:paraId="6E6999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tcBorders>
                    <w:tl2br w:val="nil"/>
                    <w:tr2bl w:val="nil"/>
                  </w:tcBorders>
                  <w:noWrap w:val="0"/>
                  <w:vAlign w:val="center"/>
                </w:tcPr>
                <w:p w14:paraId="69B0A3AA">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项目</w:t>
                  </w:r>
                </w:p>
              </w:tc>
              <w:tc>
                <w:tcPr>
                  <w:tcW w:w="3327" w:type="dxa"/>
                  <w:tcBorders>
                    <w:tl2br w:val="nil"/>
                    <w:tr2bl w:val="nil"/>
                  </w:tcBorders>
                  <w:noWrap w:val="0"/>
                  <w:vAlign w:val="center"/>
                </w:tcPr>
                <w:p w14:paraId="1F5D6E78">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规范要求</w:t>
                  </w:r>
                </w:p>
              </w:tc>
              <w:tc>
                <w:tcPr>
                  <w:tcW w:w="3039" w:type="dxa"/>
                  <w:tcBorders>
                    <w:tl2br w:val="nil"/>
                    <w:tr2bl w:val="nil"/>
                  </w:tcBorders>
                  <w:noWrap w:val="0"/>
                  <w:vAlign w:val="center"/>
                </w:tcPr>
                <w:p w14:paraId="25C76856">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本项目情况</w:t>
                  </w:r>
                </w:p>
              </w:tc>
              <w:tc>
                <w:tcPr>
                  <w:tcW w:w="870" w:type="dxa"/>
                  <w:tcBorders>
                    <w:tl2br w:val="nil"/>
                    <w:tr2bl w:val="nil"/>
                  </w:tcBorders>
                  <w:noWrap w:val="0"/>
                  <w:vAlign w:val="center"/>
                </w:tcPr>
                <w:p w14:paraId="4D660E82">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符合性</w:t>
                  </w:r>
                </w:p>
              </w:tc>
            </w:tr>
            <w:tr w14:paraId="155E9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restart"/>
                  <w:tcBorders>
                    <w:tl2br w:val="nil"/>
                    <w:tr2bl w:val="nil"/>
                  </w:tcBorders>
                  <w:noWrap w:val="0"/>
                  <w:vAlign w:val="center"/>
                </w:tcPr>
                <w:p w14:paraId="2D840B7F">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项目选址</w:t>
                  </w:r>
                </w:p>
              </w:tc>
              <w:tc>
                <w:tcPr>
                  <w:tcW w:w="3327" w:type="dxa"/>
                  <w:tcBorders>
                    <w:tl2br w:val="nil"/>
                    <w:tr2bl w:val="nil"/>
                  </w:tcBorders>
                  <w:noWrap w:val="0"/>
                  <w:vAlign w:val="center"/>
                </w:tcPr>
                <w:p w14:paraId="1D69BB61">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液化石油气储存站、储配站和灌装站站址的选择应符合城镇总体规划和城镇燃气专项规划的要求。</w:t>
                  </w:r>
                </w:p>
              </w:tc>
              <w:tc>
                <w:tcPr>
                  <w:tcW w:w="3039" w:type="dxa"/>
                  <w:tcBorders>
                    <w:tl2br w:val="nil"/>
                    <w:tr2bl w:val="nil"/>
                  </w:tcBorders>
                  <w:noWrap w:val="0"/>
                  <w:vAlign w:val="center"/>
                </w:tcPr>
                <w:p w14:paraId="172375EB">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本项目位于陕西省宝鸡市凤翔高新区长青工业园，符合</w:t>
                  </w:r>
                  <w:r>
                    <w:rPr>
                      <w:rFonts w:hint="eastAsia" w:ascii="Times New Roman" w:cs="Times New Roman"/>
                      <w:b w:val="0"/>
                      <w:bCs/>
                      <w:kern w:val="2"/>
                      <w:sz w:val="21"/>
                      <w:szCs w:val="21"/>
                      <w:vertAlign w:val="baseline"/>
                      <w:lang w:val="en-US" w:eastAsia="zh-CN" w:bidi="ar-SA"/>
                    </w:rPr>
                    <w:t>宝鸡市</w:t>
                  </w:r>
                  <w:r>
                    <w:rPr>
                      <w:rFonts w:hint="eastAsia" w:ascii="Times New Roman" w:hAnsi="Times New Roman" w:eastAsia="宋体" w:cs="Times New Roman"/>
                      <w:b w:val="0"/>
                      <w:bCs/>
                      <w:kern w:val="2"/>
                      <w:sz w:val="21"/>
                      <w:szCs w:val="21"/>
                      <w:vertAlign w:val="baseline"/>
                      <w:lang w:val="en-US" w:eastAsia="zh-CN" w:bidi="ar-SA"/>
                    </w:rPr>
                    <w:t>城镇总体规划要求。</w:t>
                  </w:r>
                </w:p>
              </w:tc>
              <w:tc>
                <w:tcPr>
                  <w:tcW w:w="870" w:type="dxa"/>
                  <w:tcBorders>
                    <w:tl2br w:val="nil"/>
                    <w:tr2bl w:val="nil"/>
                  </w:tcBorders>
                  <w:noWrap w:val="0"/>
                  <w:vAlign w:val="center"/>
                </w:tcPr>
                <w:p w14:paraId="4E0827AF">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r w14:paraId="5AB97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Borders>
                    <w:tl2br w:val="nil"/>
                    <w:tr2bl w:val="nil"/>
                  </w:tcBorders>
                  <w:noWrap w:val="0"/>
                  <w:vAlign w:val="center"/>
                </w:tcPr>
                <w:p w14:paraId="74E382AE">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3327" w:type="dxa"/>
                  <w:tcBorders>
                    <w:tl2br w:val="nil"/>
                    <w:tr2bl w:val="nil"/>
                  </w:tcBorders>
                  <w:noWrap w:val="0"/>
                  <w:vAlign w:val="center"/>
                </w:tcPr>
                <w:p w14:paraId="1D86ABBE">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三级及以上的液化石油气储存站、储配站和灌装站应设置在城镇的边缘或相对独立的安全地带，并应远离居住区、学校、影剧院、体育馆等人员集聚的场所。</w:t>
                  </w:r>
                </w:p>
              </w:tc>
              <w:tc>
                <w:tcPr>
                  <w:tcW w:w="3039" w:type="dxa"/>
                  <w:tcBorders>
                    <w:tl2br w:val="nil"/>
                    <w:tr2bl w:val="nil"/>
                  </w:tcBorders>
                  <w:noWrap w:val="0"/>
                  <w:vAlign w:val="center"/>
                </w:tcPr>
                <w:p w14:paraId="298202F7">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本项目等级为六级，位于陕西省宝鸡市凤翔高新区长青工业园，未建在城市中心城区，并远离居住区、学校等人员聚集场所。</w:t>
                  </w:r>
                </w:p>
              </w:tc>
              <w:tc>
                <w:tcPr>
                  <w:tcW w:w="870" w:type="dxa"/>
                  <w:tcBorders>
                    <w:tl2br w:val="nil"/>
                    <w:tr2bl w:val="nil"/>
                  </w:tcBorders>
                  <w:noWrap w:val="0"/>
                  <w:vAlign w:val="center"/>
                </w:tcPr>
                <w:p w14:paraId="73634413">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r w14:paraId="76A36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Borders>
                    <w:tl2br w:val="nil"/>
                    <w:tr2bl w:val="nil"/>
                  </w:tcBorders>
                  <w:noWrap w:val="0"/>
                  <w:vAlign w:val="center"/>
                </w:tcPr>
                <w:p w14:paraId="25A1DB2D">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3327" w:type="dxa"/>
                  <w:tcBorders>
                    <w:tl2br w:val="nil"/>
                    <w:tr2bl w:val="nil"/>
                  </w:tcBorders>
                  <w:noWrap w:val="0"/>
                  <w:vAlign w:val="center"/>
                </w:tcPr>
                <w:p w14:paraId="1BB494AD">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液化石油气供应工程的设计应采取有效措施，减少噪声、废气、废水等对环境的影响。厂站的噪声应符合现行国家标准《声环境质量标准》GB3096和《工业企业厂界环境噪声排放标准》GB12348的有关规定。</w:t>
                  </w:r>
                </w:p>
              </w:tc>
              <w:tc>
                <w:tcPr>
                  <w:tcW w:w="3039" w:type="dxa"/>
                  <w:tcBorders>
                    <w:tl2br w:val="nil"/>
                    <w:tr2bl w:val="nil"/>
                  </w:tcBorders>
                  <w:noWrap w:val="0"/>
                  <w:vAlign w:val="center"/>
                </w:tcPr>
                <w:p w14:paraId="061BD7E6">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本</w:t>
                  </w:r>
                  <w:r>
                    <w:rPr>
                      <w:rFonts w:hint="default" w:ascii="Times New Roman" w:hAnsi="Times New Roman" w:eastAsia="宋体" w:cs="Times New Roman"/>
                      <w:b w:val="0"/>
                      <w:bCs/>
                      <w:kern w:val="2"/>
                      <w:sz w:val="21"/>
                      <w:szCs w:val="21"/>
                      <w:vertAlign w:val="baseline"/>
                      <w:lang w:val="en-US" w:eastAsia="zh-CN" w:bidi="ar-SA"/>
                    </w:rPr>
                    <w:t>项目废气能够达标排放；废水为生活废水，经化粪池处理后</w:t>
                  </w:r>
                  <w:r>
                    <w:rPr>
                      <w:rFonts w:hint="eastAsia" w:ascii="Times New Roman" w:hAnsi="Times New Roman" w:eastAsia="宋体" w:cs="Times New Roman"/>
                      <w:b w:val="0"/>
                      <w:bCs/>
                      <w:kern w:val="2"/>
                      <w:sz w:val="21"/>
                      <w:szCs w:val="21"/>
                      <w:vertAlign w:val="baseline"/>
                      <w:lang w:val="en-US" w:eastAsia="zh-CN" w:bidi="ar-SA"/>
                    </w:rPr>
                    <w:t>经园区污水管网排入</w:t>
                  </w:r>
                  <w:r>
                    <w:rPr>
                      <w:rFonts w:hint="eastAsia" w:ascii="Times New Roman" w:hAnsi="Times New Roman" w:eastAsia="宋体" w:cs="Times New Roman"/>
                      <w:bCs/>
                      <w:color w:val="auto"/>
                      <w:kern w:val="2"/>
                      <w:sz w:val="21"/>
                      <w:szCs w:val="21"/>
                      <w:highlight w:val="none"/>
                      <w:lang w:val="en-US" w:eastAsia="zh-CN" w:bidi="ar-SA"/>
                    </w:rPr>
                    <w:t>长青工业园区污水处理厂进一步处理</w:t>
                  </w:r>
                  <w:r>
                    <w:rPr>
                      <w:rFonts w:hint="default" w:ascii="Times New Roman" w:hAnsi="Times New Roman" w:eastAsia="宋体" w:cs="Times New Roman"/>
                      <w:b w:val="0"/>
                      <w:bCs/>
                      <w:kern w:val="2"/>
                      <w:sz w:val="21"/>
                      <w:szCs w:val="21"/>
                      <w:vertAlign w:val="baseline"/>
                      <w:lang w:val="en-US" w:eastAsia="zh-CN" w:bidi="ar-SA"/>
                    </w:rPr>
                    <w:t>；噪声经减振、隔声处理后能够满足《</w:t>
                  </w:r>
                  <w:r>
                    <w:rPr>
                      <w:rFonts w:hint="eastAsia" w:ascii="Times New Roman" w:cs="Times New Roman"/>
                      <w:b w:val="0"/>
                      <w:bCs/>
                      <w:kern w:val="2"/>
                      <w:sz w:val="21"/>
                      <w:szCs w:val="21"/>
                      <w:vertAlign w:val="baseline"/>
                      <w:lang w:val="en-US" w:eastAsia="zh-CN" w:bidi="ar-SA"/>
                    </w:rPr>
                    <w:t>工业企业厂界环境噪声排放标准</w:t>
                  </w:r>
                  <w:r>
                    <w:rPr>
                      <w:rFonts w:hint="default" w:ascii="Times New Roman" w:hAnsi="Times New Roman" w:eastAsia="宋体" w:cs="Times New Roman"/>
                      <w:b w:val="0"/>
                      <w:bCs/>
                      <w:kern w:val="2"/>
                      <w:sz w:val="21"/>
                      <w:szCs w:val="21"/>
                      <w:vertAlign w:val="baseline"/>
                      <w:lang w:val="en-US" w:eastAsia="zh-CN" w:bidi="ar-SA"/>
                    </w:rPr>
                    <w:t>》（GB12348-2008）中</w:t>
                  </w:r>
                  <w:r>
                    <w:rPr>
                      <w:rFonts w:hint="eastAsia" w:ascii="Times New Roman" w:hAnsi="Times New Roman" w:eastAsia="宋体" w:cs="Times New Roman"/>
                      <w:b w:val="0"/>
                      <w:bCs/>
                      <w:kern w:val="2"/>
                      <w:sz w:val="21"/>
                      <w:szCs w:val="21"/>
                      <w:vertAlign w:val="baseline"/>
                      <w:lang w:val="en-US" w:eastAsia="zh-CN" w:bidi="ar-SA"/>
                    </w:rPr>
                    <w:t>3</w:t>
                  </w:r>
                  <w:r>
                    <w:rPr>
                      <w:rFonts w:hint="default" w:ascii="Times New Roman" w:hAnsi="Times New Roman" w:eastAsia="宋体" w:cs="Times New Roman"/>
                      <w:b w:val="0"/>
                      <w:bCs/>
                      <w:kern w:val="2"/>
                      <w:sz w:val="21"/>
                      <w:szCs w:val="21"/>
                      <w:vertAlign w:val="baseline"/>
                      <w:lang w:val="en-US" w:eastAsia="zh-CN" w:bidi="ar-SA"/>
                    </w:rPr>
                    <w:t>类标准。</w:t>
                  </w:r>
                </w:p>
              </w:tc>
              <w:tc>
                <w:tcPr>
                  <w:tcW w:w="870" w:type="dxa"/>
                  <w:tcBorders>
                    <w:tl2br w:val="nil"/>
                    <w:tr2bl w:val="nil"/>
                  </w:tcBorders>
                  <w:noWrap w:val="0"/>
                  <w:vAlign w:val="center"/>
                </w:tcPr>
                <w:p w14:paraId="75182AD7">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r w14:paraId="7401E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Borders>
                    <w:tl2br w:val="nil"/>
                    <w:tr2bl w:val="nil"/>
                  </w:tcBorders>
                  <w:noWrap w:val="0"/>
                  <w:vAlign w:val="center"/>
                </w:tcPr>
                <w:p w14:paraId="7E03E10E">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3327" w:type="dxa"/>
                  <w:tcBorders>
                    <w:tl2br w:val="nil"/>
                    <w:tr2bl w:val="nil"/>
                  </w:tcBorders>
                  <w:noWrap w:val="0"/>
                  <w:vAlign w:val="center"/>
                </w:tcPr>
                <w:p w14:paraId="7241292E">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二级及以上液化石油气供应站不得与其他燃气厂站及设施合建。五级及以上的液化石油气气化站和混气站、六级及以下的液化石油气储存站、储配站和灌装站，不得建在城市中心城区。</w:t>
                  </w:r>
                </w:p>
              </w:tc>
              <w:tc>
                <w:tcPr>
                  <w:tcW w:w="3039" w:type="dxa"/>
                  <w:tcBorders>
                    <w:tl2br w:val="nil"/>
                    <w:tr2bl w:val="nil"/>
                  </w:tcBorders>
                  <w:noWrap w:val="0"/>
                  <w:vAlign w:val="center"/>
                </w:tcPr>
                <w:p w14:paraId="03FE628C">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本项目等级为六级，未建在中心城区。</w:t>
                  </w:r>
                </w:p>
              </w:tc>
              <w:tc>
                <w:tcPr>
                  <w:tcW w:w="870" w:type="dxa"/>
                  <w:tcBorders>
                    <w:tl2br w:val="nil"/>
                    <w:tr2bl w:val="nil"/>
                  </w:tcBorders>
                  <w:noWrap w:val="0"/>
                  <w:vAlign w:val="center"/>
                </w:tcPr>
                <w:p w14:paraId="391D6734">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r w14:paraId="67AE9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Borders>
                    <w:tl2br w:val="nil"/>
                    <w:tr2bl w:val="nil"/>
                  </w:tcBorders>
                  <w:noWrap w:val="0"/>
                  <w:vAlign w:val="center"/>
                </w:tcPr>
                <w:p w14:paraId="52839487">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3327" w:type="dxa"/>
                  <w:tcBorders>
                    <w:tl2br w:val="nil"/>
                    <w:tr2bl w:val="nil"/>
                  </w:tcBorders>
                  <w:noWrap w:val="0"/>
                  <w:vAlign w:val="center"/>
                </w:tcPr>
                <w:p w14:paraId="354172C7">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应选择地势平坦、开阔、不易积存液化石油气的地段，且应避开地质灾害多发区。</w:t>
                  </w:r>
                </w:p>
              </w:tc>
              <w:tc>
                <w:tcPr>
                  <w:tcW w:w="3039" w:type="dxa"/>
                  <w:tcBorders>
                    <w:tl2br w:val="nil"/>
                    <w:tr2bl w:val="nil"/>
                  </w:tcBorders>
                  <w:noWrap w:val="0"/>
                  <w:vAlign w:val="center"/>
                </w:tcPr>
                <w:p w14:paraId="7182121A">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项目所在地不属于地质灾害多发区，地势平坦、开阔、不易积存液化石油气。</w:t>
                  </w:r>
                </w:p>
              </w:tc>
              <w:tc>
                <w:tcPr>
                  <w:tcW w:w="870" w:type="dxa"/>
                  <w:tcBorders>
                    <w:tl2br w:val="nil"/>
                    <w:tr2bl w:val="nil"/>
                  </w:tcBorders>
                  <w:noWrap w:val="0"/>
                  <w:vAlign w:val="center"/>
                </w:tcPr>
                <w:p w14:paraId="28A6BAF3">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r w14:paraId="5C4BB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Borders>
                    <w:tl2br w:val="nil"/>
                    <w:tr2bl w:val="nil"/>
                  </w:tcBorders>
                  <w:noWrap w:val="0"/>
                  <w:vAlign w:val="center"/>
                </w:tcPr>
                <w:p w14:paraId="6E779387">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3327" w:type="dxa"/>
                  <w:tcBorders>
                    <w:tl2br w:val="nil"/>
                    <w:tr2bl w:val="nil"/>
                  </w:tcBorders>
                  <w:noWrap w:val="0"/>
                  <w:vAlign w:val="center"/>
                </w:tcPr>
                <w:p w14:paraId="5BD36A90">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应</w:t>
                  </w:r>
                  <w:r>
                    <w:rPr>
                      <w:rFonts w:hint="eastAsia" w:ascii="Times New Roman" w:cs="Times New Roman"/>
                      <w:b w:val="0"/>
                      <w:bCs/>
                      <w:kern w:val="2"/>
                      <w:sz w:val="21"/>
                      <w:szCs w:val="21"/>
                      <w:vertAlign w:val="baseline"/>
                      <w:lang w:val="en-US" w:eastAsia="zh-CN" w:bidi="ar-SA"/>
                    </w:rPr>
                    <w:t>具备</w:t>
                  </w:r>
                  <w:r>
                    <w:rPr>
                      <w:rFonts w:hint="default" w:ascii="Times New Roman" w:hAnsi="Times New Roman" w:eastAsia="宋体" w:cs="Times New Roman"/>
                      <w:b w:val="0"/>
                      <w:bCs/>
                      <w:kern w:val="2"/>
                      <w:sz w:val="21"/>
                      <w:szCs w:val="21"/>
                      <w:vertAlign w:val="baseline"/>
                      <w:lang w:val="en-US" w:eastAsia="zh-CN" w:bidi="ar-SA"/>
                    </w:rPr>
                    <w:t>交通、供电、给水、排水和通信等条件。宜选择所在地区全年最小频率风向的上风侧。</w:t>
                  </w:r>
                </w:p>
              </w:tc>
              <w:tc>
                <w:tcPr>
                  <w:tcW w:w="3039" w:type="dxa"/>
                  <w:tcBorders>
                    <w:tl2br w:val="nil"/>
                    <w:tr2bl w:val="nil"/>
                  </w:tcBorders>
                  <w:noWrap w:val="0"/>
                  <w:vAlign w:val="center"/>
                </w:tcPr>
                <w:p w14:paraId="2C2D9DCA">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本项目位于陕西省宝鸡市凤翔高新区长青工业园，交通、供电、给水、排水和通信等条件良好。</w:t>
                  </w:r>
                  <w:r>
                    <w:rPr>
                      <w:rFonts w:hint="eastAsia" w:ascii="Times New Roman" w:cs="Times New Roman"/>
                      <w:b w:val="0"/>
                      <w:bCs/>
                      <w:kern w:val="2"/>
                      <w:sz w:val="21"/>
                      <w:szCs w:val="21"/>
                      <w:vertAlign w:val="baseline"/>
                      <w:lang w:val="en-US" w:eastAsia="zh-CN" w:bidi="ar-SA"/>
                    </w:rPr>
                    <w:t>项目</w:t>
                  </w:r>
                  <w:r>
                    <w:rPr>
                      <w:rFonts w:hint="default" w:ascii="Times New Roman" w:hAnsi="Times New Roman" w:eastAsia="宋体" w:cs="Times New Roman"/>
                      <w:b w:val="0"/>
                      <w:bCs/>
                      <w:kern w:val="2"/>
                      <w:sz w:val="21"/>
                      <w:szCs w:val="21"/>
                      <w:vertAlign w:val="baseline"/>
                      <w:lang w:val="en-US" w:eastAsia="zh-CN" w:bidi="ar-SA"/>
                    </w:rPr>
                    <w:t>位于</w:t>
                  </w:r>
                  <w:r>
                    <w:rPr>
                      <w:rFonts w:hint="eastAsia" w:ascii="Times New Roman" w:hAnsi="Times New Roman" w:eastAsia="宋体" w:cs="Times New Roman"/>
                      <w:b w:val="0"/>
                      <w:bCs/>
                      <w:kern w:val="2"/>
                      <w:sz w:val="21"/>
                      <w:szCs w:val="21"/>
                      <w:vertAlign w:val="baseline"/>
                      <w:lang w:val="en-US" w:eastAsia="zh-CN" w:bidi="ar-SA"/>
                    </w:rPr>
                    <w:t>宝鸡市凤翔</w:t>
                  </w:r>
                  <w:r>
                    <w:rPr>
                      <w:rFonts w:hint="default" w:ascii="Times New Roman" w:hAnsi="Times New Roman" w:eastAsia="宋体" w:cs="Times New Roman"/>
                      <w:b w:val="0"/>
                      <w:bCs/>
                      <w:kern w:val="2"/>
                      <w:sz w:val="21"/>
                      <w:szCs w:val="21"/>
                      <w:vertAlign w:val="baseline"/>
                      <w:lang w:val="en-US" w:eastAsia="zh-CN" w:bidi="ar-SA"/>
                    </w:rPr>
                    <w:t>区全年最小频率风向的上风侧。</w:t>
                  </w:r>
                </w:p>
              </w:tc>
              <w:tc>
                <w:tcPr>
                  <w:tcW w:w="870" w:type="dxa"/>
                  <w:tcBorders>
                    <w:tl2br w:val="nil"/>
                    <w:tr2bl w:val="nil"/>
                  </w:tcBorders>
                  <w:noWrap w:val="0"/>
                  <w:vAlign w:val="center"/>
                </w:tcPr>
                <w:p w14:paraId="51516D08">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r w14:paraId="594F1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restart"/>
                  <w:tcBorders>
                    <w:tl2br w:val="nil"/>
                    <w:tr2bl w:val="nil"/>
                  </w:tcBorders>
                  <w:noWrap w:val="0"/>
                  <w:vAlign w:val="center"/>
                </w:tcPr>
                <w:p w14:paraId="39686699">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平面布局</w:t>
                  </w:r>
                </w:p>
              </w:tc>
              <w:tc>
                <w:tcPr>
                  <w:tcW w:w="3327" w:type="dxa"/>
                  <w:tcBorders>
                    <w:tl2br w:val="nil"/>
                    <w:tr2bl w:val="nil"/>
                  </w:tcBorders>
                  <w:noWrap w:val="0"/>
                  <w:vAlign w:val="center"/>
                </w:tcPr>
                <w:p w14:paraId="38BFFBBC">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液化石油气储存站、储配站和灌装站站内总平面应分区布置，并应分为生产区</w:t>
                  </w:r>
                  <w:r>
                    <w:rPr>
                      <w:rFonts w:hint="eastAsia" w:ascii="Times New Roman" w:cs="Times New Roman"/>
                      <w:b w:val="0"/>
                      <w:bCs/>
                      <w:kern w:val="2"/>
                      <w:sz w:val="21"/>
                      <w:szCs w:val="21"/>
                      <w:vertAlign w:val="baseline"/>
                      <w:lang w:val="en-US" w:eastAsia="zh-CN" w:bidi="ar-SA"/>
                    </w:rPr>
                    <w:t>（</w:t>
                  </w:r>
                  <w:r>
                    <w:rPr>
                      <w:rFonts w:hint="default" w:ascii="Times New Roman" w:hAnsi="Times New Roman" w:eastAsia="宋体" w:cs="Times New Roman"/>
                      <w:b w:val="0"/>
                      <w:bCs/>
                      <w:kern w:val="2"/>
                      <w:sz w:val="21"/>
                      <w:szCs w:val="21"/>
                      <w:vertAlign w:val="baseline"/>
                      <w:lang w:val="en-US" w:eastAsia="zh-CN" w:bidi="ar-SA"/>
                    </w:rPr>
                    <w:t>包括储罐区和灌装区</w:t>
                  </w:r>
                  <w:r>
                    <w:rPr>
                      <w:rFonts w:hint="eastAsia" w:ascii="Times New Roman" w:cs="Times New Roman"/>
                      <w:b w:val="0"/>
                      <w:bCs/>
                      <w:kern w:val="2"/>
                      <w:sz w:val="21"/>
                      <w:szCs w:val="21"/>
                      <w:vertAlign w:val="baseline"/>
                      <w:lang w:val="en-US" w:eastAsia="zh-CN" w:bidi="ar-SA"/>
                    </w:rPr>
                    <w:t>）</w:t>
                  </w:r>
                  <w:r>
                    <w:rPr>
                      <w:rFonts w:hint="default" w:ascii="Times New Roman" w:hAnsi="Times New Roman" w:eastAsia="宋体" w:cs="Times New Roman"/>
                      <w:b w:val="0"/>
                      <w:bCs/>
                      <w:kern w:val="2"/>
                      <w:sz w:val="21"/>
                      <w:szCs w:val="21"/>
                      <w:vertAlign w:val="baseline"/>
                      <w:lang w:val="en-US" w:eastAsia="zh-CN" w:bidi="ar-SA"/>
                    </w:rPr>
                    <w:t>和辅助区。生产区布置在站区全年最小频率风向的上风侧或上侧风侧。</w:t>
                  </w:r>
                </w:p>
              </w:tc>
              <w:tc>
                <w:tcPr>
                  <w:tcW w:w="3039" w:type="dxa"/>
                  <w:tcBorders>
                    <w:tl2br w:val="nil"/>
                    <w:tr2bl w:val="nil"/>
                  </w:tcBorders>
                  <w:noWrap w:val="0"/>
                  <w:vAlign w:val="center"/>
                </w:tcPr>
                <w:p w14:paraId="1B8BB685">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本项目站区内设置储罐区、罐瓶间、压缩机房、卸车口、站房、消防水池，按照生产区、辅助区分区布置，生产区布置在</w:t>
                  </w:r>
                  <w:r>
                    <w:rPr>
                      <w:rFonts w:hint="eastAsia" w:ascii="Times New Roman" w:cs="Times New Roman"/>
                      <w:b w:val="0"/>
                      <w:bCs/>
                      <w:kern w:val="2"/>
                      <w:sz w:val="21"/>
                      <w:szCs w:val="21"/>
                      <w:vertAlign w:val="baseline"/>
                      <w:lang w:val="en-US" w:eastAsia="zh-CN" w:bidi="ar-SA"/>
                    </w:rPr>
                    <w:t>厂区</w:t>
                  </w:r>
                  <w:r>
                    <w:rPr>
                      <w:rFonts w:hint="eastAsia" w:ascii="Times New Roman" w:hAnsi="Times New Roman" w:eastAsia="宋体" w:cs="Times New Roman"/>
                      <w:b w:val="0"/>
                      <w:bCs/>
                      <w:kern w:val="2"/>
                      <w:sz w:val="21"/>
                      <w:szCs w:val="21"/>
                      <w:vertAlign w:val="baseline"/>
                      <w:lang w:val="en-US" w:eastAsia="zh-CN" w:bidi="ar-SA"/>
                    </w:rPr>
                    <w:t>上风侧。</w:t>
                  </w:r>
                </w:p>
              </w:tc>
              <w:tc>
                <w:tcPr>
                  <w:tcW w:w="870" w:type="dxa"/>
                  <w:tcBorders>
                    <w:tl2br w:val="nil"/>
                    <w:tr2bl w:val="nil"/>
                  </w:tcBorders>
                  <w:noWrap w:val="0"/>
                  <w:vAlign w:val="center"/>
                </w:tcPr>
                <w:p w14:paraId="5C891B54">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r w14:paraId="2EEDD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Borders>
                    <w:tl2br w:val="nil"/>
                    <w:tr2bl w:val="nil"/>
                  </w:tcBorders>
                  <w:noWrap w:val="0"/>
                  <w:vAlign w:val="center"/>
                </w:tcPr>
                <w:p w14:paraId="112C7FBC">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3327" w:type="dxa"/>
                  <w:tcBorders>
                    <w:tl2br w:val="nil"/>
                    <w:tr2bl w:val="nil"/>
                  </w:tcBorders>
                  <w:noWrap w:val="0"/>
                  <w:vAlign w:val="center"/>
                </w:tcPr>
                <w:p w14:paraId="2C78979A">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液化石油气储存站、储配站和灌装站边界应设置围墙。生产区应设置高度不低于2m的不燃烧体实体</w:t>
                  </w:r>
                  <w:r>
                    <w:rPr>
                      <w:rFonts w:hint="eastAsia" w:ascii="Times New Roman" w:cs="Times New Roman"/>
                      <w:b w:val="0"/>
                      <w:bCs/>
                      <w:kern w:val="2"/>
                      <w:sz w:val="21"/>
                      <w:szCs w:val="21"/>
                      <w:vertAlign w:val="baseline"/>
                      <w:lang w:val="en-US" w:eastAsia="zh-CN" w:bidi="ar-SA"/>
                    </w:rPr>
                    <w:t>围</w:t>
                  </w:r>
                  <w:r>
                    <w:rPr>
                      <w:rFonts w:hint="default" w:ascii="Times New Roman" w:hAnsi="Times New Roman" w:eastAsia="宋体" w:cs="Times New Roman"/>
                      <w:b w:val="0"/>
                      <w:bCs/>
                      <w:kern w:val="2"/>
                      <w:sz w:val="21"/>
                      <w:szCs w:val="21"/>
                      <w:vertAlign w:val="baseline"/>
                      <w:lang w:val="en-US" w:eastAsia="zh-CN" w:bidi="ar-SA"/>
                    </w:rPr>
                    <w:t>墙，辅助区可设置不燃烧体非实体围墙。</w:t>
                  </w:r>
                </w:p>
              </w:tc>
              <w:tc>
                <w:tcPr>
                  <w:tcW w:w="3039" w:type="dxa"/>
                  <w:tcBorders>
                    <w:tl2br w:val="nil"/>
                    <w:tr2bl w:val="nil"/>
                  </w:tcBorders>
                  <w:noWrap w:val="0"/>
                  <w:vAlign w:val="center"/>
                </w:tcPr>
                <w:p w14:paraId="02ED5E79">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本项目站区四周设置2.2m高实体围墙进行封闭隔离。</w:t>
                  </w:r>
                </w:p>
              </w:tc>
              <w:tc>
                <w:tcPr>
                  <w:tcW w:w="870" w:type="dxa"/>
                  <w:tcBorders>
                    <w:tl2br w:val="nil"/>
                    <w:tr2bl w:val="nil"/>
                  </w:tcBorders>
                  <w:noWrap w:val="0"/>
                  <w:vAlign w:val="center"/>
                </w:tcPr>
                <w:p w14:paraId="0460225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r w14:paraId="5F2A9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Borders>
                    <w:tl2br w:val="nil"/>
                    <w:tr2bl w:val="nil"/>
                  </w:tcBorders>
                  <w:noWrap w:val="0"/>
                  <w:vAlign w:val="center"/>
                </w:tcPr>
                <w:p w14:paraId="04B5A5B2">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3327" w:type="dxa"/>
                  <w:tcBorders>
                    <w:tl2br w:val="nil"/>
                    <w:tr2bl w:val="nil"/>
                  </w:tcBorders>
                  <w:noWrap w:val="0"/>
                  <w:vAlign w:val="center"/>
                </w:tcPr>
                <w:p w14:paraId="6E6876FC">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液化石油气储存站、储配站和灌装站的生产区和辅助区应各至少设置1个对外出入口。</w:t>
                  </w:r>
                </w:p>
              </w:tc>
              <w:tc>
                <w:tcPr>
                  <w:tcW w:w="3039" w:type="dxa"/>
                  <w:tcBorders>
                    <w:tl2br w:val="nil"/>
                    <w:tr2bl w:val="nil"/>
                  </w:tcBorders>
                  <w:noWrap w:val="0"/>
                  <w:vAlign w:val="center"/>
                </w:tcPr>
                <w:p w14:paraId="36154CFF">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本项目生产区和辅助区各设置一个对外出入口。</w:t>
                  </w:r>
                </w:p>
              </w:tc>
              <w:tc>
                <w:tcPr>
                  <w:tcW w:w="870" w:type="dxa"/>
                  <w:tcBorders>
                    <w:tl2br w:val="nil"/>
                    <w:tr2bl w:val="nil"/>
                  </w:tcBorders>
                  <w:noWrap w:val="0"/>
                  <w:vAlign w:val="center"/>
                </w:tcPr>
                <w:p w14:paraId="10B3E72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r w14:paraId="0E82D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Borders>
                    <w:tl2br w:val="nil"/>
                    <w:tr2bl w:val="nil"/>
                  </w:tcBorders>
                  <w:noWrap w:val="0"/>
                  <w:vAlign w:val="center"/>
                </w:tcPr>
                <w:p w14:paraId="464526C9">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3327" w:type="dxa"/>
                  <w:tcBorders>
                    <w:tl2br w:val="nil"/>
                    <w:tr2bl w:val="nil"/>
                  </w:tcBorders>
                  <w:noWrap w:val="0"/>
                  <w:vAlign w:val="center"/>
                </w:tcPr>
                <w:p w14:paraId="7A03ECD6">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液化石油气储存站、储配站和灌装站的生产区内严禁设置地下和半地下建筑。</w:t>
                  </w:r>
                </w:p>
              </w:tc>
              <w:tc>
                <w:tcPr>
                  <w:tcW w:w="3039" w:type="dxa"/>
                  <w:tcBorders>
                    <w:tl2br w:val="nil"/>
                    <w:tr2bl w:val="nil"/>
                  </w:tcBorders>
                  <w:noWrap w:val="0"/>
                  <w:vAlign w:val="center"/>
                </w:tcPr>
                <w:p w14:paraId="24CDCD9A">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本项目生产区</w:t>
                  </w:r>
                  <w:r>
                    <w:rPr>
                      <w:rFonts w:hint="eastAsia" w:ascii="Times New Roman" w:cs="Times New Roman"/>
                      <w:b w:val="0"/>
                      <w:bCs/>
                      <w:kern w:val="2"/>
                      <w:sz w:val="21"/>
                      <w:szCs w:val="21"/>
                      <w:vertAlign w:val="baseline"/>
                      <w:lang w:val="en-US" w:eastAsia="zh-CN" w:bidi="ar-SA"/>
                    </w:rPr>
                    <w:t>无</w:t>
                  </w:r>
                  <w:r>
                    <w:rPr>
                      <w:rFonts w:hint="eastAsia" w:ascii="Times New Roman" w:hAnsi="Times New Roman" w:eastAsia="宋体" w:cs="Times New Roman"/>
                      <w:b w:val="0"/>
                      <w:bCs/>
                      <w:kern w:val="2"/>
                      <w:sz w:val="21"/>
                      <w:szCs w:val="21"/>
                      <w:vertAlign w:val="baseline"/>
                      <w:lang w:val="en-US" w:eastAsia="zh-CN" w:bidi="ar-SA"/>
                    </w:rPr>
                    <w:t>地下和半地下建筑。</w:t>
                  </w:r>
                </w:p>
              </w:tc>
              <w:tc>
                <w:tcPr>
                  <w:tcW w:w="870" w:type="dxa"/>
                  <w:tcBorders>
                    <w:tl2br w:val="nil"/>
                    <w:tr2bl w:val="nil"/>
                  </w:tcBorders>
                  <w:noWrap w:val="0"/>
                  <w:vAlign w:val="center"/>
                </w:tcPr>
                <w:p w14:paraId="30A2C5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r w14:paraId="6F7A6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Borders>
                    <w:tl2br w:val="nil"/>
                    <w:tr2bl w:val="nil"/>
                  </w:tcBorders>
                  <w:noWrap w:val="0"/>
                  <w:vAlign w:val="center"/>
                </w:tcPr>
                <w:p w14:paraId="555C3EB4">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3327" w:type="dxa"/>
                  <w:tcBorders>
                    <w:tl2br w:val="nil"/>
                    <w:tr2bl w:val="nil"/>
                  </w:tcBorders>
                  <w:noWrap w:val="0"/>
                  <w:vAlign w:val="center"/>
                </w:tcPr>
                <w:p w14:paraId="7D4CCCE7">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液化石油气储存站、储配站和灌装站的生产区和辅助区应各至少设置1个对外出入口</w:t>
                  </w:r>
                  <w:r>
                    <w:rPr>
                      <w:rFonts w:hint="eastAsia" w:ascii="Times New Roman" w:cs="Times New Roman"/>
                      <w:b w:val="0"/>
                      <w:bCs/>
                      <w:kern w:val="2"/>
                      <w:sz w:val="21"/>
                      <w:szCs w:val="21"/>
                      <w:vertAlign w:val="baseline"/>
                      <w:lang w:val="en-US" w:eastAsia="zh-CN" w:bidi="ar-SA"/>
                    </w:rPr>
                    <w:t>；</w:t>
                  </w:r>
                  <w:r>
                    <w:rPr>
                      <w:rFonts w:hint="default" w:ascii="Times New Roman" w:hAnsi="Times New Roman" w:eastAsia="宋体" w:cs="Times New Roman"/>
                      <w:b w:val="0"/>
                      <w:bCs/>
                      <w:kern w:val="2"/>
                      <w:sz w:val="21"/>
                      <w:szCs w:val="21"/>
                      <w:vertAlign w:val="baseline"/>
                      <w:lang w:val="en-US" w:eastAsia="zh-CN" w:bidi="ar-SA"/>
                    </w:rPr>
                    <w:t>当液化石油气储罐总容积大于1000m</w:t>
                  </w:r>
                  <w:r>
                    <w:rPr>
                      <w:rFonts w:hint="default" w:ascii="Times New Roman" w:hAnsi="Times New Roman" w:eastAsia="宋体" w:cs="Times New Roman"/>
                      <w:b w:val="0"/>
                      <w:bCs/>
                      <w:kern w:val="2"/>
                      <w:sz w:val="21"/>
                      <w:szCs w:val="21"/>
                      <w:vertAlign w:val="superscript"/>
                      <w:lang w:val="en-US" w:eastAsia="zh-CN" w:bidi="ar-SA"/>
                    </w:rPr>
                    <w:t>3</w:t>
                  </w:r>
                  <w:r>
                    <w:rPr>
                      <w:rFonts w:hint="default" w:ascii="Times New Roman" w:hAnsi="Times New Roman" w:eastAsia="宋体" w:cs="Times New Roman"/>
                      <w:b w:val="0"/>
                      <w:bCs/>
                      <w:kern w:val="2"/>
                      <w:sz w:val="21"/>
                      <w:szCs w:val="21"/>
                      <w:vertAlign w:val="baseline"/>
                      <w:lang w:val="en-US" w:eastAsia="zh-CN" w:bidi="ar-SA"/>
                    </w:rPr>
                    <w:t>时，生产区应至少设置2个对外出入口，且其间距不应小于50m。对外出入口的设置应便于通行和紧急事故时人员的疏散，宽度均不应小于4m。</w:t>
                  </w:r>
                </w:p>
              </w:tc>
              <w:tc>
                <w:tcPr>
                  <w:tcW w:w="3039" w:type="dxa"/>
                  <w:tcBorders>
                    <w:tl2br w:val="nil"/>
                    <w:tr2bl w:val="nil"/>
                  </w:tcBorders>
                  <w:noWrap w:val="0"/>
                  <w:vAlign w:val="center"/>
                </w:tcPr>
                <w:p w14:paraId="5EC59CFD">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项目储罐区、灌装间设置1个出入口，车辅助用房、办公综合楼设置1个出入口</w:t>
                  </w:r>
                  <w:r>
                    <w:rPr>
                      <w:rFonts w:hint="eastAsia" w:ascii="Times New Roman" w:cs="Times New Roman"/>
                      <w:b w:val="0"/>
                      <w:bCs/>
                      <w:kern w:val="2"/>
                      <w:sz w:val="21"/>
                      <w:szCs w:val="21"/>
                      <w:vertAlign w:val="baseline"/>
                      <w:lang w:val="en-US" w:eastAsia="zh-CN" w:bidi="ar-SA"/>
                    </w:rPr>
                    <w:t>；</w:t>
                  </w:r>
                  <w:r>
                    <w:rPr>
                      <w:rFonts w:hint="eastAsia" w:ascii="Times New Roman" w:hAnsi="Times New Roman" w:eastAsia="宋体" w:cs="Times New Roman"/>
                      <w:b w:val="0"/>
                      <w:bCs/>
                      <w:kern w:val="2"/>
                      <w:sz w:val="21"/>
                      <w:szCs w:val="21"/>
                      <w:vertAlign w:val="baseline"/>
                      <w:lang w:val="en-US" w:eastAsia="zh-CN" w:bidi="ar-SA"/>
                    </w:rPr>
                    <w:t>对外出入口宽度为10m。</w:t>
                  </w:r>
                </w:p>
              </w:tc>
              <w:tc>
                <w:tcPr>
                  <w:tcW w:w="870" w:type="dxa"/>
                  <w:tcBorders>
                    <w:tl2br w:val="nil"/>
                    <w:tr2bl w:val="nil"/>
                  </w:tcBorders>
                  <w:noWrap w:val="0"/>
                  <w:vAlign w:val="center"/>
                </w:tcPr>
                <w:p w14:paraId="503E53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r w14:paraId="7A2CE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Borders>
                    <w:tl2br w:val="nil"/>
                    <w:tr2bl w:val="nil"/>
                  </w:tcBorders>
                  <w:noWrap w:val="0"/>
                  <w:vAlign w:val="center"/>
                </w:tcPr>
                <w:p w14:paraId="5E229C58">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3327" w:type="dxa"/>
                  <w:tcBorders>
                    <w:tl2br w:val="nil"/>
                    <w:tr2bl w:val="nil"/>
                  </w:tcBorders>
                  <w:noWrap w:val="0"/>
                  <w:vAlign w:val="center"/>
                </w:tcPr>
                <w:p w14:paraId="53090F07">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液化石油气储存站、储配站和灌装站的生产区应设置环形消防车道。</w:t>
                  </w:r>
                </w:p>
              </w:tc>
              <w:tc>
                <w:tcPr>
                  <w:tcW w:w="3039" w:type="dxa"/>
                  <w:tcBorders>
                    <w:tl2br w:val="nil"/>
                    <w:tr2bl w:val="nil"/>
                  </w:tcBorders>
                  <w:noWrap w:val="0"/>
                  <w:vAlign w:val="center"/>
                </w:tcPr>
                <w:p w14:paraId="7E6909CE">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本项目生产区设置环形消防车道。</w:t>
                  </w:r>
                </w:p>
              </w:tc>
              <w:tc>
                <w:tcPr>
                  <w:tcW w:w="870" w:type="dxa"/>
                  <w:tcBorders>
                    <w:tl2br w:val="nil"/>
                    <w:tr2bl w:val="nil"/>
                  </w:tcBorders>
                  <w:noWrap w:val="0"/>
                  <w:vAlign w:val="center"/>
                </w:tcPr>
                <w:p w14:paraId="34E19E2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r w14:paraId="36203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tcBorders>
                    <w:tl2br w:val="nil"/>
                    <w:tr2bl w:val="nil"/>
                  </w:tcBorders>
                  <w:noWrap w:val="0"/>
                  <w:vAlign w:val="center"/>
                </w:tcPr>
                <w:p w14:paraId="224C2C11">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3327" w:type="dxa"/>
                  <w:tcBorders>
                    <w:tl2br w:val="nil"/>
                    <w:tr2bl w:val="nil"/>
                  </w:tcBorders>
                  <w:noWrap w:val="0"/>
                  <w:vAlign w:val="center"/>
                </w:tcPr>
                <w:p w14:paraId="0BD7656E">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液化石油气储存站</w:t>
                  </w:r>
                  <w:r>
                    <w:rPr>
                      <w:rFonts w:hint="eastAsia" w:ascii="Times New Roman" w:cs="Times New Roman"/>
                      <w:b w:val="0"/>
                      <w:bCs/>
                      <w:kern w:val="2"/>
                      <w:sz w:val="21"/>
                      <w:szCs w:val="21"/>
                      <w:vertAlign w:val="baseline"/>
                      <w:lang w:val="en-US" w:eastAsia="zh-CN" w:bidi="ar-SA"/>
                    </w:rPr>
                    <w:t>、</w:t>
                  </w:r>
                  <w:r>
                    <w:rPr>
                      <w:rFonts w:hint="default" w:ascii="Times New Roman" w:hAnsi="Times New Roman" w:eastAsia="宋体" w:cs="Times New Roman"/>
                      <w:b w:val="0"/>
                      <w:bCs/>
                      <w:kern w:val="2"/>
                      <w:sz w:val="21"/>
                      <w:szCs w:val="21"/>
                      <w:vertAlign w:val="baseline"/>
                      <w:lang w:val="en-US" w:eastAsia="zh-CN" w:bidi="ar-SA"/>
                    </w:rPr>
                    <w:t>储配站和灌装站应设置专用卸车或充装场地，并应配置车辆固定装置。</w:t>
                  </w:r>
                </w:p>
              </w:tc>
              <w:tc>
                <w:tcPr>
                  <w:tcW w:w="3039" w:type="dxa"/>
                  <w:tcBorders>
                    <w:tl2br w:val="nil"/>
                    <w:tr2bl w:val="nil"/>
                  </w:tcBorders>
                  <w:noWrap w:val="0"/>
                  <w:vAlign w:val="center"/>
                </w:tcPr>
                <w:p w14:paraId="14F75490">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本项目卸车</w:t>
                  </w:r>
                  <w:r>
                    <w:rPr>
                      <w:rFonts w:hint="eastAsia" w:ascii="Times New Roman" w:cs="Times New Roman"/>
                      <w:b w:val="0"/>
                      <w:bCs/>
                      <w:kern w:val="2"/>
                      <w:sz w:val="21"/>
                      <w:szCs w:val="21"/>
                      <w:vertAlign w:val="baseline"/>
                      <w:lang w:val="en-US" w:eastAsia="zh-CN" w:bidi="ar-SA"/>
                    </w:rPr>
                    <w:t>场地</w:t>
                  </w:r>
                  <w:r>
                    <w:rPr>
                      <w:rFonts w:hint="eastAsia" w:ascii="Times New Roman" w:hAnsi="Times New Roman" w:eastAsia="宋体" w:cs="Times New Roman"/>
                      <w:b w:val="0"/>
                      <w:bCs/>
                      <w:kern w:val="2"/>
                      <w:sz w:val="21"/>
                      <w:szCs w:val="21"/>
                      <w:vertAlign w:val="baseline"/>
                      <w:lang w:val="en-US" w:eastAsia="zh-CN" w:bidi="ar-SA"/>
                    </w:rPr>
                    <w:t>和充装场地分开设置，并配置车辆固定装置。</w:t>
                  </w:r>
                </w:p>
              </w:tc>
              <w:tc>
                <w:tcPr>
                  <w:tcW w:w="870" w:type="dxa"/>
                  <w:tcBorders>
                    <w:tl2br w:val="nil"/>
                    <w:tr2bl w:val="nil"/>
                  </w:tcBorders>
                  <w:noWrap w:val="0"/>
                  <w:vAlign w:val="center"/>
                </w:tcPr>
                <w:p w14:paraId="47EB04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r w14:paraId="12B7E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tcBorders>
                    <w:tl2br w:val="nil"/>
                    <w:tr2bl w:val="nil"/>
                  </w:tcBorders>
                  <w:noWrap w:val="0"/>
                  <w:vAlign w:val="center"/>
                </w:tcPr>
                <w:p w14:paraId="5688F910">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4"/>
                      <w:szCs w:val="24"/>
                      <w:vertAlign w:val="baseline"/>
                      <w:lang w:val="en-US" w:eastAsia="zh-CN" w:bidi="ar-SA"/>
                    </w:rPr>
                  </w:pPr>
                  <w:r>
                    <w:rPr>
                      <w:rFonts w:hint="default" w:ascii="Times New Roman" w:hAnsi="Times New Roman" w:eastAsia="宋体" w:cs="Times New Roman"/>
                      <w:b w:val="0"/>
                      <w:bCs/>
                      <w:kern w:val="2"/>
                      <w:sz w:val="24"/>
                      <w:szCs w:val="24"/>
                      <w:vertAlign w:val="baseline"/>
                      <w:lang w:val="en-US" w:eastAsia="zh-CN" w:bidi="ar-SA"/>
                    </w:rPr>
                    <w:t>工艺及设备</w:t>
                  </w:r>
                </w:p>
              </w:tc>
              <w:tc>
                <w:tcPr>
                  <w:tcW w:w="3327" w:type="dxa"/>
                  <w:tcBorders>
                    <w:tl2br w:val="nil"/>
                    <w:tr2bl w:val="nil"/>
                  </w:tcBorders>
                  <w:noWrap w:val="0"/>
                  <w:vAlign w:val="center"/>
                </w:tcPr>
                <w:p w14:paraId="15853BB9">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地下储罐宜设置在钢筋混凝土槽内，并应采取防止液化石油气聚集的措施。储罐罐顶与槽盖内壁净距不宜小于0.4m</w:t>
                  </w:r>
                  <w:r>
                    <w:rPr>
                      <w:rFonts w:hint="eastAsia" w:ascii="Times New Roman" w:cs="Times New Roman"/>
                      <w:b w:val="0"/>
                      <w:bCs/>
                      <w:kern w:val="2"/>
                      <w:sz w:val="21"/>
                      <w:szCs w:val="21"/>
                      <w:vertAlign w:val="baseline"/>
                      <w:lang w:val="en-US" w:eastAsia="zh-CN" w:bidi="ar-SA"/>
                    </w:rPr>
                    <w:t>；</w:t>
                  </w:r>
                  <w:r>
                    <w:rPr>
                      <w:rFonts w:hint="default" w:ascii="Times New Roman" w:hAnsi="Times New Roman" w:eastAsia="宋体" w:cs="Times New Roman"/>
                      <w:b w:val="0"/>
                      <w:bCs/>
                      <w:kern w:val="2"/>
                      <w:sz w:val="21"/>
                      <w:szCs w:val="21"/>
                      <w:vertAlign w:val="baseline"/>
                      <w:lang w:val="en-US" w:eastAsia="zh-CN" w:bidi="ar-SA"/>
                    </w:rPr>
                    <w:t>各储罐之间宜设置隔墙，储罐与隔墙和槽壁之间的净距不宜小于0.9m。</w:t>
                  </w:r>
                </w:p>
                <w:p w14:paraId="789A22C5">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default" w:ascii="Times New Roman" w:hAnsi="Times New Roman" w:eastAsia="宋体" w:cs="Times New Roman"/>
                      <w:b w:val="0"/>
                      <w:bCs/>
                      <w:kern w:val="2"/>
                      <w:sz w:val="21"/>
                      <w:szCs w:val="21"/>
                      <w:vertAlign w:val="baseline"/>
                      <w:lang w:val="en-US" w:eastAsia="zh-CN" w:bidi="ar-SA"/>
                    </w:rPr>
                    <w:t>液化石油气储存站、储配站和灌装站应具有泵、机联合运行功能，液化石油气压缩机不宜少于2台。</w:t>
                  </w:r>
                </w:p>
              </w:tc>
              <w:tc>
                <w:tcPr>
                  <w:tcW w:w="3039" w:type="dxa"/>
                  <w:tcBorders>
                    <w:tl2br w:val="nil"/>
                    <w:tr2bl w:val="nil"/>
                  </w:tcBorders>
                  <w:noWrap w:val="0"/>
                  <w:vAlign w:val="center"/>
                </w:tcPr>
                <w:p w14:paraId="40612639">
                  <w:pPr>
                    <w:pStyle w:val="10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项目储罐为全压力式液化石油气</w:t>
                  </w:r>
                  <w:r>
                    <w:rPr>
                      <w:rFonts w:hint="eastAsia" w:ascii="Times New Roman" w:cs="Times New Roman"/>
                      <w:b w:val="0"/>
                      <w:bCs/>
                      <w:kern w:val="2"/>
                      <w:sz w:val="21"/>
                      <w:szCs w:val="21"/>
                      <w:vertAlign w:val="baseline"/>
                      <w:lang w:val="en-US" w:eastAsia="zh-CN" w:bidi="ar-SA"/>
                    </w:rPr>
                    <w:t>和丙烷</w:t>
                  </w:r>
                  <w:r>
                    <w:rPr>
                      <w:rFonts w:hint="eastAsia" w:ascii="Times New Roman" w:hAnsi="Times New Roman" w:eastAsia="宋体" w:cs="Times New Roman"/>
                      <w:b w:val="0"/>
                      <w:bCs/>
                      <w:kern w:val="2"/>
                      <w:sz w:val="21"/>
                      <w:szCs w:val="21"/>
                      <w:vertAlign w:val="baseline"/>
                      <w:lang w:val="en-US" w:eastAsia="zh-CN" w:bidi="ar-SA"/>
                    </w:rPr>
                    <w:t>储罐，共设置</w:t>
                  </w:r>
                  <w:r>
                    <w:rPr>
                      <w:rFonts w:hint="eastAsia" w:ascii="Times New Roman" w:cs="Times New Roman"/>
                      <w:b w:val="0"/>
                      <w:bCs/>
                      <w:kern w:val="2"/>
                      <w:sz w:val="21"/>
                      <w:szCs w:val="21"/>
                      <w:vertAlign w:val="baseline"/>
                      <w:lang w:val="en-US" w:eastAsia="zh-CN" w:bidi="ar-SA"/>
                    </w:rPr>
                    <w:t>4</w:t>
                  </w:r>
                  <w:r>
                    <w:rPr>
                      <w:rFonts w:hint="eastAsia" w:ascii="Times New Roman" w:hAnsi="Times New Roman" w:eastAsia="宋体" w:cs="Times New Roman"/>
                      <w:b w:val="0"/>
                      <w:bCs/>
                      <w:kern w:val="2"/>
                      <w:sz w:val="21"/>
                      <w:szCs w:val="21"/>
                      <w:vertAlign w:val="baseline"/>
                      <w:lang w:val="en-US" w:eastAsia="zh-CN" w:bidi="ar-SA"/>
                    </w:rPr>
                    <w:t>台，</w:t>
                  </w:r>
                  <w:r>
                    <w:rPr>
                      <w:rFonts w:hint="eastAsia" w:ascii="Times New Roman" w:cs="Times New Roman"/>
                      <w:b w:val="0"/>
                      <w:bCs/>
                      <w:kern w:val="2"/>
                      <w:sz w:val="21"/>
                      <w:szCs w:val="21"/>
                      <w:vertAlign w:val="baseline"/>
                      <w:lang w:val="en-US" w:eastAsia="zh-CN" w:bidi="ar-SA"/>
                    </w:rPr>
                    <w:t>储罐区设置遮光棚，储罐</w:t>
                  </w:r>
                  <w:r>
                    <w:rPr>
                      <w:rFonts w:hint="default" w:ascii="Times New Roman" w:hAnsi="Times New Roman" w:eastAsia="宋体" w:cs="Times New Roman"/>
                      <w:b w:val="0"/>
                      <w:bCs/>
                      <w:kern w:val="2"/>
                      <w:sz w:val="21"/>
                      <w:szCs w:val="21"/>
                      <w:vertAlign w:val="baseline"/>
                      <w:lang w:val="en-US" w:eastAsia="zh-CN" w:bidi="ar-SA"/>
                    </w:rPr>
                    <w:t>设置在钢筋混凝土槽内，并采取</w:t>
                  </w:r>
                  <w:r>
                    <w:rPr>
                      <w:rFonts w:hint="eastAsia" w:ascii="Times New Roman" w:hAnsi="Times New Roman" w:eastAsia="宋体" w:cs="Times New Roman"/>
                      <w:b w:val="0"/>
                      <w:bCs/>
                      <w:kern w:val="2"/>
                      <w:sz w:val="21"/>
                      <w:szCs w:val="21"/>
                      <w:vertAlign w:val="baseline"/>
                      <w:lang w:val="en-US" w:eastAsia="zh-CN" w:bidi="ar-SA"/>
                    </w:rPr>
                    <w:t>了</w:t>
                  </w:r>
                  <w:r>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t>防止液化石油气聚集的措施。</w:t>
                  </w:r>
                  <w:r>
                    <w:rPr>
                      <w:rFonts w:hint="default" w:ascii="Times New Roman" w:hAnsi="Times New Roman" w:eastAsia="宋体" w:cs="Times New Roman"/>
                      <w:b w:val="0"/>
                      <w:bCs/>
                      <w:kern w:val="2"/>
                      <w:sz w:val="21"/>
                      <w:szCs w:val="21"/>
                      <w:vertAlign w:val="baseline"/>
                      <w:lang w:val="en-US" w:eastAsia="zh-CN" w:bidi="ar-SA"/>
                    </w:rPr>
                    <w:t>储罐罐顶与槽盖内壁净距</w:t>
                  </w:r>
                  <w:r>
                    <w:rPr>
                      <w:rFonts w:hint="eastAsia" w:ascii="Times New Roman" w:hAnsi="Times New Roman" w:eastAsia="宋体" w:cs="Times New Roman"/>
                      <w:b w:val="0"/>
                      <w:bCs/>
                      <w:kern w:val="2"/>
                      <w:sz w:val="21"/>
                      <w:szCs w:val="21"/>
                      <w:vertAlign w:val="baseline"/>
                      <w:lang w:val="en-US" w:eastAsia="zh-CN" w:bidi="ar-SA"/>
                    </w:rPr>
                    <w:t>约</w:t>
                  </w:r>
                  <w:r>
                    <w:rPr>
                      <w:rFonts w:hint="default" w:ascii="Times New Roman" w:hAnsi="Times New Roman" w:eastAsia="宋体" w:cs="Times New Roman"/>
                      <w:b w:val="0"/>
                      <w:bCs/>
                      <w:kern w:val="2"/>
                      <w:sz w:val="21"/>
                      <w:szCs w:val="21"/>
                      <w:vertAlign w:val="baseline"/>
                      <w:lang w:val="en-US" w:eastAsia="zh-CN" w:bidi="ar-SA"/>
                    </w:rPr>
                    <w:t>0.</w:t>
                  </w:r>
                  <w:r>
                    <w:rPr>
                      <w:rFonts w:hint="eastAsia" w:ascii="Times New Roman" w:hAnsi="Times New Roman" w:eastAsia="宋体" w:cs="Times New Roman"/>
                      <w:b w:val="0"/>
                      <w:bCs/>
                      <w:kern w:val="2"/>
                      <w:sz w:val="21"/>
                      <w:szCs w:val="21"/>
                      <w:vertAlign w:val="baseline"/>
                      <w:lang w:val="en-US" w:eastAsia="zh-CN" w:bidi="ar-SA"/>
                    </w:rPr>
                    <w:t>6</w:t>
                  </w:r>
                  <w:r>
                    <w:rPr>
                      <w:rFonts w:hint="default" w:ascii="Times New Roman" w:hAnsi="Times New Roman" w:eastAsia="宋体" w:cs="Times New Roman"/>
                      <w:b w:val="0"/>
                      <w:bCs/>
                      <w:kern w:val="2"/>
                      <w:sz w:val="21"/>
                      <w:szCs w:val="21"/>
                      <w:vertAlign w:val="baseline"/>
                      <w:lang w:val="en-US" w:eastAsia="zh-CN" w:bidi="ar-SA"/>
                    </w:rPr>
                    <w:t>m</w:t>
                  </w:r>
                  <w:r>
                    <w:rPr>
                      <w:rFonts w:hint="eastAsia" w:ascii="Times New Roman" w:cs="Times New Roman"/>
                      <w:b w:val="0"/>
                      <w:bCs/>
                      <w:kern w:val="2"/>
                      <w:sz w:val="21"/>
                      <w:szCs w:val="21"/>
                      <w:vertAlign w:val="baseline"/>
                      <w:lang w:val="en-US" w:eastAsia="zh-CN" w:bidi="ar-SA"/>
                    </w:rPr>
                    <w:t>；</w:t>
                  </w:r>
                  <w:r>
                    <w:rPr>
                      <w:rFonts w:hint="default" w:ascii="Times New Roman" w:hAnsi="Times New Roman" w:eastAsia="宋体" w:cs="Times New Roman"/>
                      <w:b w:val="0"/>
                      <w:bCs/>
                      <w:kern w:val="2"/>
                      <w:sz w:val="21"/>
                      <w:szCs w:val="21"/>
                      <w:vertAlign w:val="baseline"/>
                      <w:lang w:val="en-US" w:eastAsia="zh-CN" w:bidi="ar-SA"/>
                    </w:rPr>
                    <w:t>储罐之间设置</w:t>
                  </w:r>
                  <w:r>
                    <w:rPr>
                      <w:rFonts w:hint="eastAsia" w:ascii="Times New Roman" w:hAnsi="Times New Roman" w:eastAsia="宋体" w:cs="Times New Roman"/>
                      <w:b w:val="0"/>
                      <w:bCs/>
                      <w:kern w:val="2"/>
                      <w:sz w:val="21"/>
                      <w:szCs w:val="21"/>
                      <w:vertAlign w:val="baseline"/>
                      <w:lang w:val="en-US" w:eastAsia="zh-CN" w:bidi="ar-SA"/>
                    </w:rPr>
                    <w:t>有</w:t>
                  </w:r>
                  <w:r>
                    <w:rPr>
                      <w:rFonts w:hint="default" w:ascii="Times New Roman" w:hAnsi="Times New Roman" w:eastAsia="宋体" w:cs="Times New Roman"/>
                      <w:b w:val="0"/>
                      <w:bCs/>
                      <w:kern w:val="2"/>
                      <w:sz w:val="21"/>
                      <w:szCs w:val="21"/>
                      <w:vertAlign w:val="baseline"/>
                      <w:lang w:val="en-US" w:eastAsia="zh-CN" w:bidi="ar-SA"/>
                    </w:rPr>
                    <w:t>隔墙</w:t>
                  </w:r>
                  <w:r>
                    <w:rPr>
                      <w:rFonts w:hint="eastAsia" w:ascii="Times New Roman" w:hAnsi="Times New Roman" w:eastAsia="宋体" w:cs="Times New Roman"/>
                      <w:b w:val="0"/>
                      <w:bCs/>
                      <w:kern w:val="2"/>
                      <w:sz w:val="21"/>
                      <w:szCs w:val="21"/>
                      <w:vertAlign w:val="baseline"/>
                      <w:lang w:val="en-US" w:eastAsia="zh-CN" w:bidi="ar-SA"/>
                    </w:rPr>
                    <w:t>，</w:t>
                  </w:r>
                  <w:r>
                    <w:rPr>
                      <w:rFonts w:hint="default" w:ascii="Times New Roman" w:hAnsi="Times New Roman" w:eastAsia="宋体" w:cs="Times New Roman"/>
                      <w:b w:val="0"/>
                      <w:bCs/>
                      <w:kern w:val="2"/>
                      <w:sz w:val="21"/>
                      <w:szCs w:val="21"/>
                      <w:vertAlign w:val="baseline"/>
                      <w:lang w:val="en-US" w:eastAsia="zh-CN" w:bidi="ar-SA"/>
                    </w:rPr>
                    <w:t>储罐与隔墙和槽壁之间的净距</w:t>
                  </w:r>
                  <w:r>
                    <w:rPr>
                      <w:rFonts w:hint="eastAsia" w:ascii="Times New Roman" w:hAnsi="Times New Roman" w:eastAsia="宋体" w:cs="Times New Roman"/>
                      <w:b w:val="0"/>
                      <w:bCs/>
                      <w:kern w:val="2"/>
                      <w:sz w:val="21"/>
                      <w:szCs w:val="21"/>
                      <w:vertAlign w:val="baseline"/>
                      <w:lang w:val="en-US" w:eastAsia="zh-CN" w:bidi="ar-SA"/>
                    </w:rPr>
                    <w:t>约1.1</w:t>
                  </w:r>
                  <w:r>
                    <w:rPr>
                      <w:rFonts w:hint="default" w:ascii="Times New Roman" w:hAnsi="Times New Roman" w:eastAsia="宋体" w:cs="Times New Roman"/>
                      <w:b w:val="0"/>
                      <w:bCs/>
                      <w:kern w:val="2"/>
                      <w:sz w:val="21"/>
                      <w:szCs w:val="21"/>
                      <w:vertAlign w:val="baseline"/>
                      <w:lang w:val="en-US" w:eastAsia="zh-CN" w:bidi="ar-SA"/>
                    </w:rPr>
                    <w:t>m</w:t>
                  </w:r>
                  <w:r>
                    <w:rPr>
                      <w:rFonts w:hint="eastAsia" w:ascii="Times New Roman" w:hAnsi="Times New Roman" w:eastAsia="宋体" w:cs="Times New Roman"/>
                      <w:b w:val="0"/>
                      <w:bCs/>
                      <w:kern w:val="2"/>
                      <w:sz w:val="21"/>
                      <w:szCs w:val="21"/>
                      <w:vertAlign w:val="baseline"/>
                      <w:lang w:val="en-US" w:eastAsia="zh-CN" w:bidi="ar-SA"/>
                    </w:rPr>
                    <w:t>。</w:t>
                  </w:r>
                  <w:r>
                    <w:rPr>
                      <w:rFonts w:hint="eastAsia" w:ascii="Times New Roman" w:cs="Times New Roman"/>
                      <w:b w:val="0"/>
                      <w:bCs/>
                      <w:kern w:val="2"/>
                      <w:sz w:val="21"/>
                      <w:szCs w:val="21"/>
                      <w:vertAlign w:val="baseline"/>
                      <w:lang w:val="en-US" w:eastAsia="zh-CN" w:bidi="ar-SA"/>
                    </w:rPr>
                    <w:t>罐区基础采用带肋梁筏板基础，筏板厚300mm；基础为C30钢筋混凝土，钢筋采用HPB235钢，HRB400钢。本</w:t>
                  </w:r>
                  <w:r>
                    <w:rPr>
                      <w:rFonts w:hint="default" w:ascii="Times New Roman" w:hAnsi="Times New Roman" w:eastAsia="宋体" w:cs="Times New Roman"/>
                      <w:b w:val="0"/>
                      <w:bCs/>
                      <w:kern w:val="2"/>
                      <w:sz w:val="21"/>
                      <w:szCs w:val="21"/>
                      <w:vertAlign w:val="baseline"/>
                      <w:lang w:val="en-US" w:eastAsia="zh-CN" w:bidi="ar-SA"/>
                    </w:rPr>
                    <w:t>液化石油气压缩机</w:t>
                  </w:r>
                  <w:r>
                    <w:rPr>
                      <w:rFonts w:hint="eastAsia" w:ascii="Times New Roman" w:hAnsi="Times New Roman" w:eastAsia="宋体" w:cs="Times New Roman"/>
                      <w:b w:val="0"/>
                      <w:bCs/>
                      <w:kern w:val="2"/>
                      <w:sz w:val="21"/>
                      <w:szCs w:val="21"/>
                      <w:vertAlign w:val="baseline"/>
                      <w:lang w:val="en-US" w:eastAsia="zh-CN" w:bidi="ar-SA"/>
                    </w:rPr>
                    <w:t>4</w:t>
                  </w:r>
                  <w:r>
                    <w:rPr>
                      <w:rFonts w:hint="default" w:ascii="Times New Roman" w:hAnsi="Times New Roman" w:eastAsia="宋体" w:cs="Times New Roman"/>
                      <w:b w:val="0"/>
                      <w:bCs/>
                      <w:kern w:val="2"/>
                      <w:sz w:val="21"/>
                      <w:szCs w:val="21"/>
                      <w:vertAlign w:val="baseline"/>
                      <w:lang w:val="en-US" w:eastAsia="zh-CN" w:bidi="ar-SA"/>
                    </w:rPr>
                    <w:t>台</w:t>
                  </w:r>
                  <w:r>
                    <w:rPr>
                      <w:rFonts w:hint="eastAsia" w:ascii="Times New Roman" w:cs="Times New Roman"/>
                      <w:b w:val="0"/>
                      <w:bCs/>
                      <w:kern w:val="2"/>
                      <w:sz w:val="21"/>
                      <w:szCs w:val="21"/>
                      <w:vertAlign w:val="baseline"/>
                      <w:lang w:val="en-US" w:eastAsia="zh-CN" w:bidi="ar-SA"/>
                    </w:rPr>
                    <w:t>。</w:t>
                  </w:r>
                </w:p>
              </w:tc>
              <w:tc>
                <w:tcPr>
                  <w:tcW w:w="870" w:type="dxa"/>
                  <w:tcBorders>
                    <w:tl2br w:val="nil"/>
                    <w:tr2bl w:val="nil"/>
                  </w:tcBorders>
                  <w:noWrap w:val="0"/>
                  <w:vAlign w:val="center"/>
                </w:tcPr>
                <w:p w14:paraId="10F143F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kern w:val="2"/>
                      <w:sz w:val="21"/>
                      <w:szCs w:val="21"/>
                      <w:vertAlign w:val="baseline"/>
                      <w:lang w:val="en-US" w:eastAsia="zh-CN" w:bidi="ar-SA"/>
                    </w:rPr>
                  </w:pPr>
                  <w:r>
                    <w:rPr>
                      <w:rFonts w:hint="eastAsia" w:ascii="Times New Roman" w:hAnsi="Times New Roman" w:eastAsia="宋体" w:cs="Times New Roman"/>
                      <w:b w:val="0"/>
                      <w:bCs/>
                      <w:kern w:val="2"/>
                      <w:sz w:val="21"/>
                      <w:szCs w:val="21"/>
                      <w:vertAlign w:val="baseline"/>
                      <w:lang w:val="en-US" w:eastAsia="zh-CN" w:bidi="ar-SA"/>
                    </w:rPr>
                    <w:t>符合</w:t>
                  </w:r>
                </w:p>
              </w:tc>
            </w:tr>
          </w:tbl>
          <w:p w14:paraId="357232E9">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b/>
                <w:bCs/>
                <w:color w:val="auto"/>
                <w:kern w:val="21"/>
                <w:sz w:val="24"/>
                <w:highlight w:val="none"/>
                <w:lang w:val="en-US" w:eastAsia="zh-CN"/>
              </w:rPr>
            </w:pPr>
            <w:r>
              <w:rPr>
                <w:rFonts w:hint="default" w:ascii="Times New Roman" w:hAnsi="Times New Roman" w:eastAsia="宋体" w:cs="Times New Roman"/>
                <w:b w:val="0"/>
                <w:bCs/>
                <w:kern w:val="2"/>
                <w:sz w:val="24"/>
                <w:szCs w:val="24"/>
                <w:vertAlign w:val="baseline"/>
                <w:lang w:val="en-US" w:eastAsia="zh-CN" w:bidi="ar-SA"/>
              </w:rPr>
              <w:t>由上表分析可知，本项目符合《液化石油气供应工程设计规范》（</w:t>
            </w:r>
            <w:r>
              <w:rPr>
                <w:rFonts w:hint="eastAsia" w:cs="Times New Roman"/>
                <w:b w:val="0"/>
                <w:bCs/>
                <w:kern w:val="2"/>
                <w:sz w:val="24"/>
                <w:szCs w:val="24"/>
                <w:vertAlign w:val="baseline"/>
                <w:lang w:val="en-US" w:eastAsia="zh-CN" w:bidi="ar-SA"/>
              </w:rPr>
              <w:t>GB51142-2015</w:t>
            </w:r>
            <w:r>
              <w:rPr>
                <w:rFonts w:hint="default" w:ascii="Times New Roman" w:hAnsi="Times New Roman" w:eastAsia="宋体" w:cs="Times New Roman"/>
                <w:b w:val="0"/>
                <w:bCs/>
                <w:kern w:val="2"/>
                <w:sz w:val="24"/>
                <w:szCs w:val="24"/>
                <w:vertAlign w:val="baseline"/>
                <w:lang w:val="en-US" w:eastAsia="zh-CN" w:bidi="ar-SA"/>
              </w:rPr>
              <w:t>）中相关要求。</w:t>
            </w:r>
          </w:p>
          <w:p w14:paraId="67166F94">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both"/>
              <w:textAlignment w:val="auto"/>
              <w:rPr>
                <w:rFonts w:hint="default" w:ascii="Times New Roman" w:hAnsi="Times New Roman" w:eastAsia="宋体" w:cs="Times New Roman"/>
                <w:b/>
                <w:bCs/>
                <w:color w:val="auto"/>
                <w:sz w:val="24"/>
                <w:szCs w:val="24"/>
                <w:highlight w:val="none"/>
              </w:rPr>
            </w:pPr>
            <w:r>
              <w:rPr>
                <w:rFonts w:hint="eastAsia"/>
                <w:b/>
                <w:bCs/>
                <w:color w:val="auto"/>
                <w:kern w:val="21"/>
                <w:sz w:val="24"/>
                <w:highlight w:val="none"/>
                <w:lang w:val="en-US" w:eastAsia="zh-CN"/>
              </w:rPr>
              <w:t>四、</w:t>
            </w:r>
            <w:r>
              <w:rPr>
                <w:rFonts w:hint="default" w:ascii="Times New Roman" w:hAnsi="Times New Roman" w:eastAsia="宋体" w:cs="Times New Roman"/>
                <w:b/>
                <w:bCs/>
                <w:color w:val="auto"/>
                <w:sz w:val="24"/>
                <w:szCs w:val="24"/>
                <w:highlight w:val="none"/>
              </w:rPr>
              <w:t>选址合理性分析</w:t>
            </w:r>
          </w:p>
          <w:p w14:paraId="614A2FAE">
            <w:pPr>
              <w:pStyle w:val="14"/>
              <w:keepNext w:val="0"/>
              <w:keepLines w:val="0"/>
              <w:pageBreakBefore w:val="0"/>
              <w:widowControl w:val="0"/>
              <w:numPr>
                <w:ilvl w:val="0"/>
                <w:numId w:val="0"/>
              </w:numPr>
              <w:kinsoku/>
              <w:wordWrap/>
              <w:overflowPunct/>
              <w:topLinePunct w:val="0"/>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default" w:ascii="Times New Roman" w:hAnsi="Times New Roman" w:eastAsia="宋体" w:cs="Times New Roman"/>
                <w:b w:val="0"/>
                <w:bCs w:val="0"/>
                <w:color w:val="auto"/>
                <w:kern w:val="2"/>
                <w:sz w:val="24"/>
                <w:szCs w:val="24"/>
                <w:highlight w:val="none"/>
                <w:u w:val="none"/>
                <w:lang w:val="en-US" w:eastAsia="zh-CN" w:bidi="ar-SA"/>
              </w:rPr>
              <w:t>（1）用地合理性分析</w:t>
            </w:r>
          </w:p>
          <w:p w14:paraId="095AA2D5">
            <w:pPr>
              <w:pStyle w:val="1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b w:val="0"/>
                <w:bCs w:val="0"/>
                <w:color w:val="auto"/>
                <w:kern w:val="2"/>
                <w:sz w:val="24"/>
                <w:szCs w:val="24"/>
                <w:highlight w:val="none"/>
                <w:u w:val="none"/>
                <w:lang w:val="en-US" w:eastAsia="zh-CN" w:bidi="ar-SA"/>
              </w:rPr>
              <w:t>本项目位于陕西省宝鸡市凤翔县高新技术产业开发区长青工业园</w:t>
            </w:r>
            <w:r>
              <w:rPr>
                <w:rFonts w:hint="default" w:ascii="Times New Roman" w:hAnsi="Times New Roman" w:eastAsia="宋体" w:cs="Times New Roman"/>
                <w:color w:val="auto"/>
                <w:sz w:val="24"/>
                <w:szCs w:val="24"/>
                <w:lang w:val="zh-CN"/>
              </w:rPr>
              <w:t>，</w:t>
            </w:r>
            <w:r>
              <w:rPr>
                <w:rFonts w:hint="eastAsia" w:ascii="Times New Roman" w:hAnsi="Times New Roman" w:eastAsia="宋体" w:cs="Times New Roman"/>
                <w:color w:val="auto"/>
                <w:sz w:val="24"/>
                <w:szCs w:val="24"/>
                <w:lang w:val="en-US" w:eastAsia="zh-CN"/>
              </w:rPr>
              <w:t>根据建设单位提供的项目用地不动产权证书（详见附件），项目所在地</w:t>
            </w:r>
            <w:r>
              <w:rPr>
                <w:rFonts w:hint="default" w:ascii="Times New Roman" w:hAnsi="Times New Roman" w:eastAsia="宋体" w:cs="Times New Roman"/>
                <w:color w:val="auto"/>
                <w:sz w:val="24"/>
                <w:szCs w:val="24"/>
                <w:lang w:val="zh-CN"/>
              </w:rPr>
              <w:t>用地性质为</w:t>
            </w:r>
            <w:r>
              <w:rPr>
                <w:rFonts w:hint="eastAsia" w:ascii="Times New Roman" w:hAnsi="Times New Roman" w:eastAsia="宋体" w:cs="Times New Roman"/>
                <w:color w:val="auto"/>
                <w:sz w:val="24"/>
                <w:szCs w:val="24"/>
                <w:lang w:val="en-US" w:eastAsia="zh-CN"/>
              </w:rPr>
              <w:t>工业</w:t>
            </w:r>
            <w:r>
              <w:rPr>
                <w:rFonts w:hint="default" w:ascii="Times New Roman" w:hAnsi="Times New Roman" w:eastAsia="宋体" w:cs="Times New Roman"/>
                <w:color w:val="auto"/>
                <w:sz w:val="24"/>
                <w:szCs w:val="24"/>
                <w:lang w:val="zh-CN"/>
              </w:rPr>
              <w:t>用地。</w:t>
            </w:r>
          </w:p>
          <w:p w14:paraId="66B853E8">
            <w:pPr>
              <w:rPr>
                <w:rFonts w:hint="default"/>
                <w:lang w:val="en-US" w:eastAsia="zh-CN"/>
              </w:rPr>
            </w:pPr>
            <w:r>
              <w:rPr>
                <w:rFonts w:hint="default"/>
                <w:lang w:val="en-US" w:eastAsia="zh-CN"/>
              </w:rPr>
              <w:t>根据</w:t>
            </w:r>
            <w:r>
              <w:rPr>
                <w:rFonts w:hint="eastAsia"/>
                <w:lang w:val="en-US" w:eastAsia="zh-CN"/>
              </w:rPr>
              <w:t>《凤翔高新技术产业开发区总体规划（2019-2035）（修编）》</w:t>
            </w:r>
            <w:r>
              <w:rPr>
                <w:rFonts w:hint="default"/>
                <w:lang w:val="en-US" w:eastAsia="zh-CN"/>
              </w:rPr>
              <w:t>，本项目位于</w:t>
            </w:r>
            <w:r>
              <w:rPr>
                <w:rFonts w:hint="default" w:ascii="Times New Roman" w:hAnsi="Times New Roman" w:eastAsia="宋体" w:cs="Times New Roman"/>
                <w:b w:val="0"/>
                <w:bCs w:val="0"/>
                <w:color w:val="auto"/>
                <w:kern w:val="2"/>
                <w:sz w:val="24"/>
                <w:szCs w:val="24"/>
                <w:highlight w:val="none"/>
                <w:u w:val="none"/>
                <w:lang w:val="en-US" w:eastAsia="zh-CN" w:bidi="ar-SA"/>
              </w:rPr>
              <w:t>陕西省宝鸡市凤翔县高新技术产业开发区长青工业园</w:t>
            </w:r>
            <w:r>
              <w:rPr>
                <w:rFonts w:hint="default"/>
                <w:lang w:val="en-US" w:eastAsia="zh-CN"/>
              </w:rPr>
              <w:t>循环经济产业B区，</w:t>
            </w:r>
            <w:r>
              <w:rPr>
                <w:rFonts w:hint="eastAsia"/>
                <w:lang w:val="en-US" w:eastAsia="zh-CN"/>
              </w:rPr>
              <w:t>该产业区</w:t>
            </w:r>
            <w:r>
              <w:rPr>
                <w:rFonts w:hint="default"/>
                <w:lang w:val="en-US" w:eastAsia="zh-CN"/>
              </w:rPr>
              <w:t>主要发展产业为化工、甲醇相关下游产品、专用化学品、高附加值精细化工及新材料、无机化工、医药化工，以及相关的节能环保、资源利用等配套产业。本项目在宝鸡渭河气体有限公司工业气体建设项目（原宝鸡渭河电石公司异地搬迁项目）新建一套</w:t>
            </w:r>
            <w:r>
              <w:rPr>
                <w:rFonts w:hint="eastAsia" w:ascii="Times New Roman" w:hAnsi="Times New Roman" w:eastAsia="宋体" w:cs="Times New Roman"/>
                <w:color w:val="auto"/>
                <w:highlight w:val="none"/>
                <w:lang w:val="en-US" w:eastAsia="zh-CN"/>
              </w:rPr>
              <w:t>547T/D全液化空分装置</w:t>
            </w:r>
            <w:r>
              <w:rPr>
                <w:rFonts w:hint="default"/>
                <w:lang w:val="en-US" w:eastAsia="zh-CN"/>
              </w:rPr>
              <w:t>及配套</w:t>
            </w:r>
            <w:r>
              <w:rPr>
                <w:rFonts w:hint="eastAsia"/>
                <w:lang w:val="en-US" w:eastAsia="zh-CN"/>
              </w:rPr>
              <w:t>设施，</w:t>
            </w:r>
            <w:r>
              <w:rPr>
                <w:rFonts w:hint="default"/>
                <w:lang w:val="en-US" w:eastAsia="zh-CN"/>
              </w:rPr>
              <w:t>主要生产液氧</w:t>
            </w:r>
            <w:r>
              <w:rPr>
                <w:rFonts w:hint="eastAsia"/>
                <w:lang w:val="en-US" w:eastAsia="zh-CN"/>
              </w:rPr>
              <w:t>、</w:t>
            </w:r>
            <w:r>
              <w:rPr>
                <w:rFonts w:hint="default"/>
                <w:lang w:val="en-US" w:eastAsia="zh-CN"/>
              </w:rPr>
              <w:t>液氮</w:t>
            </w:r>
            <w:r>
              <w:rPr>
                <w:rFonts w:hint="eastAsia"/>
                <w:lang w:val="en-US" w:eastAsia="zh-CN"/>
              </w:rPr>
              <w:t>、</w:t>
            </w:r>
            <w:r>
              <w:rPr>
                <w:rFonts w:hint="default"/>
                <w:lang w:val="en-US" w:eastAsia="zh-CN"/>
              </w:rPr>
              <w:t>液氩</w:t>
            </w:r>
            <w:r>
              <w:rPr>
                <w:rFonts w:hint="eastAsia"/>
                <w:lang w:val="en-US" w:eastAsia="zh-CN"/>
              </w:rPr>
              <w:t>和</w:t>
            </w:r>
            <w:r>
              <w:rPr>
                <w:rFonts w:hint="default"/>
                <w:lang w:val="en-US" w:eastAsia="zh-CN"/>
              </w:rPr>
              <w:t>高纯液氧</w:t>
            </w:r>
            <w:r>
              <w:rPr>
                <w:rFonts w:hint="eastAsia"/>
                <w:lang w:val="en-US" w:eastAsia="zh-CN"/>
              </w:rPr>
              <w:t>四种液体</w:t>
            </w:r>
            <w:r>
              <w:rPr>
                <w:rFonts w:hint="default"/>
                <w:lang w:val="en-US" w:eastAsia="zh-CN"/>
              </w:rPr>
              <w:t>，</w:t>
            </w:r>
            <w:r>
              <w:rPr>
                <w:rFonts w:hint="eastAsia" w:ascii="Times New Roman" w:hAnsi="Times New Roman" w:eastAsia="宋体" w:cs="Times New Roman"/>
                <w:color w:val="auto"/>
                <w:highlight w:val="none"/>
                <w:lang w:val="en-US" w:eastAsia="zh-CN"/>
              </w:rPr>
              <w:t>建设工业氧、医用氧充装间，氮、氩、二氧化碳、混合气体充装间，丙烷、液化石油气充装间，充装线共8条，年充装气体420瓶；2台3000m³、2台30m³、6台50m³立式</w:t>
            </w:r>
            <w:r>
              <w:rPr>
                <w:rFonts w:hint="eastAsia" w:cs="Times New Roman"/>
                <w:color w:val="auto"/>
                <w:highlight w:val="none"/>
                <w:lang w:val="en-US" w:eastAsia="zh-CN"/>
              </w:rPr>
              <w:t>储罐</w:t>
            </w:r>
            <w:r>
              <w:rPr>
                <w:rFonts w:hint="eastAsia" w:ascii="Times New Roman" w:hAnsi="Times New Roman" w:eastAsia="宋体" w:cs="Times New Roman"/>
                <w:color w:val="auto"/>
                <w:highlight w:val="none"/>
                <w:lang w:val="en-US" w:eastAsia="zh-CN"/>
              </w:rPr>
              <w:t>，5台50m³卧式储罐</w:t>
            </w:r>
            <w:r>
              <w:rPr>
                <w:rFonts w:hint="eastAsia" w:cs="Times New Roman"/>
                <w:color w:val="auto"/>
                <w:highlight w:val="none"/>
                <w:lang w:val="en-US" w:eastAsia="zh-CN"/>
              </w:rPr>
              <w:t>。</w:t>
            </w:r>
            <w:r>
              <w:rPr>
                <w:rFonts w:hint="default"/>
                <w:lang w:val="en-US" w:eastAsia="zh-CN"/>
              </w:rPr>
              <w:t>根据《国民经济行业分类》（GB/T4754-2017），本项目属于</w:t>
            </w:r>
            <w:r>
              <w:rPr>
                <w:rFonts w:hint="eastAsia"/>
                <w:lang w:val="en-US" w:eastAsia="zh-CN"/>
              </w:rPr>
              <w:t>“</w:t>
            </w:r>
            <w:r>
              <w:rPr>
                <w:rFonts w:hint="default"/>
                <w:lang w:val="en-US" w:eastAsia="zh-CN"/>
              </w:rPr>
              <w:t>其他基础化学原料制造项目（C2619）</w:t>
            </w:r>
            <w:r>
              <w:rPr>
                <w:rFonts w:hint="eastAsia"/>
                <w:lang w:val="en-US" w:eastAsia="zh-CN"/>
              </w:rPr>
              <w:t>”</w:t>
            </w:r>
            <w:r>
              <w:rPr>
                <w:rFonts w:hint="default"/>
                <w:lang w:val="en-US" w:eastAsia="zh-CN"/>
              </w:rPr>
              <w:t>，属于化工，符合园区产业定位及园区发展规划。</w:t>
            </w:r>
          </w:p>
          <w:p w14:paraId="36DDE3FC">
            <w:pPr>
              <w:pStyle w:val="24"/>
              <w:ind w:left="0" w:leftChars="0" w:firstLine="0" w:firstLineChars="0"/>
              <w:rPr>
                <w:rFonts w:hint="default"/>
                <w:lang w:val="en-US" w:eastAsia="zh-CN"/>
              </w:rPr>
            </w:pPr>
            <w:r>
              <w:drawing>
                <wp:inline distT="0" distB="0" distL="114300" distR="114300">
                  <wp:extent cx="5128260" cy="3201035"/>
                  <wp:effectExtent l="0" t="0" r="15240" b="18415"/>
                  <wp:docPr id="2"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8"/>
                          <pic:cNvPicPr>
                            <a:picLocks noChangeAspect="1"/>
                          </pic:cNvPicPr>
                        </pic:nvPicPr>
                        <pic:blipFill>
                          <a:blip r:embed="rId17"/>
                          <a:stretch>
                            <a:fillRect/>
                          </a:stretch>
                        </pic:blipFill>
                        <pic:spPr>
                          <a:xfrm>
                            <a:off x="0" y="0"/>
                            <a:ext cx="5128260" cy="3201035"/>
                          </a:xfrm>
                          <a:prstGeom prst="rect">
                            <a:avLst/>
                          </a:prstGeom>
                          <a:noFill/>
                          <a:ln>
                            <a:noFill/>
                          </a:ln>
                        </pic:spPr>
                      </pic:pic>
                    </a:graphicData>
                  </a:graphic>
                </wp:inline>
              </w:drawing>
            </w:r>
          </w:p>
          <w:p w14:paraId="316E52EA">
            <w:pPr>
              <w:pStyle w:val="14"/>
              <w:keepNext w:val="0"/>
              <w:keepLines w:val="0"/>
              <w:pageBreakBefore w:val="0"/>
              <w:widowControl w:val="0"/>
              <w:numPr>
                <w:ilvl w:val="0"/>
                <w:numId w:val="0"/>
              </w:numPr>
              <w:kinsoku/>
              <w:wordWrap/>
              <w:overflowPunct/>
              <w:topLinePunct w:val="0"/>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u w:val="none"/>
                <w:lang w:val="en-US" w:eastAsia="zh-CN" w:bidi="ar-SA"/>
              </w:rPr>
            </w:pPr>
            <w:r>
              <w:rPr>
                <w:rFonts w:hint="eastAsia" w:ascii="Times New Roman" w:hAnsi="Times New Roman" w:eastAsia="宋体" w:cs="Times New Roman"/>
                <w:b/>
                <w:bCs/>
                <w:color w:val="auto"/>
                <w:kern w:val="2"/>
                <w:sz w:val="21"/>
                <w:szCs w:val="21"/>
                <w:highlight w:val="none"/>
                <w:u w:val="none"/>
                <w:lang w:val="en-US" w:eastAsia="zh-CN" w:bidi="ar-SA"/>
              </w:rPr>
              <w:t>图1-2 本项目与陕西省宝鸡市凤翔县高新技术产业开发区长青工业园循环经济产业B区规划位置关系图</w:t>
            </w:r>
          </w:p>
          <w:p w14:paraId="597EEBC8">
            <w:pPr>
              <w:pStyle w:val="14"/>
              <w:keepNext w:val="0"/>
              <w:keepLines w:val="0"/>
              <w:pageBreakBefore w:val="0"/>
              <w:widowControl w:val="0"/>
              <w:numPr>
                <w:ilvl w:val="0"/>
                <w:numId w:val="0"/>
              </w:numPr>
              <w:kinsoku/>
              <w:wordWrap/>
              <w:overflowPunct/>
              <w:topLinePunct w:val="0"/>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（2）</w:t>
            </w:r>
            <w:r>
              <w:rPr>
                <w:rFonts w:hint="eastAsia" w:ascii="Times New Roman" w:hAnsi="Times New Roman" w:cs="Times New Roman"/>
                <w:b w:val="0"/>
                <w:bCs w:val="0"/>
                <w:color w:val="auto"/>
                <w:kern w:val="2"/>
                <w:sz w:val="24"/>
                <w:szCs w:val="24"/>
                <w:highlight w:val="none"/>
                <w:u w:val="none"/>
                <w:lang w:val="en-US" w:eastAsia="zh-CN" w:bidi="ar-SA"/>
              </w:rPr>
              <w:t>周围</w:t>
            </w:r>
            <w:r>
              <w:rPr>
                <w:rFonts w:hint="eastAsia" w:ascii="Times New Roman" w:hAnsi="Times New Roman" w:eastAsia="宋体" w:cs="Times New Roman"/>
                <w:b w:val="0"/>
                <w:bCs w:val="0"/>
                <w:color w:val="auto"/>
                <w:kern w:val="2"/>
                <w:sz w:val="24"/>
                <w:szCs w:val="24"/>
                <w:highlight w:val="none"/>
                <w:u w:val="none"/>
                <w:lang w:val="en-US" w:eastAsia="zh-CN" w:bidi="ar-SA"/>
              </w:rPr>
              <w:t>环境</w:t>
            </w:r>
            <w:r>
              <w:rPr>
                <w:rFonts w:hint="eastAsia" w:ascii="Times New Roman" w:hAnsi="Times New Roman" w:cs="Times New Roman"/>
                <w:b w:val="0"/>
                <w:bCs w:val="0"/>
                <w:color w:val="auto"/>
                <w:kern w:val="2"/>
                <w:sz w:val="24"/>
                <w:szCs w:val="24"/>
                <w:highlight w:val="none"/>
                <w:u w:val="none"/>
                <w:lang w:val="en-US" w:eastAsia="zh-CN" w:bidi="ar-SA"/>
              </w:rPr>
              <w:t>合理性分析</w:t>
            </w:r>
          </w:p>
          <w:p w14:paraId="4F7B7C83">
            <w:pPr>
              <w:pStyle w:val="14"/>
              <w:keepNext w:val="0"/>
              <w:keepLines w:val="0"/>
              <w:pageBreakBefore w:val="0"/>
              <w:widowControl w:val="0"/>
              <w:numPr>
                <w:ilvl w:val="0"/>
                <w:numId w:val="0"/>
              </w:numPr>
              <w:kinsoku/>
              <w:wordWrap/>
              <w:overflowPunct/>
              <w:topLinePunct w:val="0"/>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highlight w:val="none"/>
                <w:u w:val="none"/>
                <w:lang w:val="en-US" w:eastAsia="zh-CN" w:bidi="ar-SA"/>
              </w:rPr>
            </w:pPr>
            <w:r>
              <w:rPr>
                <w:rFonts w:hint="eastAsia" w:ascii="Times New Roman" w:hAnsi="Times New Roman" w:eastAsia="宋体" w:cs="Times New Roman"/>
                <w:b w:val="0"/>
                <w:bCs w:val="0"/>
                <w:color w:val="auto"/>
                <w:kern w:val="2"/>
                <w:sz w:val="24"/>
                <w:szCs w:val="24"/>
                <w:highlight w:val="none"/>
                <w:u w:val="none"/>
                <w:lang w:val="en-US" w:eastAsia="zh-CN" w:bidi="ar-SA"/>
              </w:rPr>
              <w:t>项目</w:t>
            </w:r>
            <w:r>
              <w:rPr>
                <w:rFonts w:hint="default" w:ascii="Times New Roman" w:hAnsi="Times New Roman" w:eastAsia="宋体" w:cs="Times New Roman"/>
                <w:color w:val="auto"/>
                <w:spacing w:val="0"/>
                <w:sz w:val="24"/>
                <w:highlight w:val="none"/>
                <w:lang w:val="zh-CN"/>
              </w:rPr>
              <w:t>所在厂区东面为耕地，西面为陕西秦景新业有限公司，南面为石头坡村耕地，北面为陕西橘子实业有限公司。</w:t>
            </w:r>
            <w:r>
              <w:rPr>
                <w:rFonts w:hint="default" w:ascii="Times New Roman" w:hAnsi="Times New Roman" w:eastAsia="宋体" w:cs="Times New Roman"/>
                <w:b w:val="0"/>
                <w:bCs w:val="0"/>
                <w:color w:val="auto"/>
                <w:kern w:val="2"/>
                <w:sz w:val="24"/>
                <w:szCs w:val="24"/>
                <w:highlight w:val="none"/>
                <w:u w:val="none"/>
                <w:lang w:val="en-US" w:eastAsia="zh-CN" w:bidi="ar-SA"/>
              </w:rPr>
              <w:t>项目所在地不在水源保护区、风景名胜区、森林公园等环境敏感区范围内，</w:t>
            </w:r>
            <w:r>
              <w:rPr>
                <w:rFonts w:hint="eastAsia" w:ascii="Times New Roman" w:hAnsi="Times New Roman" w:eastAsia="宋体" w:cs="Times New Roman"/>
                <w:b w:val="0"/>
                <w:bCs w:val="0"/>
                <w:color w:val="auto"/>
                <w:kern w:val="2"/>
                <w:sz w:val="24"/>
                <w:szCs w:val="24"/>
                <w:highlight w:val="none"/>
                <w:u w:val="none"/>
                <w:lang w:val="en-US" w:eastAsia="zh-CN" w:bidi="ar-SA"/>
              </w:rPr>
              <w:t>占地范围</w:t>
            </w:r>
            <w:r>
              <w:rPr>
                <w:rFonts w:hint="default" w:ascii="Times New Roman" w:hAnsi="Times New Roman" w:eastAsia="宋体" w:cs="Times New Roman"/>
                <w:b w:val="0"/>
                <w:bCs w:val="0"/>
                <w:color w:val="auto"/>
                <w:kern w:val="2"/>
                <w:sz w:val="24"/>
                <w:szCs w:val="24"/>
                <w:highlight w:val="none"/>
                <w:u w:val="none"/>
                <w:lang w:val="en-US" w:eastAsia="zh-CN" w:bidi="ar-SA"/>
              </w:rPr>
              <w:t>不涉及基本农田，无较大的环境制约因素。在采取相应的污染物防治措施后，项目施工期、运行期间各类污染物均能达标排放，对环境的影响可以接受。因此，在严格落实本报告提出的环保措施后，项目的建设和运行不会对外环境产生较大影响。</w:t>
            </w:r>
          </w:p>
          <w:p w14:paraId="7643AD6D">
            <w:pPr>
              <w:pStyle w:val="14"/>
              <w:keepNext w:val="0"/>
              <w:keepLines w:val="0"/>
              <w:pageBreakBefore w:val="0"/>
              <w:widowControl w:val="0"/>
              <w:numPr>
                <w:ilvl w:val="0"/>
                <w:numId w:val="0"/>
              </w:numPr>
              <w:kinsoku/>
              <w:wordWrap/>
              <w:overflowPunct/>
              <w:topLinePunct w:val="0"/>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kern w:val="2"/>
                <w:sz w:val="24"/>
                <w:szCs w:val="24"/>
                <w:highlight w:val="none"/>
                <w:u w:val="none"/>
                <w:lang w:val="en-US" w:eastAsia="zh-CN" w:bidi="ar-SA"/>
              </w:rPr>
            </w:pPr>
            <w:r>
              <w:rPr>
                <w:rFonts w:hint="eastAsia" w:ascii="Times New Roman" w:hAnsi="Times New Roman" w:cs="Times New Roman"/>
                <w:b w:val="0"/>
                <w:bCs w:val="0"/>
                <w:color w:val="auto"/>
                <w:kern w:val="2"/>
                <w:sz w:val="24"/>
                <w:szCs w:val="24"/>
                <w:highlight w:val="none"/>
                <w:u w:val="none"/>
                <w:lang w:val="en-US" w:eastAsia="zh-CN" w:bidi="ar-SA"/>
              </w:rPr>
              <w:t>（3）污染物达标排放分析</w:t>
            </w:r>
          </w:p>
          <w:p w14:paraId="19032E6D">
            <w:pPr>
              <w:pStyle w:val="14"/>
              <w:keepNext w:val="0"/>
              <w:keepLines w:val="0"/>
              <w:pageBreakBefore w:val="0"/>
              <w:widowControl w:val="0"/>
              <w:numPr>
                <w:ilvl w:val="0"/>
                <w:numId w:val="0"/>
              </w:numPr>
              <w:kinsoku/>
              <w:wordWrap/>
              <w:overflowPunct/>
              <w:topLinePunct w:val="0"/>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kern w:val="2"/>
                <w:sz w:val="24"/>
                <w:szCs w:val="24"/>
                <w:highlight w:val="none"/>
                <w:u w:val="none"/>
                <w:lang w:val="en-US" w:eastAsia="zh-CN" w:bidi="ar-SA"/>
              </w:rPr>
            </w:pPr>
            <w:r>
              <w:rPr>
                <w:rFonts w:hint="eastAsia" w:ascii="Times New Roman" w:hAnsi="Times New Roman" w:cs="Times New Roman"/>
                <w:b w:val="0"/>
                <w:bCs w:val="0"/>
                <w:color w:val="auto"/>
                <w:kern w:val="2"/>
                <w:sz w:val="24"/>
                <w:szCs w:val="24"/>
                <w:highlight w:val="none"/>
                <w:u w:val="none"/>
                <w:lang w:val="en-US" w:eastAsia="zh-CN" w:bidi="ar-SA"/>
              </w:rPr>
              <w:t>根据本项目工程分析，针对生产环节可能产生的各种污染提出了防治措施，严格实施环评提出的各项措施后，废气、废水及噪声均能达标排放，固体废物做到了合理处置，从环境影响角度分析对周围环境造成的影响小。</w:t>
            </w:r>
          </w:p>
          <w:p w14:paraId="4340E8A4">
            <w:pPr>
              <w:bidi w:val="0"/>
              <w:jc w:val="both"/>
              <w:rPr>
                <w:rFonts w:hint="default"/>
                <w:color w:val="auto"/>
                <w:lang w:val="en-US" w:eastAsia="zh-CN"/>
              </w:rPr>
            </w:pPr>
            <w:r>
              <w:rPr>
                <w:rFonts w:hint="default"/>
                <w:color w:val="auto"/>
              </w:rPr>
              <w:t>因此，在严格落实本</w:t>
            </w:r>
            <w:r>
              <w:rPr>
                <w:rFonts w:hint="eastAsia"/>
                <w:color w:val="auto"/>
                <w:lang w:val="en-US" w:eastAsia="zh-CN"/>
              </w:rPr>
              <w:t>环评</w:t>
            </w:r>
            <w:r>
              <w:rPr>
                <w:rFonts w:hint="default"/>
                <w:color w:val="auto"/>
              </w:rPr>
              <w:t>提出的环保措施后，项目的建设和运行不会对外环境产生较大影响，项目选址是可行。</w:t>
            </w:r>
          </w:p>
          <w:p w14:paraId="2AD1E63C">
            <w:pPr>
              <w:rPr>
                <w:rFonts w:hint="default"/>
                <w:color w:val="auto"/>
              </w:rPr>
            </w:pPr>
          </w:p>
          <w:p w14:paraId="05E3D698">
            <w:pPr>
              <w:rPr>
                <w:rFonts w:hint="default"/>
                <w:color w:val="auto"/>
              </w:rPr>
            </w:pPr>
          </w:p>
          <w:p w14:paraId="68F9D628">
            <w:pPr>
              <w:pStyle w:val="29"/>
              <w:rPr>
                <w:rFonts w:hint="default"/>
                <w:color w:val="auto"/>
              </w:rPr>
            </w:pPr>
          </w:p>
          <w:p w14:paraId="217A4008">
            <w:pPr>
              <w:rPr>
                <w:rFonts w:hint="default"/>
                <w:color w:val="auto"/>
              </w:rPr>
            </w:pPr>
          </w:p>
          <w:p w14:paraId="4AC18B44">
            <w:pPr>
              <w:pStyle w:val="29"/>
              <w:rPr>
                <w:rFonts w:hint="default"/>
                <w:color w:val="auto"/>
              </w:rPr>
            </w:pPr>
          </w:p>
        </w:tc>
      </w:tr>
    </w:tbl>
    <w:p w14:paraId="48C5385E">
      <w:pPr>
        <w:spacing w:line="360" w:lineRule="auto"/>
        <w:outlineLvl w:val="9"/>
        <w:rPr>
          <w:rFonts w:hint="default" w:ascii="Times New Roman" w:hAnsi="Times New Roman" w:eastAsia="宋体" w:cs="Times New Roman"/>
          <w:color w:val="auto"/>
          <w:sz w:val="30"/>
          <w:highlight w:val="none"/>
        </w:rPr>
        <w:sectPr>
          <w:headerReference r:id="rId7" w:type="default"/>
          <w:footerReference r:id="rId8" w:type="default"/>
          <w:pgSz w:w="11906" w:h="16838"/>
          <w:pgMar w:top="1247" w:right="1247" w:bottom="1247" w:left="1587" w:header="850" w:footer="850" w:gutter="0"/>
          <w:pgBorders>
            <w:top w:val="none" w:sz="0" w:space="0"/>
            <w:left w:val="none" w:sz="0" w:space="0"/>
            <w:bottom w:val="none" w:sz="0" w:space="0"/>
            <w:right w:val="none" w:sz="0" w:space="0"/>
          </w:pgBorders>
          <w:pgNumType w:fmt="decimal" w:start="1"/>
          <w:cols w:space="720" w:num="1"/>
          <w:docGrid w:linePitch="312" w:charSpace="0"/>
        </w:sectPr>
      </w:pPr>
    </w:p>
    <w:bookmarkEnd w:id="2"/>
    <w:bookmarkEnd w:id="3"/>
    <w:p w14:paraId="77863505">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黑体" w:hAnsi="黑体" w:eastAsia="黑体" w:cs="黑体"/>
          <w:b w:val="0"/>
          <w:bCs w:val="0"/>
          <w:snapToGrid w:val="0"/>
          <w:color w:val="auto"/>
          <w:sz w:val="30"/>
          <w:szCs w:val="30"/>
          <w:highlight w:val="none"/>
          <w:vertAlign w:val="baseline"/>
        </w:rPr>
      </w:pPr>
      <w:r>
        <w:rPr>
          <w:rFonts w:hint="eastAsia" w:ascii="黑体" w:hAnsi="黑体" w:eastAsia="黑体" w:cs="黑体"/>
          <w:b w:val="0"/>
          <w:bCs w:val="0"/>
          <w:snapToGrid w:val="0"/>
          <w:color w:val="auto"/>
          <w:sz w:val="30"/>
          <w:szCs w:val="30"/>
          <w:highlight w:val="none"/>
        </w:rPr>
        <w:t>二、建设项目工程分析</w:t>
      </w:r>
    </w:p>
    <w:tbl>
      <w:tblPr>
        <w:tblStyle w:val="31"/>
        <w:tblW w:w="0" w:type="auto"/>
        <w:tblInd w:w="-14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87"/>
        <w:gridCol w:w="8947"/>
      </w:tblGrid>
      <w:tr w14:paraId="764C1A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541" w:type="dxa"/>
            <w:tcBorders>
              <w:right w:val="single" w:color="auto" w:sz="4" w:space="0"/>
            </w:tcBorders>
            <w:noWrap w:val="0"/>
            <w:vAlign w:val="top"/>
          </w:tcPr>
          <w:p w14:paraId="1F700490">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firstLine="0" w:firstLineChars="0"/>
              <w:jc w:val="both"/>
              <w:textAlignment w:val="auto"/>
              <w:outlineLvl w:val="0"/>
              <w:rPr>
                <w:rFonts w:hint="eastAsia" w:ascii="黑体" w:hAnsi="黑体" w:eastAsia="黑体" w:cs="黑体"/>
                <w:b w:val="0"/>
                <w:bCs w:val="0"/>
                <w:snapToGrid w:val="0"/>
                <w:color w:val="auto"/>
                <w:sz w:val="30"/>
                <w:szCs w:val="30"/>
                <w:highlight w:val="none"/>
                <w:vertAlign w:val="baseline"/>
              </w:rPr>
            </w:pPr>
            <w:r>
              <w:rPr>
                <w:rFonts w:hint="default" w:ascii="Times New Roman" w:hAnsi="Times New Roman" w:eastAsia="宋体" w:cs="Times New Roman"/>
                <w:b/>
                <w:bCs/>
                <w:color w:val="auto"/>
                <w:sz w:val="24"/>
                <w:szCs w:val="24"/>
                <w:highlight w:val="none"/>
              </w:rPr>
              <w:t>建设内容</w:t>
            </w:r>
          </w:p>
        </w:tc>
        <w:tc>
          <w:tcPr>
            <w:tcW w:w="8893" w:type="dxa"/>
            <w:tcBorders>
              <w:left w:val="single" w:color="auto" w:sz="4" w:space="0"/>
            </w:tcBorders>
            <w:noWrap w:val="0"/>
            <w:vAlign w:val="top"/>
          </w:tcPr>
          <w:p w14:paraId="21929A6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lang w:val="en-US" w:eastAsia="zh-CN"/>
              </w:rPr>
              <w:t>项目由来</w:t>
            </w:r>
          </w:p>
          <w:p w14:paraId="05791342">
            <w:pPr>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zh-CN"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val="zh-CN" w:eastAsia="zh-CN"/>
              </w:rPr>
              <w:t>）</w:t>
            </w:r>
            <w:r>
              <w:rPr>
                <w:rFonts w:hint="eastAsia" w:ascii="Times New Roman" w:hAnsi="Times New Roman" w:eastAsia="宋体" w:cs="Times New Roman"/>
                <w:color w:val="auto"/>
                <w:lang w:val="en-US" w:eastAsia="zh-CN"/>
              </w:rPr>
              <w:t>项目背景</w:t>
            </w:r>
          </w:p>
          <w:p w14:paraId="38062EC4">
            <w:pPr>
              <w:bidi w:val="0"/>
              <w:rPr>
                <w:rFonts w:hint="eastAsia" w:ascii="Times New Roman" w:hAnsi="Times New Roman" w:eastAsia="宋体" w:cs="Times New Roman"/>
                <w:color w:val="auto"/>
                <w:lang w:val="zh-CN" w:eastAsia="zh-CN"/>
              </w:rPr>
            </w:pPr>
            <w:r>
              <w:rPr>
                <w:rFonts w:hint="eastAsia" w:ascii="Times New Roman" w:hAnsi="Times New Roman" w:eastAsia="宋体" w:cs="Times New Roman"/>
                <w:color w:val="auto"/>
                <w:lang w:val="zh-CN" w:eastAsia="zh-CN"/>
              </w:rPr>
              <w:t>宝鸡渭河电石有限公司位于宝鸡市金台区陈仓大道南坡村，原宝鸡渭河电石厂，创建于1976年，2007年改制为有限责任公司，注册资本500万元，现有股东18人，公司主要经营范围：溶解乙炔的生产和销售，氧气、氩气、氮气、二氧化碳、工业丙烷的充装经营销售。</w:t>
            </w:r>
          </w:p>
          <w:p w14:paraId="56065A4D">
            <w:pPr>
              <w:bidi w:val="0"/>
              <w:rPr>
                <w:rFonts w:hint="eastAsia" w:ascii="Times New Roman" w:hAnsi="Times New Roman" w:eastAsia="宋体" w:cs="Times New Roman"/>
                <w:color w:val="auto"/>
                <w:lang w:val="zh-CN" w:eastAsia="zh-CN"/>
              </w:rPr>
            </w:pPr>
            <w:r>
              <w:rPr>
                <w:rFonts w:hint="eastAsia" w:ascii="Times New Roman" w:hAnsi="Times New Roman" w:eastAsia="宋体" w:cs="Times New Roman"/>
                <w:color w:val="auto"/>
                <w:lang w:val="zh-CN" w:eastAsia="zh-CN"/>
              </w:rPr>
              <w:t>根据《陕西省人民政府办公厅关于下达城镇人口密集区危险化学品生产企业搬迁改造工作任务的通知》</w:t>
            </w:r>
            <w:r>
              <w:rPr>
                <w:rFonts w:hint="eastAsia" w:cs="Times New Roman"/>
                <w:color w:val="auto"/>
                <w:lang w:val="zh-CN" w:eastAsia="zh-CN"/>
              </w:rPr>
              <w:t>（陕政办函〔2018〕354号）</w:t>
            </w:r>
            <w:r>
              <w:rPr>
                <w:rFonts w:hint="eastAsia" w:ascii="Times New Roman" w:hAnsi="Times New Roman" w:eastAsia="宋体" w:cs="Times New Roman"/>
                <w:color w:val="auto"/>
                <w:lang w:val="zh-CN" w:eastAsia="zh-CN"/>
              </w:rPr>
              <w:t>和宝鸡市推进城镇人口密集区危险化学品生产企业搬迁改造工作领导小组办公室发布了《关于协调落实宝化科技、渭河电石有限公司异地搬迁选址事项的函》（宝危推进办函〔2019〕1号）要求，宝鸡渭河电石有限公司属于危险化学品生产企业，因安全和外部卫生防护距离不足被列入全市城镇人口密集区危险化学品生产企业搬迁改造任务，要求渭河电石有限公司在宝鸡市凤翔县长青工业园区完成搬迁改造，宝鸡渭河电石有限公司积极配合全市危化品生产企业搬迁改造工作，推进搬迁改造工作的进行。</w:t>
            </w:r>
          </w:p>
          <w:p w14:paraId="6702EE16">
            <w:pPr>
              <w:bidi w:val="0"/>
              <w:rPr>
                <w:rFonts w:hint="eastAsia" w:ascii="Times New Roman" w:hAnsi="Times New Roman" w:eastAsia="宋体" w:cs="Times New Roman"/>
                <w:color w:val="auto"/>
                <w:lang w:val="zh-CN" w:eastAsia="zh-CN"/>
              </w:rPr>
            </w:pPr>
            <w:r>
              <w:rPr>
                <w:rFonts w:hint="eastAsia" w:ascii="Times New Roman" w:hAnsi="Times New Roman" w:eastAsia="宋体" w:cs="Times New Roman"/>
                <w:color w:val="auto"/>
                <w:lang w:val="zh-CN" w:eastAsia="zh-CN"/>
              </w:rPr>
              <w:t>根据公司发展需要，宝鸡渭河电石有限公司注册新公司宝鸡渭河气体有限公司承担异地搬迁改造任务。2019年10月25日，凤翔高新技术产业开发区管理委员会颁发了项目备案确认书（项目代码：2019-610363-26-03-062186）。项目主要建设乙炔生产车间，工业氧气、医用氧气充装间，氮气、氩气、二氧化碳、混合气体充装间，丙烷气、液化石油气充装间，以及配套的储运工程、辅助工程、环保工程和公用工程。</w:t>
            </w:r>
          </w:p>
          <w:p w14:paraId="2184EAE2">
            <w:pPr>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lang w:val="zh-CN" w:eastAsia="zh-CN"/>
              </w:rPr>
              <w:t>宝鸡渭河气体有限公司于2020年</w:t>
            </w:r>
            <w:r>
              <w:rPr>
                <w:rFonts w:hint="eastAsia" w:ascii="Times New Roman" w:hAnsi="Times New Roman" w:eastAsia="宋体" w:cs="Times New Roman"/>
                <w:color w:val="auto"/>
                <w:lang w:val="en-US" w:eastAsia="zh-CN"/>
              </w:rPr>
              <w:t>5</w:t>
            </w:r>
            <w:r>
              <w:rPr>
                <w:rFonts w:hint="eastAsia" w:ascii="Times New Roman" w:hAnsi="Times New Roman" w:eastAsia="宋体" w:cs="Times New Roman"/>
                <w:color w:val="auto"/>
                <w:lang w:val="zh-CN" w:eastAsia="zh-CN"/>
              </w:rPr>
              <w:t>月委托江苏新清源环保有限公司承担该建设项目的环境影响评价工作，</w:t>
            </w:r>
            <w:r>
              <w:rPr>
                <w:rFonts w:hint="eastAsia" w:ascii="Times New Roman" w:hAnsi="Times New Roman" w:eastAsia="宋体" w:cs="Times New Roman"/>
                <w:color w:val="auto"/>
                <w:lang w:val="en-US" w:eastAsia="zh-CN"/>
              </w:rPr>
              <w:t>2020年9月取得宝鸡市行政审批服务局《关于宝鸡渭河气体有限公司工业气体建设项目（原宝鸡渭河电石异地搬迁项目）环境影响报告书的批复》（批复文号：宝审服环字〔2020〕97号）。</w:t>
            </w:r>
            <w:r>
              <w:rPr>
                <w:rFonts w:hint="default" w:ascii="Times New Roman" w:hAnsi="Times New Roman" w:eastAsia="宋体" w:cs="Times New Roman"/>
                <w:color w:val="auto"/>
                <w:highlight w:val="none"/>
                <w:lang w:val="en-US" w:eastAsia="zh-CN"/>
              </w:rPr>
              <w:t>项目建设过程中，</w:t>
            </w:r>
            <w:r>
              <w:rPr>
                <w:rFonts w:hint="eastAsia" w:ascii="Times New Roman" w:hAnsi="Times New Roman" w:eastAsia="宋体" w:cs="Times New Roman"/>
                <w:color w:val="auto"/>
                <w:lang w:val="en-US" w:eastAsia="zh-CN"/>
              </w:rPr>
              <w:t>建设单位根据市场情况决定变更建设内容和产品方案，主要调整内容为取消乙炔生产线，新增</w:t>
            </w:r>
            <w:r>
              <w:rPr>
                <w:rFonts w:hint="eastAsia" w:ascii="Times New Roman" w:hAnsi="Times New Roman" w:eastAsia="宋体" w:cs="Times New Roman"/>
                <w:color w:val="auto"/>
                <w:highlight w:val="none"/>
                <w:lang w:val="en-US" w:eastAsia="zh-CN"/>
              </w:rPr>
              <w:t>1套547T/D全液化空分装置生产</w:t>
            </w:r>
            <w:r>
              <w:rPr>
                <w:rFonts w:hint="eastAsia" w:ascii="Times New Roman" w:hAnsi="Times New Roman" w:eastAsia="宋体" w:cs="Times New Roman"/>
                <w:color w:val="auto"/>
                <w:lang w:val="en-US" w:eastAsia="zh-CN"/>
              </w:rPr>
              <w:t>液氧、液氮、液氩和高纯液氧四种产品，</w:t>
            </w:r>
            <w:r>
              <w:rPr>
                <w:rFonts w:hint="eastAsia" w:ascii="Times New Roman" w:hAnsi="Times New Roman" w:eastAsia="宋体" w:cs="Times New Roman"/>
                <w:color w:val="auto"/>
                <w:highlight w:val="none"/>
                <w:lang w:val="en-US" w:eastAsia="zh-CN"/>
              </w:rPr>
              <w:t>同时配套建设工业氧、医用氧</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氮、氩、二氧化碳、混合气体</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丙烷、液化石油气</w:t>
            </w:r>
            <w:r>
              <w:rPr>
                <w:rFonts w:hint="eastAsia" w:cs="Times New Roman"/>
                <w:color w:val="auto"/>
                <w:highlight w:val="none"/>
                <w:lang w:val="en-US" w:eastAsia="zh-CN"/>
              </w:rPr>
              <w:t>充装间，共8</w:t>
            </w:r>
            <w:r>
              <w:rPr>
                <w:rFonts w:hint="eastAsia" w:ascii="Times New Roman" w:hAnsi="Times New Roman" w:eastAsia="宋体" w:cs="Times New Roman"/>
                <w:color w:val="auto"/>
                <w:highlight w:val="none"/>
                <w:lang w:val="en-US" w:eastAsia="zh-CN"/>
              </w:rPr>
              <w:t>种产品的储存和充装系统</w:t>
            </w:r>
            <w:r>
              <w:rPr>
                <w:rFonts w:hint="eastAsia"/>
                <w:color w:val="auto"/>
                <w:sz w:val="24"/>
                <w:lang w:val="en-US" w:bidi="zh-CN"/>
              </w:rPr>
              <w:t>。</w:t>
            </w:r>
            <w:r>
              <w:rPr>
                <w:rFonts w:hint="eastAsia" w:ascii="Times New Roman" w:hAnsi="Times New Roman" w:eastAsia="宋体" w:cs="Times New Roman"/>
                <w:color w:val="auto"/>
                <w:highlight w:val="none"/>
                <w:lang w:val="en-US" w:eastAsia="zh-CN"/>
              </w:rPr>
              <w:t>已批复的</w:t>
            </w:r>
            <w:r>
              <w:rPr>
                <w:rFonts w:hint="eastAsia" w:ascii="Times New Roman" w:hAnsi="Times New Roman" w:eastAsia="宋体" w:cs="Times New Roman"/>
                <w:color w:val="auto"/>
                <w:lang w:val="zh-CN" w:eastAsia="zh-CN"/>
              </w:rPr>
              <w:t>乙炔生产线</w:t>
            </w:r>
            <w:r>
              <w:rPr>
                <w:rFonts w:hint="eastAsia" w:ascii="Times New Roman" w:hAnsi="Times New Roman" w:eastAsia="宋体" w:cs="Times New Roman"/>
                <w:color w:val="auto"/>
                <w:highlight w:val="none"/>
                <w:lang w:val="en-US" w:eastAsia="zh-CN"/>
              </w:rPr>
              <w:t>不再建设。</w:t>
            </w:r>
          </w:p>
          <w:p w14:paraId="4D02741B">
            <w:pPr>
              <w:bidi w:val="0"/>
              <w:rPr>
                <w:rFonts w:ascii="Times New Roman" w:hAnsi="Times New Roman" w:eastAsia="宋体" w:cs="Times New Roman"/>
                <w:color w:val="auto"/>
                <w:sz w:val="24"/>
                <w:u w:val="none"/>
              </w:rPr>
            </w:pP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sz w:val="24"/>
                <w:u w:val="none"/>
                <w:lang w:val="en-US" w:eastAsia="zh-CN"/>
              </w:rPr>
              <w:t>项目建设</w:t>
            </w:r>
            <w:r>
              <w:rPr>
                <w:rFonts w:hint="eastAsia" w:ascii="Times New Roman" w:hAnsi="Times New Roman" w:eastAsia="宋体" w:cs="Times New Roman"/>
                <w:color w:val="auto"/>
                <w:sz w:val="24"/>
                <w:u w:val="none"/>
              </w:rPr>
              <w:t>内容及变化情况</w:t>
            </w:r>
          </w:p>
          <w:p w14:paraId="47800337">
            <w:pPr>
              <w:adjustRightInd w:val="0"/>
              <w:spacing w:line="420" w:lineRule="exact"/>
              <w:ind w:firstLine="480" w:firstLineChars="0"/>
              <w:rPr>
                <w:rFonts w:hint="default" w:ascii="Times New Roman" w:hAnsi="Times New Roman" w:eastAsia="宋体" w:cs="Times New Roman"/>
                <w:color w:val="auto"/>
                <w:highlight w:val="none"/>
                <w:lang w:val="en-US" w:eastAsia="zh-CN"/>
              </w:rPr>
            </w:pPr>
            <w:r>
              <w:rPr>
                <w:rFonts w:hint="eastAsia" w:cs="Times New Roman"/>
                <w:color w:val="auto"/>
                <w:sz w:val="24"/>
                <w:szCs w:val="24"/>
                <w:highlight w:val="none"/>
                <w:lang w:val="en-US" w:eastAsia="zh-CN"/>
              </w:rPr>
              <w:t>工业气体建设项目（原宝鸡渭河电石公司异地搬迁项目）（重大变动）主要建设内容包括：</w:t>
            </w:r>
            <w:r>
              <w:rPr>
                <w:rFonts w:hint="eastAsia" w:ascii="Times New Roman" w:hAnsi="Times New Roman" w:eastAsia="宋体" w:cs="Times New Roman"/>
                <w:color w:val="auto"/>
                <w:lang w:val="en-US" w:eastAsia="zh-CN"/>
              </w:rPr>
              <w:t>新建</w:t>
            </w:r>
            <w:r>
              <w:rPr>
                <w:rFonts w:hint="eastAsia" w:ascii="Times New Roman" w:hAnsi="Times New Roman" w:eastAsia="宋体" w:cs="Times New Roman"/>
                <w:color w:val="auto"/>
                <w:highlight w:val="none"/>
                <w:lang w:val="en-US" w:eastAsia="zh-CN"/>
              </w:rPr>
              <w:t>1套547T/D全液化空分装置生产</w:t>
            </w:r>
            <w:r>
              <w:rPr>
                <w:rFonts w:hint="eastAsia" w:ascii="Times New Roman" w:hAnsi="Times New Roman" w:eastAsia="宋体" w:cs="Times New Roman"/>
                <w:color w:val="auto"/>
                <w:lang w:val="en-US" w:eastAsia="zh-CN"/>
              </w:rPr>
              <w:t>液氧、液氮、液氩和高纯液氧四种产品，</w:t>
            </w:r>
            <w:r>
              <w:rPr>
                <w:rFonts w:hint="eastAsia" w:ascii="Times New Roman" w:hAnsi="Times New Roman" w:eastAsia="宋体" w:cs="Times New Roman"/>
                <w:color w:val="auto"/>
                <w:highlight w:val="none"/>
                <w:lang w:val="en-US" w:eastAsia="zh-CN"/>
              </w:rPr>
              <w:t>同时配套建设工业氧、医用氧</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氮、氩、二氧化碳、混合气体</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丙烷、液化石油气</w:t>
            </w:r>
            <w:r>
              <w:rPr>
                <w:rFonts w:hint="eastAsia" w:cs="Times New Roman"/>
                <w:color w:val="auto"/>
                <w:highlight w:val="none"/>
                <w:lang w:val="en-US" w:eastAsia="zh-CN"/>
              </w:rPr>
              <w:t>充装间，共8</w:t>
            </w:r>
            <w:r>
              <w:rPr>
                <w:rFonts w:hint="eastAsia" w:ascii="Times New Roman" w:hAnsi="Times New Roman" w:eastAsia="宋体" w:cs="Times New Roman"/>
                <w:color w:val="auto"/>
                <w:highlight w:val="none"/>
                <w:lang w:val="en-US" w:eastAsia="zh-CN"/>
              </w:rPr>
              <w:t>种产品的储存和充装系统</w:t>
            </w:r>
            <w:r>
              <w:rPr>
                <w:rFonts w:hint="eastAsia"/>
                <w:color w:val="auto"/>
                <w:sz w:val="24"/>
                <w:lang w:val="en-US" w:bidi="zh-CN"/>
              </w:rPr>
              <w:t>。</w:t>
            </w:r>
            <w:r>
              <w:rPr>
                <w:rFonts w:hint="eastAsia" w:ascii="Times New Roman" w:hAnsi="Times New Roman" w:eastAsia="宋体" w:cs="Times New Roman"/>
                <w:color w:val="auto"/>
                <w:highlight w:val="none"/>
                <w:lang w:val="en-US" w:eastAsia="zh-CN"/>
              </w:rPr>
              <w:t>包括新建</w:t>
            </w:r>
            <w:r>
              <w:rPr>
                <w:rFonts w:hint="default"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个30</w:t>
            </w:r>
            <w:r>
              <w:rPr>
                <w:rFonts w:hint="default" w:ascii="Times New Roman" w:hAnsi="Times New Roman" w:eastAsia="宋体" w:cs="Times New Roman"/>
                <w:color w:val="auto"/>
                <w:sz w:val="24"/>
                <w:szCs w:val="24"/>
                <w:u w:val="none"/>
                <w:lang w:val="en-US" w:eastAsia="zh-CN"/>
              </w:rPr>
              <w:t>00</w:t>
            </w:r>
            <w:r>
              <w:rPr>
                <w:rFonts w:hint="default" w:ascii="Times New Roman" w:hAnsi="Times New Roman" w:eastAsia="宋体" w:cs="Times New Roman"/>
                <w:color w:val="auto"/>
                <w:sz w:val="24"/>
                <w:szCs w:val="24"/>
                <w:u w:val="none"/>
              </w:rPr>
              <w:t>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vertAlign w:val="baseline"/>
                <w:lang w:val="en-US" w:eastAsia="zh-CN"/>
              </w:rPr>
              <w:t>液氧</w:t>
            </w:r>
            <w:r>
              <w:rPr>
                <w:rFonts w:hint="eastAsia" w:ascii="Times New Roman" w:hAnsi="Times New Roman" w:eastAsia="宋体" w:cs="Times New Roman"/>
                <w:color w:val="auto"/>
                <w:sz w:val="24"/>
                <w:szCs w:val="24"/>
                <w:u w:val="none"/>
                <w:lang w:eastAsia="zh-CN"/>
              </w:rPr>
              <w:t>储罐</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最大储存量</w:t>
            </w:r>
            <w:r>
              <w:rPr>
                <w:rFonts w:hint="eastAsia" w:ascii="Times New Roman" w:hAnsi="Times New Roman" w:eastAsia="宋体" w:cs="Times New Roman"/>
                <w:color w:val="auto"/>
                <w:sz w:val="24"/>
                <w:szCs w:val="24"/>
                <w:u w:val="none"/>
                <w:lang w:val="en-US" w:eastAsia="zh-CN"/>
              </w:rPr>
              <w:t>3420</w:t>
            </w:r>
            <w:r>
              <w:rPr>
                <w:rFonts w:hint="default" w:ascii="Times New Roman" w:hAnsi="Times New Roman" w:eastAsia="宋体" w:cs="Times New Roman"/>
                <w:color w:val="auto"/>
                <w:sz w:val="24"/>
                <w:szCs w:val="24"/>
                <w:u w:val="none"/>
                <w:lang w:val="en-US" w:eastAsia="zh-CN"/>
              </w:rPr>
              <w:t>t</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个30</w:t>
            </w:r>
            <w:r>
              <w:rPr>
                <w:rFonts w:hint="default" w:ascii="Times New Roman" w:hAnsi="Times New Roman" w:eastAsia="宋体" w:cs="Times New Roman"/>
                <w:color w:val="auto"/>
                <w:sz w:val="24"/>
                <w:szCs w:val="24"/>
                <w:u w:val="none"/>
                <w:lang w:val="en-US" w:eastAsia="zh-CN"/>
              </w:rPr>
              <w:t>00</w:t>
            </w:r>
            <w:r>
              <w:rPr>
                <w:rFonts w:hint="default" w:ascii="Times New Roman" w:hAnsi="Times New Roman" w:eastAsia="宋体" w:cs="Times New Roman"/>
                <w:color w:val="auto"/>
                <w:sz w:val="24"/>
                <w:szCs w:val="24"/>
                <w:u w:val="none"/>
              </w:rPr>
              <w:t>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vertAlign w:val="baseline"/>
                <w:lang w:val="en-US" w:eastAsia="zh-CN"/>
              </w:rPr>
              <w:t>液氮</w:t>
            </w:r>
            <w:r>
              <w:rPr>
                <w:rFonts w:hint="eastAsia" w:ascii="Times New Roman" w:hAnsi="Times New Roman" w:eastAsia="宋体" w:cs="Times New Roman"/>
                <w:color w:val="auto"/>
                <w:sz w:val="24"/>
                <w:szCs w:val="24"/>
                <w:u w:val="none"/>
                <w:lang w:eastAsia="zh-CN"/>
              </w:rPr>
              <w:t>储罐</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lang w:val="en-US" w:eastAsia="zh-CN"/>
              </w:rPr>
              <w:t>最大储存量</w:t>
            </w:r>
            <w:r>
              <w:rPr>
                <w:rFonts w:hint="eastAsia" w:ascii="Times New Roman" w:hAnsi="Times New Roman" w:eastAsia="宋体" w:cs="Times New Roman"/>
                <w:color w:val="auto"/>
                <w:sz w:val="24"/>
                <w:szCs w:val="24"/>
                <w:u w:val="none"/>
                <w:lang w:val="en-US" w:eastAsia="zh-CN"/>
              </w:rPr>
              <w:t>2430</w:t>
            </w:r>
            <w:r>
              <w:rPr>
                <w:rFonts w:hint="default" w:ascii="Times New Roman" w:hAnsi="Times New Roman" w:eastAsia="宋体" w:cs="Times New Roman"/>
                <w:color w:val="auto"/>
                <w:sz w:val="24"/>
                <w:szCs w:val="24"/>
                <w:u w:val="none"/>
                <w:lang w:val="en-US" w:eastAsia="zh-CN"/>
              </w:rPr>
              <w:t>t</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个30m</w:t>
            </w:r>
            <w:r>
              <w:rPr>
                <w:rFonts w:hint="default" w:ascii="Times New Roman" w:hAnsi="Times New Roman" w:eastAsia="宋体" w:cs="Times New Roman"/>
                <w:color w:val="auto"/>
                <w:sz w:val="24"/>
                <w:szCs w:val="24"/>
                <w:u w:val="none"/>
                <w:vertAlign w:val="superscript"/>
              </w:rPr>
              <w:t>3</w:t>
            </w:r>
            <w:r>
              <w:rPr>
                <w:rFonts w:hint="default" w:ascii="Times New Roman" w:hAnsi="Times New Roman" w:eastAsia="宋体" w:cs="Times New Roman"/>
                <w:color w:val="auto"/>
                <w:sz w:val="24"/>
                <w:szCs w:val="24"/>
                <w:u w:val="none"/>
                <w:vertAlign w:val="baseline"/>
                <w:lang w:val="en-US" w:eastAsia="zh-CN"/>
              </w:rPr>
              <w:t>医用氧</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最大储存量34.2t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个30m</w:t>
            </w:r>
            <w:r>
              <w:rPr>
                <w:rFonts w:hint="default"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vertAlign w:val="baseline"/>
                <w:lang w:val="en-US" w:eastAsia="zh-CN"/>
              </w:rPr>
              <w:t>高纯氧</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最大储存量34.2t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3</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vertAlign w:val="baseline"/>
                <w:lang w:val="en-US" w:eastAsia="zh-CN"/>
              </w:rPr>
              <w:t>液氩</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最大储存量211.5t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vertAlign w:val="baseline"/>
                <w:lang w:val="en-US" w:eastAsia="zh-CN"/>
              </w:rPr>
              <w:t>液氧</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最大储存量57t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vertAlign w:val="baseline"/>
                <w:lang w:val="en-US" w:eastAsia="zh-CN"/>
              </w:rPr>
              <w:t>液氮</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最大储存量40.5t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color w:val="auto"/>
                <w:sz w:val="24"/>
                <w:u w:val="none"/>
              </w:rPr>
              <w:t>液化二氧化碳</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最大储存量55.1t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vertAlign w:val="baseline"/>
                <w:lang w:val="en-US" w:eastAsia="zh-CN"/>
              </w:rPr>
              <w:t>丙烷</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最大储存量58t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ascii="Times New Roman" w:hAnsi="Times New Roman" w:eastAsia="宋体" w:cs="Times New Roman"/>
                <w:color w:val="auto"/>
                <w:sz w:val="24"/>
                <w:szCs w:val="24"/>
                <w:u w:val="none"/>
                <w:vertAlign w:val="baseline"/>
                <w:lang w:val="en-US" w:eastAsia="zh-CN"/>
              </w:rPr>
              <w:t>液化石油气</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最大储存量58t</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个</w:t>
            </w:r>
            <w:r>
              <w:rPr>
                <w:rFonts w:hint="eastAsia" w:ascii="Times New Roman" w:hAnsi="Times New Roman" w:eastAsia="宋体" w:cs="Times New Roman"/>
                <w:color w:val="auto"/>
                <w:sz w:val="24"/>
                <w:szCs w:val="24"/>
                <w:u w:val="none"/>
                <w:lang w:val="en-US" w:eastAsia="zh-CN"/>
              </w:rPr>
              <w:t>5</w:t>
            </w:r>
            <w:r>
              <w:rPr>
                <w:rFonts w:hint="default" w:ascii="Times New Roman" w:hAnsi="Times New Roman" w:eastAsia="宋体" w:cs="Times New Roman"/>
                <w:color w:val="auto"/>
                <w:sz w:val="24"/>
                <w:szCs w:val="24"/>
                <w:u w:val="none"/>
              </w:rPr>
              <w:t>0m</w:t>
            </w:r>
            <w:r>
              <w:rPr>
                <w:rFonts w:hint="default" w:ascii="Times New Roman" w:hAnsi="Times New Roman" w:eastAsia="宋体" w:cs="Times New Roman"/>
                <w:color w:val="auto"/>
                <w:sz w:val="24"/>
                <w:szCs w:val="24"/>
                <w:u w:val="none"/>
                <w:vertAlign w:val="superscript"/>
              </w:rPr>
              <w:t>3</w:t>
            </w:r>
            <w:r>
              <w:rPr>
                <w:rFonts w:hint="eastAsia"/>
                <w:color w:val="auto"/>
                <w:sz w:val="24"/>
                <w:u w:val="none"/>
              </w:rPr>
              <w:t>液化</w:t>
            </w:r>
            <w:r>
              <w:rPr>
                <w:rFonts w:hint="eastAsia"/>
                <w:color w:val="auto"/>
                <w:sz w:val="24"/>
                <w:u w:val="none"/>
                <w:lang w:val="en-US" w:eastAsia="zh-CN"/>
              </w:rPr>
              <w:t>石油气残液</w:t>
            </w:r>
            <w:r>
              <w:rPr>
                <w:rFonts w:hint="eastAsia" w:ascii="Times New Roman" w:hAnsi="Times New Roman" w:eastAsia="宋体" w:cs="Times New Roman"/>
                <w:color w:val="auto"/>
                <w:sz w:val="24"/>
                <w:szCs w:val="24"/>
                <w:u w:val="none"/>
                <w:lang w:eastAsia="zh-CN"/>
              </w:rPr>
              <w:t>储罐（</w:t>
            </w:r>
            <w:r>
              <w:rPr>
                <w:rFonts w:hint="eastAsia" w:ascii="Times New Roman" w:hAnsi="Times New Roman" w:eastAsia="宋体" w:cs="Times New Roman"/>
                <w:color w:val="auto"/>
                <w:sz w:val="24"/>
                <w:szCs w:val="24"/>
                <w:u w:val="none"/>
                <w:lang w:val="en-US" w:eastAsia="zh-CN"/>
              </w:rPr>
              <w:t>最大储存量29t</w:t>
            </w:r>
            <w:r>
              <w:rPr>
                <w:rFonts w:hint="eastAsia" w:ascii="Times New Roman" w:hAnsi="Times New Roman" w:eastAsia="宋体" w:cs="Times New Roman"/>
                <w:color w:val="auto"/>
                <w:sz w:val="24"/>
                <w:szCs w:val="24"/>
                <w:u w:val="none"/>
                <w:lang w:eastAsia="zh-CN"/>
              </w:rPr>
              <w:t>）。</w:t>
            </w:r>
          </w:p>
          <w:p w14:paraId="5615E07F">
            <w:pPr>
              <w:adjustRightInd w:val="0"/>
              <w:spacing w:line="420" w:lineRule="exact"/>
              <w:ind w:firstLine="480" w:firstLineChars="0"/>
              <w:rPr>
                <w:rFonts w:hint="eastAsia" w:ascii="Times New Roman" w:hAnsi="Times New Roman" w:eastAsia="宋体" w:cs="Times New Roman"/>
                <w:color w:val="auto"/>
                <w:sz w:val="24"/>
                <w:u w:val="none"/>
              </w:rPr>
            </w:pPr>
            <w:r>
              <w:rPr>
                <w:rFonts w:hint="eastAsia" w:ascii="Times New Roman" w:hAnsi="Times New Roman" w:eastAsia="宋体" w:cs="Times New Roman"/>
                <w:color w:val="auto"/>
                <w:sz w:val="24"/>
                <w:u w:val="none"/>
              </w:rPr>
              <w:t>本项目</w:t>
            </w:r>
            <w:r>
              <w:rPr>
                <w:rFonts w:hint="eastAsia" w:ascii="Times New Roman" w:hAnsi="Times New Roman" w:eastAsia="宋体" w:cs="Times New Roman"/>
                <w:color w:val="auto"/>
                <w:sz w:val="24"/>
                <w:u w:val="none"/>
                <w:lang w:val="en-US" w:eastAsia="zh-CN"/>
              </w:rPr>
              <w:t>变动</w:t>
            </w:r>
            <w:r>
              <w:rPr>
                <w:rFonts w:hint="eastAsia" w:ascii="Times New Roman" w:hAnsi="Times New Roman" w:eastAsia="宋体" w:cs="Times New Roman"/>
                <w:color w:val="auto"/>
                <w:sz w:val="24"/>
                <w:u w:val="none"/>
              </w:rPr>
              <w:t>前后变化、本项目与</w:t>
            </w:r>
            <w:r>
              <w:rPr>
                <w:rFonts w:hint="eastAsia" w:ascii="Times New Roman" w:hAnsi="Times New Roman" w:eastAsia="宋体" w:cs="Times New Roman"/>
                <w:color w:val="auto"/>
                <w:sz w:val="24"/>
                <w:u w:val="none"/>
                <w:lang w:val="en-US" w:eastAsia="zh-CN"/>
              </w:rPr>
              <w:t>原批复</w:t>
            </w:r>
            <w:r>
              <w:rPr>
                <w:rFonts w:hint="eastAsia" w:ascii="Times New Roman" w:hAnsi="Times New Roman" w:eastAsia="宋体" w:cs="Times New Roman"/>
                <w:color w:val="auto"/>
                <w:sz w:val="24"/>
                <w:u w:val="none"/>
              </w:rPr>
              <w:t>工程的关系等内容详见表2</w:t>
            </w:r>
            <w:r>
              <w:rPr>
                <w:rFonts w:hint="eastAsia" w:cs="Times New Roman"/>
                <w:color w:val="auto"/>
                <w:sz w:val="24"/>
                <w:u w:val="none"/>
                <w:lang w:val="en-US" w:eastAsia="zh-CN"/>
              </w:rPr>
              <w:t>-</w:t>
            </w:r>
            <w:r>
              <w:rPr>
                <w:rFonts w:hint="eastAsia" w:ascii="Times New Roman" w:hAnsi="Times New Roman" w:eastAsia="宋体" w:cs="Times New Roman"/>
                <w:color w:val="auto"/>
                <w:sz w:val="24"/>
                <w:u w:val="none"/>
              </w:rPr>
              <w:t>1。</w:t>
            </w:r>
          </w:p>
          <w:p w14:paraId="4B082F22">
            <w:pPr>
              <w:widowControl/>
              <w:snapToGrid w:val="0"/>
              <w:spacing w:before="0" w:after="0" w:line="360" w:lineRule="exact"/>
              <w:ind w:right="0" w:firstLine="0" w:firstLineChars="0"/>
              <w:jc w:val="center"/>
              <w:rPr>
                <w:rFonts w:hint="default" w:ascii="Times New Roman" w:hAnsi="Times New Roman" w:eastAsia="宋体" w:cs="Times New Roman"/>
                <w:b/>
                <w:bCs/>
                <w:color w:val="auto"/>
                <w:kern w:val="0"/>
                <w:sz w:val="21"/>
                <w:szCs w:val="21"/>
                <w:u w:val="none"/>
                <w:lang w:val="en-US" w:eastAsia="zh-CN" w:bidi="ar-SA"/>
              </w:rPr>
            </w:pPr>
            <w:r>
              <w:rPr>
                <w:rFonts w:hint="default" w:ascii="Times New Roman" w:hAnsi="Times New Roman" w:eastAsia="宋体" w:cs="Times New Roman"/>
                <w:b/>
                <w:bCs/>
                <w:color w:val="auto"/>
                <w:kern w:val="0"/>
                <w:sz w:val="21"/>
                <w:szCs w:val="21"/>
                <w:u w:val="none"/>
                <w:lang w:val="en-US" w:eastAsia="zh-CN" w:bidi="ar-SA"/>
              </w:rPr>
              <w:t>表2</w:t>
            </w:r>
            <w:r>
              <w:rPr>
                <w:rFonts w:hint="eastAsia" w:cs="Times New Roman"/>
                <w:b/>
                <w:bCs/>
                <w:color w:val="auto"/>
                <w:kern w:val="0"/>
                <w:sz w:val="21"/>
                <w:szCs w:val="21"/>
                <w:u w:val="none"/>
                <w:lang w:val="en-US" w:eastAsia="zh-CN" w:bidi="ar-SA"/>
              </w:rPr>
              <w:t>-</w:t>
            </w:r>
            <w:r>
              <w:rPr>
                <w:rFonts w:hint="default" w:ascii="Times New Roman" w:hAnsi="Times New Roman" w:eastAsia="宋体" w:cs="Times New Roman"/>
                <w:b/>
                <w:bCs/>
                <w:color w:val="auto"/>
                <w:kern w:val="0"/>
                <w:sz w:val="21"/>
                <w:szCs w:val="21"/>
                <w:u w:val="none"/>
                <w:lang w:val="en-US" w:eastAsia="zh-CN" w:bidi="ar-SA"/>
              </w:rPr>
              <w:t xml:space="preserve">1 </w:t>
            </w:r>
            <w:r>
              <w:rPr>
                <w:rFonts w:hint="eastAsia" w:ascii="Times New Roman" w:hAnsi="Times New Roman" w:eastAsia="宋体" w:cs="Times New Roman"/>
                <w:b/>
                <w:bCs/>
                <w:color w:val="auto"/>
                <w:kern w:val="0"/>
                <w:sz w:val="21"/>
                <w:szCs w:val="21"/>
                <w:u w:val="none"/>
                <w:lang w:val="en-US" w:eastAsia="zh-CN" w:bidi="ar-SA"/>
              </w:rPr>
              <w:t xml:space="preserve">  </w:t>
            </w:r>
            <w:r>
              <w:rPr>
                <w:rFonts w:hint="default" w:ascii="Times New Roman" w:hAnsi="Times New Roman" w:eastAsia="宋体" w:cs="Times New Roman"/>
                <w:b/>
                <w:bCs/>
                <w:color w:val="auto"/>
                <w:kern w:val="0"/>
                <w:sz w:val="21"/>
                <w:szCs w:val="21"/>
                <w:u w:val="none"/>
                <w:lang w:val="en-US" w:eastAsia="zh-CN" w:bidi="ar-SA"/>
              </w:rPr>
              <w:t>项目改建前后基本情况一览表</w:t>
            </w:r>
          </w:p>
          <w:tbl>
            <w:tblPr>
              <w:tblStyle w:val="30"/>
              <w:tblW w:w="873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22"/>
              <w:gridCol w:w="2060"/>
              <w:gridCol w:w="2436"/>
              <w:gridCol w:w="1979"/>
              <w:gridCol w:w="1434"/>
            </w:tblGrid>
            <w:tr w14:paraId="645C8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822" w:type="dxa"/>
                  <w:noWrap w:val="0"/>
                  <w:vAlign w:val="center"/>
                </w:tcPr>
                <w:p w14:paraId="496E4F5B">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类别</w:t>
                  </w:r>
                </w:p>
              </w:tc>
              <w:tc>
                <w:tcPr>
                  <w:tcW w:w="2060" w:type="dxa"/>
                  <w:noWrap w:val="0"/>
                  <w:vAlign w:val="center"/>
                </w:tcPr>
                <w:p w14:paraId="417FE0D8">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原批复工程</w:t>
                  </w:r>
                </w:p>
              </w:tc>
              <w:tc>
                <w:tcPr>
                  <w:tcW w:w="2436" w:type="dxa"/>
                  <w:noWrap w:val="0"/>
                  <w:vAlign w:val="center"/>
                </w:tcPr>
                <w:p w14:paraId="35DF7F1A">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本项目</w:t>
                  </w:r>
                </w:p>
              </w:tc>
              <w:tc>
                <w:tcPr>
                  <w:tcW w:w="1979" w:type="dxa"/>
                  <w:noWrap w:val="0"/>
                  <w:vAlign w:val="center"/>
                </w:tcPr>
                <w:p w14:paraId="16CF15A5">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变更后全厂</w:t>
                  </w:r>
                </w:p>
              </w:tc>
              <w:tc>
                <w:tcPr>
                  <w:tcW w:w="1434" w:type="dxa"/>
                  <w:noWrap w:val="0"/>
                  <w:vAlign w:val="center"/>
                </w:tcPr>
                <w:p w14:paraId="54F8B393">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备</w:t>
                  </w:r>
                  <w:r>
                    <w:rPr>
                      <w:rFonts w:hint="eastAsia" w:cs="Times New Roman"/>
                      <w:color w:val="auto"/>
                      <w:kern w:val="0"/>
                      <w:sz w:val="21"/>
                      <w:szCs w:val="21"/>
                      <w:u w:val="none"/>
                      <w:lang w:val="en-US" w:eastAsia="zh-CN" w:bidi="ar-SA"/>
                    </w:rPr>
                    <w:t xml:space="preserve"> </w:t>
                  </w:r>
                  <w:r>
                    <w:rPr>
                      <w:rFonts w:hint="default" w:ascii="Times New Roman" w:hAnsi="Times New Roman" w:eastAsia="宋体" w:cs="Times New Roman"/>
                      <w:color w:val="auto"/>
                      <w:kern w:val="0"/>
                      <w:sz w:val="21"/>
                      <w:szCs w:val="21"/>
                      <w:u w:val="none"/>
                      <w:lang w:val="en-US" w:eastAsia="zh-CN" w:bidi="ar-SA"/>
                    </w:rPr>
                    <w:t>注</w:t>
                  </w:r>
                </w:p>
              </w:tc>
            </w:tr>
            <w:tr w14:paraId="75386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2" w:type="dxa"/>
                  <w:noWrap w:val="0"/>
                  <w:vAlign w:val="center"/>
                </w:tcPr>
                <w:p w14:paraId="74F93D34">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项目</w:t>
                  </w:r>
                </w:p>
                <w:p w14:paraId="08AFFFC5">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名称</w:t>
                  </w:r>
                </w:p>
              </w:tc>
              <w:tc>
                <w:tcPr>
                  <w:tcW w:w="2060" w:type="dxa"/>
                  <w:noWrap w:val="0"/>
                  <w:vAlign w:val="center"/>
                </w:tcPr>
                <w:p w14:paraId="6C32630F">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GB" w:eastAsia="zh-CN" w:bidi="ar-SA"/>
                    </w:rPr>
                    <w:t>工业气体建设项目（原宝鸡渭河电石公司异地搬迁项目）</w:t>
                  </w:r>
                </w:p>
              </w:tc>
              <w:tc>
                <w:tcPr>
                  <w:tcW w:w="2436" w:type="dxa"/>
                  <w:noWrap w:val="0"/>
                  <w:vAlign w:val="center"/>
                </w:tcPr>
                <w:p w14:paraId="7D3A2649">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工业气体建设项目（原宝鸡渭河电石公司异地搬迁项目）（重大变动）</w:t>
                  </w:r>
                </w:p>
              </w:tc>
              <w:tc>
                <w:tcPr>
                  <w:tcW w:w="1979" w:type="dxa"/>
                  <w:noWrap w:val="0"/>
                  <w:vAlign w:val="center"/>
                </w:tcPr>
                <w:p w14:paraId="048E3BA6">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w:t>
                  </w:r>
                </w:p>
              </w:tc>
              <w:tc>
                <w:tcPr>
                  <w:tcW w:w="1434" w:type="dxa"/>
                  <w:noWrap w:val="0"/>
                  <w:vAlign w:val="center"/>
                </w:tcPr>
                <w:p w14:paraId="4274885D">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w:t>
                  </w:r>
                </w:p>
              </w:tc>
            </w:tr>
            <w:tr w14:paraId="3310A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0" w:hRule="atLeast"/>
              </w:trPr>
              <w:tc>
                <w:tcPr>
                  <w:tcW w:w="822" w:type="dxa"/>
                  <w:noWrap w:val="0"/>
                  <w:vAlign w:val="center"/>
                </w:tcPr>
                <w:p w14:paraId="6C21896B">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总投资</w:t>
                  </w:r>
                </w:p>
              </w:tc>
              <w:tc>
                <w:tcPr>
                  <w:tcW w:w="2060" w:type="dxa"/>
                  <w:noWrap w:val="0"/>
                  <w:vAlign w:val="center"/>
                </w:tcPr>
                <w:p w14:paraId="71FC2E30">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1800</w:t>
                  </w:r>
                  <w:r>
                    <w:rPr>
                      <w:rFonts w:hint="eastAsia" w:cs="Times New Roman"/>
                      <w:color w:val="auto"/>
                      <w:kern w:val="0"/>
                      <w:sz w:val="21"/>
                      <w:szCs w:val="21"/>
                      <w:u w:val="none"/>
                      <w:lang w:val="en-US" w:eastAsia="zh-CN" w:bidi="ar-SA"/>
                    </w:rPr>
                    <w:t>0</w:t>
                  </w:r>
                  <w:r>
                    <w:rPr>
                      <w:rFonts w:hint="default" w:ascii="Times New Roman" w:hAnsi="Times New Roman" w:eastAsia="宋体" w:cs="Times New Roman"/>
                      <w:color w:val="auto"/>
                      <w:kern w:val="0"/>
                      <w:sz w:val="21"/>
                      <w:szCs w:val="21"/>
                      <w:u w:val="none"/>
                      <w:lang w:val="en-US" w:eastAsia="zh-CN" w:bidi="ar-SA"/>
                    </w:rPr>
                    <w:t>万元</w:t>
                  </w:r>
                </w:p>
              </w:tc>
              <w:tc>
                <w:tcPr>
                  <w:tcW w:w="2436" w:type="dxa"/>
                  <w:noWrap w:val="0"/>
                  <w:vAlign w:val="center"/>
                </w:tcPr>
                <w:p w14:paraId="34D00D64">
                  <w:pPr>
                    <w:widowControl/>
                    <w:snapToGrid w:val="0"/>
                    <w:spacing w:before="0" w:after="0" w:line="240" w:lineRule="exact"/>
                    <w:ind w:right="113" w:firstLine="210" w:firstLineChars="100"/>
                    <w:jc w:val="center"/>
                    <w:rPr>
                      <w:rFonts w:hint="default" w:ascii="Times New Roman" w:hAnsi="Times New Roman" w:eastAsia="宋体" w:cs="Times New Roman"/>
                      <w:color w:val="000000"/>
                      <w:kern w:val="0"/>
                      <w:sz w:val="21"/>
                      <w:szCs w:val="21"/>
                      <w:u w:val="none"/>
                      <w:lang w:val="en-US" w:eastAsia="zh-CN" w:bidi="ar-SA"/>
                    </w:rPr>
                  </w:pPr>
                  <w:r>
                    <w:rPr>
                      <w:rFonts w:hint="default" w:ascii="Times New Roman" w:hAnsi="Times New Roman" w:eastAsia="宋体" w:cs="Times New Roman"/>
                      <w:color w:val="000000"/>
                      <w:kern w:val="0"/>
                      <w:sz w:val="21"/>
                      <w:szCs w:val="21"/>
                      <w:u w:val="none"/>
                      <w:lang w:val="en-US" w:eastAsia="zh-CN" w:bidi="ar-SA"/>
                    </w:rPr>
                    <w:t>1800</w:t>
                  </w:r>
                  <w:r>
                    <w:rPr>
                      <w:rFonts w:hint="eastAsia" w:cs="Times New Roman"/>
                      <w:color w:val="000000"/>
                      <w:kern w:val="0"/>
                      <w:sz w:val="21"/>
                      <w:szCs w:val="21"/>
                      <w:u w:val="none"/>
                      <w:lang w:val="en-US" w:eastAsia="zh-CN" w:bidi="ar-SA"/>
                    </w:rPr>
                    <w:t>0</w:t>
                  </w:r>
                  <w:r>
                    <w:rPr>
                      <w:rFonts w:hint="default" w:ascii="Times New Roman" w:hAnsi="Times New Roman" w:eastAsia="宋体" w:cs="Times New Roman"/>
                      <w:color w:val="000000"/>
                      <w:kern w:val="0"/>
                      <w:sz w:val="21"/>
                      <w:szCs w:val="21"/>
                      <w:u w:val="none"/>
                      <w:lang w:val="en-US" w:eastAsia="zh-CN" w:bidi="ar-SA"/>
                    </w:rPr>
                    <w:t>万元</w:t>
                  </w:r>
                </w:p>
              </w:tc>
              <w:tc>
                <w:tcPr>
                  <w:tcW w:w="1979" w:type="dxa"/>
                  <w:noWrap w:val="0"/>
                  <w:vAlign w:val="center"/>
                </w:tcPr>
                <w:p w14:paraId="428251FF">
                  <w:pPr>
                    <w:widowControl/>
                    <w:snapToGrid w:val="0"/>
                    <w:spacing w:before="0" w:after="0" w:line="240" w:lineRule="exact"/>
                    <w:ind w:right="113" w:firstLine="0" w:firstLineChars="0"/>
                    <w:jc w:val="center"/>
                    <w:rPr>
                      <w:rFonts w:hint="default" w:ascii="Times New Roman" w:hAnsi="Times New Roman" w:eastAsia="宋体" w:cs="Times New Roman"/>
                      <w:color w:val="000000"/>
                      <w:kern w:val="0"/>
                      <w:sz w:val="21"/>
                      <w:szCs w:val="21"/>
                      <w:u w:val="none"/>
                      <w:lang w:val="en-US" w:eastAsia="zh-CN" w:bidi="ar-SA"/>
                    </w:rPr>
                  </w:pPr>
                  <w:r>
                    <w:rPr>
                      <w:rFonts w:hint="default" w:ascii="Times New Roman" w:hAnsi="Times New Roman" w:eastAsia="宋体" w:cs="Times New Roman"/>
                      <w:color w:val="000000"/>
                      <w:kern w:val="0"/>
                      <w:sz w:val="21"/>
                      <w:szCs w:val="21"/>
                      <w:u w:val="none"/>
                      <w:lang w:val="en-US" w:eastAsia="zh-CN" w:bidi="ar-SA"/>
                    </w:rPr>
                    <w:t>/</w:t>
                  </w:r>
                </w:p>
              </w:tc>
              <w:tc>
                <w:tcPr>
                  <w:tcW w:w="1434" w:type="dxa"/>
                  <w:noWrap w:val="0"/>
                  <w:vAlign w:val="center"/>
                </w:tcPr>
                <w:p w14:paraId="0C3C37C4">
                  <w:pPr>
                    <w:widowControl/>
                    <w:snapToGrid w:val="0"/>
                    <w:spacing w:before="0" w:after="0" w:line="240" w:lineRule="exact"/>
                    <w:ind w:right="113" w:firstLine="0" w:firstLineChars="0"/>
                    <w:jc w:val="center"/>
                    <w:rPr>
                      <w:rFonts w:hint="default" w:ascii="Times New Roman" w:hAnsi="Times New Roman" w:eastAsia="宋体" w:cs="Times New Roman"/>
                      <w:color w:val="000000"/>
                      <w:kern w:val="0"/>
                      <w:sz w:val="21"/>
                      <w:szCs w:val="21"/>
                      <w:u w:val="none"/>
                      <w:lang w:val="en-US" w:eastAsia="zh-CN" w:bidi="ar-SA"/>
                    </w:rPr>
                  </w:pPr>
                  <w:r>
                    <w:rPr>
                      <w:rFonts w:hint="eastAsia" w:cs="Times New Roman"/>
                      <w:color w:val="000000"/>
                      <w:kern w:val="0"/>
                      <w:sz w:val="21"/>
                      <w:szCs w:val="21"/>
                      <w:u w:val="none"/>
                      <w:lang w:val="en-US" w:eastAsia="zh-CN" w:bidi="ar-SA"/>
                    </w:rPr>
                    <w:t>/</w:t>
                  </w:r>
                </w:p>
              </w:tc>
            </w:tr>
            <w:tr w14:paraId="23E34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2" w:type="dxa"/>
                  <w:noWrap w:val="0"/>
                  <w:vAlign w:val="center"/>
                </w:tcPr>
                <w:p w14:paraId="326E1680">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占地</w:t>
                  </w:r>
                </w:p>
                <w:p w14:paraId="5C268097">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面积</w:t>
                  </w:r>
                </w:p>
              </w:tc>
              <w:tc>
                <w:tcPr>
                  <w:tcW w:w="2060" w:type="dxa"/>
                  <w:noWrap w:val="0"/>
                  <w:vAlign w:val="center"/>
                </w:tcPr>
                <w:p w14:paraId="0F36D820">
                  <w:pPr>
                    <w:widowControl/>
                    <w:spacing w:line="240" w:lineRule="auto"/>
                    <w:ind w:firstLine="0" w:firstLineChars="0"/>
                    <w:jc w:val="center"/>
                    <w:rPr>
                      <w:rFonts w:hint="default" w:ascii="Times New Roman" w:hAnsi="Times New Roman" w:eastAsia="宋体" w:cs="Times New Roman"/>
                      <w:color w:val="auto"/>
                      <w:kern w:val="0"/>
                      <w:sz w:val="21"/>
                      <w:szCs w:val="21"/>
                      <w:u w:val="none"/>
                      <w:lang w:bidi="ar"/>
                    </w:rPr>
                  </w:pPr>
                  <w:r>
                    <w:rPr>
                      <w:rFonts w:hint="eastAsia" w:cs="Times New Roman"/>
                      <w:color w:val="auto"/>
                      <w:kern w:val="0"/>
                      <w:sz w:val="21"/>
                      <w:szCs w:val="21"/>
                      <w:u w:val="none"/>
                      <w:lang w:eastAsia="zh-CN" w:bidi="ar"/>
                    </w:rPr>
                    <w:t>厂区占地</w:t>
                  </w:r>
                  <w:r>
                    <w:rPr>
                      <w:rFonts w:hint="default" w:ascii="Times New Roman" w:hAnsi="Times New Roman" w:eastAsia="宋体" w:cs="Times New Roman"/>
                      <w:color w:val="auto"/>
                      <w:kern w:val="0"/>
                      <w:sz w:val="21"/>
                      <w:szCs w:val="21"/>
                      <w:u w:val="none"/>
                      <w:lang w:bidi="ar"/>
                    </w:rPr>
                    <w:t>面积</w:t>
                  </w:r>
                </w:p>
                <w:p w14:paraId="5C8CA7F7">
                  <w:pPr>
                    <w:widowControl/>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kern w:val="0"/>
                      <w:sz w:val="21"/>
                      <w:szCs w:val="21"/>
                      <w:u w:val="none"/>
                      <w:lang w:bidi="ar"/>
                    </w:rPr>
                    <w:t xml:space="preserve"> </w:t>
                  </w:r>
                  <w:r>
                    <w:rPr>
                      <w:rFonts w:hint="eastAsia" w:cs="Times New Roman"/>
                      <w:color w:val="auto"/>
                      <w:kern w:val="0"/>
                      <w:sz w:val="21"/>
                      <w:szCs w:val="21"/>
                      <w:u w:val="none"/>
                      <w:lang w:eastAsia="zh-CN" w:bidi="ar"/>
                    </w:rPr>
                    <w:t>50319</w:t>
                  </w:r>
                  <w:r>
                    <w:rPr>
                      <w:rFonts w:hint="default" w:ascii="Times New Roman" w:hAnsi="Times New Roman" w:eastAsia="宋体" w:cs="Times New Roman"/>
                      <w:color w:val="auto"/>
                      <w:kern w:val="0"/>
                      <w:sz w:val="21"/>
                      <w:szCs w:val="21"/>
                      <w:u w:val="none"/>
                      <w:lang w:val="en-US" w:eastAsia="zh-CN" w:bidi="ar"/>
                    </w:rPr>
                    <w:t>平方米</w:t>
                  </w:r>
                  <w:r>
                    <w:rPr>
                      <w:rFonts w:hint="eastAsia" w:cs="Times New Roman"/>
                      <w:color w:val="auto"/>
                      <w:kern w:val="0"/>
                      <w:sz w:val="21"/>
                      <w:szCs w:val="21"/>
                      <w:u w:val="none"/>
                      <w:lang w:val="en-US" w:eastAsia="zh-CN" w:bidi="ar"/>
                    </w:rPr>
                    <w:t>（约75.48亩）</w:t>
                  </w:r>
                </w:p>
              </w:tc>
              <w:tc>
                <w:tcPr>
                  <w:tcW w:w="2436" w:type="dxa"/>
                  <w:noWrap w:val="0"/>
                  <w:vAlign w:val="center"/>
                </w:tcPr>
                <w:p w14:paraId="6BB6DC19">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已有厂区内建设，不新增占地</w:t>
                  </w:r>
                </w:p>
              </w:tc>
              <w:tc>
                <w:tcPr>
                  <w:tcW w:w="1979" w:type="dxa"/>
                  <w:noWrap w:val="0"/>
                  <w:vAlign w:val="center"/>
                </w:tcPr>
                <w:p w14:paraId="000746C8">
                  <w:pPr>
                    <w:widowControl/>
                    <w:spacing w:line="240" w:lineRule="auto"/>
                    <w:ind w:firstLine="0" w:firstLineChars="0"/>
                    <w:jc w:val="center"/>
                    <w:rPr>
                      <w:rFonts w:hint="default" w:ascii="Times New Roman" w:hAnsi="Times New Roman" w:eastAsia="宋体" w:cs="Times New Roman"/>
                      <w:color w:val="auto"/>
                      <w:kern w:val="0"/>
                      <w:sz w:val="21"/>
                      <w:szCs w:val="21"/>
                      <w:u w:val="none"/>
                      <w:lang w:bidi="ar"/>
                    </w:rPr>
                  </w:pPr>
                  <w:r>
                    <w:rPr>
                      <w:rFonts w:hint="eastAsia" w:ascii="Times New Roman" w:hAnsi="Times New Roman" w:eastAsia="宋体" w:cs="Times New Roman"/>
                      <w:color w:val="auto"/>
                      <w:kern w:val="0"/>
                      <w:sz w:val="21"/>
                      <w:szCs w:val="21"/>
                      <w:u w:val="none"/>
                      <w:lang w:eastAsia="zh-CN" w:bidi="ar"/>
                    </w:rPr>
                    <w:t>厂区占地</w:t>
                  </w:r>
                  <w:r>
                    <w:rPr>
                      <w:rFonts w:hint="default" w:ascii="Times New Roman" w:hAnsi="Times New Roman" w:eastAsia="宋体" w:cs="Times New Roman"/>
                      <w:color w:val="auto"/>
                      <w:kern w:val="0"/>
                      <w:sz w:val="21"/>
                      <w:szCs w:val="21"/>
                      <w:u w:val="none"/>
                      <w:lang w:bidi="ar"/>
                    </w:rPr>
                    <w:t>面积</w:t>
                  </w:r>
                </w:p>
                <w:p w14:paraId="3A6E037D">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bidi="ar"/>
                    </w:rPr>
                    <w:t xml:space="preserve"> </w:t>
                  </w:r>
                  <w:r>
                    <w:rPr>
                      <w:rFonts w:hint="eastAsia" w:cs="Times New Roman"/>
                      <w:color w:val="auto"/>
                      <w:kern w:val="0"/>
                      <w:sz w:val="21"/>
                      <w:szCs w:val="21"/>
                      <w:u w:val="none"/>
                      <w:lang w:eastAsia="zh-CN" w:bidi="ar"/>
                    </w:rPr>
                    <w:t>50319</w:t>
                  </w:r>
                  <w:r>
                    <w:rPr>
                      <w:rFonts w:hint="default" w:ascii="Times New Roman" w:hAnsi="Times New Roman" w:eastAsia="宋体" w:cs="Times New Roman"/>
                      <w:color w:val="auto"/>
                      <w:kern w:val="0"/>
                      <w:sz w:val="21"/>
                      <w:szCs w:val="21"/>
                      <w:u w:val="none"/>
                      <w:lang w:val="en-US" w:eastAsia="zh-CN" w:bidi="ar"/>
                    </w:rPr>
                    <w:t>平方米</w:t>
                  </w:r>
                  <w:r>
                    <w:rPr>
                      <w:rFonts w:hint="eastAsia" w:cs="Times New Roman"/>
                      <w:color w:val="auto"/>
                      <w:kern w:val="0"/>
                      <w:sz w:val="21"/>
                      <w:szCs w:val="21"/>
                      <w:u w:val="none"/>
                      <w:lang w:val="en-US" w:eastAsia="zh-CN" w:bidi="ar"/>
                    </w:rPr>
                    <w:t>（约75.48亩）</w:t>
                  </w:r>
                </w:p>
              </w:tc>
              <w:tc>
                <w:tcPr>
                  <w:tcW w:w="1434" w:type="dxa"/>
                  <w:noWrap w:val="0"/>
                  <w:vAlign w:val="center"/>
                </w:tcPr>
                <w:p w14:paraId="24607E0B">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厂址及面积不发生变化</w:t>
                  </w:r>
                </w:p>
              </w:tc>
            </w:tr>
            <w:tr w14:paraId="47AC5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2" w:type="dxa"/>
                  <w:noWrap w:val="0"/>
                  <w:vAlign w:val="center"/>
                </w:tcPr>
                <w:p w14:paraId="2B75C853">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生产</w:t>
                  </w:r>
                </w:p>
                <w:p w14:paraId="48767D16">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单元/</w:t>
                  </w:r>
                </w:p>
                <w:p w14:paraId="66EDE4D1">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厂房</w:t>
                  </w:r>
                </w:p>
              </w:tc>
              <w:tc>
                <w:tcPr>
                  <w:tcW w:w="2060" w:type="dxa"/>
                  <w:noWrap w:val="0"/>
                  <w:vAlign w:val="center"/>
                </w:tcPr>
                <w:p w14:paraId="708FCAF9">
                  <w:pPr>
                    <w:widowControl/>
                    <w:spacing w:line="240" w:lineRule="auto"/>
                    <w:ind w:firstLine="0" w:firstLineChars="0"/>
                    <w:jc w:val="center"/>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2</w:t>
                  </w:r>
                  <w:r>
                    <w:rPr>
                      <w:rFonts w:hint="eastAsia" w:ascii="Times New Roman" w:hAnsi="Times New Roman" w:eastAsia="宋体" w:cs="Times New Roman"/>
                      <w:color w:val="auto"/>
                      <w:kern w:val="0"/>
                      <w:sz w:val="21"/>
                      <w:szCs w:val="21"/>
                      <w:u w:val="none"/>
                      <w:lang w:val="en-US" w:eastAsia="zh-CN" w:bidi="ar"/>
                    </w:rPr>
                    <w:t>条</w:t>
                  </w:r>
                  <w:r>
                    <w:rPr>
                      <w:rFonts w:hint="default" w:ascii="Times New Roman" w:hAnsi="Times New Roman" w:eastAsia="宋体" w:cs="Times New Roman"/>
                      <w:color w:val="auto"/>
                      <w:kern w:val="0"/>
                      <w:sz w:val="21"/>
                      <w:szCs w:val="21"/>
                      <w:u w:val="none"/>
                      <w:lang w:bidi="ar"/>
                    </w:rPr>
                    <w:t>溶解乙炔生产线，1个乙炔净化灌装站</w:t>
                  </w:r>
                  <w:r>
                    <w:rPr>
                      <w:rFonts w:hint="eastAsia" w:cs="Times New Roman"/>
                      <w:color w:val="auto"/>
                      <w:kern w:val="0"/>
                      <w:sz w:val="21"/>
                      <w:szCs w:val="21"/>
                      <w:u w:val="none"/>
                      <w:lang w:eastAsia="zh-CN" w:bidi="ar"/>
                    </w:rPr>
                    <w:t>、</w:t>
                  </w:r>
                  <w:r>
                    <w:rPr>
                      <w:rFonts w:hint="eastAsia" w:cs="Times New Roman"/>
                      <w:color w:val="auto"/>
                      <w:kern w:val="0"/>
                      <w:sz w:val="21"/>
                      <w:szCs w:val="21"/>
                      <w:u w:val="none"/>
                      <w:lang w:val="en-US" w:eastAsia="zh-CN" w:bidi="ar"/>
                    </w:rPr>
                    <w:t>1个</w:t>
                  </w:r>
                  <w:r>
                    <w:rPr>
                      <w:rFonts w:hint="default" w:ascii="Times New Roman" w:hAnsi="Times New Roman" w:eastAsia="宋体" w:cs="Times New Roman"/>
                      <w:color w:val="auto"/>
                      <w:kern w:val="0"/>
                      <w:sz w:val="21"/>
                      <w:szCs w:val="21"/>
                      <w:u w:val="none"/>
                      <w:lang w:bidi="ar"/>
                    </w:rPr>
                    <w:t>工业氧气、</w:t>
                  </w:r>
                  <w:r>
                    <w:rPr>
                      <w:rFonts w:hint="eastAsia" w:cs="Times New Roman"/>
                      <w:color w:val="auto"/>
                      <w:kern w:val="0"/>
                      <w:sz w:val="21"/>
                      <w:szCs w:val="21"/>
                      <w:u w:val="none"/>
                      <w:lang w:val="en-US" w:eastAsia="zh-CN" w:bidi="ar"/>
                    </w:rPr>
                    <w:t>1个</w:t>
                  </w:r>
                  <w:r>
                    <w:rPr>
                      <w:rFonts w:hint="default" w:ascii="Times New Roman" w:hAnsi="Times New Roman" w:eastAsia="宋体" w:cs="Times New Roman"/>
                      <w:color w:val="auto"/>
                      <w:kern w:val="0"/>
                      <w:sz w:val="21"/>
                      <w:szCs w:val="21"/>
                      <w:u w:val="none"/>
                      <w:lang w:bidi="ar"/>
                    </w:rPr>
                    <w:t>医用氧气充装间，氮气、氩气、二氧化碳、混合气体充装间，丙烷气、液化石油气充装间。</w:t>
                  </w:r>
                </w:p>
              </w:tc>
              <w:tc>
                <w:tcPr>
                  <w:tcW w:w="2436" w:type="dxa"/>
                  <w:noWrap w:val="0"/>
                  <w:vAlign w:val="center"/>
                </w:tcPr>
                <w:p w14:paraId="5FABE6FF">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1套547T/D全液化空分装置生产液氧、液氮、液氩和高纯液氧四种产品</w:t>
                  </w:r>
                  <w:r>
                    <w:rPr>
                      <w:rFonts w:hint="eastAsia" w:ascii="Times New Roman" w:hAnsi="Times New Roman" w:eastAsia="宋体" w:cs="Times New Roman"/>
                      <w:color w:val="auto"/>
                      <w:kern w:val="0"/>
                      <w:sz w:val="21"/>
                      <w:szCs w:val="21"/>
                      <w:u w:val="none"/>
                      <w:lang w:val="en-US" w:eastAsia="zh-CN" w:bidi="ar-SA"/>
                    </w:rPr>
                    <w:t>、8</w:t>
                  </w:r>
                  <w:r>
                    <w:rPr>
                      <w:rFonts w:hint="default" w:ascii="Times New Roman" w:hAnsi="Times New Roman" w:eastAsia="宋体" w:cs="Times New Roman"/>
                      <w:color w:val="auto"/>
                      <w:kern w:val="0"/>
                      <w:sz w:val="21"/>
                      <w:szCs w:val="21"/>
                      <w:u w:val="none"/>
                      <w:lang w:val="en-US" w:eastAsia="zh-CN" w:bidi="ar-SA"/>
                    </w:rPr>
                    <w:t>条充装线</w:t>
                  </w:r>
                  <w:r>
                    <w:rPr>
                      <w:rFonts w:hint="eastAsia" w:ascii="Times New Roman" w:hAnsi="Times New Roman" w:eastAsia="宋体" w:cs="Times New Roman"/>
                      <w:color w:val="auto"/>
                      <w:kern w:val="0"/>
                      <w:sz w:val="21"/>
                      <w:szCs w:val="21"/>
                      <w:u w:val="none"/>
                      <w:lang w:val="en-US" w:eastAsia="zh-CN" w:bidi="ar-SA"/>
                    </w:rPr>
                    <w:t>（分别充装工业氧、</w:t>
                  </w:r>
                  <w:r>
                    <w:rPr>
                      <w:rFonts w:hint="default" w:ascii="Times New Roman" w:hAnsi="Times New Roman" w:eastAsia="宋体" w:cs="Times New Roman"/>
                      <w:color w:val="auto"/>
                      <w:kern w:val="0"/>
                      <w:sz w:val="21"/>
                      <w:szCs w:val="21"/>
                      <w:u w:val="none"/>
                      <w:lang w:val="en-US" w:eastAsia="zh-CN" w:bidi="ar-SA"/>
                    </w:rPr>
                    <w:t>医用氧，氮、氩、二氧化碳、混合气体，丙烷</w:t>
                  </w:r>
                  <w:r>
                    <w:rPr>
                      <w:rFonts w:hint="eastAsia" w:ascii="Times New Roman" w:hAnsi="Times New Roman" w:eastAsia="宋体" w:cs="Times New Roman"/>
                      <w:color w:val="auto"/>
                      <w:kern w:val="0"/>
                      <w:sz w:val="21"/>
                      <w:szCs w:val="21"/>
                      <w:u w:val="none"/>
                      <w:lang w:val="en-US" w:eastAsia="zh-CN" w:bidi="ar-SA"/>
                    </w:rPr>
                    <w:t>和</w:t>
                  </w:r>
                  <w:r>
                    <w:rPr>
                      <w:rFonts w:hint="default" w:ascii="Times New Roman" w:hAnsi="Times New Roman" w:eastAsia="宋体" w:cs="Times New Roman"/>
                      <w:color w:val="auto"/>
                      <w:kern w:val="0"/>
                      <w:sz w:val="21"/>
                      <w:szCs w:val="21"/>
                      <w:u w:val="none"/>
                      <w:lang w:val="en-US" w:eastAsia="zh-CN" w:bidi="ar-SA"/>
                    </w:rPr>
                    <w:t>液化石油气</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1个</w:t>
                  </w:r>
                  <w:r>
                    <w:rPr>
                      <w:rFonts w:hint="eastAsia" w:ascii="Times New Roman" w:hAnsi="Times New Roman" w:eastAsia="宋体" w:cs="Times New Roman"/>
                      <w:color w:val="auto"/>
                      <w:kern w:val="0"/>
                      <w:sz w:val="21"/>
                      <w:szCs w:val="21"/>
                      <w:u w:val="none"/>
                      <w:lang w:val="en-US" w:eastAsia="zh-CN" w:bidi="ar-SA"/>
                    </w:rPr>
                    <w:t>空分</w:t>
                  </w:r>
                  <w:r>
                    <w:rPr>
                      <w:rFonts w:hint="default" w:ascii="Times New Roman" w:hAnsi="Times New Roman" w:eastAsia="宋体" w:cs="Times New Roman"/>
                      <w:color w:val="auto"/>
                      <w:kern w:val="0"/>
                      <w:sz w:val="21"/>
                      <w:szCs w:val="21"/>
                      <w:u w:val="none"/>
                      <w:lang w:val="en-US" w:eastAsia="zh-CN" w:bidi="ar-SA"/>
                    </w:rPr>
                    <w:t>车间</w:t>
                  </w:r>
                </w:p>
              </w:tc>
              <w:tc>
                <w:tcPr>
                  <w:tcW w:w="1979" w:type="dxa"/>
                  <w:noWrap w:val="0"/>
                  <w:vAlign w:val="center"/>
                </w:tcPr>
                <w:p w14:paraId="3B9C1E53">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SA"/>
                    </w:rPr>
                    <w:t>1套547T/D全液化空分装置生产液氧、液氮、液氩和高纯液氧四种产品</w:t>
                  </w:r>
                  <w:r>
                    <w:rPr>
                      <w:rFonts w:hint="eastAsia" w:ascii="Times New Roman" w:hAnsi="Times New Roman" w:eastAsia="宋体" w:cs="Times New Roman"/>
                      <w:color w:val="auto"/>
                      <w:kern w:val="0"/>
                      <w:sz w:val="21"/>
                      <w:szCs w:val="21"/>
                      <w:u w:val="none"/>
                      <w:lang w:val="en-US" w:eastAsia="zh-CN" w:bidi="ar-SA"/>
                    </w:rPr>
                    <w:t>、8</w:t>
                  </w:r>
                  <w:r>
                    <w:rPr>
                      <w:rFonts w:hint="default" w:ascii="Times New Roman" w:hAnsi="Times New Roman" w:eastAsia="宋体" w:cs="Times New Roman"/>
                      <w:color w:val="auto"/>
                      <w:kern w:val="0"/>
                      <w:sz w:val="21"/>
                      <w:szCs w:val="21"/>
                      <w:u w:val="none"/>
                      <w:lang w:val="en-US" w:eastAsia="zh-CN" w:bidi="ar-SA"/>
                    </w:rPr>
                    <w:t>条充装线</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1个</w:t>
                  </w:r>
                  <w:r>
                    <w:rPr>
                      <w:rFonts w:hint="eastAsia" w:ascii="Times New Roman" w:hAnsi="Times New Roman" w:eastAsia="宋体" w:cs="Times New Roman"/>
                      <w:color w:val="auto"/>
                      <w:kern w:val="0"/>
                      <w:sz w:val="21"/>
                      <w:szCs w:val="21"/>
                      <w:u w:val="none"/>
                      <w:lang w:val="en-US" w:eastAsia="zh-CN" w:bidi="ar-SA"/>
                    </w:rPr>
                    <w:t>空分</w:t>
                  </w:r>
                  <w:r>
                    <w:rPr>
                      <w:rFonts w:hint="default" w:ascii="Times New Roman" w:hAnsi="Times New Roman" w:eastAsia="宋体" w:cs="Times New Roman"/>
                      <w:color w:val="auto"/>
                      <w:kern w:val="0"/>
                      <w:sz w:val="21"/>
                      <w:szCs w:val="21"/>
                      <w:u w:val="none"/>
                      <w:lang w:val="en-US" w:eastAsia="zh-CN" w:bidi="ar-SA"/>
                    </w:rPr>
                    <w:t>车间</w:t>
                  </w:r>
                </w:p>
              </w:tc>
              <w:tc>
                <w:tcPr>
                  <w:tcW w:w="1434" w:type="dxa"/>
                  <w:noWrap w:val="0"/>
                  <w:vAlign w:val="center"/>
                </w:tcPr>
                <w:p w14:paraId="33FE7DD6">
                  <w:pPr>
                    <w:widowControl w:val="0"/>
                    <w:spacing w:line="240" w:lineRule="auto"/>
                    <w:ind w:left="0" w:leftChars="0"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
                    </w:rPr>
                    <w:t>取消</w:t>
                  </w:r>
                  <w:r>
                    <w:rPr>
                      <w:rFonts w:hint="default" w:ascii="Times New Roman" w:hAnsi="Times New Roman" w:eastAsia="宋体" w:cs="Times New Roman"/>
                      <w:color w:val="auto"/>
                      <w:kern w:val="0"/>
                      <w:sz w:val="21"/>
                      <w:szCs w:val="21"/>
                      <w:u w:val="none"/>
                      <w:lang w:bidi="ar"/>
                    </w:rPr>
                    <w:t>乙炔生产</w:t>
                  </w:r>
                  <w:r>
                    <w:rPr>
                      <w:rFonts w:hint="default" w:ascii="Times New Roman" w:hAnsi="Times New Roman" w:eastAsia="宋体" w:cs="Times New Roman"/>
                      <w:color w:val="auto"/>
                      <w:kern w:val="0"/>
                      <w:sz w:val="21"/>
                      <w:szCs w:val="21"/>
                      <w:u w:val="none"/>
                      <w:lang w:val="en-US" w:eastAsia="zh-CN" w:bidi="ar"/>
                    </w:rPr>
                    <w:t>和</w:t>
                  </w:r>
                  <w:r>
                    <w:rPr>
                      <w:rFonts w:hint="default" w:ascii="Times New Roman" w:hAnsi="Times New Roman" w:eastAsia="宋体" w:cs="Times New Roman"/>
                      <w:color w:val="auto"/>
                      <w:kern w:val="0"/>
                      <w:sz w:val="21"/>
                      <w:szCs w:val="21"/>
                      <w:u w:val="none"/>
                      <w:lang w:bidi="ar"/>
                    </w:rPr>
                    <w:t>乙炔净化灌装站</w:t>
                  </w:r>
                  <w:r>
                    <w:rPr>
                      <w:rFonts w:hint="default" w:ascii="Times New Roman" w:hAnsi="Times New Roman" w:eastAsia="宋体" w:cs="Times New Roman"/>
                      <w:color w:val="auto"/>
                      <w:kern w:val="0"/>
                      <w:sz w:val="21"/>
                      <w:szCs w:val="21"/>
                      <w:u w:val="none"/>
                      <w:lang w:val="en-US" w:eastAsia="zh-CN" w:bidi="ar-SA"/>
                    </w:rPr>
                    <w:t>，新增1套547T/D全液化空分装置生产液氧、液氮、液氩和高纯液氧四种产品</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1个</w:t>
                  </w:r>
                  <w:r>
                    <w:rPr>
                      <w:rFonts w:hint="eastAsia" w:ascii="Times New Roman" w:hAnsi="Times New Roman" w:eastAsia="宋体" w:cs="Times New Roman"/>
                      <w:color w:val="auto"/>
                      <w:kern w:val="0"/>
                      <w:sz w:val="21"/>
                      <w:szCs w:val="21"/>
                      <w:u w:val="none"/>
                      <w:lang w:val="en-US" w:eastAsia="zh-CN" w:bidi="ar-SA"/>
                    </w:rPr>
                    <w:t>空分</w:t>
                  </w:r>
                  <w:r>
                    <w:rPr>
                      <w:rFonts w:hint="default" w:ascii="Times New Roman" w:hAnsi="Times New Roman" w:eastAsia="宋体" w:cs="Times New Roman"/>
                      <w:color w:val="auto"/>
                      <w:kern w:val="0"/>
                      <w:sz w:val="21"/>
                      <w:szCs w:val="21"/>
                      <w:u w:val="none"/>
                      <w:lang w:val="en-US" w:eastAsia="zh-CN" w:bidi="ar-SA"/>
                    </w:rPr>
                    <w:t>车间</w:t>
                  </w:r>
                </w:p>
              </w:tc>
            </w:tr>
            <w:tr w14:paraId="3F54C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2" w:type="dxa"/>
                  <w:noWrap w:val="0"/>
                  <w:vAlign w:val="center"/>
                </w:tcPr>
                <w:p w14:paraId="28309856">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储运</w:t>
                  </w:r>
                </w:p>
                <w:p w14:paraId="2F5D0FE9">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单元</w:t>
                  </w:r>
                </w:p>
              </w:tc>
              <w:tc>
                <w:tcPr>
                  <w:tcW w:w="2060" w:type="dxa"/>
                  <w:noWrap w:val="0"/>
                  <w:vAlign w:val="center"/>
                </w:tcPr>
                <w:p w14:paraId="5E653F4D">
                  <w:pPr>
                    <w:widowControl/>
                    <w:spacing w:line="240" w:lineRule="auto"/>
                    <w:ind w:firstLine="0" w:firstLineChars="0"/>
                    <w:jc w:val="center"/>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bidi="ar"/>
                    </w:rPr>
                    <w:t>1个电石库、1个丙酮库、1个</w:t>
                  </w:r>
                  <w:r>
                    <w:rPr>
                      <w:rFonts w:hint="eastAsia" w:cs="Times New Roman"/>
                      <w:color w:val="auto"/>
                      <w:kern w:val="0"/>
                      <w:sz w:val="21"/>
                      <w:szCs w:val="21"/>
                      <w:u w:val="none"/>
                      <w:lang w:val="en-US" w:eastAsia="zh-CN" w:bidi="ar"/>
                    </w:rPr>
                    <w:t>电石干渣</w:t>
                  </w:r>
                  <w:r>
                    <w:rPr>
                      <w:rFonts w:hint="default" w:ascii="Times New Roman" w:hAnsi="Times New Roman" w:eastAsia="宋体" w:cs="Times New Roman"/>
                      <w:color w:val="auto"/>
                      <w:kern w:val="0"/>
                      <w:sz w:val="21"/>
                      <w:szCs w:val="21"/>
                      <w:u w:val="none"/>
                      <w:lang w:bidi="ar"/>
                    </w:rPr>
                    <w:t>库、1个中间仓库、</w:t>
                  </w:r>
                  <w:r>
                    <w:rPr>
                      <w:rFonts w:hint="eastAsia" w:cs="Times New Roman"/>
                      <w:color w:val="auto"/>
                      <w:kern w:val="0"/>
                      <w:sz w:val="21"/>
                      <w:szCs w:val="21"/>
                      <w:u w:val="none"/>
                      <w:lang w:val="en-US" w:eastAsia="zh-CN" w:bidi="ar"/>
                    </w:rPr>
                    <w:t>12个储罐，分别为</w:t>
                  </w:r>
                  <w:r>
                    <w:rPr>
                      <w:rFonts w:hint="eastAsia" w:ascii="Times New Roman" w:hAnsi="Times New Roman" w:eastAsia="宋体" w:cs="Times New Roman"/>
                      <w:color w:val="auto"/>
                      <w:kern w:val="0"/>
                      <w:sz w:val="21"/>
                      <w:szCs w:val="21"/>
                      <w:u w:val="none"/>
                      <w:lang w:val="en-US" w:eastAsia="zh-CN" w:bidi="ar-SA"/>
                    </w:rPr>
                    <w:t>5</w:t>
                  </w:r>
                  <w:r>
                    <w:rPr>
                      <w:rFonts w:hint="default" w:ascii="Times New Roman" w:hAnsi="Times New Roman" w:eastAsia="宋体" w:cs="Times New Roman"/>
                      <w:color w:val="auto"/>
                      <w:kern w:val="0"/>
                      <w:sz w:val="21"/>
                      <w:szCs w:val="21"/>
                      <w:u w:val="none"/>
                      <w:lang w:val="en-US" w:eastAsia="zh-CN" w:bidi="ar-SA"/>
                    </w:rPr>
                    <w:t>个50m</w:t>
                  </w:r>
                  <w:r>
                    <w:rPr>
                      <w:rFonts w:hint="default" w:ascii="Times New Roman" w:hAnsi="Times New Roman" w:eastAsia="宋体" w:cs="Times New Roman"/>
                      <w:color w:val="auto"/>
                      <w:kern w:val="0"/>
                      <w:sz w:val="21"/>
                      <w:szCs w:val="21"/>
                      <w:u w:val="none"/>
                      <w:vertAlign w:val="superscript"/>
                      <w:lang w:val="en-US" w:eastAsia="zh-CN" w:bidi="ar-SA"/>
                    </w:rPr>
                    <w:t>3</w:t>
                  </w:r>
                  <w:r>
                    <w:rPr>
                      <w:rFonts w:hint="eastAsia" w:ascii="Times New Roman" w:hAnsi="Times New Roman" w:eastAsia="宋体" w:cs="Times New Roman"/>
                      <w:color w:val="auto"/>
                      <w:kern w:val="0"/>
                      <w:sz w:val="21"/>
                      <w:szCs w:val="21"/>
                      <w:u w:val="none"/>
                      <w:vertAlign w:val="baseline"/>
                      <w:lang w:val="en-US" w:eastAsia="zh-CN" w:bidi="ar-SA"/>
                    </w:rPr>
                    <w:t>卧式</w:t>
                  </w:r>
                  <w:r>
                    <w:rPr>
                      <w:rFonts w:hint="eastAsia" w:ascii="Times New Roman" w:hAnsi="Times New Roman" w:eastAsia="宋体" w:cs="Times New Roman"/>
                      <w:color w:val="auto"/>
                      <w:kern w:val="0"/>
                      <w:sz w:val="21"/>
                      <w:szCs w:val="21"/>
                      <w:u w:val="none"/>
                      <w:lang w:val="en-US" w:eastAsia="zh-CN" w:bidi="ar-SA"/>
                    </w:rPr>
                    <w:t>储罐（其中2个存储</w:t>
                  </w:r>
                  <w:r>
                    <w:rPr>
                      <w:rFonts w:hint="default" w:ascii="Times New Roman" w:hAnsi="Times New Roman" w:eastAsia="宋体" w:cs="Times New Roman"/>
                      <w:color w:val="auto"/>
                      <w:kern w:val="0"/>
                      <w:sz w:val="21"/>
                      <w:szCs w:val="21"/>
                      <w:u w:val="none"/>
                      <w:lang w:val="en-US" w:eastAsia="zh-CN" w:bidi="ar-SA"/>
                    </w:rPr>
                    <w:t>丙烷</w:t>
                  </w:r>
                  <w:r>
                    <w:rPr>
                      <w:rFonts w:hint="eastAsia" w:ascii="Times New Roman" w:hAnsi="Times New Roman" w:eastAsia="宋体" w:cs="Times New Roman"/>
                      <w:color w:val="auto"/>
                      <w:kern w:val="0"/>
                      <w:sz w:val="21"/>
                      <w:szCs w:val="21"/>
                      <w:u w:val="none"/>
                      <w:lang w:val="en-US" w:eastAsia="zh-CN" w:bidi="ar-SA"/>
                    </w:rPr>
                    <w:t>、2个存储</w:t>
                  </w:r>
                  <w:r>
                    <w:rPr>
                      <w:rFonts w:hint="default" w:ascii="Times New Roman" w:hAnsi="Times New Roman" w:eastAsia="宋体" w:cs="Times New Roman"/>
                      <w:color w:val="auto"/>
                      <w:kern w:val="0"/>
                      <w:sz w:val="21"/>
                      <w:szCs w:val="21"/>
                      <w:u w:val="none"/>
                      <w:lang w:val="en-US" w:eastAsia="zh-CN" w:bidi="ar-SA"/>
                    </w:rPr>
                    <w:t>液化石油气</w:t>
                  </w:r>
                  <w:r>
                    <w:rPr>
                      <w:rFonts w:hint="eastAsia" w:ascii="Times New Roman" w:hAnsi="Times New Roman" w:eastAsia="宋体" w:cs="Times New Roman"/>
                      <w:color w:val="auto"/>
                      <w:kern w:val="0"/>
                      <w:sz w:val="21"/>
                      <w:szCs w:val="21"/>
                      <w:u w:val="none"/>
                      <w:lang w:val="en-US" w:eastAsia="zh-CN" w:bidi="ar-SA"/>
                    </w:rPr>
                    <w:t>、1个存储</w:t>
                  </w:r>
                  <w:r>
                    <w:rPr>
                      <w:rFonts w:hint="default" w:ascii="Times New Roman" w:hAnsi="Times New Roman" w:eastAsia="宋体" w:cs="Times New Roman"/>
                      <w:color w:val="auto"/>
                      <w:kern w:val="0"/>
                      <w:sz w:val="21"/>
                      <w:szCs w:val="21"/>
                      <w:u w:val="none"/>
                      <w:lang w:val="en-US" w:eastAsia="zh-CN" w:bidi="ar-SA"/>
                    </w:rPr>
                    <w:t>液化石油气残液</w:t>
                  </w:r>
                  <w:r>
                    <w:rPr>
                      <w:rFonts w:hint="eastAsia" w:ascii="Times New Roman" w:hAnsi="Times New Roman" w:eastAsia="宋体" w:cs="Times New Roman"/>
                      <w:color w:val="auto"/>
                      <w:kern w:val="0"/>
                      <w:sz w:val="21"/>
                      <w:szCs w:val="21"/>
                      <w:u w:val="none"/>
                      <w:lang w:val="en-US" w:eastAsia="zh-CN" w:bidi="ar-SA"/>
                    </w:rPr>
                    <w:t>）、6</w:t>
                  </w:r>
                  <w:r>
                    <w:rPr>
                      <w:rFonts w:hint="default" w:ascii="Times New Roman" w:hAnsi="Times New Roman" w:eastAsia="宋体" w:cs="Times New Roman"/>
                      <w:color w:val="auto"/>
                      <w:kern w:val="0"/>
                      <w:sz w:val="21"/>
                      <w:szCs w:val="21"/>
                      <w:u w:val="none"/>
                      <w:lang w:val="en-US" w:eastAsia="zh-CN" w:bidi="ar-SA"/>
                    </w:rPr>
                    <w:t>个50m</w:t>
                  </w:r>
                  <w:r>
                    <w:rPr>
                      <w:rFonts w:hint="default" w:ascii="Times New Roman" w:hAnsi="Times New Roman" w:eastAsia="宋体" w:cs="Times New Roman"/>
                      <w:color w:val="auto"/>
                      <w:kern w:val="0"/>
                      <w:sz w:val="21"/>
                      <w:szCs w:val="21"/>
                      <w:u w:val="none"/>
                      <w:vertAlign w:val="superscript"/>
                      <w:lang w:val="en-US" w:eastAsia="zh-CN" w:bidi="ar-SA"/>
                    </w:rPr>
                    <w:t>3</w:t>
                  </w:r>
                  <w:r>
                    <w:rPr>
                      <w:rFonts w:hint="eastAsia" w:ascii="Times New Roman" w:hAnsi="Times New Roman" w:eastAsia="宋体" w:cs="Times New Roman"/>
                      <w:color w:val="auto"/>
                      <w:kern w:val="0"/>
                      <w:sz w:val="21"/>
                      <w:szCs w:val="21"/>
                      <w:u w:val="none"/>
                      <w:vertAlign w:val="baseline"/>
                      <w:lang w:val="en-US" w:eastAsia="zh-CN" w:bidi="ar-SA"/>
                    </w:rPr>
                    <w:t>立式</w:t>
                  </w:r>
                  <w:r>
                    <w:rPr>
                      <w:rFonts w:hint="eastAsia" w:ascii="Times New Roman" w:hAnsi="Times New Roman" w:eastAsia="宋体" w:cs="Times New Roman"/>
                      <w:color w:val="auto"/>
                      <w:kern w:val="0"/>
                      <w:sz w:val="21"/>
                      <w:szCs w:val="21"/>
                      <w:u w:val="none"/>
                      <w:lang w:val="en-US" w:eastAsia="zh-CN" w:bidi="ar-SA"/>
                    </w:rPr>
                    <w:t>储罐（其中2个存储</w:t>
                  </w:r>
                  <w:r>
                    <w:rPr>
                      <w:rFonts w:hint="default" w:ascii="Times New Roman" w:hAnsi="Times New Roman" w:eastAsia="宋体" w:cs="Times New Roman"/>
                      <w:color w:val="auto"/>
                      <w:kern w:val="0"/>
                      <w:sz w:val="21"/>
                      <w:szCs w:val="21"/>
                      <w:u w:val="none"/>
                      <w:lang w:val="en-US" w:eastAsia="zh-CN" w:bidi="ar-SA"/>
                    </w:rPr>
                    <w:t>液</w:t>
                  </w:r>
                  <w:r>
                    <w:rPr>
                      <w:rFonts w:hint="eastAsia" w:ascii="Times New Roman" w:hAnsi="Times New Roman" w:eastAsia="宋体" w:cs="Times New Roman"/>
                      <w:color w:val="auto"/>
                      <w:kern w:val="0"/>
                      <w:sz w:val="21"/>
                      <w:szCs w:val="21"/>
                      <w:u w:val="none"/>
                      <w:lang w:val="en-US" w:eastAsia="zh-CN" w:bidi="ar-SA"/>
                    </w:rPr>
                    <w:t>氩、1个存储工业氧、1个存储混合气、1个存储液氮、1个存储液体CO</w:t>
                  </w:r>
                  <w:r>
                    <w:rPr>
                      <w:rFonts w:hint="eastAsia" w:ascii="Times New Roman" w:hAnsi="Times New Roman" w:eastAsia="宋体" w:cs="Times New Roman"/>
                      <w:color w:val="auto"/>
                      <w:kern w:val="0"/>
                      <w:sz w:val="21"/>
                      <w:szCs w:val="21"/>
                      <w:u w:val="none"/>
                      <w:vertAlign w:val="subscript"/>
                      <w:lang w:val="en-US" w:eastAsia="zh-CN" w:bidi="ar-SA"/>
                    </w:rPr>
                    <w:t>2</w:t>
                  </w:r>
                  <w:r>
                    <w:rPr>
                      <w:rFonts w:hint="eastAsia" w:ascii="Times New Roman" w:hAnsi="Times New Roman" w:eastAsia="宋体" w:cs="Times New Roman"/>
                      <w:color w:val="auto"/>
                      <w:kern w:val="0"/>
                      <w:sz w:val="21"/>
                      <w:szCs w:val="21"/>
                      <w:u w:val="none"/>
                      <w:lang w:val="en-US" w:eastAsia="zh-CN" w:bidi="ar-SA"/>
                    </w:rPr>
                    <w:t>）、1</w:t>
                  </w:r>
                  <w:r>
                    <w:rPr>
                      <w:rFonts w:hint="default" w:ascii="Times New Roman" w:hAnsi="Times New Roman" w:eastAsia="宋体" w:cs="Times New Roman"/>
                      <w:color w:val="auto"/>
                      <w:kern w:val="0"/>
                      <w:sz w:val="21"/>
                      <w:szCs w:val="21"/>
                      <w:u w:val="none"/>
                      <w:lang w:val="en-US" w:eastAsia="zh-CN" w:bidi="ar-SA"/>
                    </w:rPr>
                    <w:t>个30m</w:t>
                  </w:r>
                  <w:r>
                    <w:rPr>
                      <w:rFonts w:hint="default" w:ascii="Times New Roman" w:hAnsi="Times New Roman" w:eastAsia="宋体" w:cs="Times New Roman"/>
                      <w:color w:val="auto"/>
                      <w:kern w:val="0"/>
                      <w:sz w:val="21"/>
                      <w:szCs w:val="21"/>
                      <w:u w:val="none"/>
                      <w:vertAlign w:val="superscript"/>
                      <w:lang w:val="en-US" w:eastAsia="zh-CN" w:bidi="ar-SA"/>
                    </w:rPr>
                    <w:t>3</w:t>
                  </w:r>
                  <w:r>
                    <w:rPr>
                      <w:rFonts w:hint="eastAsia" w:ascii="Times New Roman" w:hAnsi="Times New Roman" w:eastAsia="宋体" w:cs="Times New Roman"/>
                      <w:color w:val="auto"/>
                      <w:kern w:val="0"/>
                      <w:sz w:val="21"/>
                      <w:szCs w:val="21"/>
                      <w:u w:val="none"/>
                      <w:vertAlign w:val="baseline"/>
                      <w:lang w:val="en-US" w:eastAsia="zh-CN" w:bidi="ar-SA"/>
                    </w:rPr>
                    <w:t>立式</w:t>
                  </w:r>
                  <w:r>
                    <w:rPr>
                      <w:rFonts w:hint="eastAsia" w:ascii="Times New Roman" w:hAnsi="Times New Roman" w:eastAsia="宋体" w:cs="Times New Roman"/>
                      <w:color w:val="auto"/>
                      <w:kern w:val="0"/>
                      <w:sz w:val="21"/>
                      <w:szCs w:val="21"/>
                      <w:u w:val="none"/>
                      <w:lang w:val="en-US" w:eastAsia="zh-CN" w:bidi="ar-SA"/>
                    </w:rPr>
                    <w:t>储罐（存储</w:t>
                  </w:r>
                  <w:r>
                    <w:rPr>
                      <w:rFonts w:hint="default" w:ascii="Times New Roman" w:hAnsi="Times New Roman" w:eastAsia="宋体" w:cs="Times New Roman"/>
                      <w:color w:val="auto"/>
                      <w:kern w:val="0"/>
                      <w:sz w:val="21"/>
                      <w:szCs w:val="21"/>
                      <w:u w:val="none"/>
                      <w:lang w:val="en-US" w:eastAsia="zh-CN" w:bidi="ar-SA"/>
                    </w:rPr>
                    <w:t>医用氧</w:t>
                  </w:r>
                  <w:r>
                    <w:rPr>
                      <w:rFonts w:hint="eastAsia" w:ascii="Times New Roman" w:hAnsi="Times New Roman" w:eastAsia="宋体" w:cs="Times New Roman"/>
                      <w:color w:val="auto"/>
                      <w:kern w:val="0"/>
                      <w:sz w:val="21"/>
                      <w:szCs w:val="21"/>
                      <w:u w:val="none"/>
                      <w:lang w:val="en-US" w:eastAsia="zh-CN" w:bidi="ar-SA"/>
                    </w:rPr>
                    <w:t>），</w:t>
                  </w:r>
                  <w:r>
                    <w:rPr>
                      <w:rFonts w:hint="eastAsia" w:ascii="Times New Roman" w:hAnsi="Times New Roman" w:eastAsia="宋体" w:cs="Times New Roman"/>
                      <w:color w:val="auto"/>
                      <w:spacing w:val="0"/>
                      <w:kern w:val="0"/>
                      <w:sz w:val="21"/>
                      <w:szCs w:val="21"/>
                      <w:highlight w:val="none"/>
                      <w:lang w:val="en-US" w:eastAsia="zh-CN" w:bidi="ar-SA"/>
                    </w:rPr>
                    <w:t>储存能力约580m</w:t>
                  </w:r>
                  <w:r>
                    <w:rPr>
                      <w:rFonts w:hint="eastAsia" w:ascii="Times New Roman" w:hAnsi="Times New Roman" w:eastAsia="宋体" w:cs="Times New Roman"/>
                      <w:color w:val="auto"/>
                      <w:spacing w:val="0"/>
                      <w:kern w:val="0"/>
                      <w:sz w:val="21"/>
                      <w:szCs w:val="21"/>
                      <w:highlight w:val="none"/>
                      <w:vertAlign w:val="superscript"/>
                      <w:lang w:val="en-US" w:eastAsia="zh-CN" w:bidi="ar-SA"/>
                    </w:rPr>
                    <w:t>3</w:t>
                  </w:r>
                </w:p>
              </w:tc>
              <w:tc>
                <w:tcPr>
                  <w:tcW w:w="2436" w:type="dxa"/>
                  <w:noWrap w:val="0"/>
                  <w:vAlign w:val="center"/>
                </w:tcPr>
                <w:p w14:paraId="271020D9">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15个储罐，分别为2</w:t>
                  </w:r>
                  <w:r>
                    <w:rPr>
                      <w:rFonts w:hint="default" w:ascii="Times New Roman" w:hAnsi="Times New Roman" w:eastAsia="宋体" w:cs="Times New Roman"/>
                      <w:color w:val="auto"/>
                      <w:kern w:val="0"/>
                      <w:sz w:val="21"/>
                      <w:szCs w:val="21"/>
                      <w:u w:val="none"/>
                      <w:lang w:val="en-US" w:eastAsia="zh-CN" w:bidi="ar-SA"/>
                    </w:rPr>
                    <w:t>个3000m</w:t>
                  </w:r>
                  <w:r>
                    <w:rPr>
                      <w:rFonts w:hint="default" w:ascii="Times New Roman" w:hAnsi="Times New Roman" w:eastAsia="宋体" w:cs="Times New Roman"/>
                      <w:color w:val="auto"/>
                      <w:kern w:val="0"/>
                      <w:sz w:val="21"/>
                      <w:szCs w:val="21"/>
                      <w:u w:val="none"/>
                      <w:vertAlign w:val="superscript"/>
                      <w:lang w:val="en-US" w:eastAsia="zh-CN" w:bidi="ar-SA"/>
                    </w:rPr>
                    <w:t>3</w:t>
                  </w:r>
                  <w:r>
                    <w:rPr>
                      <w:rFonts w:hint="eastAsia" w:ascii="Times New Roman" w:hAnsi="Times New Roman" w:eastAsia="宋体" w:cs="Times New Roman"/>
                      <w:color w:val="auto"/>
                      <w:kern w:val="0"/>
                      <w:sz w:val="21"/>
                      <w:szCs w:val="21"/>
                      <w:u w:val="none"/>
                      <w:vertAlign w:val="baseline"/>
                      <w:lang w:val="en-US" w:eastAsia="zh-CN" w:bidi="ar-SA"/>
                    </w:rPr>
                    <w:t>立式</w:t>
                  </w:r>
                  <w:r>
                    <w:rPr>
                      <w:rFonts w:hint="eastAsia" w:ascii="Times New Roman" w:hAnsi="Times New Roman" w:eastAsia="宋体" w:cs="Times New Roman"/>
                      <w:color w:val="auto"/>
                      <w:kern w:val="0"/>
                      <w:sz w:val="21"/>
                      <w:szCs w:val="21"/>
                      <w:u w:val="none"/>
                      <w:lang w:val="en-US" w:eastAsia="zh-CN" w:bidi="ar-SA"/>
                    </w:rPr>
                    <w:t>储罐（分别存储</w:t>
                  </w:r>
                  <w:r>
                    <w:rPr>
                      <w:rFonts w:hint="default" w:ascii="Times New Roman" w:hAnsi="Times New Roman" w:eastAsia="宋体" w:cs="Times New Roman"/>
                      <w:color w:val="auto"/>
                      <w:kern w:val="0"/>
                      <w:sz w:val="21"/>
                      <w:szCs w:val="21"/>
                      <w:u w:val="none"/>
                      <w:lang w:val="en-US" w:eastAsia="zh-CN" w:bidi="ar-SA"/>
                    </w:rPr>
                    <w:t>液氧</w:t>
                  </w:r>
                  <w:r>
                    <w:rPr>
                      <w:rFonts w:hint="eastAsia" w:ascii="Times New Roman" w:hAnsi="Times New Roman" w:eastAsia="宋体" w:cs="Times New Roman"/>
                      <w:color w:val="auto"/>
                      <w:kern w:val="0"/>
                      <w:sz w:val="21"/>
                      <w:szCs w:val="21"/>
                      <w:u w:val="none"/>
                      <w:lang w:val="en-US" w:eastAsia="zh-CN" w:bidi="ar-SA"/>
                    </w:rPr>
                    <w:t>和液氮）</w:t>
                  </w:r>
                  <w:r>
                    <w:rPr>
                      <w:rFonts w:hint="default" w:ascii="Times New Roman" w:hAnsi="Times New Roman" w:eastAsia="宋体" w:cs="Times New Roman"/>
                      <w:color w:val="auto"/>
                      <w:kern w:val="0"/>
                      <w:sz w:val="21"/>
                      <w:szCs w:val="21"/>
                      <w:u w:val="none"/>
                      <w:lang w:val="en-US" w:eastAsia="zh-CN" w:bidi="ar-SA"/>
                    </w:rPr>
                    <w:t>、</w:t>
                  </w:r>
                  <w:r>
                    <w:rPr>
                      <w:rFonts w:hint="eastAsia" w:ascii="Times New Roman" w:hAnsi="Times New Roman" w:eastAsia="宋体" w:cs="Times New Roman"/>
                      <w:color w:val="auto"/>
                      <w:kern w:val="0"/>
                      <w:sz w:val="21"/>
                      <w:szCs w:val="21"/>
                      <w:u w:val="none"/>
                      <w:lang w:val="en-US" w:eastAsia="zh-CN" w:bidi="ar-SA"/>
                    </w:rPr>
                    <w:t>2</w:t>
                  </w:r>
                  <w:r>
                    <w:rPr>
                      <w:rFonts w:hint="default" w:ascii="Times New Roman" w:hAnsi="Times New Roman" w:eastAsia="宋体" w:cs="Times New Roman"/>
                      <w:color w:val="auto"/>
                      <w:kern w:val="0"/>
                      <w:sz w:val="21"/>
                      <w:szCs w:val="21"/>
                      <w:u w:val="none"/>
                      <w:lang w:val="en-US" w:eastAsia="zh-CN" w:bidi="ar-SA"/>
                    </w:rPr>
                    <w:t>个30m</w:t>
                  </w:r>
                  <w:r>
                    <w:rPr>
                      <w:rFonts w:hint="default" w:ascii="Times New Roman" w:hAnsi="Times New Roman" w:eastAsia="宋体" w:cs="Times New Roman"/>
                      <w:color w:val="auto"/>
                      <w:kern w:val="0"/>
                      <w:sz w:val="21"/>
                      <w:szCs w:val="21"/>
                      <w:u w:val="none"/>
                      <w:vertAlign w:val="superscript"/>
                      <w:lang w:val="en-US" w:eastAsia="zh-CN" w:bidi="ar-SA"/>
                    </w:rPr>
                    <w:t>3</w:t>
                  </w:r>
                  <w:r>
                    <w:rPr>
                      <w:rFonts w:hint="eastAsia" w:ascii="Times New Roman" w:hAnsi="Times New Roman" w:eastAsia="宋体" w:cs="Times New Roman"/>
                      <w:color w:val="auto"/>
                      <w:kern w:val="0"/>
                      <w:sz w:val="21"/>
                      <w:szCs w:val="21"/>
                      <w:u w:val="none"/>
                      <w:vertAlign w:val="baseline"/>
                      <w:lang w:val="en-US" w:eastAsia="zh-CN" w:bidi="ar-SA"/>
                    </w:rPr>
                    <w:t>立式</w:t>
                  </w:r>
                  <w:r>
                    <w:rPr>
                      <w:rFonts w:hint="eastAsia" w:ascii="Times New Roman" w:hAnsi="Times New Roman" w:eastAsia="宋体" w:cs="Times New Roman"/>
                      <w:color w:val="auto"/>
                      <w:kern w:val="0"/>
                      <w:sz w:val="21"/>
                      <w:szCs w:val="21"/>
                      <w:u w:val="none"/>
                      <w:lang w:val="en-US" w:eastAsia="zh-CN" w:bidi="ar-SA"/>
                    </w:rPr>
                    <w:t>储罐（分别存储</w:t>
                  </w:r>
                  <w:r>
                    <w:rPr>
                      <w:rFonts w:hint="default" w:ascii="Times New Roman" w:hAnsi="Times New Roman" w:eastAsia="宋体" w:cs="Times New Roman"/>
                      <w:color w:val="auto"/>
                      <w:kern w:val="0"/>
                      <w:sz w:val="21"/>
                      <w:szCs w:val="21"/>
                      <w:u w:val="none"/>
                      <w:lang w:val="en-US" w:eastAsia="zh-CN" w:bidi="ar-SA"/>
                    </w:rPr>
                    <w:t>医用氧</w:t>
                  </w:r>
                  <w:r>
                    <w:rPr>
                      <w:rFonts w:hint="eastAsia" w:ascii="Times New Roman" w:hAnsi="Times New Roman" w:eastAsia="宋体" w:cs="Times New Roman"/>
                      <w:color w:val="auto"/>
                      <w:kern w:val="0"/>
                      <w:sz w:val="21"/>
                      <w:szCs w:val="21"/>
                      <w:u w:val="none"/>
                      <w:lang w:val="en-US" w:eastAsia="zh-CN" w:bidi="ar-SA"/>
                    </w:rPr>
                    <w:t>和高纯氧）</w:t>
                  </w:r>
                  <w:r>
                    <w:rPr>
                      <w:rFonts w:hint="default" w:ascii="Times New Roman" w:hAnsi="Times New Roman" w:eastAsia="宋体" w:cs="Times New Roman"/>
                      <w:color w:val="auto"/>
                      <w:kern w:val="0"/>
                      <w:sz w:val="21"/>
                      <w:szCs w:val="21"/>
                      <w:u w:val="none"/>
                      <w:lang w:val="en-US" w:eastAsia="zh-CN" w:bidi="ar-SA"/>
                    </w:rPr>
                    <w:t>、</w:t>
                  </w:r>
                  <w:r>
                    <w:rPr>
                      <w:rFonts w:hint="eastAsia" w:ascii="Times New Roman" w:hAnsi="Times New Roman" w:eastAsia="宋体" w:cs="Times New Roman"/>
                      <w:color w:val="auto"/>
                      <w:kern w:val="0"/>
                      <w:sz w:val="21"/>
                      <w:szCs w:val="21"/>
                      <w:u w:val="none"/>
                      <w:lang w:val="en-US" w:eastAsia="zh-CN" w:bidi="ar-SA"/>
                    </w:rPr>
                    <w:t>6</w:t>
                  </w:r>
                  <w:r>
                    <w:rPr>
                      <w:rFonts w:hint="default" w:ascii="Times New Roman" w:hAnsi="Times New Roman" w:eastAsia="宋体" w:cs="Times New Roman"/>
                      <w:color w:val="auto"/>
                      <w:kern w:val="0"/>
                      <w:sz w:val="21"/>
                      <w:szCs w:val="21"/>
                      <w:u w:val="none"/>
                      <w:lang w:val="en-US" w:eastAsia="zh-CN" w:bidi="ar-SA"/>
                    </w:rPr>
                    <w:t>个50m</w:t>
                  </w:r>
                  <w:r>
                    <w:rPr>
                      <w:rFonts w:hint="default" w:ascii="Times New Roman" w:hAnsi="Times New Roman" w:eastAsia="宋体" w:cs="Times New Roman"/>
                      <w:color w:val="auto"/>
                      <w:kern w:val="0"/>
                      <w:sz w:val="21"/>
                      <w:szCs w:val="21"/>
                      <w:u w:val="none"/>
                      <w:vertAlign w:val="superscript"/>
                      <w:lang w:val="en-US" w:eastAsia="zh-CN" w:bidi="ar-SA"/>
                    </w:rPr>
                    <w:t>3</w:t>
                  </w:r>
                  <w:r>
                    <w:rPr>
                      <w:rFonts w:hint="eastAsia" w:ascii="Times New Roman" w:hAnsi="Times New Roman" w:eastAsia="宋体" w:cs="Times New Roman"/>
                      <w:color w:val="auto"/>
                      <w:kern w:val="0"/>
                      <w:sz w:val="21"/>
                      <w:szCs w:val="21"/>
                      <w:u w:val="none"/>
                      <w:vertAlign w:val="baseline"/>
                      <w:lang w:val="en-US" w:eastAsia="zh-CN" w:bidi="ar-SA"/>
                    </w:rPr>
                    <w:t>立式</w:t>
                  </w:r>
                  <w:r>
                    <w:rPr>
                      <w:rFonts w:hint="eastAsia" w:ascii="Times New Roman" w:hAnsi="Times New Roman" w:eastAsia="宋体" w:cs="Times New Roman"/>
                      <w:color w:val="auto"/>
                      <w:kern w:val="0"/>
                      <w:sz w:val="21"/>
                      <w:szCs w:val="21"/>
                      <w:u w:val="none"/>
                      <w:lang w:val="en-US" w:eastAsia="zh-CN" w:bidi="ar-SA"/>
                    </w:rPr>
                    <w:t>储罐（其中3个存储</w:t>
                  </w:r>
                  <w:r>
                    <w:rPr>
                      <w:rFonts w:hint="default" w:ascii="Times New Roman" w:hAnsi="Times New Roman" w:eastAsia="宋体" w:cs="Times New Roman"/>
                      <w:color w:val="auto"/>
                      <w:kern w:val="0"/>
                      <w:sz w:val="21"/>
                      <w:szCs w:val="21"/>
                      <w:u w:val="none"/>
                      <w:lang w:val="en-US" w:eastAsia="zh-CN" w:bidi="ar-SA"/>
                    </w:rPr>
                    <w:t>液</w:t>
                  </w:r>
                  <w:r>
                    <w:rPr>
                      <w:rFonts w:hint="eastAsia" w:ascii="Times New Roman" w:hAnsi="Times New Roman" w:eastAsia="宋体" w:cs="Times New Roman"/>
                      <w:color w:val="auto"/>
                      <w:kern w:val="0"/>
                      <w:sz w:val="21"/>
                      <w:szCs w:val="21"/>
                      <w:u w:val="none"/>
                      <w:lang w:val="en-US" w:eastAsia="zh-CN" w:bidi="ar-SA"/>
                    </w:rPr>
                    <w:t>氩、1个存储工业氧、1个存储液氮、1个存储液体CO</w:t>
                  </w:r>
                  <w:r>
                    <w:rPr>
                      <w:rFonts w:hint="eastAsia" w:ascii="Times New Roman" w:hAnsi="Times New Roman" w:eastAsia="宋体" w:cs="Times New Roman"/>
                      <w:color w:val="auto"/>
                      <w:kern w:val="0"/>
                      <w:sz w:val="21"/>
                      <w:szCs w:val="21"/>
                      <w:u w:val="none"/>
                      <w:vertAlign w:val="subscript"/>
                      <w:lang w:val="en-US" w:eastAsia="zh-CN" w:bidi="ar-SA"/>
                    </w:rPr>
                    <w:t>2</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w:t>
                  </w:r>
                  <w:r>
                    <w:rPr>
                      <w:rFonts w:hint="eastAsia" w:ascii="Times New Roman" w:hAnsi="Times New Roman" w:eastAsia="宋体" w:cs="Times New Roman"/>
                      <w:color w:val="auto"/>
                      <w:kern w:val="0"/>
                      <w:sz w:val="21"/>
                      <w:szCs w:val="21"/>
                      <w:u w:val="none"/>
                      <w:lang w:val="en-US" w:eastAsia="zh-CN" w:bidi="ar-SA"/>
                    </w:rPr>
                    <w:t>5</w:t>
                  </w:r>
                  <w:r>
                    <w:rPr>
                      <w:rFonts w:hint="default" w:ascii="Times New Roman" w:hAnsi="Times New Roman" w:eastAsia="宋体" w:cs="Times New Roman"/>
                      <w:color w:val="auto"/>
                      <w:kern w:val="0"/>
                      <w:sz w:val="21"/>
                      <w:szCs w:val="21"/>
                      <w:u w:val="none"/>
                      <w:lang w:val="en-US" w:eastAsia="zh-CN" w:bidi="ar-SA"/>
                    </w:rPr>
                    <w:t>个50m</w:t>
                  </w:r>
                  <w:r>
                    <w:rPr>
                      <w:rFonts w:hint="default" w:ascii="Times New Roman" w:hAnsi="Times New Roman" w:eastAsia="宋体" w:cs="Times New Roman"/>
                      <w:color w:val="auto"/>
                      <w:kern w:val="0"/>
                      <w:sz w:val="21"/>
                      <w:szCs w:val="21"/>
                      <w:u w:val="none"/>
                      <w:vertAlign w:val="superscript"/>
                      <w:lang w:val="en-US" w:eastAsia="zh-CN" w:bidi="ar-SA"/>
                    </w:rPr>
                    <w:t>3</w:t>
                  </w:r>
                  <w:r>
                    <w:rPr>
                      <w:rFonts w:hint="eastAsia" w:ascii="Times New Roman" w:hAnsi="Times New Roman" w:eastAsia="宋体" w:cs="Times New Roman"/>
                      <w:color w:val="auto"/>
                      <w:kern w:val="0"/>
                      <w:sz w:val="21"/>
                      <w:szCs w:val="21"/>
                      <w:u w:val="none"/>
                      <w:vertAlign w:val="baseline"/>
                      <w:lang w:val="en-US" w:eastAsia="zh-CN" w:bidi="ar-SA"/>
                    </w:rPr>
                    <w:t>卧式</w:t>
                  </w:r>
                  <w:r>
                    <w:rPr>
                      <w:rFonts w:hint="eastAsia" w:ascii="Times New Roman" w:hAnsi="Times New Roman" w:eastAsia="宋体" w:cs="Times New Roman"/>
                      <w:color w:val="auto"/>
                      <w:kern w:val="0"/>
                      <w:sz w:val="21"/>
                      <w:szCs w:val="21"/>
                      <w:u w:val="none"/>
                      <w:lang w:val="en-US" w:eastAsia="zh-CN" w:bidi="ar-SA"/>
                    </w:rPr>
                    <w:t>储罐（其中2个存储</w:t>
                  </w:r>
                  <w:r>
                    <w:rPr>
                      <w:rFonts w:hint="default" w:ascii="Times New Roman" w:hAnsi="Times New Roman" w:eastAsia="宋体" w:cs="Times New Roman"/>
                      <w:color w:val="auto"/>
                      <w:kern w:val="0"/>
                      <w:sz w:val="21"/>
                      <w:szCs w:val="21"/>
                      <w:u w:val="none"/>
                      <w:lang w:val="en-US" w:eastAsia="zh-CN" w:bidi="ar-SA"/>
                    </w:rPr>
                    <w:t>丙烷</w:t>
                  </w:r>
                  <w:r>
                    <w:rPr>
                      <w:rFonts w:hint="eastAsia" w:ascii="Times New Roman" w:hAnsi="Times New Roman" w:eastAsia="宋体" w:cs="Times New Roman"/>
                      <w:color w:val="auto"/>
                      <w:kern w:val="0"/>
                      <w:sz w:val="21"/>
                      <w:szCs w:val="21"/>
                      <w:u w:val="none"/>
                      <w:lang w:val="en-US" w:eastAsia="zh-CN" w:bidi="ar-SA"/>
                    </w:rPr>
                    <w:t>、2个存储</w:t>
                  </w:r>
                  <w:r>
                    <w:rPr>
                      <w:rFonts w:hint="default" w:ascii="Times New Roman" w:hAnsi="Times New Roman" w:eastAsia="宋体" w:cs="Times New Roman"/>
                      <w:color w:val="auto"/>
                      <w:kern w:val="0"/>
                      <w:sz w:val="21"/>
                      <w:szCs w:val="21"/>
                      <w:u w:val="none"/>
                      <w:lang w:val="en-US" w:eastAsia="zh-CN" w:bidi="ar-SA"/>
                    </w:rPr>
                    <w:t>液化石油气</w:t>
                  </w:r>
                  <w:r>
                    <w:rPr>
                      <w:rFonts w:hint="eastAsia" w:ascii="Times New Roman" w:hAnsi="Times New Roman" w:eastAsia="宋体" w:cs="Times New Roman"/>
                      <w:color w:val="auto"/>
                      <w:kern w:val="0"/>
                      <w:sz w:val="21"/>
                      <w:szCs w:val="21"/>
                      <w:u w:val="none"/>
                      <w:lang w:val="en-US" w:eastAsia="zh-CN" w:bidi="ar-SA"/>
                    </w:rPr>
                    <w:t>、1个存储</w:t>
                  </w:r>
                  <w:r>
                    <w:rPr>
                      <w:rFonts w:hint="default" w:ascii="Times New Roman" w:hAnsi="Times New Roman" w:eastAsia="宋体" w:cs="Times New Roman"/>
                      <w:color w:val="auto"/>
                      <w:kern w:val="0"/>
                      <w:sz w:val="21"/>
                      <w:szCs w:val="21"/>
                      <w:u w:val="none"/>
                      <w:lang w:val="en-US" w:eastAsia="zh-CN" w:bidi="ar-SA"/>
                    </w:rPr>
                    <w:t>液化石油气残液</w:t>
                  </w:r>
                  <w:r>
                    <w:rPr>
                      <w:rFonts w:hint="eastAsia" w:ascii="Times New Roman" w:hAnsi="Times New Roman" w:eastAsia="宋体" w:cs="Times New Roman"/>
                      <w:color w:val="auto"/>
                      <w:kern w:val="0"/>
                      <w:sz w:val="21"/>
                      <w:szCs w:val="21"/>
                      <w:u w:val="none"/>
                      <w:lang w:val="en-US" w:eastAsia="zh-CN" w:bidi="ar-SA"/>
                    </w:rPr>
                    <w:t>），</w:t>
                  </w:r>
                  <w:r>
                    <w:rPr>
                      <w:rFonts w:hint="eastAsia" w:ascii="Times New Roman" w:hAnsi="Times New Roman" w:eastAsia="宋体" w:cs="Times New Roman"/>
                      <w:color w:val="auto"/>
                      <w:spacing w:val="0"/>
                      <w:kern w:val="0"/>
                      <w:sz w:val="21"/>
                      <w:szCs w:val="21"/>
                      <w:highlight w:val="none"/>
                      <w:lang w:val="en-US" w:eastAsia="zh-CN" w:bidi="ar-SA"/>
                    </w:rPr>
                    <w:t>储存能力约6610m</w:t>
                  </w:r>
                  <w:r>
                    <w:rPr>
                      <w:rFonts w:hint="eastAsia" w:ascii="Times New Roman" w:hAnsi="Times New Roman" w:eastAsia="宋体" w:cs="Times New Roman"/>
                      <w:color w:val="auto"/>
                      <w:spacing w:val="0"/>
                      <w:kern w:val="0"/>
                      <w:sz w:val="21"/>
                      <w:szCs w:val="21"/>
                      <w:highlight w:val="none"/>
                      <w:vertAlign w:val="superscript"/>
                      <w:lang w:val="en-US" w:eastAsia="zh-CN" w:bidi="ar-SA"/>
                    </w:rPr>
                    <w:t>3</w:t>
                  </w:r>
                </w:p>
              </w:tc>
              <w:tc>
                <w:tcPr>
                  <w:tcW w:w="1979" w:type="dxa"/>
                  <w:noWrap w:val="0"/>
                  <w:vAlign w:val="center"/>
                </w:tcPr>
                <w:p w14:paraId="0585275F">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SA"/>
                    </w:rPr>
                    <w:t>2</w:t>
                  </w:r>
                  <w:r>
                    <w:rPr>
                      <w:rFonts w:hint="default" w:ascii="Times New Roman" w:hAnsi="Times New Roman" w:eastAsia="宋体" w:cs="Times New Roman"/>
                      <w:color w:val="auto"/>
                      <w:kern w:val="0"/>
                      <w:sz w:val="21"/>
                      <w:szCs w:val="21"/>
                      <w:u w:val="none"/>
                      <w:lang w:val="en-US" w:eastAsia="zh-CN" w:bidi="ar-SA"/>
                    </w:rPr>
                    <w:t>个3000m</w:t>
                  </w:r>
                  <w:r>
                    <w:rPr>
                      <w:rFonts w:hint="default" w:ascii="Times New Roman" w:hAnsi="Times New Roman" w:eastAsia="宋体" w:cs="Times New Roman"/>
                      <w:color w:val="auto"/>
                      <w:kern w:val="0"/>
                      <w:sz w:val="21"/>
                      <w:szCs w:val="21"/>
                      <w:u w:val="none"/>
                      <w:vertAlign w:val="superscript"/>
                      <w:lang w:val="en-US" w:eastAsia="zh-CN" w:bidi="ar-SA"/>
                    </w:rPr>
                    <w:t>3</w:t>
                  </w:r>
                  <w:r>
                    <w:rPr>
                      <w:rFonts w:hint="eastAsia" w:ascii="Times New Roman" w:hAnsi="Times New Roman" w:eastAsia="宋体" w:cs="Times New Roman"/>
                      <w:color w:val="auto"/>
                      <w:kern w:val="0"/>
                      <w:sz w:val="21"/>
                      <w:szCs w:val="21"/>
                      <w:u w:val="none"/>
                      <w:vertAlign w:val="baseline"/>
                      <w:lang w:val="en-US" w:eastAsia="zh-CN" w:bidi="ar-SA"/>
                    </w:rPr>
                    <w:t>立式</w:t>
                  </w:r>
                  <w:r>
                    <w:rPr>
                      <w:rFonts w:hint="eastAsia" w:ascii="Times New Roman" w:hAnsi="Times New Roman" w:eastAsia="宋体" w:cs="Times New Roman"/>
                      <w:color w:val="auto"/>
                      <w:kern w:val="0"/>
                      <w:sz w:val="21"/>
                      <w:szCs w:val="21"/>
                      <w:u w:val="none"/>
                      <w:lang w:val="en-US" w:eastAsia="zh-CN" w:bidi="ar-SA"/>
                    </w:rPr>
                    <w:t>储罐</w:t>
                  </w:r>
                  <w:r>
                    <w:rPr>
                      <w:rFonts w:hint="default" w:ascii="Times New Roman" w:hAnsi="Times New Roman" w:eastAsia="宋体" w:cs="Times New Roman"/>
                      <w:color w:val="auto"/>
                      <w:kern w:val="0"/>
                      <w:sz w:val="21"/>
                      <w:szCs w:val="21"/>
                      <w:u w:val="none"/>
                      <w:lang w:val="en-US" w:eastAsia="zh-CN" w:bidi="ar-SA"/>
                    </w:rPr>
                    <w:t>、</w:t>
                  </w:r>
                  <w:r>
                    <w:rPr>
                      <w:rFonts w:hint="eastAsia" w:ascii="Times New Roman" w:hAnsi="Times New Roman" w:eastAsia="宋体" w:cs="Times New Roman"/>
                      <w:color w:val="auto"/>
                      <w:kern w:val="0"/>
                      <w:sz w:val="21"/>
                      <w:szCs w:val="21"/>
                      <w:u w:val="none"/>
                      <w:lang w:val="en-US" w:eastAsia="zh-CN" w:bidi="ar-SA"/>
                    </w:rPr>
                    <w:t>2</w:t>
                  </w:r>
                  <w:r>
                    <w:rPr>
                      <w:rFonts w:hint="default" w:ascii="Times New Roman" w:hAnsi="Times New Roman" w:eastAsia="宋体" w:cs="Times New Roman"/>
                      <w:color w:val="auto"/>
                      <w:kern w:val="0"/>
                      <w:sz w:val="21"/>
                      <w:szCs w:val="21"/>
                      <w:u w:val="none"/>
                      <w:lang w:val="en-US" w:eastAsia="zh-CN" w:bidi="ar-SA"/>
                    </w:rPr>
                    <w:t>个30m</w:t>
                  </w:r>
                  <w:r>
                    <w:rPr>
                      <w:rFonts w:hint="default" w:ascii="Times New Roman" w:hAnsi="Times New Roman" w:eastAsia="宋体" w:cs="Times New Roman"/>
                      <w:color w:val="auto"/>
                      <w:kern w:val="0"/>
                      <w:sz w:val="21"/>
                      <w:szCs w:val="21"/>
                      <w:u w:val="none"/>
                      <w:vertAlign w:val="superscript"/>
                      <w:lang w:val="en-US" w:eastAsia="zh-CN" w:bidi="ar-SA"/>
                    </w:rPr>
                    <w:t>3</w:t>
                  </w:r>
                  <w:r>
                    <w:rPr>
                      <w:rFonts w:hint="eastAsia" w:ascii="Times New Roman" w:hAnsi="Times New Roman" w:eastAsia="宋体" w:cs="Times New Roman"/>
                      <w:color w:val="auto"/>
                      <w:kern w:val="0"/>
                      <w:sz w:val="21"/>
                      <w:szCs w:val="21"/>
                      <w:u w:val="none"/>
                      <w:vertAlign w:val="baseline"/>
                      <w:lang w:val="en-US" w:eastAsia="zh-CN" w:bidi="ar-SA"/>
                    </w:rPr>
                    <w:t>立式</w:t>
                  </w:r>
                  <w:r>
                    <w:rPr>
                      <w:rFonts w:hint="eastAsia" w:ascii="Times New Roman" w:hAnsi="Times New Roman" w:eastAsia="宋体" w:cs="Times New Roman"/>
                      <w:color w:val="auto"/>
                      <w:kern w:val="0"/>
                      <w:sz w:val="21"/>
                      <w:szCs w:val="21"/>
                      <w:u w:val="none"/>
                      <w:lang w:val="en-US" w:eastAsia="zh-CN" w:bidi="ar-SA"/>
                    </w:rPr>
                    <w:t>储罐</w:t>
                  </w:r>
                  <w:r>
                    <w:rPr>
                      <w:rFonts w:hint="default" w:ascii="Times New Roman" w:hAnsi="Times New Roman" w:eastAsia="宋体" w:cs="Times New Roman"/>
                      <w:color w:val="auto"/>
                      <w:kern w:val="0"/>
                      <w:sz w:val="21"/>
                      <w:szCs w:val="21"/>
                      <w:u w:val="none"/>
                      <w:lang w:val="en-US" w:eastAsia="zh-CN" w:bidi="ar-SA"/>
                    </w:rPr>
                    <w:t>、</w:t>
                  </w:r>
                  <w:r>
                    <w:rPr>
                      <w:rFonts w:hint="eastAsia" w:ascii="Times New Roman" w:hAnsi="Times New Roman" w:eastAsia="宋体" w:cs="Times New Roman"/>
                      <w:color w:val="auto"/>
                      <w:kern w:val="0"/>
                      <w:sz w:val="21"/>
                      <w:szCs w:val="21"/>
                      <w:u w:val="none"/>
                      <w:lang w:val="en-US" w:eastAsia="zh-CN" w:bidi="ar-SA"/>
                    </w:rPr>
                    <w:t>6</w:t>
                  </w:r>
                  <w:r>
                    <w:rPr>
                      <w:rFonts w:hint="default" w:ascii="Times New Roman" w:hAnsi="Times New Roman" w:eastAsia="宋体" w:cs="Times New Roman"/>
                      <w:color w:val="auto"/>
                      <w:kern w:val="0"/>
                      <w:sz w:val="21"/>
                      <w:szCs w:val="21"/>
                      <w:u w:val="none"/>
                      <w:lang w:val="en-US" w:eastAsia="zh-CN" w:bidi="ar-SA"/>
                    </w:rPr>
                    <w:t>个50m</w:t>
                  </w:r>
                  <w:r>
                    <w:rPr>
                      <w:rFonts w:hint="default" w:ascii="Times New Roman" w:hAnsi="Times New Roman" w:eastAsia="宋体" w:cs="Times New Roman"/>
                      <w:color w:val="auto"/>
                      <w:kern w:val="0"/>
                      <w:sz w:val="21"/>
                      <w:szCs w:val="21"/>
                      <w:u w:val="none"/>
                      <w:vertAlign w:val="superscript"/>
                      <w:lang w:val="en-US" w:eastAsia="zh-CN" w:bidi="ar-SA"/>
                    </w:rPr>
                    <w:t>3</w:t>
                  </w:r>
                  <w:r>
                    <w:rPr>
                      <w:rFonts w:hint="eastAsia" w:ascii="Times New Roman" w:hAnsi="Times New Roman" w:eastAsia="宋体" w:cs="Times New Roman"/>
                      <w:color w:val="auto"/>
                      <w:kern w:val="0"/>
                      <w:sz w:val="21"/>
                      <w:szCs w:val="21"/>
                      <w:u w:val="none"/>
                      <w:vertAlign w:val="baseline"/>
                      <w:lang w:val="en-US" w:eastAsia="zh-CN" w:bidi="ar-SA"/>
                    </w:rPr>
                    <w:t>立式</w:t>
                  </w:r>
                  <w:r>
                    <w:rPr>
                      <w:rFonts w:hint="eastAsia" w:ascii="Times New Roman" w:hAnsi="Times New Roman" w:eastAsia="宋体" w:cs="Times New Roman"/>
                      <w:color w:val="auto"/>
                      <w:kern w:val="0"/>
                      <w:sz w:val="21"/>
                      <w:szCs w:val="21"/>
                      <w:u w:val="none"/>
                      <w:lang w:val="en-US" w:eastAsia="zh-CN" w:bidi="ar-SA"/>
                    </w:rPr>
                    <w:t>储罐</w:t>
                  </w:r>
                  <w:r>
                    <w:rPr>
                      <w:rFonts w:hint="default" w:ascii="Times New Roman" w:hAnsi="Times New Roman" w:eastAsia="宋体" w:cs="Times New Roman"/>
                      <w:color w:val="auto"/>
                      <w:kern w:val="0"/>
                      <w:sz w:val="21"/>
                      <w:szCs w:val="21"/>
                      <w:u w:val="none"/>
                      <w:lang w:val="en-US" w:eastAsia="zh-CN" w:bidi="ar-SA"/>
                    </w:rPr>
                    <w:t>、</w:t>
                  </w:r>
                  <w:r>
                    <w:rPr>
                      <w:rFonts w:hint="eastAsia" w:ascii="Times New Roman" w:hAnsi="Times New Roman" w:eastAsia="宋体" w:cs="Times New Roman"/>
                      <w:color w:val="auto"/>
                      <w:kern w:val="0"/>
                      <w:sz w:val="21"/>
                      <w:szCs w:val="21"/>
                      <w:u w:val="none"/>
                      <w:lang w:val="en-US" w:eastAsia="zh-CN" w:bidi="ar-SA"/>
                    </w:rPr>
                    <w:t>5</w:t>
                  </w:r>
                  <w:r>
                    <w:rPr>
                      <w:rFonts w:hint="default" w:ascii="Times New Roman" w:hAnsi="Times New Roman" w:eastAsia="宋体" w:cs="Times New Roman"/>
                      <w:color w:val="auto"/>
                      <w:kern w:val="0"/>
                      <w:sz w:val="21"/>
                      <w:szCs w:val="21"/>
                      <w:u w:val="none"/>
                      <w:lang w:val="en-US" w:eastAsia="zh-CN" w:bidi="ar-SA"/>
                    </w:rPr>
                    <w:t>个50m</w:t>
                  </w:r>
                  <w:r>
                    <w:rPr>
                      <w:rFonts w:hint="default" w:ascii="Times New Roman" w:hAnsi="Times New Roman" w:eastAsia="宋体" w:cs="Times New Roman"/>
                      <w:color w:val="auto"/>
                      <w:kern w:val="0"/>
                      <w:sz w:val="21"/>
                      <w:szCs w:val="21"/>
                      <w:u w:val="none"/>
                      <w:vertAlign w:val="superscript"/>
                      <w:lang w:val="en-US" w:eastAsia="zh-CN" w:bidi="ar-SA"/>
                    </w:rPr>
                    <w:t>3</w:t>
                  </w:r>
                  <w:r>
                    <w:rPr>
                      <w:rFonts w:hint="eastAsia" w:ascii="Times New Roman" w:hAnsi="Times New Roman" w:eastAsia="宋体" w:cs="Times New Roman"/>
                      <w:color w:val="auto"/>
                      <w:kern w:val="0"/>
                      <w:sz w:val="21"/>
                      <w:szCs w:val="21"/>
                      <w:u w:val="none"/>
                      <w:vertAlign w:val="baseline"/>
                      <w:lang w:val="en-US" w:eastAsia="zh-CN" w:bidi="ar-SA"/>
                    </w:rPr>
                    <w:t>卧式</w:t>
                  </w:r>
                  <w:r>
                    <w:rPr>
                      <w:rFonts w:hint="eastAsia" w:ascii="Times New Roman" w:hAnsi="Times New Roman" w:eastAsia="宋体" w:cs="Times New Roman"/>
                      <w:color w:val="auto"/>
                      <w:kern w:val="0"/>
                      <w:sz w:val="21"/>
                      <w:szCs w:val="21"/>
                      <w:u w:val="none"/>
                      <w:lang w:val="en-US" w:eastAsia="zh-CN" w:bidi="ar-SA"/>
                    </w:rPr>
                    <w:t>储罐</w:t>
                  </w:r>
                </w:p>
              </w:tc>
              <w:tc>
                <w:tcPr>
                  <w:tcW w:w="1434" w:type="dxa"/>
                  <w:noWrap w:val="0"/>
                  <w:vAlign w:val="center"/>
                </w:tcPr>
                <w:p w14:paraId="2DE34221">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取消</w:t>
                  </w:r>
                  <w:r>
                    <w:rPr>
                      <w:rFonts w:hint="default" w:ascii="Times New Roman" w:hAnsi="Times New Roman" w:eastAsia="宋体" w:cs="Times New Roman"/>
                      <w:color w:val="auto"/>
                      <w:kern w:val="0"/>
                      <w:sz w:val="21"/>
                      <w:szCs w:val="21"/>
                      <w:u w:val="none"/>
                      <w:lang w:bidi="ar"/>
                    </w:rPr>
                    <w:t>电石库</w:t>
                  </w:r>
                  <w:r>
                    <w:rPr>
                      <w:rFonts w:hint="eastAsia" w:ascii="Times New Roman" w:hAnsi="Times New Roman" w:eastAsia="宋体" w:cs="Times New Roman"/>
                      <w:color w:val="auto"/>
                      <w:kern w:val="0"/>
                      <w:sz w:val="21"/>
                      <w:szCs w:val="21"/>
                      <w:u w:val="none"/>
                      <w:lang w:eastAsia="zh-CN" w:bidi="ar"/>
                    </w:rPr>
                    <w:t>、</w:t>
                  </w:r>
                  <w:r>
                    <w:rPr>
                      <w:rFonts w:hint="default" w:ascii="Times New Roman" w:hAnsi="Times New Roman" w:eastAsia="宋体" w:cs="Times New Roman"/>
                      <w:color w:val="auto"/>
                      <w:kern w:val="0"/>
                      <w:sz w:val="21"/>
                      <w:szCs w:val="21"/>
                      <w:u w:val="none"/>
                      <w:lang w:bidi="ar"/>
                    </w:rPr>
                    <w:t>丙酮库、</w:t>
                  </w:r>
                  <w:r>
                    <w:rPr>
                      <w:rFonts w:hint="eastAsia" w:cs="Times New Roman"/>
                      <w:color w:val="auto"/>
                      <w:kern w:val="0"/>
                      <w:sz w:val="21"/>
                      <w:szCs w:val="21"/>
                      <w:u w:val="none"/>
                      <w:lang w:val="en-US" w:eastAsia="zh-CN" w:bidi="ar"/>
                    </w:rPr>
                    <w:t>电石干渣</w:t>
                  </w:r>
                  <w:r>
                    <w:rPr>
                      <w:rFonts w:hint="default" w:ascii="Times New Roman" w:hAnsi="Times New Roman" w:eastAsia="宋体" w:cs="Times New Roman"/>
                      <w:color w:val="auto"/>
                      <w:kern w:val="0"/>
                      <w:sz w:val="21"/>
                      <w:szCs w:val="21"/>
                      <w:u w:val="none"/>
                      <w:lang w:bidi="ar"/>
                    </w:rPr>
                    <w:t>库</w:t>
                  </w:r>
                  <w:r>
                    <w:rPr>
                      <w:rFonts w:hint="eastAsia" w:ascii="Times New Roman" w:hAnsi="Times New Roman" w:eastAsia="宋体" w:cs="Times New Roman"/>
                      <w:color w:val="auto"/>
                      <w:kern w:val="0"/>
                      <w:sz w:val="21"/>
                      <w:szCs w:val="21"/>
                      <w:u w:val="none"/>
                      <w:lang w:val="en-US" w:eastAsia="zh-CN" w:bidi="ar"/>
                    </w:rPr>
                    <w:t>等</w:t>
                  </w:r>
                  <w:r>
                    <w:rPr>
                      <w:rFonts w:hint="default" w:ascii="Times New Roman" w:hAnsi="Times New Roman" w:eastAsia="宋体" w:cs="Times New Roman"/>
                      <w:color w:val="auto"/>
                      <w:kern w:val="0"/>
                      <w:sz w:val="21"/>
                      <w:szCs w:val="21"/>
                      <w:u w:val="none"/>
                      <w:lang w:val="en-US" w:eastAsia="zh-CN" w:bidi="ar-SA"/>
                    </w:rPr>
                    <w:t>所有</w:t>
                  </w:r>
                  <w:r>
                    <w:rPr>
                      <w:rFonts w:hint="eastAsia" w:ascii="Times New Roman" w:hAnsi="Times New Roman" w:eastAsia="宋体" w:cs="Times New Roman"/>
                      <w:color w:val="auto"/>
                      <w:kern w:val="0"/>
                      <w:sz w:val="21"/>
                      <w:szCs w:val="21"/>
                      <w:u w:val="none"/>
                      <w:lang w:val="en-US" w:eastAsia="zh-CN" w:bidi="ar-SA"/>
                    </w:rPr>
                    <w:t>涉及乙炔生产的</w:t>
                  </w:r>
                  <w:r>
                    <w:rPr>
                      <w:rFonts w:hint="default" w:ascii="Times New Roman" w:hAnsi="Times New Roman" w:eastAsia="宋体" w:cs="Times New Roman"/>
                      <w:color w:val="auto"/>
                      <w:kern w:val="0"/>
                      <w:sz w:val="21"/>
                      <w:szCs w:val="21"/>
                      <w:u w:val="none"/>
                      <w:lang w:val="en-US" w:eastAsia="zh-CN" w:bidi="ar-SA"/>
                    </w:rPr>
                    <w:t>储运单元，新</w:t>
                  </w:r>
                  <w:r>
                    <w:rPr>
                      <w:rFonts w:hint="eastAsia" w:ascii="Times New Roman" w:hAnsi="Times New Roman" w:eastAsia="宋体" w:cs="Times New Roman"/>
                      <w:color w:val="auto"/>
                      <w:kern w:val="0"/>
                      <w:sz w:val="21"/>
                      <w:szCs w:val="21"/>
                      <w:u w:val="none"/>
                      <w:lang w:val="en-US" w:eastAsia="zh-CN" w:bidi="ar-SA"/>
                    </w:rPr>
                    <w:t>增2</w:t>
                  </w:r>
                  <w:r>
                    <w:rPr>
                      <w:rFonts w:hint="default" w:ascii="Times New Roman" w:hAnsi="Times New Roman" w:eastAsia="宋体" w:cs="Times New Roman"/>
                      <w:color w:val="auto"/>
                      <w:kern w:val="0"/>
                      <w:sz w:val="21"/>
                      <w:szCs w:val="21"/>
                      <w:u w:val="none"/>
                      <w:lang w:val="en-US" w:eastAsia="zh-CN" w:bidi="ar-SA"/>
                    </w:rPr>
                    <w:t>个3000m</w:t>
                  </w:r>
                  <w:r>
                    <w:rPr>
                      <w:rFonts w:hint="default" w:ascii="Times New Roman" w:hAnsi="Times New Roman" w:eastAsia="宋体" w:cs="Times New Roman"/>
                      <w:color w:val="auto"/>
                      <w:kern w:val="0"/>
                      <w:sz w:val="21"/>
                      <w:szCs w:val="21"/>
                      <w:u w:val="none"/>
                      <w:vertAlign w:val="superscript"/>
                      <w:lang w:val="en-US" w:eastAsia="zh-CN" w:bidi="ar-SA"/>
                    </w:rPr>
                    <w:t>3</w:t>
                  </w:r>
                  <w:r>
                    <w:rPr>
                      <w:rFonts w:hint="eastAsia" w:ascii="Times New Roman" w:hAnsi="Times New Roman" w:eastAsia="宋体" w:cs="Times New Roman"/>
                      <w:color w:val="auto"/>
                      <w:kern w:val="0"/>
                      <w:sz w:val="21"/>
                      <w:szCs w:val="21"/>
                      <w:u w:val="none"/>
                      <w:vertAlign w:val="baseline"/>
                      <w:lang w:val="en-US" w:eastAsia="zh-CN" w:bidi="ar-SA"/>
                    </w:rPr>
                    <w:t>立式</w:t>
                  </w:r>
                  <w:r>
                    <w:rPr>
                      <w:rFonts w:hint="eastAsia" w:ascii="Times New Roman" w:hAnsi="Times New Roman" w:eastAsia="宋体" w:cs="Times New Roman"/>
                      <w:color w:val="auto"/>
                      <w:kern w:val="0"/>
                      <w:sz w:val="21"/>
                      <w:szCs w:val="21"/>
                      <w:u w:val="none"/>
                      <w:lang w:val="en-US" w:eastAsia="zh-CN" w:bidi="ar-SA"/>
                    </w:rPr>
                    <w:t>储罐、新增1</w:t>
                  </w:r>
                  <w:r>
                    <w:rPr>
                      <w:rFonts w:hint="default" w:ascii="Times New Roman" w:hAnsi="Times New Roman" w:eastAsia="宋体" w:cs="Times New Roman"/>
                      <w:color w:val="auto"/>
                      <w:kern w:val="0"/>
                      <w:sz w:val="21"/>
                      <w:szCs w:val="21"/>
                      <w:u w:val="none"/>
                      <w:lang w:val="en-US" w:eastAsia="zh-CN" w:bidi="ar-SA"/>
                    </w:rPr>
                    <w:t>个30m</w:t>
                  </w:r>
                  <w:r>
                    <w:rPr>
                      <w:rFonts w:hint="default" w:ascii="Times New Roman" w:hAnsi="Times New Roman" w:eastAsia="宋体" w:cs="Times New Roman"/>
                      <w:color w:val="auto"/>
                      <w:kern w:val="0"/>
                      <w:sz w:val="21"/>
                      <w:szCs w:val="21"/>
                      <w:u w:val="none"/>
                      <w:vertAlign w:val="superscript"/>
                      <w:lang w:val="en-US" w:eastAsia="zh-CN" w:bidi="ar-SA"/>
                    </w:rPr>
                    <w:t>3</w:t>
                  </w:r>
                  <w:r>
                    <w:rPr>
                      <w:rFonts w:hint="eastAsia" w:ascii="Times New Roman" w:hAnsi="Times New Roman" w:eastAsia="宋体" w:cs="Times New Roman"/>
                      <w:color w:val="auto"/>
                      <w:kern w:val="0"/>
                      <w:sz w:val="21"/>
                      <w:szCs w:val="21"/>
                      <w:u w:val="none"/>
                      <w:vertAlign w:val="baseline"/>
                      <w:lang w:val="en-US" w:eastAsia="zh-CN" w:bidi="ar-SA"/>
                    </w:rPr>
                    <w:t>立式</w:t>
                  </w:r>
                  <w:r>
                    <w:rPr>
                      <w:rFonts w:hint="eastAsia" w:ascii="Times New Roman" w:hAnsi="Times New Roman" w:eastAsia="宋体" w:cs="Times New Roman"/>
                      <w:color w:val="auto"/>
                      <w:kern w:val="0"/>
                      <w:sz w:val="21"/>
                      <w:szCs w:val="21"/>
                      <w:u w:val="none"/>
                      <w:lang w:val="en-US" w:eastAsia="zh-CN" w:bidi="ar-SA"/>
                    </w:rPr>
                    <w:t>储罐，储存能力增加6030</w:t>
                  </w:r>
                  <w:r>
                    <w:rPr>
                      <w:rFonts w:hint="eastAsia" w:ascii="Times New Roman" w:hAnsi="Times New Roman" w:eastAsia="宋体" w:cs="Times New Roman"/>
                      <w:color w:val="auto"/>
                      <w:spacing w:val="0"/>
                      <w:kern w:val="0"/>
                      <w:sz w:val="21"/>
                      <w:szCs w:val="21"/>
                      <w:highlight w:val="none"/>
                      <w:lang w:val="en-US" w:eastAsia="zh-CN" w:bidi="ar-SA"/>
                    </w:rPr>
                    <w:t>m</w:t>
                  </w:r>
                  <w:r>
                    <w:rPr>
                      <w:rFonts w:hint="eastAsia" w:ascii="Times New Roman" w:hAnsi="Times New Roman" w:eastAsia="宋体" w:cs="Times New Roman"/>
                      <w:color w:val="auto"/>
                      <w:spacing w:val="0"/>
                      <w:kern w:val="0"/>
                      <w:sz w:val="21"/>
                      <w:szCs w:val="21"/>
                      <w:highlight w:val="none"/>
                      <w:vertAlign w:val="superscript"/>
                      <w:lang w:val="en-US" w:eastAsia="zh-CN" w:bidi="ar-SA"/>
                    </w:rPr>
                    <w:t>3</w:t>
                  </w:r>
                </w:p>
              </w:tc>
            </w:tr>
            <w:tr w14:paraId="4C852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22" w:type="dxa"/>
                  <w:noWrap w:val="0"/>
                  <w:vAlign w:val="center"/>
                </w:tcPr>
                <w:p w14:paraId="33E4E29E">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产品及规模</w:t>
                  </w:r>
                </w:p>
              </w:tc>
              <w:tc>
                <w:tcPr>
                  <w:tcW w:w="2060" w:type="dxa"/>
                  <w:noWrap w:val="0"/>
                  <w:vAlign w:val="center"/>
                </w:tcPr>
                <w:p w14:paraId="337A777F">
                  <w:pPr>
                    <w:widowControl/>
                    <w:snapToGrid w:val="0"/>
                    <w:spacing w:before="0" w:after="0" w:line="240" w:lineRule="exact"/>
                    <w:ind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年产溶解乙炔气体60万瓶（折合3000t）、</w:t>
                  </w:r>
                  <w:r>
                    <w:rPr>
                      <w:rFonts w:hint="eastAsia" w:ascii="Times New Roman" w:hAnsi="Times New Roman" w:eastAsia="宋体" w:cs="Times New Roman"/>
                      <w:color w:val="000000"/>
                      <w:kern w:val="0"/>
                      <w:sz w:val="21"/>
                      <w:szCs w:val="21"/>
                      <w:highlight w:val="none"/>
                      <w:lang w:val="en-US" w:eastAsia="zh-CN" w:bidi="ar-SA"/>
                    </w:rPr>
                    <w:t>年充装工业氧气100万瓶（折合7000t）、医用氧气20万瓶（折合1400t）、氮气50万瓶（折合3350t），氩气50万瓶（折合5000t）、</w:t>
                  </w:r>
                  <w:r>
                    <w:rPr>
                      <w:rFonts w:hint="eastAsia" w:ascii="Times New Roman" w:hAnsi="Times New Roman" w:eastAsia="宋体" w:cs="Times New Roman"/>
                      <w:color w:val="auto"/>
                      <w:kern w:val="0"/>
                      <w:sz w:val="21"/>
                      <w:szCs w:val="21"/>
                      <w:highlight w:val="none"/>
                      <w:lang w:val="en-US" w:eastAsia="zh-CN" w:bidi="ar-SA"/>
                    </w:rPr>
                    <w:t>二氧化碳50万瓶（折合12000t）、混合气体50万瓶（折合5000t）、液化石油气50万瓶（折合7500t）、丙烷50万瓶（折合7500t）</w:t>
                  </w:r>
                  <w:r>
                    <w:rPr>
                      <w:rFonts w:hint="eastAsia" w:ascii="Times New Roman" w:hAnsi="Times New Roman" w:eastAsia="宋体" w:cs="Times New Roman"/>
                      <w:color w:val="auto"/>
                      <w:spacing w:val="0"/>
                      <w:kern w:val="0"/>
                      <w:sz w:val="21"/>
                      <w:szCs w:val="21"/>
                      <w:highlight w:val="none"/>
                      <w:lang w:val="en-US" w:eastAsia="zh-CN" w:bidi="ar-SA"/>
                    </w:rPr>
                    <w:t>。合计年充装工业气体约480万瓶（折合51750吨）</w:t>
                  </w:r>
                </w:p>
              </w:tc>
              <w:tc>
                <w:tcPr>
                  <w:tcW w:w="2436" w:type="dxa"/>
                  <w:noWrap w:val="0"/>
                  <w:vAlign w:val="center"/>
                </w:tcPr>
                <w:p w14:paraId="7996B9A9">
                  <w:pPr>
                    <w:spacing w:line="240" w:lineRule="auto"/>
                    <w:ind w:firstLine="0" w:firstLineChars="0"/>
                    <w:jc w:val="both"/>
                    <w:rPr>
                      <w:rFonts w:hint="default" w:ascii="Times New Roman" w:hAnsi="Times New Roman" w:eastAsia="宋体" w:cs="Times New Roman"/>
                      <w:color w:val="auto"/>
                      <w:sz w:val="21"/>
                      <w:szCs w:val="21"/>
                      <w:u w:val="none"/>
                    </w:rPr>
                  </w:pPr>
                  <w:r>
                    <w:rPr>
                      <w:rFonts w:hint="eastAsia" w:ascii="Times New Roman" w:hAnsi="Times New Roman" w:eastAsia="宋体" w:cs="Times New Roman"/>
                      <w:color w:val="000000"/>
                      <w:kern w:val="0"/>
                      <w:sz w:val="21"/>
                      <w:szCs w:val="21"/>
                      <w:highlight w:val="none"/>
                      <w:lang w:val="en-US" w:eastAsia="zh-CN" w:bidi="ar-SA"/>
                    </w:rPr>
                    <w:t>年生产液氧91396.8t、液氮83160t、液氩3927t、高纯液氧2257.2t。年充装工业氧气100万瓶（折合7000t）、医用氧气20万瓶（折合1400t）、液氧</w:t>
                  </w:r>
                  <w:r>
                    <w:rPr>
                      <w:rFonts w:hint="eastAsia" w:cs="Times New Roman"/>
                      <w:color w:val="000000"/>
                      <w:kern w:val="0"/>
                      <w:sz w:val="21"/>
                      <w:szCs w:val="21"/>
                      <w:highlight w:val="none"/>
                      <w:lang w:val="en-US" w:eastAsia="zh-CN" w:bidi="ar-SA"/>
                    </w:rPr>
                    <w:t>2400罐</w:t>
                  </w:r>
                  <w:r>
                    <w:rPr>
                      <w:rFonts w:hint="eastAsia" w:ascii="Times New Roman" w:hAnsi="Times New Roman" w:eastAsia="宋体" w:cs="Times New Roman"/>
                      <w:color w:val="000000"/>
                      <w:kern w:val="0"/>
                      <w:sz w:val="21"/>
                      <w:szCs w:val="21"/>
                      <w:highlight w:val="none"/>
                      <w:lang w:val="en-US" w:eastAsia="zh-CN" w:bidi="ar-SA"/>
                    </w:rPr>
                    <w:t>（折合384t）、氮气50万瓶（折合3350t）、液氮960罐（折合115.2t）、氩气50万瓶（折合5000t）、液氩1800罐（折合324t）、</w:t>
                  </w:r>
                  <w:r>
                    <w:rPr>
                      <w:rFonts w:hint="eastAsia" w:ascii="Times New Roman" w:hAnsi="Times New Roman" w:eastAsia="宋体" w:cs="Times New Roman"/>
                      <w:color w:val="auto"/>
                      <w:kern w:val="0"/>
                      <w:sz w:val="21"/>
                      <w:szCs w:val="21"/>
                      <w:highlight w:val="none"/>
                      <w:lang w:val="en-US" w:eastAsia="zh-CN" w:bidi="ar-SA"/>
                    </w:rPr>
                    <w:t>二氧化碳50万瓶（折合12000t）、混合气体50万瓶（折合5000t）、液化石油气50万瓶（折合7500t）、丙烷50万瓶（折合7500t）</w:t>
                  </w:r>
                  <w:r>
                    <w:rPr>
                      <w:rFonts w:hint="eastAsia" w:ascii="Times New Roman" w:hAnsi="Times New Roman" w:eastAsia="宋体" w:cs="Times New Roman"/>
                      <w:color w:val="auto"/>
                      <w:spacing w:val="0"/>
                      <w:kern w:val="0"/>
                      <w:sz w:val="21"/>
                      <w:szCs w:val="21"/>
                      <w:highlight w:val="none"/>
                      <w:lang w:val="en-US" w:eastAsia="zh-CN" w:bidi="ar-SA"/>
                    </w:rPr>
                    <w:t>。。合计年充装工业气体约420万瓶、5160罐（折合49573.2吨）</w:t>
                  </w:r>
                </w:p>
              </w:tc>
              <w:tc>
                <w:tcPr>
                  <w:tcW w:w="1979" w:type="dxa"/>
                  <w:noWrap w:val="0"/>
                  <w:vAlign w:val="center"/>
                </w:tcPr>
                <w:p w14:paraId="31CA87CB">
                  <w:pPr>
                    <w:widowControl/>
                    <w:snapToGrid w:val="0"/>
                    <w:spacing w:before="0" w:after="0" w:line="240" w:lineRule="exact"/>
                    <w:ind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年生产液氧91396.8t、液氮83160t、液氩3927t、高纯液氧2257.2t。年充装工业氧气100万瓶（折合7000t）、医用氧气20万瓶（折合1400t）、液氧</w:t>
                  </w:r>
                  <w:r>
                    <w:rPr>
                      <w:rFonts w:hint="eastAsia" w:cs="Times New Roman"/>
                      <w:color w:val="000000"/>
                      <w:kern w:val="0"/>
                      <w:sz w:val="21"/>
                      <w:szCs w:val="21"/>
                      <w:highlight w:val="none"/>
                      <w:lang w:val="en-US" w:eastAsia="zh-CN" w:bidi="ar-SA"/>
                    </w:rPr>
                    <w:t>2400罐</w:t>
                  </w:r>
                  <w:r>
                    <w:rPr>
                      <w:rFonts w:hint="eastAsia" w:ascii="Times New Roman" w:hAnsi="Times New Roman" w:eastAsia="宋体" w:cs="Times New Roman"/>
                      <w:color w:val="000000"/>
                      <w:kern w:val="0"/>
                      <w:sz w:val="21"/>
                      <w:szCs w:val="21"/>
                      <w:highlight w:val="none"/>
                      <w:lang w:val="en-US" w:eastAsia="zh-CN" w:bidi="ar-SA"/>
                    </w:rPr>
                    <w:t>（折合384t）、氮气50万瓶（折合3350t）、液氮960罐（折合115.2t）、氩气50万瓶（折合5000t）、液氩1800罐（折合324t）、</w:t>
                  </w:r>
                  <w:r>
                    <w:rPr>
                      <w:rFonts w:hint="eastAsia" w:ascii="Times New Roman" w:hAnsi="Times New Roman" w:eastAsia="宋体" w:cs="Times New Roman"/>
                      <w:color w:val="auto"/>
                      <w:kern w:val="0"/>
                      <w:sz w:val="21"/>
                      <w:szCs w:val="21"/>
                      <w:highlight w:val="none"/>
                      <w:lang w:val="en-US" w:eastAsia="zh-CN" w:bidi="ar-SA"/>
                    </w:rPr>
                    <w:t>二氧化碳50万瓶（折合12000t）、混合气体50万瓶（折合5000t）、液化石油气50万瓶（折合7500t）、丙烷50万瓶（折合7500t）</w:t>
                  </w:r>
                  <w:r>
                    <w:rPr>
                      <w:rFonts w:hint="eastAsia" w:ascii="Times New Roman" w:hAnsi="Times New Roman" w:eastAsia="宋体" w:cs="Times New Roman"/>
                      <w:color w:val="auto"/>
                      <w:spacing w:val="0"/>
                      <w:kern w:val="0"/>
                      <w:sz w:val="21"/>
                      <w:szCs w:val="21"/>
                      <w:highlight w:val="none"/>
                      <w:lang w:val="en-US" w:eastAsia="zh-CN" w:bidi="ar-SA"/>
                    </w:rPr>
                    <w:t>。合计年充装工业气体约420万瓶、5160罐（折合49573.2吨）</w:t>
                  </w:r>
                </w:p>
              </w:tc>
              <w:tc>
                <w:tcPr>
                  <w:tcW w:w="1434" w:type="dxa"/>
                  <w:noWrap w:val="0"/>
                  <w:vAlign w:val="center"/>
                </w:tcPr>
                <w:p w14:paraId="4BB1CF18">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p>
                <w:p w14:paraId="1AE71C82">
                  <w:pPr>
                    <w:widowControl/>
                    <w:snapToGrid w:val="0"/>
                    <w:spacing w:before="0" w:after="0" w:line="240" w:lineRule="exact"/>
                    <w:ind w:right="113" w:firstLine="210" w:firstLineChars="10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取消</w:t>
                  </w:r>
                  <w:r>
                    <w:rPr>
                      <w:rFonts w:hint="default" w:ascii="Times New Roman" w:hAnsi="Times New Roman" w:eastAsia="宋体" w:cs="Times New Roman"/>
                      <w:color w:val="auto"/>
                      <w:kern w:val="0"/>
                      <w:sz w:val="21"/>
                      <w:szCs w:val="21"/>
                      <w:u w:val="none"/>
                      <w:lang w:val="en-US" w:eastAsia="zh-CN" w:bidi="ar-SA"/>
                    </w:rPr>
                    <w:t>溶解乙炔</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相关</w:t>
                  </w:r>
                  <w:r>
                    <w:rPr>
                      <w:rFonts w:hint="eastAsia" w:ascii="Times New Roman" w:hAnsi="Times New Roman" w:eastAsia="宋体" w:cs="Times New Roman"/>
                      <w:color w:val="auto"/>
                      <w:kern w:val="0"/>
                      <w:sz w:val="21"/>
                      <w:szCs w:val="21"/>
                      <w:u w:val="none"/>
                      <w:lang w:val="en-US" w:eastAsia="zh-CN" w:bidi="ar-SA"/>
                    </w:rPr>
                    <w:t>构筑物及</w:t>
                  </w:r>
                  <w:r>
                    <w:rPr>
                      <w:rFonts w:hint="default" w:ascii="Times New Roman" w:hAnsi="Times New Roman" w:eastAsia="宋体" w:cs="Times New Roman"/>
                      <w:color w:val="auto"/>
                      <w:kern w:val="0"/>
                      <w:sz w:val="21"/>
                      <w:szCs w:val="21"/>
                      <w:u w:val="none"/>
                      <w:lang w:val="en-US" w:eastAsia="zh-CN" w:bidi="ar-SA"/>
                    </w:rPr>
                    <w:t>设备全部</w:t>
                  </w:r>
                  <w:r>
                    <w:rPr>
                      <w:rFonts w:hint="eastAsia" w:ascii="Times New Roman" w:hAnsi="Times New Roman" w:eastAsia="宋体" w:cs="Times New Roman"/>
                      <w:color w:val="auto"/>
                      <w:kern w:val="0"/>
                      <w:sz w:val="21"/>
                      <w:szCs w:val="21"/>
                      <w:u w:val="none"/>
                      <w:lang w:val="en-US" w:eastAsia="zh-CN" w:bidi="ar-SA"/>
                    </w:rPr>
                    <w:t>不再建设）</w:t>
                  </w:r>
                  <w:r>
                    <w:rPr>
                      <w:rFonts w:hint="default" w:ascii="Times New Roman" w:hAnsi="Times New Roman" w:eastAsia="宋体" w:cs="Times New Roman"/>
                      <w:color w:val="auto"/>
                      <w:kern w:val="0"/>
                      <w:sz w:val="21"/>
                      <w:szCs w:val="21"/>
                      <w:u w:val="none"/>
                      <w:lang w:val="en-US" w:eastAsia="zh-CN" w:bidi="ar-SA"/>
                    </w:rPr>
                    <w:t>，</w:t>
                  </w:r>
                  <w:r>
                    <w:rPr>
                      <w:rFonts w:hint="eastAsia" w:ascii="Times New Roman" w:hAnsi="Times New Roman" w:eastAsia="宋体" w:cs="Times New Roman"/>
                      <w:color w:val="auto"/>
                      <w:kern w:val="0"/>
                      <w:sz w:val="21"/>
                      <w:szCs w:val="21"/>
                      <w:u w:val="none"/>
                      <w:lang w:val="en-US" w:eastAsia="zh-CN" w:bidi="ar-SA"/>
                    </w:rPr>
                    <w:t>新增</w:t>
                  </w:r>
                  <w:r>
                    <w:rPr>
                      <w:rFonts w:hint="default" w:ascii="Times New Roman" w:hAnsi="Times New Roman" w:eastAsia="宋体" w:cs="Times New Roman"/>
                      <w:color w:val="auto"/>
                      <w:kern w:val="0"/>
                      <w:sz w:val="21"/>
                      <w:szCs w:val="21"/>
                      <w:u w:val="none"/>
                      <w:lang w:val="en-US" w:eastAsia="zh-CN" w:bidi="ar-SA"/>
                    </w:rPr>
                    <w:t>1套547T/D全液化空分装置生产液氧、液氮、液氩和高纯液氧四种产品</w:t>
                  </w:r>
                  <w:r>
                    <w:rPr>
                      <w:rFonts w:hint="eastAsia" w:cs="Times New Roman"/>
                      <w:color w:val="auto"/>
                      <w:kern w:val="0"/>
                      <w:sz w:val="21"/>
                      <w:szCs w:val="21"/>
                      <w:u w:val="none"/>
                      <w:lang w:val="en-US" w:eastAsia="zh-CN" w:bidi="ar-SA"/>
                    </w:rPr>
                    <w:t>。</w:t>
                  </w:r>
                  <w:r>
                    <w:rPr>
                      <w:rFonts w:hint="eastAsia" w:ascii="Times New Roman" w:hAnsi="Times New Roman" w:eastAsia="宋体" w:cs="Times New Roman"/>
                      <w:color w:val="000000"/>
                      <w:kern w:val="0"/>
                      <w:sz w:val="21"/>
                      <w:szCs w:val="21"/>
                      <w:highlight w:val="none"/>
                      <w:lang w:val="en-US" w:eastAsia="zh-CN" w:bidi="ar-SA"/>
                    </w:rPr>
                    <w:t>年生产液氧91396.8t、液氮83160t、液氩3927t、高纯液氧2257.2t。新增年充装液氧</w:t>
                  </w:r>
                  <w:r>
                    <w:rPr>
                      <w:rFonts w:hint="eastAsia" w:cs="Times New Roman"/>
                      <w:color w:val="000000"/>
                      <w:kern w:val="0"/>
                      <w:sz w:val="21"/>
                      <w:szCs w:val="21"/>
                      <w:highlight w:val="none"/>
                      <w:lang w:val="en-US" w:eastAsia="zh-CN" w:bidi="ar-SA"/>
                    </w:rPr>
                    <w:t>2400罐</w:t>
                  </w:r>
                  <w:r>
                    <w:rPr>
                      <w:rFonts w:hint="eastAsia" w:ascii="Times New Roman" w:hAnsi="Times New Roman" w:eastAsia="宋体" w:cs="Times New Roman"/>
                      <w:color w:val="000000"/>
                      <w:kern w:val="0"/>
                      <w:sz w:val="21"/>
                      <w:szCs w:val="21"/>
                      <w:highlight w:val="none"/>
                      <w:lang w:val="en-US" w:eastAsia="zh-CN" w:bidi="ar-SA"/>
                    </w:rPr>
                    <w:t>（折合384t）、液氩1800罐（折合324t）、液氮</w:t>
                  </w:r>
                  <w:r>
                    <w:rPr>
                      <w:rFonts w:hint="eastAsia" w:cs="Times New Roman"/>
                      <w:color w:val="000000"/>
                      <w:kern w:val="0"/>
                      <w:sz w:val="21"/>
                      <w:szCs w:val="21"/>
                      <w:highlight w:val="none"/>
                      <w:lang w:val="en-US" w:eastAsia="zh-CN" w:bidi="ar-SA"/>
                    </w:rPr>
                    <w:t>960罐</w:t>
                  </w:r>
                  <w:r>
                    <w:rPr>
                      <w:rFonts w:hint="eastAsia" w:ascii="Times New Roman" w:hAnsi="Times New Roman" w:eastAsia="宋体" w:cs="Times New Roman"/>
                      <w:color w:val="000000"/>
                      <w:kern w:val="0"/>
                      <w:sz w:val="21"/>
                      <w:szCs w:val="21"/>
                      <w:highlight w:val="none"/>
                      <w:lang w:val="en-US" w:eastAsia="zh-CN" w:bidi="ar-SA"/>
                    </w:rPr>
                    <w:t>（折合115.2t）</w:t>
                  </w:r>
                  <w:r>
                    <w:rPr>
                      <w:rFonts w:hint="eastAsia" w:ascii="Times New Roman" w:hAnsi="Times New Roman" w:eastAsia="宋体" w:cs="Times New Roman"/>
                      <w:color w:val="auto"/>
                      <w:spacing w:val="0"/>
                      <w:kern w:val="0"/>
                      <w:sz w:val="21"/>
                      <w:szCs w:val="21"/>
                      <w:highlight w:val="none"/>
                      <w:lang w:val="en-US" w:eastAsia="zh-CN" w:bidi="ar-SA"/>
                    </w:rPr>
                    <w:t>。合计新增年充装</w:t>
                  </w:r>
                  <w:r>
                    <w:rPr>
                      <w:rFonts w:hint="eastAsia" w:cs="Times New Roman"/>
                      <w:color w:val="auto"/>
                      <w:spacing w:val="0"/>
                      <w:kern w:val="0"/>
                      <w:sz w:val="21"/>
                      <w:szCs w:val="21"/>
                      <w:highlight w:val="none"/>
                      <w:lang w:val="en-US" w:eastAsia="zh-CN" w:bidi="ar-SA"/>
                    </w:rPr>
                    <w:t>液体</w:t>
                  </w:r>
                  <w:r>
                    <w:rPr>
                      <w:rFonts w:hint="eastAsia" w:ascii="Times New Roman" w:hAnsi="Times New Roman" w:eastAsia="宋体" w:cs="Times New Roman"/>
                      <w:color w:val="auto"/>
                      <w:spacing w:val="0"/>
                      <w:kern w:val="0"/>
                      <w:sz w:val="21"/>
                      <w:szCs w:val="21"/>
                      <w:highlight w:val="none"/>
                      <w:lang w:val="en-US" w:eastAsia="zh-CN" w:bidi="ar-SA"/>
                    </w:rPr>
                    <w:t>约5160罐（折合823.2吨）</w:t>
                  </w:r>
                </w:p>
              </w:tc>
            </w:tr>
            <w:tr w14:paraId="6F24D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2" w:type="dxa"/>
                  <w:noWrap w:val="0"/>
                  <w:vAlign w:val="center"/>
                </w:tcPr>
                <w:p w14:paraId="5656EC4E">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主要</w:t>
                  </w:r>
                </w:p>
                <w:p w14:paraId="58D039B0">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设备</w:t>
                  </w:r>
                </w:p>
              </w:tc>
              <w:tc>
                <w:tcPr>
                  <w:tcW w:w="2060" w:type="dxa"/>
                  <w:noWrap w:val="0"/>
                  <w:vAlign w:val="center"/>
                </w:tcPr>
                <w:p w14:paraId="39897B19">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溶解乙炔装置、</w:t>
                  </w:r>
                  <w:r>
                    <w:rPr>
                      <w:rFonts w:hint="eastAsia" w:ascii="Times New Roman" w:hAnsi="Times New Roman" w:eastAsia="宋体" w:cs="Times New Roman"/>
                      <w:color w:val="000000"/>
                      <w:kern w:val="0"/>
                      <w:sz w:val="21"/>
                      <w:szCs w:val="21"/>
                      <w:highlight w:val="none"/>
                      <w:lang w:val="en-US" w:eastAsia="zh-CN" w:bidi="ar-SA"/>
                    </w:rPr>
                    <w:t>工业氧气、医用氧气、氮气、氩气、</w:t>
                  </w:r>
                  <w:r>
                    <w:rPr>
                      <w:rFonts w:hint="eastAsia" w:ascii="Times New Roman" w:hAnsi="Times New Roman" w:eastAsia="宋体" w:cs="Times New Roman"/>
                      <w:color w:val="auto"/>
                      <w:kern w:val="0"/>
                      <w:sz w:val="21"/>
                      <w:szCs w:val="21"/>
                      <w:highlight w:val="none"/>
                      <w:lang w:val="en-US" w:eastAsia="zh-CN" w:bidi="ar-SA"/>
                    </w:rPr>
                    <w:t>二氧化碳、混合气体、液化石油气、丙烷</w:t>
                  </w:r>
                  <w:r>
                    <w:rPr>
                      <w:rFonts w:hint="default" w:ascii="Times New Roman" w:hAnsi="Times New Roman" w:eastAsia="宋体" w:cs="Times New Roman"/>
                      <w:color w:val="auto"/>
                      <w:kern w:val="0"/>
                      <w:sz w:val="21"/>
                      <w:szCs w:val="21"/>
                      <w:u w:val="none"/>
                      <w:lang w:val="en-US" w:eastAsia="zh-CN" w:bidi="ar-SA"/>
                    </w:rPr>
                    <w:t>充装装置</w:t>
                  </w:r>
                </w:p>
              </w:tc>
              <w:tc>
                <w:tcPr>
                  <w:tcW w:w="2436" w:type="dxa"/>
                  <w:noWrap w:val="0"/>
                  <w:vAlign w:val="center"/>
                </w:tcPr>
                <w:p w14:paraId="31BB96B0">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1套</w:t>
                  </w:r>
                  <w:r>
                    <w:rPr>
                      <w:rFonts w:hint="default" w:ascii="Times New Roman" w:hAnsi="Times New Roman" w:eastAsia="宋体" w:cs="Times New Roman"/>
                      <w:color w:val="auto"/>
                      <w:kern w:val="0"/>
                      <w:sz w:val="21"/>
                      <w:szCs w:val="21"/>
                      <w:u w:val="none"/>
                      <w:lang w:val="en-US" w:eastAsia="zh-CN" w:bidi="ar-SA"/>
                    </w:rPr>
                    <w:t>547T/D全液化空分装置</w:t>
                  </w:r>
                  <w:r>
                    <w:rPr>
                      <w:rFonts w:hint="eastAsia" w:ascii="Times New Roman" w:hAnsi="Times New Roman" w:eastAsia="宋体" w:cs="Times New Roman"/>
                      <w:color w:val="auto"/>
                      <w:kern w:val="0"/>
                      <w:sz w:val="21"/>
                      <w:szCs w:val="21"/>
                      <w:u w:val="none"/>
                      <w:lang w:val="en-US" w:eastAsia="zh-CN" w:bidi="ar-SA"/>
                    </w:rPr>
                    <w:t>、</w:t>
                  </w:r>
                  <w:r>
                    <w:rPr>
                      <w:rFonts w:hint="eastAsia" w:ascii="Times New Roman" w:hAnsi="Times New Roman" w:eastAsia="宋体" w:cs="Times New Roman"/>
                      <w:color w:val="000000"/>
                      <w:kern w:val="0"/>
                      <w:sz w:val="21"/>
                      <w:szCs w:val="21"/>
                      <w:highlight w:val="none"/>
                      <w:lang w:val="en-US" w:eastAsia="zh-CN" w:bidi="ar-SA"/>
                    </w:rPr>
                    <w:t>工业氧气、医用氧气、氮气、氩气、</w:t>
                  </w:r>
                  <w:r>
                    <w:rPr>
                      <w:rFonts w:hint="eastAsia" w:ascii="Times New Roman" w:hAnsi="Times New Roman" w:eastAsia="宋体" w:cs="Times New Roman"/>
                      <w:color w:val="auto"/>
                      <w:kern w:val="0"/>
                      <w:sz w:val="21"/>
                      <w:szCs w:val="21"/>
                      <w:highlight w:val="none"/>
                      <w:lang w:val="en-US" w:eastAsia="zh-CN" w:bidi="ar-SA"/>
                    </w:rPr>
                    <w:t>二氧化碳、混合气体、液化石油气、丙烷</w:t>
                  </w:r>
                  <w:r>
                    <w:rPr>
                      <w:rFonts w:hint="default" w:ascii="Times New Roman" w:hAnsi="Times New Roman" w:eastAsia="宋体" w:cs="Times New Roman"/>
                      <w:color w:val="auto"/>
                      <w:kern w:val="0"/>
                      <w:sz w:val="21"/>
                      <w:szCs w:val="21"/>
                      <w:u w:val="none"/>
                      <w:lang w:val="en-US" w:eastAsia="zh-CN" w:bidi="ar-SA"/>
                    </w:rPr>
                    <w:t>充装装置、装卸机、气密性试验装置等</w:t>
                  </w:r>
                </w:p>
              </w:tc>
              <w:tc>
                <w:tcPr>
                  <w:tcW w:w="1979" w:type="dxa"/>
                  <w:noWrap w:val="0"/>
                  <w:vAlign w:val="center"/>
                </w:tcPr>
                <w:p w14:paraId="459DE4B4">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1套</w:t>
                  </w:r>
                  <w:r>
                    <w:rPr>
                      <w:rFonts w:hint="default" w:ascii="Times New Roman" w:hAnsi="Times New Roman" w:eastAsia="宋体" w:cs="Times New Roman"/>
                      <w:color w:val="auto"/>
                      <w:kern w:val="0"/>
                      <w:sz w:val="21"/>
                      <w:szCs w:val="21"/>
                      <w:u w:val="none"/>
                      <w:lang w:val="en-US" w:eastAsia="zh-CN" w:bidi="ar-SA"/>
                    </w:rPr>
                    <w:t>547T/D全液化空分装置</w:t>
                  </w:r>
                  <w:r>
                    <w:rPr>
                      <w:rFonts w:hint="eastAsia" w:ascii="Times New Roman" w:hAnsi="Times New Roman" w:eastAsia="宋体" w:cs="Times New Roman"/>
                      <w:color w:val="auto"/>
                      <w:kern w:val="0"/>
                      <w:sz w:val="21"/>
                      <w:szCs w:val="21"/>
                      <w:u w:val="none"/>
                      <w:lang w:val="en-US" w:eastAsia="zh-CN" w:bidi="ar-SA"/>
                    </w:rPr>
                    <w:t>、</w:t>
                  </w:r>
                  <w:r>
                    <w:rPr>
                      <w:rFonts w:hint="eastAsia" w:ascii="Times New Roman" w:hAnsi="Times New Roman" w:eastAsia="宋体" w:cs="Times New Roman"/>
                      <w:color w:val="000000"/>
                      <w:kern w:val="0"/>
                      <w:sz w:val="21"/>
                      <w:szCs w:val="21"/>
                      <w:highlight w:val="none"/>
                      <w:lang w:val="en-US" w:eastAsia="zh-CN" w:bidi="ar-SA"/>
                    </w:rPr>
                    <w:t>工业氧气、医用氧气、氮气、氩气、</w:t>
                  </w:r>
                  <w:r>
                    <w:rPr>
                      <w:rFonts w:hint="eastAsia" w:ascii="Times New Roman" w:hAnsi="Times New Roman" w:eastAsia="宋体" w:cs="Times New Roman"/>
                      <w:color w:val="auto"/>
                      <w:kern w:val="0"/>
                      <w:sz w:val="21"/>
                      <w:szCs w:val="21"/>
                      <w:highlight w:val="none"/>
                      <w:lang w:val="en-US" w:eastAsia="zh-CN" w:bidi="ar-SA"/>
                    </w:rPr>
                    <w:t>二氧化碳、混合气体、液化石油气、丙烷</w:t>
                  </w:r>
                  <w:r>
                    <w:rPr>
                      <w:rFonts w:hint="default" w:ascii="Times New Roman" w:hAnsi="Times New Roman" w:eastAsia="宋体" w:cs="Times New Roman"/>
                      <w:color w:val="auto"/>
                      <w:kern w:val="0"/>
                      <w:sz w:val="21"/>
                      <w:szCs w:val="21"/>
                      <w:u w:val="none"/>
                      <w:lang w:val="en-US" w:eastAsia="zh-CN" w:bidi="ar-SA"/>
                    </w:rPr>
                    <w:t>充装装置</w:t>
                  </w:r>
                </w:p>
              </w:tc>
              <w:tc>
                <w:tcPr>
                  <w:tcW w:w="1434" w:type="dxa"/>
                  <w:noWrap w:val="0"/>
                  <w:vAlign w:val="center"/>
                </w:tcPr>
                <w:p w14:paraId="1CFEB98C">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取消</w:t>
                  </w:r>
                  <w:r>
                    <w:rPr>
                      <w:rFonts w:hint="default" w:ascii="Times New Roman" w:hAnsi="Times New Roman" w:eastAsia="宋体" w:cs="Times New Roman"/>
                      <w:color w:val="auto"/>
                      <w:kern w:val="0"/>
                      <w:sz w:val="21"/>
                      <w:szCs w:val="21"/>
                      <w:u w:val="none"/>
                      <w:lang w:val="en-US" w:eastAsia="zh-CN" w:bidi="ar-SA"/>
                    </w:rPr>
                    <w:t>溶解乙炔</w:t>
                  </w:r>
                  <w:r>
                    <w:rPr>
                      <w:rFonts w:hint="eastAsia" w:ascii="Times New Roman" w:hAnsi="Times New Roman" w:eastAsia="宋体" w:cs="Times New Roman"/>
                      <w:color w:val="auto"/>
                      <w:kern w:val="0"/>
                      <w:sz w:val="21"/>
                      <w:szCs w:val="21"/>
                      <w:u w:val="none"/>
                      <w:lang w:val="en-US" w:eastAsia="zh-CN" w:bidi="ar-SA"/>
                    </w:rPr>
                    <w:t>装置</w:t>
                  </w:r>
                  <w:r>
                    <w:rPr>
                      <w:rFonts w:hint="default" w:ascii="Times New Roman" w:hAnsi="Times New Roman" w:eastAsia="宋体" w:cs="Times New Roman"/>
                      <w:color w:val="auto"/>
                      <w:kern w:val="0"/>
                      <w:sz w:val="21"/>
                      <w:szCs w:val="21"/>
                      <w:u w:val="none"/>
                      <w:lang w:val="en-US" w:eastAsia="zh-CN" w:bidi="ar-SA"/>
                    </w:rPr>
                    <w:t>，新增建设547T/D全液化空分装置</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气体充装线装置</w:t>
                  </w:r>
                </w:p>
              </w:tc>
            </w:tr>
            <w:tr w14:paraId="531C4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2" w:type="dxa"/>
                  <w:noWrap w:val="0"/>
                  <w:vAlign w:val="center"/>
                </w:tcPr>
                <w:p w14:paraId="24EEE7BB">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劳动</w:t>
                  </w:r>
                </w:p>
                <w:p w14:paraId="0C271972">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定员</w:t>
                  </w:r>
                </w:p>
              </w:tc>
              <w:tc>
                <w:tcPr>
                  <w:tcW w:w="2060" w:type="dxa"/>
                  <w:noWrap w:val="0"/>
                  <w:vAlign w:val="center"/>
                </w:tcPr>
                <w:p w14:paraId="11A120C2">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6</w:t>
                  </w:r>
                  <w:r>
                    <w:rPr>
                      <w:rFonts w:hint="default" w:ascii="Times New Roman" w:hAnsi="Times New Roman" w:eastAsia="宋体" w:cs="Times New Roman"/>
                      <w:color w:val="auto"/>
                      <w:kern w:val="0"/>
                      <w:sz w:val="21"/>
                      <w:szCs w:val="21"/>
                      <w:u w:val="none"/>
                      <w:lang w:val="en-US" w:eastAsia="zh-CN" w:bidi="ar-SA"/>
                    </w:rPr>
                    <w:t>0人</w:t>
                  </w:r>
                </w:p>
              </w:tc>
              <w:tc>
                <w:tcPr>
                  <w:tcW w:w="2436" w:type="dxa"/>
                  <w:noWrap w:val="0"/>
                  <w:vAlign w:val="center"/>
                </w:tcPr>
                <w:p w14:paraId="77DA4B3E">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6</w:t>
                  </w:r>
                  <w:r>
                    <w:rPr>
                      <w:rFonts w:hint="default" w:ascii="Times New Roman" w:hAnsi="Times New Roman" w:eastAsia="宋体" w:cs="Times New Roman"/>
                      <w:color w:val="auto"/>
                      <w:kern w:val="0"/>
                      <w:sz w:val="21"/>
                      <w:szCs w:val="21"/>
                      <w:u w:val="none"/>
                      <w:lang w:val="en-US" w:eastAsia="zh-CN" w:bidi="ar-SA"/>
                    </w:rPr>
                    <w:t>0人</w:t>
                  </w:r>
                </w:p>
              </w:tc>
              <w:tc>
                <w:tcPr>
                  <w:tcW w:w="1979" w:type="dxa"/>
                  <w:noWrap w:val="0"/>
                  <w:vAlign w:val="center"/>
                </w:tcPr>
                <w:p w14:paraId="264166E0">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6</w:t>
                  </w:r>
                  <w:r>
                    <w:rPr>
                      <w:rFonts w:hint="default" w:ascii="Times New Roman" w:hAnsi="Times New Roman" w:eastAsia="宋体" w:cs="Times New Roman"/>
                      <w:color w:val="auto"/>
                      <w:kern w:val="0"/>
                      <w:sz w:val="21"/>
                      <w:szCs w:val="21"/>
                      <w:u w:val="none"/>
                      <w:lang w:val="en-US" w:eastAsia="zh-CN" w:bidi="ar-SA"/>
                    </w:rPr>
                    <w:t>0人</w:t>
                  </w:r>
                </w:p>
              </w:tc>
              <w:tc>
                <w:tcPr>
                  <w:tcW w:w="1434" w:type="dxa"/>
                  <w:noWrap w:val="0"/>
                  <w:vAlign w:val="center"/>
                </w:tcPr>
                <w:p w14:paraId="6AA26D25">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变动后</w:t>
                  </w:r>
                  <w:r>
                    <w:rPr>
                      <w:rFonts w:hint="default" w:ascii="Times New Roman" w:hAnsi="Times New Roman" w:eastAsia="宋体" w:cs="Times New Roman"/>
                      <w:color w:val="auto"/>
                      <w:kern w:val="0"/>
                      <w:sz w:val="21"/>
                      <w:szCs w:val="21"/>
                      <w:u w:val="none"/>
                      <w:lang w:val="en-US" w:eastAsia="zh-CN" w:bidi="ar-SA"/>
                    </w:rPr>
                    <w:t>不新增人员</w:t>
                  </w:r>
                </w:p>
              </w:tc>
            </w:tr>
            <w:tr w14:paraId="13D53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822" w:type="dxa"/>
                  <w:noWrap w:val="0"/>
                  <w:vAlign w:val="center"/>
                </w:tcPr>
                <w:p w14:paraId="152C38FD">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工作</w:t>
                  </w:r>
                </w:p>
                <w:p w14:paraId="294CCA80">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制度</w:t>
                  </w:r>
                </w:p>
              </w:tc>
              <w:tc>
                <w:tcPr>
                  <w:tcW w:w="2060" w:type="dxa"/>
                  <w:noWrap w:val="0"/>
                  <w:vAlign w:val="center"/>
                </w:tcPr>
                <w:p w14:paraId="4DA4A773">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年工作330d，</w:t>
                  </w:r>
                  <w:r>
                    <w:rPr>
                      <w:rFonts w:hint="eastAsia" w:ascii="Times New Roman" w:hAnsi="Times New Roman" w:eastAsia="宋体" w:cs="Times New Roman"/>
                      <w:color w:val="auto"/>
                      <w:kern w:val="0"/>
                      <w:sz w:val="21"/>
                      <w:szCs w:val="21"/>
                      <w:u w:val="none"/>
                      <w:lang w:val="en-US" w:eastAsia="zh-CN" w:bidi="ar-SA"/>
                    </w:rPr>
                    <w:t>24</w:t>
                  </w:r>
                  <w:r>
                    <w:rPr>
                      <w:rFonts w:hint="default" w:ascii="Times New Roman" w:hAnsi="Times New Roman" w:eastAsia="宋体" w:cs="Times New Roman"/>
                      <w:color w:val="auto"/>
                      <w:kern w:val="0"/>
                      <w:sz w:val="21"/>
                      <w:szCs w:val="21"/>
                      <w:u w:val="none"/>
                      <w:lang w:val="en-US" w:eastAsia="zh-CN" w:bidi="ar-SA"/>
                    </w:rPr>
                    <w:t>h/d</w:t>
                  </w:r>
                </w:p>
              </w:tc>
              <w:tc>
                <w:tcPr>
                  <w:tcW w:w="2436" w:type="dxa"/>
                  <w:noWrap w:val="0"/>
                  <w:vAlign w:val="center"/>
                </w:tcPr>
                <w:p w14:paraId="46F931AC">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highlight w:val="yellow"/>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年工作330d，</w:t>
                  </w:r>
                  <w:r>
                    <w:rPr>
                      <w:rFonts w:hint="eastAsia" w:ascii="Times New Roman" w:hAnsi="Times New Roman" w:eastAsia="宋体" w:cs="Times New Roman"/>
                      <w:color w:val="auto"/>
                      <w:kern w:val="0"/>
                      <w:sz w:val="21"/>
                      <w:szCs w:val="21"/>
                      <w:u w:val="none"/>
                      <w:lang w:val="en-US" w:eastAsia="zh-CN" w:bidi="ar-SA"/>
                    </w:rPr>
                    <w:t>24</w:t>
                  </w:r>
                  <w:r>
                    <w:rPr>
                      <w:rFonts w:hint="default" w:ascii="Times New Roman" w:hAnsi="Times New Roman" w:eastAsia="宋体" w:cs="Times New Roman"/>
                      <w:color w:val="auto"/>
                      <w:kern w:val="0"/>
                      <w:sz w:val="21"/>
                      <w:szCs w:val="21"/>
                      <w:u w:val="none"/>
                      <w:lang w:val="en-US" w:eastAsia="zh-CN" w:bidi="ar-SA"/>
                    </w:rPr>
                    <w:t>h/d</w:t>
                  </w:r>
                </w:p>
              </w:tc>
              <w:tc>
                <w:tcPr>
                  <w:tcW w:w="1979" w:type="dxa"/>
                  <w:noWrap w:val="0"/>
                  <w:vAlign w:val="center"/>
                </w:tcPr>
                <w:p w14:paraId="08320CAE">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年工作330d，</w:t>
                  </w:r>
                  <w:r>
                    <w:rPr>
                      <w:rFonts w:hint="eastAsia" w:ascii="Times New Roman" w:hAnsi="Times New Roman" w:eastAsia="宋体" w:cs="Times New Roman"/>
                      <w:color w:val="auto"/>
                      <w:kern w:val="0"/>
                      <w:sz w:val="21"/>
                      <w:szCs w:val="21"/>
                      <w:u w:val="none"/>
                      <w:lang w:val="en-US" w:eastAsia="zh-CN" w:bidi="ar-SA"/>
                    </w:rPr>
                    <w:t>24</w:t>
                  </w:r>
                  <w:r>
                    <w:rPr>
                      <w:rFonts w:hint="default" w:ascii="Times New Roman" w:hAnsi="Times New Roman" w:eastAsia="宋体" w:cs="Times New Roman"/>
                      <w:color w:val="auto"/>
                      <w:kern w:val="0"/>
                      <w:sz w:val="21"/>
                      <w:szCs w:val="21"/>
                      <w:u w:val="none"/>
                      <w:lang w:val="en-US" w:eastAsia="zh-CN" w:bidi="ar-SA"/>
                    </w:rPr>
                    <w:t>h/d</w:t>
                  </w:r>
                </w:p>
              </w:tc>
              <w:tc>
                <w:tcPr>
                  <w:tcW w:w="1434" w:type="dxa"/>
                  <w:noWrap w:val="0"/>
                  <w:vAlign w:val="center"/>
                </w:tcPr>
                <w:p w14:paraId="57EF2328">
                  <w:pPr>
                    <w:widowControl/>
                    <w:snapToGrid w:val="0"/>
                    <w:spacing w:before="0" w:after="0" w:line="240" w:lineRule="exact"/>
                    <w:ind w:right="113" w:firstLine="210" w:firstLineChars="10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一致</w:t>
                  </w:r>
                </w:p>
              </w:tc>
            </w:tr>
            <w:tr w14:paraId="39AB3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2" w:type="dxa"/>
                  <w:noWrap w:val="0"/>
                  <w:vAlign w:val="center"/>
                </w:tcPr>
                <w:p w14:paraId="643D0C5F">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废水</w:t>
                  </w:r>
                </w:p>
                <w:p w14:paraId="16ADB4D9">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处理设施</w:t>
                  </w:r>
                </w:p>
              </w:tc>
              <w:tc>
                <w:tcPr>
                  <w:tcW w:w="2060" w:type="dxa"/>
                  <w:noWrap w:val="0"/>
                  <w:vAlign w:val="center"/>
                </w:tcPr>
                <w:p w14:paraId="3FCA22F3">
                  <w:pPr>
                    <w:widowControl/>
                    <w:spacing w:line="240" w:lineRule="auto"/>
                    <w:ind w:firstLine="0" w:firstLineChars="0"/>
                    <w:jc w:val="left"/>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kern w:val="0"/>
                      <w:sz w:val="21"/>
                      <w:szCs w:val="21"/>
                      <w:u w:val="none"/>
                      <w:lang w:bidi="ar"/>
                    </w:rPr>
                    <w:t>生产废水经电石渣沉淀池处理后回用；</w:t>
                  </w:r>
                  <w:r>
                    <w:rPr>
                      <w:rFonts w:hint="eastAsia"/>
                      <w:color w:val="auto"/>
                      <w:sz w:val="21"/>
                      <w:szCs w:val="21"/>
                      <w:lang w:val="en-US" w:eastAsia="zh-CN"/>
                    </w:rPr>
                    <w:t>生活污水经化粪池收集处理后接管排入园区污水管网再进入长青工业园区污水处理厂进一步处理</w:t>
                  </w:r>
                </w:p>
              </w:tc>
              <w:tc>
                <w:tcPr>
                  <w:tcW w:w="2436" w:type="dxa"/>
                  <w:noWrap w:val="0"/>
                  <w:vAlign w:val="center"/>
                </w:tcPr>
                <w:p w14:paraId="106682B4">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取消</w:t>
                  </w:r>
                  <w:r>
                    <w:rPr>
                      <w:rFonts w:hint="default" w:ascii="Times New Roman" w:hAnsi="Times New Roman" w:eastAsia="宋体" w:cs="Times New Roman"/>
                      <w:color w:val="auto"/>
                      <w:kern w:val="0"/>
                      <w:sz w:val="21"/>
                      <w:szCs w:val="21"/>
                      <w:u w:val="none"/>
                      <w:lang w:val="en-US" w:eastAsia="zh-CN" w:bidi="ar-SA"/>
                    </w:rPr>
                    <w:t>乙炔生产线，</w:t>
                  </w:r>
                  <w:r>
                    <w:rPr>
                      <w:rFonts w:hint="eastAsia" w:ascii="Times New Roman" w:hAnsi="Times New Roman" w:eastAsia="宋体" w:cs="Times New Roman"/>
                      <w:color w:val="auto"/>
                      <w:kern w:val="0"/>
                      <w:sz w:val="21"/>
                      <w:szCs w:val="21"/>
                      <w:u w:val="none"/>
                      <w:lang w:val="en-US" w:eastAsia="zh-CN" w:bidi="ar-SA"/>
                    </w:rPr>
                    <w:t>变动</w:t>
                  </w:r>
                  <w:r>
                    <w:rPr>
                      <w:rFonts w:hint="default" w:ascii="Times New Roman" w:hAnsi="Times New Roman" w:eastAsia="宋体" w:cs="Times New Roman"/>
                      <w:color w:val="auto"/>
                      <w:kern w:val="0"/>
                      <w:sz w:val="21"/>
                      <w:szCs w:val="21"/>
                      <w:u w:val="none"/>
                      <w:lang w:val="en-US" w:eastAsia="zh-CN" w:bidi="ar-SA"/>
                    </w:rPr>
                    <w:t>后</w:t>
                  </w:r>
                  <w:r>
                    <w:rPr>
                      <w:rFonts w:hint="eastAsia" w:ascii="Times New Roman" w:hAnsi="Times New Roman" w:eastAsia="宋体" w:cs="Times New Roman"/>
                      <w:color w:val="auto"/>
                      <w:kern w:val="0"/>
                      <w:sz w:val="21"/>
                      <w:szCs w:val="21"/>
                      <w:u w:val="none"/>
                      <w:lang w:val="en-US" w:eastAsia="zh-CN" w:bidi="ar-SA"/>
                    </w:rPr>
                    <w:t>生产废水</w:t>
                  </w:r>
                  <w:r>
                    <w:rPr>
                      <w:rFonts w:hint="default" w:ascii="Times New Roman" w:hAnsi="Times New Roman" w:eastAsia="宋体" w:cs="Times New Roman"/>
                      <w:color w:val="auto"/>
                      <w:sz w:val="21"/>
                      <w:szCs w:val="21"/>
                      <w:lang w:val="en-US" w:eastAsia="zh-CN"/>
                    </w:rPr>
                    <w:t>排放至园区污水管线进入长青工业园污水处理厂（宝鸡天龙污水处理有限公司）处理</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不新增生活污水</w:t>
                  </w:r>
                </w:p>
              </w:tc>
              <w:tc>
                <w:tcPr>
                  <w:tcW w:w="1979" w:type="dxa"/>
                  <w:noWrap w:val="0"/>
                  <w:vAlign w:val="center"/>
                </w:tcPr>
                <w:p w14:paraId="7A1D6B67">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生产废水</w:t>
                  </w:r>
                  <w:r>
                    <w:rPr>
                      <w:rFonts w:hint="default" w:ascii="Times New Roman" w:hAnsi="Times New Roman" w:eastAsia="宋体" w:cs="Times New Roman"/>
                      <w:color w:val="auto"/>
                      <w:sz w:val="21"/>
                      <w:szCs w:val="21"/>
                      <w:lang w:val="en-US" w:eastAsia="zh-CN"/>
                    </w:rPr>
                    <w:t>排放至园区污水管线进入长青工业园污水处理厂（宝鸡天龙污水处理有限公司）处理</w:t>
                  </w:r>
                  <w:r>
                    <w:rPr>
                      <w:rFonts w:hint="eastAsia" w:ascii="Times New Roman" w:hAnsi="Times New Roman" w:eastAsia="宋体" w:cs="Times New Roman"/>
                      <w:color w:val="auto"/>
                      <w:sz w:val="21"/>
                      <w:szCs w:val="21"/>
                      <w:lang w:val="en-US" w:eastAsia="zh-CN"/>
                    </w:rPr>
                    <w:t>。</w:t>
                  </w:r>
                  <w:r>
                    <w:rPr>
                      <w:rFonts w:hint="eastAsia"/>
                      <w:color w:val="auto"/>
                      <w:sz w:val="21"/>
                      <w:szCs w:val="21"/>
                      <w:lang w:val="en-US" w:eastAsia="zh-CN"/>
                    </w:rPr>
                    <w:t>生活污水经化粪池收集处理后接管排入园区污水管网再进入长青工业园区污水处理厂进一步处理</w:t>
                  </w:r>
                </w:p>
              </w:tc>
              <w:tc>
                <w:tcPr>
                  <w:tcW w:w="1434" w:type="dxa"/>
                  <w:noWrap w:val="0"/>
                  <w:vAlign w:val="center"/>
                </w:tcPr>
                <w:p w14:paraId="023B99E4">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变动</w:t>
                  </w:r>
                  <w:r>
                    <w:rPr>
                      <w:rFonts w:hint="default" w:ascii="Times New Roman" w:hAnsi="Times New Roman" w:eastAsia="宋体" w:cs="Times New Roman"/>
                      <w:color w:val="auto"/>
                      <w:kern w:val="0"/>
                      <w:sz w:val="21"/>
                      <w:szCs w:val="21"/>
                      <w:u w:val="none"/>
                      <w:lang w:val="en-US" w:eastAsia="zh-CN" w:bidi="ar-SA"/>
                    </w:rPr>
                    <w:t>后，</w:t>
                  </w:r>
                  <w:r>
                    <w:rPr>
                      <w:rFonts w:hint="eastAsia" w:ascii="Times New Roman" w:hAnsi="Times New Roman" w:eastAsia="宋体" w:cs="Times New Roman"/>
                      <w:color w:val="auto"/>
                      <w:kern w:val="0"/>
                      <w:sz w:val="21"/>
                      <w:szCs w:val="21"/>
                      <w:u w:val="none"/>
                      <w:lang w:val="en-US" w:eastAsia="zh-CN" w:bidi="ar-SA"/>
                    </w:rPr>
                    <w:t>取消</w:t>
                  </w:r>
                  <w:r>
                    <w:rPr>
                      <w:rFonts w:hint="default" w:ascii="Times New Roman" w:hAnsi="Times New Roman" w:eastAsia="宋体" w:cs="Times New Roman"/>
                      <w:color w:val="auto"/>
                      <w:kern w:val="0"/>
                      <w:sz w:val="21"/>
                      <w:szCs w:val="21"/>
                      <w:u w:val="none"/>
                      <w:lang w:val="en-US" w:eastAsia="zh-CN" w:bidi="ar-SA"/>
                    </w:rPr>
                    <w:t>乙炔生产线，</w:t>
                  </w:r>
                  <w:r>
                    <w:rPr>
                      <w:rFonts w:hint="eastAsia" w:ascii="Times New Roman" w:hAnsi="Times New Roman" w:eastAsia="宋体" w:cs="Times New Roman"/>
                      <w:color w:val="auto"/>
                      <w:kern w:val="0"/>
                      <w:sz w:val="21"/>
                      <w:szCs w:val="21"/>
                      <w:u w:val="none"/>
                      <w:lang w:val="en-US" w:eastAsia="zh-CN" w:bidi="ar-SA"/>
                    </w:rPr>
                    <w:t>生产废水</w:t>
                  </w:r>
                  <w:r>
                    <w:rPr>
                      <w:rFonts w:hint="default" w:ascii="Times New Roman" w:hAnsi="Times New Roman" w:eastAsia="宋体" w:cs="Times New Roman"/>
                      <w:color w:val="auto"/>
                      <w:sz w:val="21"/>
                      <w:szCs w:val="21"/>
                      <w:lang w:val="en-US" w:eastAsia="zh-CN"/>
                    </w:rPr>
                    <w:t>排放至园区污水管线进入长青工业园污水处理厂（宝鸡天龙污水处理有限公司）处理</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不新增生活污水</w:t>
                  </w:r>
                </w:p>
              </w:tc>
            </w:tr>
            <w:tr w14:paraId="17C8D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2" w:type="dxa"/>
                  <w:noWrap w:val="0"/>
                  <w:vAlign w:val="center"/>
                </w:tcPr>
                <w:p w14:paraId="532AB5FC">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废气</w:t>
                  </w:r>
                </w:p>
                <w:p w14:paraId="2F40175A">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处理设施</w:t>
                  </w:r>
                </w:p>
              </w:tc>
              <w:tc>
                <w:tcPr>
                  <w:tcW w:w="2060" w:type="dxa"/>
                  <w:noWrap w:val="0"/>
                  <w:vAlign w:val="center"/>
                </w:tcPr>
                <w:p w14:paraId="3A4A8C87">
                  <w:pPr>
                    <w:spacing w:before="52" w:line="215" w:lineRule="auto"/>
                    <w:ind w:left="57" w:firstLine="0" w:firstLineChars="0"/>
                    <w:jc w:val="both"/>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kern w:val="0"/>
                      <w:sz w:val="21"/>
                      <w:szCs w:val="21"/>
                      <w:u w:val="none"/>
                      <w:lang w:bidi="ar"/>
                    </w:rPr>
                    <w:t>乙炔发生站和电石渣沉淀池各设1套集气装置，分别由1根15m高排气筒排放</w:t>
                  </w:r>
                  <w:r>
                    <w:rPr>
                      <w:rFonts w:hint="eastAsia" w:cs="Times New Roman"/>
                      <w:color w:val="auto"/>
                      <w:kern w:val="0"/>
                      <w:sz w:val="21"/>
                      <w:szCs w:val="21"/>
                      <w:u w:val="none"/>
                      <w:lang w:eastAsia="zh-CN" w:bidi="ar"/>
                    </w:rPr>
                    <w:t>、</w:t>
                  </w:r>
                  <w:r>
                    <w:rPr>
                      <w:rFonts w:hint="eastAsia" w:ascii="Times New Roman" w:hAnsi="Times New Roman" w:eastAsia="宋体" w:cs="Times New Roman"/>
                      <w:color w:val="auto"/>
                      <w:kern w:val="0"/>
                      <w:sz w:val="21"/>
                      <w:szCs w:val="21"/>
                      <w:u w:val="none"/>
                      <w:lang w:val="en-US" w:eastAsia="zh-CN" w:bidi="ar-SA"/>
                    </w:rPr>
                    <w:t>液化石油气、丙烷</w:t>
                  </w:r>
                  <w:r>
                    <w:rPr>
                      <w:rFonts w:hint="default" w:ascii="Times New Roman" w:hAnsi="Times New Roman" w:eastAsia="宋体" w:cs="Times New Roman"/>
                      <w:color w:val="auto"/>
                      <w:kern w:val="0"/>
                      <w:sz w:val="21"/>
                      <w:szCs w:val="21"/>
                      <w:u w:val="none"/>
                      <w:lang w:val="en-US" w:eastAsia="zh-CN" w:bidi="ar-SA"/>
                    </w:rPr>
                    <w:t>卸料、充装过程逸出废气</w:t>
                  </w:r>
                </w:p>
              </w:tc>
              <w:tc>
                <w:tcPr>
                  <w:tcW w:w="2436" w:type="dxa"/>
                  <w:noWrap w:val="0"/>
                  <w:vAlign w:val="center"/>
                </w:tcPr>
                <w:p w14:paraId="784ADDBF">
                  <w:pPr>
                    <w:widowControl/>
                    <w:snapToGrid/>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cs="Times New Roman"/>
                      <w:b w:val="0"/>
                      <w:bCs w:val="0"/>
                      <w:color w:val="auto"/>
                      <w:sz w:val="21"/>
                      <w:szCs w:val="21"/>
                      <w:vertAlign w:val="baseline"/>
                      <w:lang w:val="en-US" w:eastAsia="zh-CN"/>
                    </w:rPr>
                    <w:t>空分设备线</w:t>
                  </w:r>
                  <w:r>
                    <w:rPr>
                      <w:rFonts w:hint="default" w:ascii="Times New Roman" w:hAnsi="Times New Roman" w:cs="Times New Roman"/>
                      <w:b w:val="0"/>
                      <w:bCs w:val="0"/>
                      <w:color w:val="auto"/>
                      <w:sz w:val="21"/>
                      <w:szCs w:val="21"/>
                      <w:vertAlign w:val="baseline"/>
                      <w:lang w:eastAsia="zh-CN"/>
                    </w:rPr>
                    <w:t>的</w:t>
                  </w:r>
                  <w:r>
                    <w:rPr>
                      <w:rFonts w:hint="default" w:ascii="Times New Roman" w:hAnsi="Times New Roman" w:cs="Times New Roman"/>
                      <w:b w:val="0"/>
                      <w:bCs w:val="0"/>
                      <w:color w:val="auto"/>
                      <w:sz w:val="21"/>
                      <w:szCs w:val="21"/>
                      <w:highlight w:val="none"/>
                      <w:vertAlign w:val="baseline"/>
                      <w:lang w:eastAsia="zh-CN"/>
                    </w:rPr>
                    <w:t>污氮（纯度不高的氮气）</w:t>
                  </w:r>
                  <w:r>
                    <w:rPr>
                      <w:rFonts w:hint="eastAsia" w:ascii="Times New Roman" w:hAnsi="Times New Roman" w:cs="Times New Roman"/>
                      <w:b w:val="0"/>
                      <w:bCs w:val="0"/>
                      <w:color w:val="auto"/>
                      <w:sz w:val="21"/>
                      <w:szCs w:val="21"/>
                      <w:highlight w:val="none"/>
                      <w:vertAlign w:val="baseline"/>
                      <w:lang w:val="en-US" w:eastAsia="zh-CN"/>
                    </w:rPr>
                    <w:t>及气体充装线</w:t>
                  </w:r>
                  <w:r>
                    <w:rPr>
                      <w:rFonts w:hint="eastAsia" w:ascii="Times New Roman" w:hAnsi="Times New Roman" w:eastAsia="宋体" w:cs="Times New Roman"/>
                      <w:color w:val="auto"/>
                      <w:kern w:val="0"/>
                      <w:sz w:val="21"/>
                      <w:szCs w:val="21"/>
                      <w:u w:val="none"/>
                      <w:lang w:val="en-US" w:eastAsia="zh-CN" w:bidi="ar-SA"/>
                    </w:rPr>
                    <w:t>液化石油气、丙烷</w:t>
                  </w:r>
                  <w:r>
                    <w:rPr>
                      <w:rFonts w:hint="default" w:ascii="Times New Roman" w:hAnsi="Times New Roman" w:eastAsia="宋体" w:cs="Times New Roman"/>
                      <w:color w:val="auto"/>
                      <w:kern w:val="0"/>
                      <w:sz w:val="21"/>
                      <w:szCs w:val="21"/>
                      <w:u w:val="none"/>
                      <w:lang w:val="en-US" w:eastAsia="zh-CN" w:bidi="ar-SA"/>
                    </w:rPr>
                    <w:t>卸料、充装过程逸出废气</w:t>
                  </w:r>
                </w:p>
              </w:tc>
              <w:tc>
                <w:tcPr>
                  <w:tcW w:w="1979" w:type="dxa"/>
                  <w:noWrap w:val="0"/>
                  <w:vAlign w:val="center"/>
                </w:tcPr>
                <w:p w14:paraId="742EDC55">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cs="Times New Roman"/>
                      <w:b w:val="0"/>
                      <w:bCs w:val="0"/>
                      <w:color w:val="auto"/>
                      <w:sz w:val="21"/>
                      <w:szCs w:val="21"/>
                      <w:vertAlign w:val="baseline"/>
                      <w:lang w:val="en-US" w:eastAsia="zh-CN"/>
                    </w:rPr>
                    <w:t>空分设备线</w:t>
                  </w:r>
                  <w:r>
                    <w:rPr>
                      <w:rFonts w:hint="default" w:ascii="Times New Roman" w:hAnsi="Times New Roman" w:cs="Times New Roman"/>
                      <w:b w:val="0"/>
                      <w:bCs w:val="0"/>
                      <w:color w:val="auto"/>
                      <w:sz w:val="21"/>
                      <w:szCs w:val="21"/>
                      <w:vertAlign w:val="baseline"/>
                      <w:lang w:eastAsia="zh-CN"/>
                    </w:rPr>
                    <w:t>的</w:t>
                  </w:r>
                  <w:r>
                    <w:rPr>
                      <w:rFonts w:hint="default" w:ascii="Times New Roman" w:hAnsi="Times New Roman" w:cs="Times New Roman"/>
                      <w:b w:val="0"/>
                      <w:bCs w:val="0"/>
                      <w:color w:val="auto"/>
                      <w:sz w:val="21"/>
                      <w:szCs w:val="21"/>
                      <w:highlight w:val="none"/>
                      <w:vertAlign w:val="baseline"/>
                      <w:lang w:eastAsia="zh-CN"/>
                    </w:rPr>
                    <w:t>污氮（纯度不高的氮气）</w:t>
                  </w:r>
                  <w:r>
                    <w:rPr>
                      <w:rFonts w:hint="eastAsia" w:ascii="Times New Roman" w:hAnsi="Times New Roman" w:cs="Times New Roman"/>
                      <w:b w:val="0"/>
                      <w:bCs w:val="0"/>
                      <w:color w:val="auto"/>
                      <w:sz w:val="21"/>
                      <w:szCs w:val="21"/>
                      <w:highlight w:val="none"/>
                      <w:vertAlign w:val="baseline"/>
                      <w:lang w:val="en-US" w:eastAsia="zh-CN"/>
                    </w:rPr>
                    <w:t>及气体充装线</w:t>
                  </w:r>
                  <w:r>
                    <w:rPr>
                      <w:rFonts w:hint="eastAsia" w:ascii="Times New Roman" w:hAnsi="Times New Roman" w:eastAsia="宋体" w:cs="Times New Roman"/>
                      <w:color w:val="auto"/>
                      <w:kern w:val="0"/>
                      <w:sz w:val="21"/>
                      <w:szCs w:val="21"/>
                      <w:u w:val="none"/>
                      <w:lang w:val="en-US" w:eastAsia="zh-CN" w:bidi="ar-SA"/>
                    </w:rPr>
                    <w:t>液化石油气、丙烷</w:t>
                  </w:r>
                  <w:r>
                    <w:rPr>
                      <w:rFonts w:hint="default" w:ascii="Times New Roman" w:hAnsi="Times New Roman" w:eastAsia="宋体" w:cs="Times New Roman"/>
                      <w:color w:val="auto"/>
                      <w:kern w:val="0"/>
                      <w:sz w:val="21"/>
                      <w:szCs w:val="21"/>
                      <w:u w:val="none"/>
                      <w:lang w:val="en-US" w:eastAsia="zh-CN" w:bidi="ar-SA"/>
                    </w:rPr>
                    <w:t>卸料、充装过程逸出废气</w:t>
                  </w:r>
                </w:p>
              </w:tc>
              <w:tc>
                <w:tcPr>
                  <w:tcW w:w="1434" w:type="dxa"/>
                  <w:noWrap w:val="0"/>
                  <w:vAlign w:val="center"/>
                </w:tcPr>
                <w:p w14:paraId="53FD3EAA">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废气排放量减少</w:t>
                  </w:r>
                </w:p>
              </w:tc>
            </w:tr>
            <w:tr w14:paraId="5F727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22" w:type="dxa"/>
                  <w:noWrap w:val="0"/>
                  <w:vAlign w:val="center"/>
                </w:tcPr>
                <w:p w14:paraId="620EA07F">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固废</w:t>
                  </w:r>
                </w:p>
                <w:p w14:paraId="0866C4D2">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处理及处置措施</w:t>
                  </w:r>
                </w:p>
              </w:tc>
              <w:tc>
                <w:tcPr>
                  <w:tcW w:w="2060" w:type="dxa"/>
                  <w:noWrap w:val="0"/>
                  <w:vAlign w:val="center"/>
                </w:tcPr>
                <w:p w14:paraId="1549532A">
                  <w:pPr>
                    <w:widowControl/>
                    <w:snapToGrid w:val="0"/>
                    <w:spacing w:before="0" w:after="0" w:line="240" w:lineRule="auto"/>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电石渣池经压滤后后外售综合利用；原料包装袋和废氯化钙由供应商回收</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废钢瓶、废气阀等配件，由供应商回收</w:t>
                  </w:r>
                </w:p>
              </w:tc>
              <w:tc>
                <w:tcPr>
                  <w:tcW w:w="2436" w:type="dxa"/>
                  <w:noWrap w:val="0"/>
                  <w:vAlign w:val="center"/>
                </w:tcPr>
                <w:p w14:paraId="1D20F5FE">
                  <w:pPr>
                    <w:widowControl/>
                    <w:snapToGrid w:val="0"/>
                    <w:spacing w:before="0" w:after="0" w:line="240" w:lineRule="auto"/>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一般固废</w:t>
                  </w:r>
                  <w:r>
                    <w:rPr>
                      <w:rFonts w:hint="eastAsia" w:cs="Times New Roman"/>
                      <w:color w:val="auto"/>
                      <w:kern w:val="0"/>
                      <w:sz w:val="21"/>
                      <w:szCs w:val="21"/>
                      <w:u w:val="none"/>
                      <w:lang w:val="en-US" w:eastAsia="zh-CN" w:bidi="ar-SA"/>
                    </w:rPr>
                    <w:t>为</w:t>
                  </w:r>
                  <w:r>
                    <w:rPr>
                      <w:rFonts w:hint="default" w:ascii="Times New Roman" w:hAnsi="Times New Roman" w:eastAsia="宋体" w:cs="Times New Roman"/>
                      <w:color w:val="auto"/>
                      <w:kern w:val="0"/>
                      <w:sz w:val="21"/>
                      <w:szCs w:val="21"/>
                      <w:u w:val="none"/>
                      <w:lang w:val="en-US" w:eastAsia="zh-CN" w:bidi="ar-SA"/>
                    </w:rPr>
                    <w:t>废旧滤筒、废吸附剂（分子筛和氧化铝）、废珠光砂</w:t>
                  </w:r>
                  <w:r>
                    <w:rPr>
                      <w:rFonts w:hint="eastAsia" w:ascii="Times New Roman" w:hAnsi="Times New Roman" w:eastAsia="宋体" w:cs="Times New Roman"/>
                      <w:color w:val="auto"/>
                      <w:kern w:val="0"/>
                      <w:sz w:val="21"/>
                      <w:szCs w:val="21"/>
                      <w:u w:val="none"/>
                      <w:lang w:val="en-US" w:eastAsia="zh-CN" w:bidi="ar-SA"/>
                    </w:rPr>
                    <w:t>等</w:t>
                  </w:r>
                  <w:r>
                    <w:rPr>
                      <w:rFonts w:hint="eastAsia" w:cs="Times New Roman"/>
                      <w:color w:val="auto"/>
                      <w:kern w:val="0"/>
                      <w:sz w:val="21"/>
                      <w:szCs w:val="21"/>
                      <w:u w:val="none"/>
                      <w:lang w:val="en-US" w:eastAsia="zh-CN" w:bidi="ar-SA"/>
                    </w:rPr>
                    <w:t>。其中：废旧滤筒、废吸附剂（分子筛和氧化铝）、废珠光砂每次更换前提前联系厂家上门更换并回收处理，不在厂区内暂存；废钢瓶暂存于一般工业固废暂存间，返回购置厂维护或报废。危险废物包括液化石油气残液、报废乙炔及液化石油气钢瓶、废润滑油、废油桶和含油抹布、手套。其中：</w:t>
                  </w:r>
                  <w:r>
                    <w:rPr>
                      <w:rFonts w:hint="eastAsia" w:ascii="Times New Roman" w:hAnsi="Times New Roman" w:eastAsia="宋体" w:cs="Times New Roman"/>
                      <w:color w:val="auto"/>
                      <w:kern w:val="0"/>
                      <w:sz w:val="21"/>
                      <w:szCs w:val="21"/>
                      <w:lang w:val="en-US" w:eastAsia="zh-CN" w:bidi="ar-SA"/>
                    </w:rPr>
                    <w:t>液化石油气残液</w:t>
                  </w:r>
                  <w:r>
                    <w:rPr>
                      <w:rFonts w:hint="eastAsia" w:cs="Times New Roman"/>
                      <w:color w:val="auto"/>
                      <w:kern w:val="0"/>
                      <w:sz w:val="21"/>
                      <w:szCs w:val="21"/>
                      <w:u w:val="none"/>
                      <w:lang w:val="en-US" w:eastAsia="zh-CN" w:bidi="ar-SA"/>
                    </w:rPr>
                    <w:t>暂存在残液储罐内，定期委托液化石油气供应单位进行回收处理；</w:t>
                  </w:r>
                  <w:r>
                    <w:rPr>
                      <w:rFonts w:hint="eastAsia" w:ascii="Times New Roman" w:hAnsi="Times New Roman" w:eastAsia="宋体" w:cs="Times New Roman"/>
                      <w:color w:val="auto"/>
                      <w:kern w:val="0"/>
                      <w:sz w:val="21"/>
                      <w:szCs w:val="21"/>
                      <w:lang w:val="en-US" w:eastAsia="zh-CN" w:bidi="ar-SA"/>
                    </w:rPr>
                    <w:t>报废乙炔及液化石油气钢瓶</w:t>
                  </w:r>
                  <w:r>
                    <w:rPr>
                      <w:rFonts w:hint="eastAsia" w:cs="Times New Roman"/>
                      <w:color w:val="auto"/>
                      <w:kern w:val="0"/>
                      <w:sz w:val="21"/>
                      <w:szCs w:val="21"/>
                      <w:u w:val="none"/>
                      <w:lang w:val="en-US" w:eastAsia="zh-CN" w:bidi="ar-SA"/>
                    </w:rPr>
                    <w:t>统一收集暂存于危废贮存库，由厂家回收；废润滑油、废油桶、含油抹布、手套暂存于危废贮存库，定期交由有资质单位处置。</w:t>
                  </w:r>
                </w:p>
              </w:tc>
              <w:tc>
                <w:tcPr>
                  <w:tcW w:w="1979" w:type="dxa"/>
                  <w:noWrap w:val="0"/>
                  <w:vAlign w:val="center"/>
                </w:tcPr>
                <w:p w14:paraId="35BF22D9">
                  <w:pPr>
                    <w:widowControl/>
                    <w:snapToGrid w:val="0"/>
                    <w:spacing w:before="0" w:after="0" w:line="240" w:lineRule="auto"/>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一般固废</w:t>
                  </w:r>
                  <w:r>
                    <w:rPr>
                      <w:rFonts w:hint="eastAsia" w:cs="Times New Roman"/>
                      <w:color w:val="auto"/>
                      <w:kern w:val="0"/>
                      <w:sz w:val="21"/>
                      <w:szCs w:val="21"/>
                      <w:u w:val="none"/>
                      <w:lang w:val="en-US" w:eastAsia="zh-CN" w:bidi="ar-SA"/>
                    </w:rPr>
                    <w:t>为</w:t>
                  </w:r>
                  <w:r>
                    <w:rPr>
                      <w:rFonts w:hint="default" w:ascii="Times New Roman" w:hAnsi="Times New Roman" w:eastAsia="宋体" w:cs="Times New Roman"/>
                      <w:color w:val="auto"/>
                      <w:kern w:val="0"/>
                      <w:sz w:val="21"/>
                      <w:szCs w:val="21"/>
                      <w:u w:val="none"/>
                      <w:lang w:val="en-US" w:eastAsia="zh-CN" w:bidi="ar-SA"/>
                    </w:rPr>
                    <w:t>废旧滤筒、废吸附剂（分子筛和氧化铝）、废珠光砂</w:t>
                  </w:r>
                  <w:r>
                    <w:rPr>
                      <w:rFonts w:hint="eastAsia" w:ascii="Times New Roman" w:hAnsi="Times New Roman" w:eastAsia="宋体" w:cs="Times New Roman"/>
                      <w:color w:val="auto"/>
                      <w:kern w:val="0"/>
                      <w:sz w:val="21"/>
                      <w:szCs w:val="21"/>
                      <w:u w:val="none"/>
                      <w:lang w:val="en-US" w:eastAsia="zh-CN" w:bidi="ar-SA"/>
                    </w:rPr>
                    <w:t>等</w:t>
                  </w:r>
                  <w:r>
                    <w:rPr>
                      <w:rFonts w:hint="eastAsia" w:cs="Times New Roman"/>
                      <w:color w:val="auto"/>
                      <w:kern w:val="0"/>
                      <w:sz w:val="21"/>
                      <w:szCs w:val="21"/>
                      <w:u w:val="none"/>
                      <w:lang w:val="en-US" w:eastAsia="zh-CN" w:bidi="ar-SA"/>
                    </w:rPr>
                    <w:t>。其中：废旧滤筒、废吸附剂（分子筛和氧化铝）、废珠光砂每次更换前提前联系厂家上门更换并回收处理，不在厂区内暂存；废钢瓶暂存于一般工业固废暂存间，定期送至当地有资质的钢瓶检验站进行检验、报废。危险废物包括液化石油气残液、报废乙炔及液化石油气钢瓶、废润滑油、废油桶和含油抹布、手套。其中：</w:t>
                  </w:r>
                  <w:r>
                    <w:rPr>
                      <w:rFonts w:hint="eastAsia" w:ascii="Times New Roman" w:hAnsi="Times New Roman" w:eastAsia="宋体" w:cs="Times New Roman"/>
                      <w:color w:val="auto"/>
                      <w:kern w:val="0"/>
                      <w:sz w:val="21"/>
                      <w:szCs w:val="21"/>
                      <w:lang w:val="en-US" w:eastAsia="zh-CN" w:bidi="ar-SA"/>
                    </w:rPr>
                    <w:t>液化石油气残液</w:t>
                  </w:r>
                  <w:r>
                    <w:rPr>
                      <w:rFonts w:hint="eastAsia" w:cs="Times New Roman"/>
                      <w:color w:val="auto"/>
                      <w:kern w:val="0"/>
                      <w:sz w:val="21"/>
                      <w:szCs w:val="21"/>
                      <w:u w:val="none"/>
                      <w:lang w:val="en-US" w:eastAsia="zh-CN" w:bidi="ar-SA"/>
                    </w:rPr>
                    <w:t>暂存在残液储罐内，定期委托液化石油气供应单位进行回收处理；</w:t>
                  </w:r>
                  <w:r>
                    <w:rPr>
                      <w:rFonts w:hint="eastAsia" w:ascii="Times New Roman" w:hAnsi="Times New Roman" w:eastAsia="宋体" w:cs="Times New Roman"/>
                      <w:color w:val="auto"/>
                      <w:kern w:val="0"/>
                      <w:sz w:val="21"/>
                      <w:szCs w:val="21"/>
                      <w:lang w:val="en-US" w:eastAsia="zh-CN" w:bidi="ar-SA"/>
                    </w:rPr>
                    <w:t>报废乙炔及液化石油气钢瓶</w:t>
                  </w:r>
                  <w:r>
                    <w:rPr>
                      <w:rFonts w:hint="eastAsia" w:cs="Times New Roman"/>
                      <w:color w:val="auto"/>
                      <w:kern w:val="0"/>
                      <w:sz w:val="21"/>
                      <w:szCs w:val="21"/>
                      <w:u w:val="none"/>
                      <w:lang w:val="en-US" w:eastAsia="zh-CN" w:bidi="ar-SA"/>
                    </w:rPr>
                    <w:t>统一收集暂存于危废贮存库，定期送至当地有资质的钢瓶检验站进行检验、报废；废润滑油、废油桶、含油抹布、手套暂存于危废贮存库，定期交由有资质单位处置。</w:t>
                  </w:r>
                </w:p>
              </w:tc>
              <w:tc>
                <w:tcPr>
                  <w:tcW w:w="1434" w:type="dxa"/>
                  <w:noWrap w:val="0"/>
                  <w:vAlign w:val="center"/>
                </w:tcPr>
                <w:p w14:paraId="0EF9C138">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u w:val="none"/>
                      <w:lang w:val="en-US" w:eastAsia="zh-CN" w:bidi="ar-SA"/>
                    </w:rPr>
                  </w:pPr>
                  <w:r>
                    <w:rPr>
                      <w:rFonts w:hint="eastAsia" w:cs="Times New Roman"/>
                      <w:color w:val="auto"/>
                      <w:kern w:val="0"/>
                      <w:sz w:val="21"/>
                      <w:szCs w:val="21"/>
                      <w:u w:val="none"/>
                      <w:lang w:val="en-US" w:eastAsia="zh-CN" w:bidi="ar-SA"/>
                    </w:rPr>
                    <w:t>固体废物</w:t>
                  </w:r>
                  <w:r>
                    <w:rPr>
                      <w:rFonts w:hint="default" w:ascii="Times New Roman" w:hAnsi="Times New Roman" w:eastAsia="宋体" w:cs="Times New Roman"/>
                      <w:color w:val="auto"/>
                      <w:kern w:val="0"/>
                      <w:sz w:val="21"/>
                      <w:szCs w:val="21"/>
                      <w:u w:val="none"/>
                      <w:lang w:val="en-US" w:eastAsia="zh-CN" w:bidi="ar-SA"/>
                    </w:rPr>
                    <w:t>产生量减少</w:t>
                  </w:r>
                </w:p>
              </w:tc>
            </w:tr>
            <w:tr w14:paraId="79D436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2" w:type="dxa"/>
                  <w:noWrap w:val="0"/>
                  <w:vAlign w:val="center"/>
                </w:tcPr>
                <w:p w14:paraId="59D903EE">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环境</w:t>
                  </w:r>
                </w:p>
                <w:p w14:paraId="76991626">
                  <w:pPr>
                    <w:widowControl/>
                    <w:snapToGrid w:val="0"/>
                    <w:spacing w:before="0" w:after="0" w:line="240" w:lineRule="exact"/>
                    <w:ind w:right="113" w:firstLine="0" w:firstLineChars="0"/>
                    <w:jc w:val="center"/>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风险</w:t>
                  </w:r>
                </w:p>
              </w:tc>
              <w:tc>
                <w:tcPr>
                  <w:tcW w:w="2060" w:type="dxa"/>
                  <w:noWrap w:val="0"/>
                  <w:vAlign w:val="center"/>
                </w:tcPr>
                <w:p w14:paraId="3702AB55">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1座</w:t>
                  </w:r>
                  <w:r>
                    <w:rPr>
                      <w:rFonts w:hint="eastAsia" w:ascii="Times New Roman" w:hAnsi="Times New Roman" w:eastAsia="宋体" w:cs="Times New Roman"/>
                      <w:color w:val="auto"/>
                      <w:kern w:val="0"/>
                      <w:sz w:val="21"/>
                      <w:szCs w:val="21"/>
                      <w:highlight w:val="none"/>
                      <w:u w:val="none"/>
                      <w:lang w:val="en-US" w:eastAsia="zh-CN" w:bidi="ar-SA"/>
                    </w:rPr>
                    <w:t>4</w:t>
                  </w:r>
                  <w:r>
                    <w:rPr>
                      <w:rFonts w:hint="default" w:ascii="Times New Roman" w:hAnsi="Times New Roman" w:eastAsia="宋体" w:cs="Times New Roman"/>
                      <w:color w:val="auto"/>
                      <w:kern w:val="0"/>
                      <w:sz w:val="21"/>
                      <w:szCs w:val="21"/>
                      <w:highlight w:val="none"/>
                      <w:u w:val="none"/>
                      <w:lang w:val="en-US" w:eastAsia="zh-CN" w:bidi="ar-SA"/>
                    </w:rPr>
                    <w:t>00m</w:t>
                  </w:r>
                  <w:r>
                    <w:rPr>
                      <w:rFonts w:hint="default" w:ascii="Times New Roman" w:hAnsi="Times New Roman" w:eastAsia="宋体" w:cs="Times New Roman"/>
                      <w:color w:val="auto"/>
                      <w:kern w:val="0"/>
                      <w:sz w:val="21"/>
                      <w:szCs w:val="21"/>
                      <w:highlight w:val="none"/>
                      <w:u w:val="none"/>
                      <w:vertAlign w:val="superscript"/>
                      <w:lang w:val="en-US" w:eastAsia="zh-CN" w:bidi="ar-SA"/>
                    </w:rPr>
                    <w:t>3</w:t>
                  </w:r>
                  <w:r>
                    <w:rPr>
                      <w:rFonts w:hint="default" w:ascii="Times New Roman" w:hAnsi="Times New Roman" w:eastAsia="宋体" w:cs="Times New Roman"/>
                      <w:color w:val="auto"/>
                      <w:kern w:val="0"/>
                      <w:sz w:val="21"/>
                      <w:szCs w:val="21"/>
                      <w:highlight w:val="none"/>
                      <w:u w:val="none"/>
                      <w:lang w:val="en-US" w:eastAsia="zh-CN" w:bidi="ar-SA"/>
                    </w:rPr>
                    <w:t>消防水池、1座容积</w:t>
                  </w:r>
                  <w:r>
                    <w:rPr>
                      <w:rFonts w:hint="eastAsia" w:ascii="Times New Roman" w:hAnsi="Times New Roman" w:eastAsia="宋体" w:cs="Times New Roman"/>
                      <w:color w:val="auto"/>
                      <w:kern w:val="0"/>
                      <w:sz w:val="21"/>
                      <w:szCs w:val="21"/>
                      <w:highlight w:val="none"/>
                      <w:u w:val="none"/>
                      <w:lang w:val="en-US" w:eastAsia="zh-CN" w:bidi="ar-SA"/>
                    </w:rPr>
                    <w:t>60</w:t>
                  </w:r>
                  <w:r>
                    <w:rPr>
                      <w:rFonts w:hint="default" w:ascii="Times New Roman" w:hAnsi="Times New Roman" w:eastAsia="宋体" w:cs="Times New Roman"/>
                      <w:color w:val="auto"/>
                      <w:kern w:val="0"/>
                      <w:sz w:val="21"/>
                      <w:szCs w:val="21"/>
                      <w:highlight w:val="none"/>
                      <w:u w:val="none"/>
                      <w:lang w:val="en-US" w:eastAsia="zh-CN" w:bidi="ar-SA"/>
                    </w:rPr>
                    <w:t>0m</w:t>
                  </w:r>
                  <w:r>
                    <w:rPr>
                      <w:rFonts w:hint="default" w:ascii="Times New Roman" w:hAnsi="Times New Roman" w:eastAsia="宋体" w:cs="Times New Roman"/>
                      <w:color w:val="auto"/>
                      <w:kern w:val="0"/>
                      <w:sz w:val="21"/>
                      <w:szCs w:val="21"/>
                      <w:highlight w:val="none"/>
                      <w:u w:val="none"/>
                      <w:vertAlign w:val="superscript"/>
                      <w:lang w:val="en-US" w:eastAsia="zh-CN" w:bidi="ar-SA"/>
                    </w:rPr>
                    <w:t>3</w:t>
                  </w:r>
                  <w:r>
                    <w:rPr>
                      <w:rFonts w:hint="default" w:ascii="Times New Roman" w:hAnsi="Times New Roman" w:eastAsia="宋体" w:cs="Times New Roman"/>
                      <w:color w:val="auto"/>
                      <w:kern w:val="0"/>
                      <w:sz w:val="21"/>
                      <w:szCs w:val="21"/>
                      <w:highlight w:val="none"/>
                      <w:u w:val="none"/>
                      <w:lang w:val="en-US" w:eastAsia="zh-CN" w:bidi="ar-SA"/>
                    </w:rPr>
                    <w:t>的事故水池、事故废水切换装置、一级丙酮储罐区围堰</w:t>
                  </w:r>
                </w:p>
              </w:tc>
              <w:tc>
                <w:tcPr>
                  <w:tcW w:w="2436" w:type="dxa"/>
                  <w:noWrap w:val="0"/>
                  <w:vAlign w:val="center"/>
                </w:tcPr>
                <w:p w14:paraId="2EC6096C">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1座</w:t>
                  </w:r>
                  <w:r>
                    <w:rPr>
                      <w:rFonts w:hint="eastAsia" w:ascii="Times New Roman" w:hAnsi="Times New Roman" w:eastAsia="宋体" w:cs="Times New Roman"/>
                      <w:color w:val="auto"/>
                      <w:kern w:val="0"/>
                      <w:sz w:val="21"/>
                      <w:szCs w:val="21"/>
                      <w:highlight w:val="none"/>
                      <w:u w:val="none"/>
                      <w:lang w:val="en-US" w:eastAsia="zh-CN" w:bidi="ar-SA"/>
                    </w:rPr>
                    <w:t>972</w:t>
                  </w:r>
                  <w:r>
                    <w:rPr>
                      <w:rFonts w:hint="default" w:ascii="Times New Roman" w:hAnsi="Times New Roman" w:eastAsia="宋体" w:cs="Times New Roman"/>
                      <w:color w:val="auto"/>
                      <w:kern w:val="0"/>
                      <w:sz w:val="21"/>
                      <w:szCs w:val="21"/>
                      <w:highlight w:val="none"/>
                      <w:u w:val="none"/>
                      <w:lang w:val="en-US" w:eastAsia="zh-CN" w:bidi="ar-SA"/>
                    </w:rPr>
                    <w:t>m</w:t>
                  </w:r>
                  <w:r>
                    <w:rPr>
                      <w:rFonts w:hint="default" w:ascii="Times New Roman" w:hAnsi="Times New Roman" w:eastAsia="宋体" w:cs="Times New Roman"/>
                      <w:color w:val="auto"/>
                      <w:kern w:val="0"/>
                      <w:sz w:val="21"/>
                      <w:szCs w:val="21"/>
                      <w:highlight w:val="none"/>
                      <w:u w:val="none"/>
                      <w:vertAlign w:val="superscript"/>
                      <w:lang w:val="en-US" w:eastAsia="zh-CN" w:bidi="ar-SA"/>
                    </w:rPr>
                    <w:t>3</w:t>
                  </w:r>
                  <w:r>
                    <w:rPr>
                      <w:rFonts w:hint="default" w:ascii="Times New Roman" w:hAnsi="Times New Roman" w:eastAsia="宋体" w:cs="Times New Roman"/>
                      <w:color w:val="auto"/>
                      <w:kern w:val="0"/>
                      <w:sz w:val="21"/>
                      <w:szCs w:val="21"/>
                      <w:highlight w:val="none"/>
                      <w:u w:val="none"/>
                      <w:lang w:val="en-US" w:eastAsia="zh-CN" w:bidi="ar-SA"/>
                    </w:rPr>
                    <w:t>消防水池、1座容积</w:t>
                  </w:r>
                  <w:r>
                    <w:rPr>
                      <w:rFonts w:hint="eastAsia" w:ascii="Times New Roman" w:hAnsi="Times New Roman" w:eastAsia="宋体" w:cs="Times New Roman"/>
                      <w:color w:val="auto"/>
                      <w:kern w:val="0"/>
                      <w:sz w:val="21"/>
                      <w:szCs w:val="21"/>
                      <w:highlight w:val="none"/>
                      <w:u w:val="none"/>
                      <w:lang w:val="en-US" w:eastAsia="zh-CN" w:bidi="ar-SA"/>
                    </w:rPr>
                    <w:t>140</w:t>
                  </w:r>
                  <w:r>
                    <w:rPr>
                      <w:rFonts w:hint="default" w:ascii="Times New Roman" w:hAnsi="Times New Roman" w:eastAsia="宋体" w:cs="Times New Roman"/>
                      <w:color w:val="auto"/>
                      <w:kern w:val="0"/>
                      <w:sz w:val="21"/>
                      <w:szCs w:val="21"/>
                      <w:highlight w:val="none"/>
                      <w:u w:val="none"/>
                      <w:lang w:val="en-US" w:eastAsia="zh-CN" w:bidi="ar-SA"/>
                    </w:rPr>
                    <w:t>0m</w:t>
                  </w:r>
                  <w:r>
                    <w:rPr>
                      <w:rFonts w:hint="default" w:ascii="Times New Roman" w:hAnsi="Times New Roman" w:eastAsia="宋体" w:cs="Times New Roman"/>
                      <w:color w:val="auto"/>
                      <w:kern w:val="0"/>
                      <w:sz w:val="21"/>
                      <w:szCs w:val="21"/>
                      <w:highlight w:val="none"/>
                      <w:u w:val="none"/>
                      <w:vertAlign w:val="superscript"/>
                      <w:lang w:val="en-US" w:eastAsia="zh-CN" w:bidi="ar-SA"/>
                    </w:rPr>
                    <w:t>3</w:t>
                  </w:r>
                  <w:r>
                    <w:rPr>
                      <w:rFonts w:hint="default" w:ascii="Times New Roman" w:hAnsi="Times New Roman" w:eastAsia="宋体" w:cs="Times New Roman"/>
                      <w:color w:val="auto"/>
                      <w:kern w:val="0"/>
                      <w:sz w:val="21"/>
                      <w:szCs w:val="21"/>
                      <w:highlight w:val="none"/>
                      <w:u w:val="none"/>
                      <w:lang w:val="en-US" w:eastAsia="zh-CN" w:bidi="ar-SA"/>
                    </w:rPr>
                    <w:t>的事故水池、事故废水切换装置</w:t>
                  </w:r>
                </w:p>
              </w:tc>
              <w:tc>
                <w:tcPr>
                  <w:tcW w:w="1979" w:type="dxa"/>
                  <w:noWrap w:val="0"/>
                  <w:vAlign w:val="center"/>
                </w:tcPr>
                <w:p w14:paraId="6DB71995">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highlight w:val="none"/>
                      <w:u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1座</w:t>
                  </w:r>
                  <w:r>
                    <w:rPr>
                      <w:rFonts w:hint="eastAsia" w:ascii="Times New Roman" w:hAnsi="Times New Roman" w:eastAsia="宋体" w:cs="Times New Roman"/>
                      <w:color w:val="auto"/>
                      <w:kern w:val="0"/>
                      <w:sz w:val="21"/>
                      <w:szCs w:val="21"/>
                      <w:highlight w:val="none"/>
                      <w:u w:val="none"/>
                      <w:lang w:val="en-US" w:eastAsia="zh-CN" w:bidi="ar-SA"/>
                    </w:rPr>
                    <w:t>972</w:t>
                  </w:r>
                  <w:r>
                    <w:rPr>
                      <w:rFonts w:hint="default" w:ascii="Times New Roman" w:hAnsi="Times New Roman" w:eastAsia="宋体" w:cs="Times New Roman"/>
                      <w:color w:val="auto"/>
                      <w:kern w:val="0"/>
                      <w:sz w:val="21"/>
                      <w:szCs w:val="21"/>
                      <w:highlight w:val="none"/>
                      <w:u w:val="none"/>
                      <w:lang w:val="en-US" w:eastAsia="zh-CN" w:bidi="ar-SA"/>
                    </w:rPr>
                    <w:t>m</w:t>
                  </w:r>
                  <w:r>
                    <w:rPr>
                      <w:rFonts w:hint="default" w:ascii="Times New Roman" w:hAnsi="Times New Roman" w:eastAsia="宋体" w:cs="Times New Roman"/>
                      <w:color w:val="auto"/>
                      <w:kern w:val="0"/>
                      <w:sz w:val="21"/>
                      <w:szCs w:val="21"/>
                      <w:highlight w:val="none"/>
                      <w:u w:val="none"/>
                      <w:vertAlign w:val="superscript"/>
                      <w:lang w:val="en-US" w:eastAsia="zh-CN" w:bidi="ar-SA"/>
                    </w:rPr>
                    <w:t>3</w:t>
                  </w:r>
                  <w:r>
                    <w:rPr>
                      <w:rFonts w:hint="default" w:ascii="Times New Roman" w:hAnsi="Times New Roman" w:eastAsia="宋体" w:cs="Times New Roman"/>
                      <w:color w:val="auto"/>
                      <w:kern w:val="0"/>
                      <w:sz w:val="21"/>
                      <w:szCs w:val="21"/>
                      <w:highlight w:val="none"/>
                      <w:u w:val="none"/>
                      <w:lang w:val="en-US" w:eastAsia="zh-CN" w:bidi="ar-SA"/>
                    </w:rPr>
                    <w:t>消防水池、1座容积</w:t>
                  </w:r>
                  <w:r>
                    <w:rPr>
                      <w:rFonts w:hint="eastAsia" w:ascii="Times New Roman" w:hAnsi="Times New Roman" w:eastAsia="宋体" w:cs="Times New Roman"/>
                      <w:color w:val="auto"/>
                      <w:kern w:val="0"/>
                      <w:sz w:val="21"/>
                      <w:szCs w:val="21"/>
                      <w:highlight w:val="none"/>
                      <w:u w:val="none"/>
                      <w:lang w:val="en-US" w:eastAsia="zh-CN" w:bidi="ar-SA"/>
                    </w:rPr>
                    <w:t>140</w:t>
                  </w:r>
                  <w:r>
                    <w:rPr>
                      <w:rFonts w:hint="default" w:ascii="Times New Roman" w:hAnsi="Times New Roman" w:eastAsia="宋体" w:cs="Times New Roman"/>
                      <w:color w:val="auto"/>
                      <w:kern w:val="0"/>
                      <w:sz w:val="21"/>
                      <w:szCs w:val="21"/>
                      <w:highlight w:val="none"/>
                      <w:u w:val="none"/>
                      <w:lang w:val="en-US" w:eastAsia="zh-CN" w:bidi="ar-SA"/>
                    </w:rPr>
                    <w:t>0m</w:t>
                  </w:r>
                  <w:r>
                    <w:rPr>
                      <w:rFonts w:hint="default" w:ascii="Times New Roman" w:hAnsi="Times New Roman" w:eastAsia="宋体" w:cs="Times New Roman"/>
                      <w:color w:val="auto"/>
                      <w:kern w:val="0"/>
                      <w:sz w:val="21"/>
                      <w:szCs w:val="21"/>
                      <w:highlight w:val="none"/>
                      <w:u w:val="none"/>
                      <w:vertAlign w:val="superscript"/>
                      <w:lang w:val="en-US" w:eastAsia="zh-CN" w:bidi="ar-SA"/>
                    </w:rPr>
                    <w:t>3</w:t>
                  </w:r>
                  <w:r>
                    <w:rPr>
                      <w:rFonts w:hint="default" w:ascii="Times New Roman" w:hAnsi="Times New Roman" w:eastAsia="宋体" w:cs="Times New Roman"/>
                      <w:color w:val="auto"/>
                      <w:kern w:val="0"/>
                      <w:sz w:val="21"/>
                      <w:szCs w:val="21"/>
                      <w:highlight w:val="none"/>
                      <w:u w:val="none"/>
                      <w:lang w:val="en-US" w:eastAsia="zh-CN" w:bidi="ar-SA"/>
                    </w:rPr>
                    <w:t>的事故水池、事故废水切换装置</w:t>
                  </w:r>
                </w:p>
              </w:tc>
              <w:tc>
                <w:tcPr>
                  <w:tcW w:w="1434" w:type="dxa"/>
                  <w:noWrap w:val="0"/>
                  <w:vAlign w:val="center"/>
                </w:tcPr>
                <w:p w14:paraId="13CA8965">
                  <w:pPr>
                    <w:widowControl/>
                    <w:snapToGrid w:val="0"/>
                    <w:spacing w:before="0" w:after="0" w:line="240" w:lineRule="exact"/>
                    <w:ind w:left="0" w:leftChars="0" w:right="113" w:firstLine="0" w:firstLineChars="0"/>
                    <w:jc w:val="both"/>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lang w:val="en-US" w:eastAsia="zh-CN" w:bidi="ar-SA"/>
                    </w:rPr>
                    <w:t>变更后</w:t>
                  </w:r>
                  <w:r>
                    <w:rPr>
                      <w:rFonts w:hint="eastAsia" w:cs="Times New Roman"/>
                      <w:color w:val="auto"/>
                      <w:kern w:val="0"/>
                      <w:sz w:val="21"/>
                      <w:szCs w:val="21"/>
                      <w:highlight w:val="none"/>
                      <w:u w:val="none"/>
                      <w:lang w:val="en-US" w:eastAsia="zh-CN" w:bidi="ar-SA"/>
                    </w:rPr>
                    <w:t>取消了乙炔发生装置，降低了生</w:t>
                  </w:r>
                  <w:r>
                    <w:rPr>
                      <w:rFonts w:hint="default" w:ascii="Times New Roman" w:hAnsi="Times New Roman" w:eastAsia="宋体" w:cs="Times New Roman"/>
                      <w:color w:val="auto"/>
                      <w:kern w:val="0"/>
                      <w:sz w:val="21"/>
                      <w:szCs w:val="21"/>
                      <w:highlight w:val="none"/>
                      <w:u w:val="none"/>
                      <w:lang w:val="en-US" w:eastAsia="zh-CN" w:bidi="ar-SA"/>
                    </w:rPr>
                    <w:t>产过程的风险</w:t>
                  </w:r>
                  <w:r>
                    <w:rPr>
                      <w:rFonts w:hint="eastAsia" w:cs="Times New Roman"/>
                      <w:color w:val="auto"/>
                      <w:kern w:val="0"/>
                      <w:sz w:val="21"/>
                      <w:szCs w:val="21"/>
                      <w:highlight w:val="none"/>
                      <w:u w:val="none"/>
                      <w:lang w:val="en-US" w:eastAsia="zh-CN" w:bidi="ar-SA"/>
                    </w:rPr>
                    <w:t>。</w:t>
                  </w:r>
                </w:p>
              </w:tc>
            </w:tr>
          </w:tbl>
          <w:p w14:paraId="2DFEAF10">
            <w:pPr>
              <w:bidi w:val="0"/>
              <w:rPr>
                <w:rFonts w:hint="eastAsia" w:ascii="Times New Roman" w:hAnsi="Times New Roman" w:eastAsia="宋体" w:cs="Times New Roman"/>
                <w:color w:val="auto"/>
                <w:highlight w:val="none"/>
                <w:lang w:val="en-US" w:eastAsia="zh-CN"/>
              </w:rPr>
            </w:pPr>
            <w:r>
              <w:rPr>
                <w:rFonts w:hint="eastAsia"/>
                <w:color w:val="auto"/>
                <w:sz w:val="24"/>
                <w:u w:val="none"/>
                <w:lang w:eastAsia="zh-CN"/>
              </w:rPr>
              <w:t>（</w:t>
            </w:r>
            <w:r>
              <w:rPr>
                <w:rFonts w:hint="eastAsia"/>
                <w:color w:val="auto"/>
                <w:sz w:val="24"/>
                <w:u w:val="none"/>
                <w:lang w:val="en-US" w:eastAsia="zh-CN"/>
              </w:rPr>
              <w:t>3</w:t>
            </w:r>
            <w:r>
              <w:rPr>
                <w:rFonts w:hint="eastAsia"/>
                <w:color w:val="auto"/>
                <w:sz w:val="24"/>
                <w:u w:val="none"/>
                <w:lang w:eastAsia="zh-CN"/>
              </w:rPr>
              <w:t>）</w:t>
            </w:r>
            <w:r>
              <w:rPr>
                <w:rFonts w:hint="eastAsia"/>
                <w:color w:val="auto"/>
                <w:sz w:val="24"/>
                <w:u w:val="none"/>
              </w:rPr>
              <w:t>项目环评编制类别</w:t>
            </w:r>
          </w:p>
          <w:p w14:paraId="1C6107F9">
            <w:pPr>
              <w:keepNext w:val="0"/>
              <w:keepLines w:val="0"/>
              <w:pageBreakBefore w:val="0"/>
              <w:widowControl w:val="0"/>
              <w:kinsoku/>
              <w:wordWrap/>
              <w:overflowPunct/>
              <w:topLinePunct w:val="0"/>
              <w:autoSpaceDE/>
              <w:autoSpaceDN/>
              <w:bidi w:val="0"/>
              <w:adjustRightInd/>
              <w:snapToGrid/>
              <w:spacing w:line="384" w:lineRule="auto"/>
              <w:ind w:left="0" w:leftChars="0" w:firstLine="480" w:firstLineChars="200"/>
              <w:jc w:val="both"/>
              <w:textAlignment w:val="auto"/>
              <w:rPr>
                <w:rFonts w:hint="eastAsia" w:ascii="黑体" w:hAnsi="黑体" w:eastAsia="黑体" w:cs="黑体"/>
                <w:b w:val="0"/>
                <w:bCs w:val="0"/>
                <w:snapToGrid w:val="0"/>
                <w:color w:val="auto"/>
                <w:sz w:val="24"/>
                <w:szCs w:val="24"/>
                <w:highlight w:val="none"/>
                <w:vertAlign w:val="baseline"/>
              </w:rPr>
            </w:pPr>
            <w:r>
              <w:rPr>
                <w:rFonts w:hint="default"/>
                <w:color w:val="auto"/>
                <w:lang w:val="en-US" w:eastAsia="zh-CN"/>
              </w:rPr>
              <w:t>根据《中华人民共和国环境影响评价法</w:t>
            </w:r>
            <w:r>
              <w:rPr>
                <w:rFonts w:hint="eastAsia"/>
                <w:color w:val="auto"/>
                <w:lang w:val="en-US" w:eastAsia="zh-CN"/>
              </w:rPr>
              <w:t>》、《</w:t>
            </w:r>
            <w:r>
              <w:rPr>
                <w:rFonts w:hint="default"/>
                <w:color w:val="auto"/>
                <w:lang w:val="en-US" w:eastAsia="zh-CN"/>
              </w:rPr>
              <w:t>建设项目环境保护管理条例》</w:t>
            </w:r>
            <w:r>
              <w:rPr>
                <w:rFonts w:hint="eastAsia"/>
                <w:color w:val="auto"/>
                <w:lang w:val="en-US" w:eastAsia="zh-CN"/>
              </w:rPr>
              <w:t>、</w:t>
            </w:r>
            <w:r>
              <w:rPr>
                <w:rFonts w:hint="default"/>
                <w:color w:val="auto"/>
                <w:lang w:val="en-US" w:eastAsia="zh-CN"/>
              </w:rPr>
              <w:t>生态环境部办公厅关于印发《污染影响类建设项目重大变动清单（试行）》的通知（环办环评函〔2020〕688号）</w:t>
            </w:r>
            <w:r>
              <w:rPr>
                <w:rFonts w:hint="eastAsia"/>
                <w:color w:val="auto"/>
                <w:lang w:val="en-US" w:eastAsia="zh-CN"/>
              </w:rPr>
              <w:t>及《关于加强建设项目重大变动环境影响评价管理工作的通知》（陕环环评函〔2021〕11号）</w:t>
            </w:r>
            <w:r>
              <w:rPr>
                <w:rFonts w:hint="default"/>
                <w:color w:val="auto"/>
                <w:lang w:val="en-US" w:eastAsia="zh-CN"/>
              </w:rPr>
              <w:t>有关规定，建设项目的性质、规模、地点、生产工艺和环境保护措施五个因素中的一项或一项以上发生重大变动，且可能导致环境影响显著变化（特别是不利环境影响加重）的，界定为重大变动</w:t>
            </w:r>
            <w:r>
              <w:rPr>
                <w:rFonts w:hint="eastAsia"/>
                <w:color w:val="auto"/>
                <w:lang w:val="en-US" w:eastAsia="zh-CN"/>
              </w:rPr>
              <w:t>。</w:t>
            </w:r>
            <w:r>
              <w:rPr>
                <w:rFonts w:hint="default"/>
                <w:color w:val="000000" w:themeColor="text1"/>
                <w:highlight w:val="none"/>
                <w:lang w:val="en-US" w:eastAsia="zh-CN"/>
                <w14:textFill>
                  <w14:solidFill>
                    <w14:schemeClr w14:val="tx1"/>
                  </w14:solidFill>
                </w14:textFill>
              </w:rPr>
              <w:t>本项目由于</w:t>
            </w:r>
            <w:r>
              <w:rPr>
                <w:rFonts w:hint="eastAsia"/>
                <w:color w:val="000000" w:themeColor="text1"/>
                <w:highlight w:val="none"/>
                <w:lang w:val="en-US" w:eastAsia="zh-CN"/>
                <w14:textFill>
                  <w14:solidFill>
                    <w14:schemeClr w14:val="tx1"/>
                  </w14:solidFill>
                </w14:textFill>
              </w:rPr>
              <w:t>建设内容、产品方案和生产工艺变化，导致建设项目开发、使用功能发生变化</w:t>
            </w:r>
            <w:r>
              <w:rPr>
                <w:rFonts w:hint="default"/>
                <w:color w:val="000000" w:themeColor="text1"/>
                <w:highlight w:val="none"/>
                <w:lang w:val="en-US" w:eastAsia="zh-CN"/>
                <w14:textFill>
                  <w14:solidFill>
                    <w14:schemeClr w14:val="tx1"/>
                  </w14:solidFill>
                </w14:textFill>
              </w:rPr>
              <w:t>，属于重大变动</w:t>
            </w:r>
            <w:r>
              <w:rPr>
                <w:rFonts w:hint="eastAsia"/>
                <w:color w:val="000000" w:themeColor="text1"/>
                <w:highlight w:val="none"/>
                <w:lang w:val="en-US" w:eastAsia="zh-CN"/>
                <w14:textFill>
                  <w14:solidFill>
                    <w14:schemeClr w14:val="tx1"/>
                  </w14:solidFill>
                </w14:textFill>
              </w:rPr>
              <w:t>的</w:t>
            </w:r>
            <w:r>
              <w:rPr>
                <w:rFonts w:hint="default"/>
                <w:color w:val="000000" w:themeColor="text1"/>
                <w:highlight w:val="none"/>
                <w:lang w:val="en-US" w:eastAsia="zh-CN"/>
                <w14:textFill>
                  <w14:solidFill>
                    <w14:schemeClr w14:val="tx1"/>
                  </w14:solidFill>
                </w14:textFill>
              </w:rPr>
              <w:t>应当重新报批环境影</w:t>
            </w:r>
            <w:r>
              <w:rPr>
                <w:rFonts w:hint="default" w:ascii="Times New Roman" w:hAnsi="Times New Roman" w:cs="Times New Roman"/>
                <w:color w:val="000000" w:themeColor="text1"/>
                <w:highlight w:val="none"/>
                <w:lang w:val="en-US" w:eastAsia="zh-CN"/>
                <w14:textFill>
                  <w14:solidFill>
                    <w14:schemeClr w14:val="tx1"/>
                  </w14:solidFill>
                </w14:textFill>
              </w:rPr>
              <w:t>响评价文件。</w:t>
            </w:r>
            <w:r>
              <w:rPr>
                <w:rFonts w:hint="default" w:ascii="Times New Roman" w:hAnsi="Times New Roman" w:cs="Times New Roman"/>
                <w:color w:val="auto"/>
                <w:lang w:val="en-US" w:eastAsia="zh-CN"/>
              </w:rPr>
              <w:t>本项目实际建设与原环评的变动情</w:t>
            </w:r>
          </w:p>
        </w:tc>
      </w:tr>
    </w:tbl>
    <w:p w14:paraId="49FC6AF5">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黑体" w:hAnsi="黑体" w:eastAsia="黑体" w:cs="黑体"/>
          <w:b w:val="0"/>
          <w:bCs w:val="0"/>
          <w:snapToGrid w:val="0"/>
          <w:color w:val="auto"/>
          <w:sz w:val="30"/>
          <w:szCs w:val="30"/>
          <w:highlight w:val="none"/>
        </w:rPr>
        <w:sectPr>
          <w:headerReference r:id="rId9" w:type="default"/>
          <w:footerReference r:id="rId10" w:type="default"/>
          <w:pgSz w:w="11906" w:h="16838"/>
          <w:pgMar w:top="1247" w:right="1247" w:bottom="1247" w:left="158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3637"/>
      </w:tblGrid>
      <w:tr w14:paraId="25340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13" w:hRule="atLeast"/>
        </w:trPr>
        <w:tc>
          <w:tcPr>
            <w:tcW w:w="923" w:type="dxa"/>
            <w:tcBorders>
              <w:tl2br w:val="nil"/>
              <w:tr2bl w:val="nil"/>
            </w:tcBorders>
            <w:noWrap w:val="0"/>
            <w:vAlign w:val="top"/>
          </w:tcPr>
          <w:p w14:paraId="42EAD188">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sz w:val="24"/>
                <w:szCs w:val="24"/>
                <w:highlight w:val="none"/>
              </w:rPr>
              <w:t>建设内容</w:t>
            </w:r>
          </w:p>
        </w:tc>
        <w:tc>
          <w:tcPr>
            <w:tcW w:w="13637" w:type="dxa"/>
            <w:tcBorders>
              <w:tl2br w:val="nil"/>
              <w:tr2bl w:val="nil"/>
            </w:tcBorders>
            <w:noWrap w:val="0"/>
            <w:vAlign w:val="top"/>
          </w:tcPr>
          <w:p w14:paraId="4370290B">
            <w:pPr>
              <w:widowControl w:val="0"/>
              <w:pBdr>
                <w:top w:val="none" w:color="auto" w:sz="0" w:space="1"/>
                <w:left w:val="none" w:color="auto" w:sz="0" w:space="4"/>
                <w:bottom w:val="none" w:color="auto" w:sz="0" w:space="1"/>
                <w:right w:val="none" w:color="auto" w:sz="0" w:space="4"/>
              </w:pBdr>
              <w:bidi w:val="0"/>
              <w:adjustRightInd w:val="0"/>
              <w:snapToGrid w:val="0"/>
              <w:spacing w:line="240" w:lineRule="auto"/>
              <w:ind w:firstLine="0" w:firstLineChars="0"/>
              <w:jc w:val="both"/>
              <w:rPr>
                <w:rFonts w:hint="default" w:ascii="Times New Roman" w:hAnsi="Times New Roman" w:cs="Times New Roman"/>
                <w:color w:val="auto"/>
                <w:lang w:val="en-US" w:eastAsia="zh-CN"/>
              </w:rPr>
            </w:pPr>
            <w:r>
              <w:rPr>
                <w:rFonts w:hint="eastAsia" w:cs="Times New Roman"/>
                <w:color w:val="auto"/>
                <w:lang w:val="en-US" w:eastAsia="zh-CN"/>
              </w:rPr>
              <w:t>况</w:t>
            </w:r>
            <w:r>
              <w:rPr>
                <w:rFonts w:hint="default" w:ascii="Times New Roman" w:hAnsi="Times New Roman" w:cs="Times New Roman"/>
                <w:color w:val="auto"/>
                <w:lang w:val="en-US" w:eastAsia="zh-CN"/>
              </w:rPr>
              <w:t>见下表2-2。</w:t>
            </w:r>
          </w:p>
          <w:p w14:paraId="5859B3F6">
            <w:pPr>
              <w:widowControl w:val="0"/>
              <w:pBdr>
                <w:top w:val="none" w:color="auto" w:sz="0" w:space="1"/>
                <w:left w:val="none" w:color="auto" w:sz="0" w:space="4"/>
                <w:bottom w:val="none" w:color="auto" w:sz="0" w:space="1"/>
                <w:right w:val="none" w:color="auto" w:sz="0" w:space="4"/>
              </w:pBdr>
              <w:bidi w:val="0"/>
              <w:adjustRightInd w:val="0"/>
              <w:snapToGrid w:val="0"/>
              <w:spacing w:line="240" w:lineRule="auto"/>
              <w:ind w:firstLine="0" w:firstLineChars="0"/>
              <w:jc w:val="center"/>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kern w:val="2"/>
                <w:sz w:val="21"/>
                <w:szCs w:val="21"/>
                <w:highlight w:val="none"/>
                <w:lang w:val="en-US" w:eastAsia="zh-CN" w:bidi="ar-SA"/>
              </w:rPr>
              <w:t>表2-</w:t>
            </w:r>
            <w:r>
              <w:rPr>
                <w:rFonts w:hint="eastAsia" w:cs="Times New Roman"/>
                <w:b/>
                <w:color w:val="auto"/>
                <w:kern w:val="2"/>
                <w:sz w:val="21"/>
                <w:szCs w:val="21"/>
                <w:highlight w:val="none"/>
                <w:lang w:val="en-US" w:eastAsia="zh-CN" w:bidi="ar-SA"/>
              </w:rPr>
              <w:t>2</w:t>
            </w:r>
            <w:r>
              <w:rPr>
                <w:rFonts w:hint="eastAsia" w:ascii="Times New Roman" w:hAnsi="Times New Roman" w:eastAsia="宋体" w:cs="Times New Roman"/>
                <w:b/>
                <w:color w:val="auto"/>
                <w:kern w:val="2"/>
                <w:sz w:val="21"/>
                <w:szCs w:val="21"/>
                <w:highlight w:val="none"/>
                <w:lang w:val="en-US" w:eastAsia="zh-CN" w:bidi="ar-SA"/>
              </w:rPr>
              <w:t xml:space="preserve">   项目重大变动判定表</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3813"/>
              <w:gridCol w:w="2785"/>
              <w:gridCol w:w="2648"/>
              <w:gridCol w:w="830"/>
              <w:gridCol w:w="1705"/>
              <w:gridCol w:w="1018"/>
            </w:tblGrid>
            <w:tr w14:paraId="5F995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30" w:type="pct"/>
                  <w:tcBorders>
                    <w:tl2br w:val="nil"/>
                    <w:tr2bl w:val="nil"/>
                  </w:tcBorders>
                  <w:noWrap w:val="0"/>
                  <w:vAlign w:val="center"/>
                </w:tcPr>
                <w:p w14:paraId="0C7EEC25">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类别</w:t>
                  </w:r>
                </w:p>
              </w:tc>
              <w:tc>
                <w:tcPr>
                  <w:tcW w:w="1420" w:type="pct"/>
                  <w:tcBorders>
                    <w:tl2br w:val="nil"/>
                    <w:tr2bl w:val="nil"/>
                  </w:tcBorders>
                  <w:noWrap w:val="0"/>
                  <w:vAlign w:val="center"/>
                </w:tcPr>
                <w:p w14:paraId="237EBEAC">
                  <w:pPr>
                    <w:keepNext w:val="0"/>
                    <w:keepLines w:val="0"/>
                    <w:pageBreakBefore w:val="0"/>
                    <w:widowControl w:val="0"/>
                    <w:kinsoku/>
                    <w:wordWrap/>
                    <w:overflowPunct/>
                    <w:topLinePunct w:val="0"/>
                    <w:autoSpaceDE/>
                    <w:autoSpaceDN/>
                    <w:bidi w:val="0"/>
                    <w:adjustRightInd w:val="0"/>
                    <w:snapToGrid w:val="0"/>
                    <w:spacing w:before="40" w:after="40" w:line="240" w:lineRule="auto"/>
                    <w:ind w:left="-36" w:leftChars="-15" w:right="-36" w:rightChars="-15"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ascii="Times New Roman" w:hAnsi="Times New Roman" w:eastAsia="宋体" w:cs="Times New Roman"/>
                      <w:b/>
                      <w:bCs/>
                      <w:color w:val="auto"/>
                      <w:kern w:val="0"/>
                      <w:sz w:val="21"/>
                      <w:szCs w:val="21"/>
                      <w:highlight w:val="none"/>
                      <w:lang w:val="en-US" w:eastAsia="zh-CN" w:bidi="ar-SA"/>
                    </w:rPr>
                    <w:t>《污染影响类建设项目重大变动清单（试行）》</w:t>
                  </w:r>
                  <w:r>
                    <w:rPr>
                      <w:rFonts w:hint="eastAsia" w:ascii="Times New Roman" w:hAnsi="Times New Roman" w:eastAsia="宋体" w:cs="Times New Roman"/>
                      <w:b/>
                      <w:bCs/>
                      <w:color w:val="auto"/>
                      <w:kern w:val="0"/>
                      <w:sz w:val="21"/>
                      <w:szCs w:val="21"/>
                      <w:highlight w:val="none"/>
                      <w:lang w:val="en-US" w:eastAsia="zh-CN" w:bidi="ar-SA"/>
                    </w:rPr>
                    <w:t>（环办环评函〔2020〕688号）</w:t>
                  </w:r>
                </w:p>
              </w:tc>
              <w:tc>
                <w:tcPr>
                  <w:tcW w:w="1037" w:type="pct"/>
                  <w:tcBorders>
                    <w:tl2br w:val="nil"/>
                    <w:tr2bl w:val="nil"/>
                  </w:tcBorders>
                  <w:noWrap w:val="0"/>
                  <w:vAlign w:val="center"/>
                </w:tcPr>
                <w:p w14:paraId="1CEC3337">
                  <w:pPr>
                    <w:keepNext w:val="0"/>
                    <w:keepLines w:val="0"/>
                    <w:pageBreakBefore w:val="0"/>
                    <w:widowControl w:val="0"/>
                    <w:kinsoku/>
                    <w:wordWrap/>
                    <w:overflowPunct/>
                    <w:topLinePunct w:val="0"/>
                    <w:autoSpaceDE/>
                    <w:autoSpaceDN/>
                    <w:bidi w:val="0"/>
                    <w:adjustRightInd w:val="0"/>
                    <w:snapToGrid w:val="0"/>
                    <w:spacing w:before="40" w:after="40" w:line="240" w:lineRule="auto"/>
                    <w:ind w:left="-36" w:leftChars="-15" w:right="-36" w:rightChars="-15"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环评及批复要求</w:t>
                  </w:r>
                </w:p>
              </w:tc>
              <w:tc>
                <w:tcPr>
                  <w:tcW w:w="986" w:type="pct"/>
                  <w:tcBorders>
                    <w:tl2br w:val="nil"/>
                    <w:tr2bl w:val="nil"/>
                  </w:tcBorders>
                  <w:noWrap w:val="0"/>
                  <w:vAlign w:val="center"/>
                </w:tcPr>
                <w:p w14:paraId="1A1D2651">
                  <w:pPr>
                    <w:keepNext w:val="0"/>
                    <w:keepLines w:val="0"/>
                    <w:pageBreakBefore w:val="0"/>
                    <w:widowControl w:val="0"/>
                    <w:kinsoku/>
                    <w:wordWrap/>
                    <w:overflowPunct/>
                    <w:topLinePunct w:val="0"/>
                    <w:autoSpaceDE/>
                    <w:autoSpaceDN/>
                    <w:bidi w:val="0"/>
                    <w:adjustRightInd w:val="0"/>
                    <w:snapToGrid w:val="0"/>
                    <w:spacing w:before="40" w:after="40" w:line="240" w:lineRule="auto"/>
                    <w:ind w:left="-36" w:leftChars="-15" w:right="-36" w:rightChars="-15"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实际建设内容</w:t>
                  </w:r>
                </w:p>
              </w:tc>
              <w:tc>
                <w:tcPr>
                  <w:tcW w:w="309" w:type="pct"/>
                  <w:tcBorders>
                    <w:tl2br w:val="nil"/>
                    <w:tr2bl w:val="nil"/>
                  </w:tcBorders>
                  <w:noWrap w:val="0"/>
                  <w:vAlign w:val="center"/>
                </w:tcPr>
                <w:p w14:paraId="23C210B2">
                  <w:pPr>
                    <w:keepNext w:val="0"/>
                    <w:keepLines w:val="0"/>
                    <w:pageBreakBefore w:val="0"/>
                    <w:widowControl w:val="0"/>
                    <w:kinsoku/>
                    <w:wordWrap/>
                    <w:overflowPunct/>
                    <w:topLinePunct w:val="0"/>
                    <w:autoSpaceDE/>
                    <w:autoSpaceDN/>
                    <w:bidi w:val="0"/>
                    <w:adjustRightInd w:val="0"/>
                    <w:snapToGrid w:val="0"/>
                    <w:spacing w:before="40" w:after="40" w:line="240" w:lineRule="auto"/>
                    <w:ind w:left="-36" w:leftChars="-15" w:right="-36" w:rightChars="-15"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是否涉及变更</w:t>
                  </w:r>
                </w:p>
              </w:tc>
              <w:tc>
                <w:tcPr>
                  <w:tcW w:w="635" w:type="pct"/>
                  <w:tcBorders>
                    <w:tl2br w:val="nil"/>
                    <w:tr2bl w:val="nil"/>
                  </w:tcBorders>
                  <w:noWrap w:val="0"/>
                  <w:vAlign w:val="center"/>
                </w:tcPr>
                <w:p w14:paraId="5DCD8C3A">
                  <w:pPr>
                    <w:keepNext w:val="0"/>
                    <w:keepLines w:val="0"/>
                    <w:pageBreakBefore w:val="0"/>
                    <w:widowControl w:val="0"/>
                    <w:kinsoku/>
                    <w:wordWrap/>
                    <w:overflowPunct/>
                    <w:topLinePunct w:val="0"/>
                    <w:autoSpaceDE/>
                    <w:autoSpaceDN/>
                    <w:bidi w:val="0"/>
                    <w:adjustRightInd w:val="0"/>
                    <w:snapToGrid w:val="0"/>
                    <w:spacing w:before="40" w:after="40" w:line="240" w:lineRule="auto"/>
                    <w:ind w:left="-36" w:leftChars="-15" w:right="-36" w:rightChars="-15"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spacing w:val="0"/>
                      <w:kern w:val="21"/>
                      <w:position w:val="0"/>
                      <w:sz w:val="21"/>
                      <w:szCs w:val="21"/>
                      <w:lang w:val="en-US" w:eastAsia="zh-CN" w:bidi="ar-SA"/>
                    </w:rPr>
                    <w:t>变更内容</w:t>
                  </w:r>
                </w:p>
              </w:tc>
              <w:tc>
                <w:tcPr>
                  <w:tcW w:w="379" w:type="pct"/>
                  <w:tcBorders>
                    <w:tl2br w:val="nil"/>
                    <w:tr2bl w:val="nil"/>
                  </w:tcBorders>
                  <w:noWrap w:val="0"/>
                  <w:vAlign w:val="center"/>
                </w:tcPr>
                <w:p w14:paraId="5D2E4A1C">
                  <w:pPr>
                    <w:keepNext w:val="0"/>
                    <w:keepLines w:val="0"/>
                    <w:pageBreakBefore w:val="0"/>
                    <w:widowControl w:val="0"/>
                    <w:kinsoku/>
                    <w:wordWrap/>
                    <w:overflowPunct/>
                    <w:topLinePunct w:val="0"/>
                    <w:autoSpaceDE/>
                    <w:autoSpaceDN/>
                    <w:bidi w:val="0"/>
                    <w:adjustRightInd w:val="0"/>
                    <w:snapToGrid w:val="0"/>
                    <w:spacing w:before="40" w:after="40" w:line="240" w:lineRule="auto"/>
                    <w:ind w:left="-36" w:leftChars="-15" w:right="-36" w:rightChars="-15"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eastAsia="宋体" w:cs="Times New Roman"/>
                      <w:b/>
                      <w:bCs/>
                      <w:color w:val="auto"/>
                      <w:kern w:val="0"/>
                      <w:sz w:val="21"/>
                      <w:szCs w:val="21"/>
                      <w:highlight w:val="none"/>
                      <w:lang w:val="en-US" w:eastAsia="zh-CN" w:bidi="ar-SA"/>
                    </w:rPr>
                    <w:t>是否属于重大变动</w:t>
                  </w:r>
                </w:p>
              </w:tc>
            </w:tr>
            <w:tr w14:paraId="09F27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7" w:hRule="atLeast"/>
                <w:jc w:val="center"/>
              </w:trPr>
              <w:tc>
                <w:tcPr>
                  <w:tcW w:w="230" w:type="pct"/>
                  <w:tcBorders>
                    <w:tl2br w:val="nil"/>
                    <w:tr2bl w:val="nil"/>
                  </w:tcBorders>
                  <w:noWrap w:val="0"/>
                  <w:vAlign w:val="center"/>
                </w:tcPr>
                <w:p w14:paraId="256F811A">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性质</w:t>
                  </w:r>
                </w:p>
              </w:tc>
              <w:tc>
                <w:tcPr>
                  <w:tcW w:w="1420" w:type="pct"/>
                  <w:tcBorders>
                    <w:tl2br w:val="nil"/>
                    <w:tr2bl w:val="nil"/>
                  </w:tcBorders>
                  <w:noWrap w:val="0"/>
                  <w:vAlign w:val="center"/>
                </w:tcPr>
                <w:p w14:paraId="6BA276C6">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ascii="Times New Roman" w:hAnsi="Times New Roman" w:eastAsia="宋体" w:cs="Times New Roman"/>
                      <w:bCs/>
                      <w:color w:val="auto"/>
                      <w:kern w:val="0"/>
                      <w:sz w:val="21"/>
                      <w:szCs w:val="21"/>
                      <w:highlight w:val="none"/>
                      <w:lang w:val="en-US" w:eastAsia="zh-CN" w:bidi="ar-SA"/>
                    </w:rPr>
                    <w:t>1、建设项目开发、使用功能发生变化的。</w:t>
                  </w:r>
                </w:p>
              </w:tc>
              <w:tc>
                <w:tcPr>
                  <w:tcW w:w="1037" w:type="pct"/>
                  <w:tcBorders>
                    <w:tl2br w:val="nil"/>
                    <w:tr2bl w:val="nil"/>
                  </w:tcBorders>
                  <w:noWrap w:val="0"/>
                  <w:vAlign w:val="center"/>
                </w:tcPr>
                <w:p w14:paraId="443D3B2B">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项目性质为</w:t>
                  </w:r>
                  <w:r>
                    <w:rPr>
                      <w:rFonts w:hint="eastAsia" w:ascii="Times New Roman" w:hAnsi="Times New Roman" w:eastAsia="宋体" w:cs="Times New Roman"/>
                      <w:color w:val="auto"/>
                      <w:kern w:val="0"/>
                      <w:sz w:val="21"/>
                      <w:szCs w:val="21"/>
                      <w:highlight w:val="none"/>
                      <w:lang w:val="en-US" w:eastAsia="zh-CN" w:bidi="ar-SA"/>
                    </w:rPr>
                    <w:t>迁建、主要建设内容为：乙炔生产车间，工业氧气、医用氧气充装间，氮气、氩气、二氧化碳、混合气体充装间，丙烷气、液化石油气充装间，以及配套的储运工程、辅助工程、环保工程和公用工程项目。</w:t>
                  </w:r>
                </w:p>
              </w:tc>
              <w:tc>
                <w:tcPr>
                  <w:tcW w:w="986" w:type="pct"/>
                  <w:tcBorders>
                    <w:tl2br w:val="nil"/>
                    <w:tr2bl w:val="nil"/>
                  </w:tcBorders>
                  <w:noWrap w:val="0"/>
                  <w:vAlign w:val="center"/>
                </w:tcPr>
                <w:p w14:paraId="54EF1A71">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项目性质为</w:t>
                  </w:r>
                  <w:r>
                    <w:rPr>
                      <w:rFonts w:hint="eastAsia" w:ascii="Times New Roman" w:hAnsi="Times New Roman" w:eastAsia="宋体" w:cs="Times New Roman"/>
                      <w:color w:val="auto"/>
                      <w:kern w:val="0"/>
                      <w:sz w:val="21"/>
                      <w:szCs w:val="21"/>
                      <w:highlight w:val="none"/>
                      <w:lang w:val="en-US" w:eastAsia="zh-CN" w:bidi="ar-SA"/>
                    </w:rPr>
                    <w:t>迁建、实际建设内容为：建设1套547T/D全液化空分装置生产</w:t>
                  </w:r>
                  <w:r>
                    <w:rPr>
                      <w:rFonts w:hint="eastAsia" w:ascii="Times New Roman" w:hAnsi="Times New Roman" w:eastAsia="宋体" w:cs="Times New Roman"/>
                      <w:color w:val="000000"/>
                      <w:kern w:val="0"/>
                      <w:sz w:val="21"/>
                      <w:szCs w:val="21"/>
                      <w:highlight w:val="none"/>
                      <w:lang w:val="en-US" w:eastAsia="zh-CN" w:bidi="ar-SA"/>
                    </w:rPr>
                    <w:t>液氧、液氮、液氩、高纯液氧</w:t>
                  </w:r>
                  <w:r>
                    <w:rPr>
                      <w:rFonts w:hint="eastAsia" w:ascii="Times New Roman" w:hAnsi="Times New Roman" w:eastAsia="宋体" w:cs="Times New Roman"/>
                      <w:color w:val="auto"/>
                      <w:kern w:val="0"/>
                      <w:sz w:val="21"/>
                      <w:szCs w:val="21"/>
                      <w:highlight w:val="none"/>
                      <w:lang w:val="en-US" w:eastAsia="zh-CN" w:bidi="ar-SA"/>
                    </w:rPr>
                    <w:t>；建设工业氧、医用氧充装间，氮、氩、二氧化碳、混合气体充装间，丙烷、液化石油气充装间，充装线共8条。</w:t>
                  </w:r>
                </w:p>
              </w:tc>
              <w:tc>
                <w:tcPr>
                  <w:tcW w:w="309" w:type="pct"/>
                  <w:tcBorders>
                    <w:tl2br w:val="nil"/>
                    <w:tr2bl w:val="nil"/>
                  </w:tcBorders>
                  <w:noWrap w:val="0"/>
                  <w:vAlign w:val="center"/>
                </w:tcPr>
                <w:p w14:paraId="3FEF46C4">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是</w:t>
                  </w:r>
                </w:p>
              </w:tc>
              <w:tc>
                <w:tcPr>
                  <w:tcW w:w="635" w:type="pct"/>
                  <w:tcBorders>
                    <w:tl2br w:val="nil"/>
                    <w:tr2bl w:val="nil"/>
                  </w:tcBorders>
                  <w:noWrap w:val="0"/>
                  <w:vAlign w:val="center"/>
                </w:tcPr>
                <w:p w14:paraId="7A4B1ED5">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取消乙炔生产线，新增1套547T/D全液化空分装置生产液氧、液氮、氮气、液氩和高纯液氧。同时配套建设产品储存和充装系统。</w:t>
                  </w:r>
                </w:p>
              </w:tc>
              <w:tc>
                <w:tcPr>
                  <w:tcW w:w="379" w:type="pct"/>
                  <w:tcBorders>
                    <w:tl2br w:val="nil"/>
                    <w:tr2bl w:val="nil"/>
                  </w:tcBorders>
                  <w:noWrap w:val="0"/>
                  <w:vAlign w:val="center"/>
                </w:tcPr>
                <w:p w14:paraId="2AA58F88">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是</w:t>
                  </w:r>
                </w:p>
              </w:tc>
            </w:tr>
            <w:tr w14:paraId="0C437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30" w:type="pct"/>
                  <w:vMerge w:val="restart"/>
                  <w:tcBorders>
                    <w:tl2br w:val="nil"/>
                    <w:tr2bl w:val="nil"/>
                  </w:tcBorders>
                  <w:noWrap w:val="0"/>
                  <w:vAlign w:val="center"/>
                </w:tcPr>
                <w:p w14:paraId="16C76FB9">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规模</w:t>
                  </w:r>
                </w:p>
              </w:tc>
              <w:tc>
                <w:tcPr>
                  <w:tcW w:w="1420" w:type="pct"/>
                  <w:tcBorders>
                    <w:tl2br w:val="nil"/>
                    <w:tr2bl w:val="nil"/>
                  </w:tcBorders>
                  <w:noWrap w:val="0"/>
                  <w:vAlign w:val="center"/>
                </w:tcPr>
                <w:p w14:paraId="350A24B4">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2、生产、处置或储存能力增大30%及以上的。</w:t>
                  </w:r>
                </w:p>
              </w:tc>
              <w:tc>
                <w:tcPr>
                  <w:tcW w:w="1037" w:type="pct"/>
                  <w:tcBorders>
                    <w:tl2br w:val="nil"/>
                    <w:tr2bl w:val="nil"/>
                  </w:tcBorders>
                  <w:noWrap w:val="0"/>
                  <w:vAlign w:val="center"/>
                </w:tcPr>
                <w:p w14:paraId="42B8CF57">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年产溶解乙炔气体60万瓶（折合3000</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t）、年产工业氧气100万瓶（折合7000t）、年产医用氧气20万瓶（折合1400t）、年产氮气50万瓶（折合3350t）</w:t>
                  </w:r>
                  <w:r>
                    <w:rPr>
                      <w:rFonts w:hint="eastAsia"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年产氩气50万瓶（折合5000t）</w:t>
                  </w:r>
                  <w:r>
                    <w:rPr>
                      <w:rFonts w:hint="eastAsia" w:ascii="Times New Roman" w:hAnsi="Times New Roman" w:eastAsia="宋体" w:cs="Times New Roman"/>
                      <w:color w:val="auto"/>
                      <w:kern w:val="0"/>
                      <w:sz w:val="21"/>
                      <w:szCs w:val="21"/>
                      <w:highlight w:val="none"/>
                      <w:lang w:val="en-US" w:eastAsia="zh-CN" w:bidi="ar-SA"/>
                    </w:rPr>
                    <w:t>、年充装二氧化碳50万瓶（折合12000t）、混合气体50万瓶（折合5000t）、液化石油气50万瓶（折合7500t）、丙烷50万瓶（折合7500t）</w:t>
                  </w:r>
                  <w:r>
                    <w:rPr>
                      <w:rFonts w:hint="eastAsia" w:ascii="Times New Roman" w:hAnsi="Times New Roman" w:eastAsia="宋体" w:cs="Times New Roman"/>
                      <w:color w:val="auto"/>
                      <w:spacing w:val="0"/>
                      <w:kern w:val="0"/>
                      <w:sz w:val="21"/>
                      <w:szCs w:val="21"/>
                      <w:highlight w:val="none"/>
                      <w:lang w:val="en-US" w:eastAsia="zh-CN" w:bidi="ar-SA"/>
                    </w:rPr>
                    <w:t>。合计年充装工业气体约480万瓶（折合51750吨）、储存能力约580m</w:t>
                  </w:r>
                  <w:r>
                    <w:rPr>
                      <w:rFonts w:hint="eastAsia" w:ascii="Times New Roman" w:hAnsi="Times New Roman" w:eastAsia="宋体" w:cs="Times New Roman"/>
                      <w:color w:val="auto"/>
                      <w:spacing w:val="0"/>
                      <w:kern w:val="0"/>
                      <w:sz w:val="21"/>
                      <w:szCs w:val="21"/>
                      <w:highlight w:val="none"/>
                      <w:vertAlign w:val="superscript"/>
                      <w:lang w:val="en-US" w:eastAsia="zh-CN" w:bidi="ar-SA"/>
                    </w:rPr>
                    <w:t>3</w:t>
                  </w:r>
                  <w:r>
                    <w:rPr>
                      <w:rFonts w:hint="eastAsia" w:ascii="Times New Roman" w:hAnsi="Times New Roman" w:eastAsia="宋体" w:cs="Times New Roman"/>
                      <w:color w:val="auto"/>
                      <w:spacing w:val="0"/>
                      <w:kern w:val="0"/>
                      <w:sz w:val="21"/>
                      <w:szCs w:val="21"/>
                      <w:highlight w:val="none"/>
                      <w:lang w:val="en-US" w:eastAsia="zh-CN" w:bidi="ar-SA"/>
                    </w:rPr>
                    <w:t>。</w:t>
                  </w:r>
                </w:p>
              </w:tc>
              <w:tc>
                <w:tcPr>
                  <w:tcW w:w="986" w:type="pct"/>
                  <w:tcBorders>
                    <w:tl2br w:val="nil"/>
                    <w:tr2bl w:val="nil"/>
                  </w:tcBorders>
                  <w:noWrap w:val="0"/>
                  <w:vAlign w:val="center"/>
                </w:tcPr>
                <w:p w14:paraId="38CDF95A">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年生产液氧91396.8t、液氮83160t、液氩3927t、高纯液氧2257.2t。年充装工业氧气100万瓶（折合7000t）、医用氧气20万瓶（折合1400t）、液氧</w:t>
                  </w:r>
                  <w:r>
                    <w:rPr>
                      <w:rFonts w:hint="eastAsia" w:cs="Times New Roman"/>
                      <w:color w:val="000000"/>
                      <w:kern w:val="0"/>
                      <w:sz w:val="21"/>
                      <w:szCs w:val="21"/>
                      <w:highlight w:val="none"/>
                      <w:lang w:val="en-US" w:eastAsia="zh-CN" w:bidi="ar-SA"/>
                    </w:rPr>
                    <w:t>2400罐</w:t>
                  </w:r>
                  <w:r>
                    <w:rPr>
                      <w:rFonts w:hint="eastAsia" w:ascii="Times New Roman" w:hAnsi="Times New Roman" w:eastAsia="宋体" w:cs="Times New Roman"/>
                      <w:color w:val="000000"/>
                      <w:kern w:val="0"/>
                      <w:sz w:val="21"/>
                      <w:szCs w:val="21"/>
                      <w:highlight w:val="none"/>
                      <w:lang w:val="en-US" w:eastAsia="zh-CN" w:bidi="ar-SA"/>
                    </w:rPr>
                    <w:t>（折合384t）、氮气50万瓶（折合3350t）、液氮</w:t>
                  </w:r>
                  <w:r>
                    <w:rPr>
                      <w:rFonts w:hint="eastAsia" w:cs="Times New Roman"/>
                      <w:color w:val="000000"/>
                      <w:kern w:val="0"/>
                      <w:sz w:val="21"/>
                      <w:szCs w:val="21"/>
                      <w:highlight w:val="none"/>
                      <w:lang w:val="en-US" w:eastAsia="zh-CN" w:bidi="ar-SA"/>
                    </w:rPr>
                    <w:t>960罐</w:t>
                  </w:r>
                  <w:r>
                    <w:rPr>
                      <w:rFonts w:hint="eastAsia" w:ascii="Times New Roman" w:hAnsi="Times New Roman" w:eastAsia="宋体" w:cs="Times New Roman"/>
                      <w:color w:val="000000"/>
                      <w:kern w:val="0"/>
                      <w:sz w:val="21"/>
                      <w:szCs w:val="21"/>
                      <w:highlight w:val="none"/>
                      <w:lang w:val="en-US" w:eastAsia="zh-CN" w:bidi="ar-SA"/>
                    </w:rPr>
                    <w:t>（折合115.2t）、氩气50万瓶（折合5000t）、液氩1800罐（折合324t）、</w:t>
                  </w:r>
                  <w:r>
                    <w:rPr>
                      <w:rFonts w:hint="eastAsia" w:ascii="Times New Roman" w:hAnsi="Times New Roman" w:eastAsia="宋体" w:cs="Times New Roman"/>
                      <w:color w:val="auto"/>
                      <w:kern w:val="0"/>
                      <w:sz w:val="21"/>
                      <w:szCs w:val="21"/>
                      <w:highlight w:val="none"/>
                      <w:lang w:val="en-US" w:eastAsia="zh-CN" w:bidi="ar-SA"/>
                    </w:rPr>
                    <w:t>二氧化碳50万瓶（折合12000t）、混合气体50万瓶（折合5000t）、液化石油气50万瓶（折合7500t）、丙烷50万瓶（折合7500t）</w:t>
                  </w:r>
                  <w:r>
                    <w:rPr>
                      <w:rFonts w:hint="eastAsia" w:ascii="Times New Roman" w:hAnsi="Times New Roman" w:eastAsia="宋体" w:cs="Times New Roman"/>
                      <w:color w:val="auto"/>
                      <w:spacing w:val="0"/>
                      <w:kern w:val="0"/>
                      <w:sz w:val="21"/>
                      <w:szCs w:val="21"/>
                      <w:highlight w:val="none"/>
                      <w:lang w:val="en-US" w:eastAsia="zh-CN" w:bidi="ar-SA"/>
                    </w:rPr>
                    <w:t>。合计年充装工业气体约420万瓶、5160罐（折合49573.2吨），储存能力约6610m</w:t>
                  </w:r>
                  <w:r>
                    <w:rPr>
                      <w:rFonts w:hint="eastAsia" w:ascii="Times New Roman" w:hAnsi="Times New Roman" w:eastAsia="宋体" w:cs="Times New Roman"/>
                      <w:color w:val="auto"/>
                      <w:spacing w:val="0"/>
                      <w:kern w:val="0"/>
                      <w:sz w:val="21"/>
                      <w:szCs w:val="21"/>
                      <w:highlight w:val="none"/>
                      <w:vertAlign w:val="superscript"/>
                      <w:lang w:val="en-US" w:eastAsia="zh-CN" w:bidi="ar-SA"/>
                    </w:rPr>
                    <w:t>3</w:t>
                  </w:r>
                  <w:r>
                    <w:rPr>
                      <w:rFonts w:hint="eastAsia" w:ascii="Times New Roman" w:hAnsi="Times New Roman" w:eastAsia="宋体" w:cs="Times New Roman"/>
                      <w:color w:val="auto"/>
                      <w:spacing w:val="0"/>
                      <w:kern w:val="0"/>
                      <w:sz w:val="21"/>
                      <w:szCs w:val="21"/>
                      <w:highlight w:val="none"/>
                      <w:lang w:val="en-US" w:eastAsia="zh-CN" w:bidi="ar-SA"/>
                    </w:rPr>
                    <w:t>。</w:t>
                  </w:r>
                </w:p>
              </w:tc>
              <w:tc>
                <w:tcPr>
                  <w:tcW w:w="309" w:type="pct"/>
                  <w:tcBorders>
                    <w:tl2br w:val="nil"/>
                    <w:tr2bl w:val="nil"/>
                  </w:tcBorders>
                  <w:noWrap w:val="0"/>
                  <w:vAlign w:val="center"/>
                </w:tcPr>
                <w:p w14:paraId="4EC3F3D1">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是</w:t>
                  </w:r>
                </w:p>
              </w:tc>
              <w:tc>
                <w:tcPr>
                  <w:tcW w:w="635" w:type="pct"/>
                  <w:tcBorders>
                    <w:tl2br w:val="nil"/>
                    <w:tr2bl w:val="nil"/>
                  </w:tcBorders>
                  <w:noWrap w:val="0"/>
                  <w:vAlign w:val="center"/>
                </w:tcPr>
                <w:p w14:paraId="36552791">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取消年产溶解乙炔气体60万瓶（折合3000t）。</w:t>
                  </w:r>
                  <w:r>
                    <w:rPr>
                      <w:rFonts w:hint="eastAsia" w:ascii="Times New Roman" w:hAnsi="Times New Roman" w:eastAsia="宋体" w:cs="Times New Roman"/>
                      <w:color w:val="000000"/>
                      <w:kern w:val="0"/>
                      <w:sz w:val="21"/>
                      <w:szCs w:val="21"/>
                      <w:highlight w:val="none"/>
                      <w:lang w:val="en-US" w:eastAsia="zh-CN" w:bidi="ar-SA"/>
                    </w:rPr>
                    <w:t>年生产液氧91396.8t、液氮83160t、液氩3927t、高纯液氧2257.2t。新增年充装液氧</w:t>
                  </w:r>
                  <w:r>
                    <w:rPr>
                      <w:rFonts w:hint="eastAsia" w:cs="Times New Roman"/>
                      <w:color w:val="000000"/>
                      <w:kern w:val="0"/>
                      <w:sz w:val="21"/>
                      <w:szCs w:val="21"/>
                      <w:highlight w:val="none"/>
                      <w:lang w:val="en-US" w:eastAsia="zh-CN" w:bidi="ar-SA"/>
                    </w:rPr>
                    <w:t>2400罐</w:t>
                  </w:r>
                  <w:r>
                    <w:rPr>
                      <w:rFonts w:hint="eastAsia" w:ascii="Times New Roman" w:hAnsi="Times New Roman" w:eastAsia="宋体" w:cs="Times New Roman"/>
                      <w:color w:val="000000"/>
                      <w:kern w:val="0"/>
                      <w:sz w:val="21"/>
                      <w:szCs w:val="21"/>
                      <w:highlight w:val="none"/>
                      <w:lang w:val="en-US" w:eastAsia="zh-CN" w:bidi="ar-SA"/>
                    </w:rPr>
                    <w:t>（折合384t）、液氩1800罐（折合324t）、液氮</w:t>
                  </w:r>
                  <w:r>
                    <w:rPr>
                      <w:rFonts w:hint="eastAsia" w:cs="Times New Roman"/>
                      <w:color w:val="000000"/>
                      <w:kern w:val="0"/>
                      <w:sz w:val="21"/>
                      <w:szCs w:val="21"/>
                      <w:highlight w:val="none"/>
                      <w:lang w:val="en-US" w:eastAsia="zh-CN" w:bidi="ar-SA"/>
                    </w:rPr>
                    <w:t>960罐</w:t>
                  </w:r>
                  <w:r>
                    <w:rPr>
                      <w:rFonts w:hint="eastAsia" w:ascii="Times New Roman" w:hAnsi="Times New Roman" w:eastAsia="宋体" w:cs="Times New Roman"/>
                      <w:color w:val="000000"/>
                      <w:kern w:val="0"/>
                      <w:sz w:val="21"/>
                      <w:szCs w:val="21"/>
                      <w:highlight w:val="none"/>
                      <w:lang w:val="en-US" w:eastAsia="zh-CN" w:bidi="ar-SA"/>
                    </w:rPr>
                    <w:t>（折合115.2t）</w:t>
                  </w:r>
                  <w:r>
                    <w:rPr>
                      <w:rFonts w:hint="eastAsia" w:ascii="Times New Roman" w:hAnsi="Times New Roman" w:eastAsia="宋体" w:cs="Times New Roman"/>
                      <w:color w:val="auto"/>
                      <w:spacing w:val="0"/>
                      <w:kern w:val="0"/>
                      <w:sz w:val="21"/>
                      <w:szCs w:val="21"/>
                      <w:highlight w:val="none"/>
                      <w:lang w:val="en-US" w:eastAsia="zh-CN" w:bidi="ar-SA"/>
                    </w:rPr>
                    <w:t>。合计新增年充装液体约5160罐（折合823.2吨）。生产能力增大5925%，储存能力增大1040%。</w:t>
                  </w:r>
                </w:p>
              </w:tc>
              <w:tc>
                <w:tcPr>
                  <w:tcW w:w="379" w:type="pct"/>
                  <w:tcBorders>
                    <w:tl2br w:val="nil"/>
                    <w:tr2bl w:val="nil"/>
                  </w:tcBorders>
                  <w:noWrap w:val="0"/>
                  <w:vAlign w:val="center"/>
                </w:tcPr>
                <w:p w14:paraId="2735BFBB">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是</w:t>
                  </w:r>
                </w:p>
              </w:tc>
            </w:tr>
            <w:tr w14:paraId="6FD7D1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30" w:type="pct"/>
                  <w:vMerge w:val="continue"/>
                  <w:tcBorders>
                    <w:tl2br w:val="nil"/>
                    <w:tr2bl w:val="nil"/>
                  </w:tcBorders>
                  <w:noWrap w:val="0"/>
                  <w:vAlign w:val="center"/>
                </w:tcPr>
                <w:p w14:paraId="0B58DC6A">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p>
              </w:tc>
              <w:tc>
                <w:tcPr>
                  <w:tcW w:w="1420" w:type="pct"/>
                  <w:tcBorders>
                    <w:tl2br w:val="nil"/>
                    <w:tr2bl w:val="nil"/>
                  </w:tcBorders>
                  <w:noWrap w:val="0"/>
                  <w:vAlign w:val="center"/>
                </w:tcPr>
                <w:p w14:paraId="6480C0AF">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ascii="Times New Roman" w:hAnsi="Times New Roman" w:eastAsia="宋体" w:cs="Times New Roman"/>
                      <w:bCs/>
                      <w:color w:val="auto"/>
                      <w:kern w:val="0"/>
                      <w:sz w:val="21"/>
                      <w:szCs w:val="21"/>
                      <w:highlight w:val="none"/>
                      <w:lang w:val="en-US" w:eastAsia="zh-CN" w:bidi="ar-SA"/>
                    </w:rPr>
                    <w:t>3、生产、处置或储存能力增大，导致废水第一类污染物排放量增加的。</w:t>
                  </w:r>
                </w:p>
              </w:tc>
              <w:tc>
                <w:tcPr>
                  <w:tcW w:w="1037" w:type="pct"/>
                  <w:tcBorders>
                    <w:tl2br w:val="nil"/>
                    <w:tr2bl w:val="nil"/>
                  </w:tcBorders>
                  <w:noWrap w:val="0"/>
                  <w:vAlign w:val="center"/>
                </w:tcPr>
                <w:p w14:paraId="6C512C89">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不涉及</w:t>
                  </w:r>
                </w:p>
              </w:tc>
              <w:tc>
                <w:tcPr>
                  <w:tcW w:w="986" w:type="pct"/>
                  <w:tcBorders>
                    <w:tl2br w:val="nil"/>
                    <w:tr2bl w:val="nil"/>
                  </w:tcBorders>
                  <w:noWrap w:val="0"/>
                  <w:vAlign w:val="center"/>
                </w:tcPr>
                <w:p w14:paraId="15171EDF">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不涉及</w:t>
                  </w:r>
                </w:p>
              </w:tc>
              <w:tc>
                <w:tcPr>
                  <w:tcW w:w="309" w:type="pct"/>
                  <w:tcBorders>
                    <w:tl2br w:val="nil"/>
                    <w:tr2bl w:val="nil"/>
                  </w:tcBorders>
                  <w:noWrap w:val="0"/>
                  <w:vAlign w:val="center"/>
                </w:tcPr>
                <w:p w14:paraId="18867AE2">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否</w:t>
                  </w:r>
                </w:p>
              </w:tc>
              <w:tc>
                <w:tcPr>
                  <w:tcW w:w="635" w:type="pct"/>
                  <w:tcBorders>
                    <w:tl2br w:val="nil"/>
                    <w:tr2bl w:val="nil"/>
                  </w:tcBorders>
                  <w:noWrap w:val="0"/>
                  <w:vAlign w:val="center"/>
                </w:tcPr>
                <w:p w14:paraId="065C258B">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w:t>
                  </w:r>
                </w:p>
              </w:tc>
              <w:tc>
                <w:tcPr>
                  <w:tcW w:w="379" w:type="pct"/>
                  <w:tcBorders>
                    <w:tl2br w:val="nil"/>
                    <w:tr2bl w:val="nil"/>
                  </w:tcBorders>
                  <w:noWrap w:val="0"/>
                  <w:vAlign w:val="center"/>
                </w:tcPr>
                <w:p w14:paraId="25E5BA76">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否</w:t>
                  </w:r>
                </w:p>
              </w:tc>
            </w:tr>
            <w:tr w14:paraId="10B2E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30" w:type="pct"/>
                  <w:vMerge w:val="continue"/>
                  <w:tcBorders>
                    <w:tl2br w:val="nil"/>
                    <w:tr2bl w:val="nil"/>
                  </w:tcBorders>
                  <w:noWrap w:val="0"/>
                  <w:vAlign w:val="center"/>
                </w:tcPr>
                <w:p w14:paraId="76F2FD9B">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p>
              </w:tc>
              <w:tc>
                <w:tcPr>
                  <w:tcW w:w="1420" w:type="pct"/>
                  <w:tcBorders>
                    <w:tl2br w:val="nil"/>
                    <w:tr2bl w:val="nil"/>
                  </w:tcBorders>
                  <w:noWrap w:val="0"/>
                  <w:vAlign w:val="center"/>
                </w:tcPr>
                <w:p w14:paraId="6A462037">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ascii="Times New Roman" w:hAnsi="Times New Roman" w:eastAsia="宋体" w:cs="Times New Roman"/>
                      <w:bCs/>
                      <w:color w:val="auto"/>
                      <w:kern w:val="0"/>
                      <w:sz w:val="21"/>
                      <w:szCs w:val="21"/>
                      <w:highlight w:val="none"/>
                      <w:lang w:val="en-US" w:eastAsia="zh-CN" w:bidi="ar-SA"/>
                    </w:rPr>
                    <w:t>4、位于环境质量不达标区的建设项目</w:t>
                  </w:r>
                  <w:r>
                    <w:rPr>
                      <w:rFonts w:hint="eastAsia" w:cs="Times New Roman"/>
                      <w:bCs/>
                      <w:color w:val="auto"/>
                      <w:kern w:val="0"/>
                      <w:sz w:val="21"/>
                      <w:szCs w:val="21"/>
                      <w:highlight w:val="none"/>
                      <w:lang w:val="en-US" w:eastAsia="zh-CN" w:bidi="ar-SA"/>
                    </w:rPr>
                    <w:t>因</w:t>
                  </w:r>
                  <w:r>
                    <w:rPr>
                      <w:rFonts w:ascii="Times New Roman" w:hAnsi="Times New Roman" w:eastAsia="宋体" w:cs="Times New Roman"/>
                      <w:bCs/>
                      <w:color w:val="auto"/>
                      <w:kern w:val="0"/>
                      <w:sz w:val="21"/>
                      <w:szCs w:val="21"/>
                      <w:highlight w:val="none"/>
                      <w:lang w:val="en-US" w:eastAsia="zh-CN" w:bidi="ar-SA"/>
                    </w:rPr>
                    <w:t>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037" w:type="pct"/>
                  <w:tcBorders>
                    <w:tl2br w:val="nil"/>
                    <w:tr2bl w:val="nil"/>
                  </w:tcBorders>
                  <w:noWrap w:val="0"/>
                  <w:vAlign w:val="center"/>
                </w:tcPr>
                <w:p w14:paraId="0CDFF181">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本项目位于陕西省宝鸡市凤翔高新区长青工业园，为环境质量达标区，非甲烷总烃排放量为</w:t>
                  </w:r>
                  <w:r>
                    <w:rPr>
                      <w:rFonts w:hint="eastAsia"/>
                      <w:sz w:val="20"/>
                      <w:szCs w:val="20"/>
                      <w:vertAlign w:val="baseline"/>
                      <w:lang w:val="en-US" w:eastAsia="zh-CN"/>
                    </w:rPr>
                    <w:t>3.536t/a、颗粒物排放量为0.234t/a、硫化氢排放量为0.002t/a、PH</w:t>
                  </w:r>
                  <w:r>
                    <w:rPr>
                      <w:rFonts w:hint="eastAsia"/>
                      <w:sz w:val="20"/>
                      <w:szCs w:val="20"/>
                      <w:vertAlign w:val="subscript"/>
                      <w:lang w:val="en-US" w:eastAsia="zh-CN"/>
                    </w:rPr>
                    <w:t>3</w:t>
                  </w:r>
                  <w:r>
                    <w:rPr>
                      <w:rFonts w:hint="eastAsia"/>
                      <w:sz w:val="20"/>
                      <w:szCs w:val="20"/>
                      <w:vertAlign w:val="baseline"/>
                      <w:lang w:val="en-US" w:eastAsia="zh-CN"/>
                    </w:rPr>
                    <w:t>排放量为0.001t/a、</w:t>
                  </w:r>
                  <w:r>
                    <w:rPr>
                      <w:rFonts w:hint="eastAsia"/>
                      <w:sz w:val="21"/>
                      <w:szCs w:val="21"/>
                      <w:vertAlign w:val="baseline"/>
                      <w:lang w:val="en-US" w:eastAsia="zh-CN"/>
                    </w:rPr>
                    <w:t>丙酮</w:t>
                  </w:r>
                  <w:r>
                    <w:rPr>
                      <w:rFonts w:hint="eastAsia" w:ascii="Times New Roman" w:hAnsi="Times New Roman" w:eastAsia="宋体" w:cs="Times New Roman"/>
                      <w:bCs/>
                      <w:color w:val="auto"/>
                      <w:kern w:val="0"/>
                      <w:sz w:val="21"/>
                      <w:szCs w:val="21"/>
                      <w:highlight w:val="none"/>
                      <w:lang w:val="en-US" w:eastAsia="zh-CN" w:bidi="ar-SA"/>
                    </w:rPr>
                    <w:t>排放量0.0002t/a</w:t>
                  </w:r>
                  <w:r>
                    <w:rPr>
                      <w:rFonts w:hint="eastAsia" w:cs="Times New Roman"/>
                      <w:bCs/>
                      <w:color w:val="auto"/>
                      <w:kern w:val="0"/>
                      <w:sz w:val="21"/>
                      <w:szCs w:val="21"/>
                      <w:highlight w:val="none"/>
                      <w:lang w:val="en-US" w:eastAsia="zh-CN" w:bidi="ar-SA"/>
                    </w:rPr>
                    <w:t>.</w:t>
                  </w:r>
                </w:p>
              </w:tc>
              <w:tc>
                <w:tcPr>
                  <w:tcW w:w="986" w:type="pct"/>
                  <w:tcBorders>
                    <w:tl2br w:val="nil"/>
                    <w:tr2bl w:val="nil"/>
                  </w:tcBorders>
                  <w:noWrap w:val="0"/>
                  <w:vAlign w:val="center"/>
                </w:tcPr>
                <w:p w14:paraId="24BCAD41">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本项目位于陕西省宝鸡市凤翔高新区长青工业园，为环境质量达标区。废气排放主</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要为</w:t>
                  </w: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空分设备线</w:t>
                  </w:r>
                  <w:r>
                    <w:rPr>
                      <w:rFonts w:hint="default" w:ascii="Times New Roman" w:hAnsi="Times New Roman" w:cs="Times New Roman"/>
                      <w:b w:val="0"/>
                      <w:bCs w:val="0"/>
                      <w:color w:val="000000" w:themeColor="text1"/>
                      <w:sz w:val="21"/>
                      <w:szCs w:val="21"/>
                      <w:vertAlign w:val="baseline"/>
                      <w:lang w:eastAsia="zh-CN"/>
                      <w14:textFill>
                        <w14:solidFill>
                          <w14:schemeClr w14:val="tx1"/>
                        </w14:solidFill>
                      </w14:textFill>
                    </w:rPr>
                    <w:t>的</w:t>
                  </w:r>
                  <w:r>
                    <w:rPr>
                      <w:rFonts w:hint="default" w:ascii="Times New Roman" w:hAnsi="Times New Roman" w:cs="Times New Roman"/>
                      <w:b w:val="0"/>
                      <w:bCs w:val="0"/>
                      <w:color w:val="000000" w:themeColor="text1"/>
                      <w:sz w:val="21"/>
                      <w:szCs w:val="21"/>
                      <w:highlight w:val="none"/>
                      <w:vertAlign w:val="baseline"/>
                      <w:lang w:eastAsia="zh-CN"/>
                      <w14:textFill>
                        <w14:solidFill>
                          <w14:schemeClr w14:val="tx1"/>
                        </w14:solidFill>
                      </w14:textFill>
                    </w:rPr>
                    <w:t>污氮（纯度不高的氮气）</w:t>
                  </w:r>
                  <w:r>
                    <w:rPr>
                      <w:rFonts w:hint="eastAsia"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及气体充装线</w:t>
                  </w:r>
                  <w:r>
                    <w:rPr>
                      <w:rFonts w:hint="eastAsia"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液化石油气、丙烷</w:t>
                  </w:r>
                  <w:r>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t>卸料、充装过程逸出废气</w:t>
                  </w:r>
                  <w:r>
                    <w:rPr>
                      <w:rFonts w:hint="eastAsia" w:cs="Times New Roman"/>
                      <w:color w:val="000000" w:themeColor="text1"/>
                      <w:kern w:val="0"/>
                      <w:sz w:val="21"/>
                      <w:szCs w:val="21"/>
                      <w:u w:val="none"/>
                      <w:lang w:val="en-US" w:eastAsia="zh-CN" w:bidi="ar-SA"/>
                      <w14:textFill>
                        <w14:solidFill>
                          <w14:schemeClr w14:val="tx1"/>
                        </w14:solidFill>
                      </w14:textFill>
                    </w:rPr>
                    <w:t>和设备动静密封点无组织逸散的有机废气，非甲烷总烃排放量为0.5628t/a。</w:t>
                  </w:r>
                </w:p>
              </w:tc>
              <w:tc>
                <w:tcPr>
                  <w:tcW w:w="309" w:type="pct"/>
                  <w:tcBorders>
                    <w:tl2br w:val="nil"/>
                    <w:tr2bl w:val="nil"/>
                  </w:tcBorders>
                  <w:noWrap w:val="0"/>
                  <w:vAlign w:val="center"/>
                </w:tcPr>
                <w:p w14:paraId="66E939F2">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否</w:t>
                  </w:r>
                </w:p>
              </w:tc>
              <w:tc>
                <w:tcPr>
                  <w:tcW w:w="635" w:type="pct"/>
                  <w:tcBorders>
                    <w:tl2br w:val="nil"/>
                    <w:tr2bl w:val="nil"/>
                  </w:tcBorders>
                  <w:noWrap w:val="0"/>
                  <w:vAlign w:val="center"/>
                </w:tcPr>
                <w:p w14:paraId="4DB6ABF5">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废气排放量减少</w:t>
                  </w:r>
                </w:p>
              </w:tc>
              <w:tc>
                <w:tcPr>
                  <w:tcW w:w="379" w:type="pct"/>
                  <w:tcBorders>
                    <w:tl2br w:val="nil"/>
                    <w:tr2bl w:val="nil"/>
                  </w:tcBorders>
                  <w:noWrap w:val="0"/>
                  <w:vAlign w:val="center"/>
                </w:tcPr>
                <w:p w14:paraId="2AE2669F">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否</w:t>
                  </w:r>
                </w:p>
              </w:tc>
            </w:tr>
            <w:tr w14:paraId="5FDF0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30" w:type="pct"/>
                  <w:tcBorders>
                    <w:tl2br w:val="nil"/>
                    <w:tr2bl w:val="nil"/>
                  </w:tcBorders>
                  <w:noWrap w:val="0"/>
                  <w:vAlign w:val="center"/>
                </w:tcPr>
                <w:p w14:paraId="7EC7D7EF">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地点</w:t>
                  </w:r>
                </w:p>
              </w:tc>
              <w:tc>
                <w:tcPr>
                  <w:tcW w:w="1420" w:type="pct"/>
                  <w:tcBorders>
                    <w:tl2br w:val="nil"/>
                    <w:tr2bl w:val="nil"/>
                  </w:tcBorders>
                  <w:noWrap w:val="0"/>
                  <w:vAlign w:val="center"/>
                </w:tcPr>
                <w:p w14:paraId="3CE5DC98">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ascii="Times New Roman" w:hAnsi="Times New Roman" w:eastAsia="宋体" w:cs="Times New Roman"/>
                      <w:bCs/>
                      <w:color w:val="auto"/>
                      <w:kern w:val="0"/>
                      <w:sz w:val="21"/>
                      <w:szCs w:val="21"/>
                      <w:highlight w:val="none"/>
                      <w:lang w:val="en-US" w:eastAsia="zh-CN" w:bidi="ar-SA"/>
                    </w:rPr>
                    <w:t>5、重新选址；在原厂址附近调整（包括总平面布置变化）导致环境防护距离范围变化且新增敏感点的。</w:t>
                  </w:r>
                </w:p>
              </w:tc>
              <w:tc>
                <w:tcPr>
                  <w:tcW w:w="1037" w:type="pct"/>
                  <w:tcBorders>
                    <w:tl2br w:val="nil"/>
                    <w:tr2bl w:val="nil"/>
                  </w:tcBorders>
                  <w:noWrap w:val="0"/>
                  <w:vAlign w:val="center"/>
                </w:tcPr>
                <w:p w14:paraId="00293C65">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本项目</w:t>
                  </w:r>
                  <w:r>
                    <w:rPr>
                      <w:rFonts w:hint="eastAsia" w:ascii="Times New Roman" w:hAnsi="Times New Roman" w:eastAsia="宋体" w:cs="Times New Roman"/>
                      <w:color w:val="auto"/>
                      <w:kern w:val="0"/>
                      <w:sz w:val="21"/>
                      <w:szCs w:val="21"/>
                      <w:highlight w:val="none"/>
                      <w:lang w:val="en-US" w:eastAsia="zh-CN" w:bidi="ar-SA"/>
                    </w:rPr>
                    <w:t>位于陕西省宝鸡市凤翔高新区长青工业园</w:t>
                  </w:r>
                  <w:r>
                    <w:rPr>
                      <w:rFonts w:hint="eastAsia" w:ascii="Times New Roman" w:hAnsi="Times New Roman" w:eastAsia="宋体" w:cs="Times New Roman"/>
                      <w:bCs/>
                      <w:color w:val="auto"/>
                      <w:spacing w:val="0"/>
                      <w:kern w:val="0"/>
                      <w:sz w:val="21"/>
                      <w:szCs w:val="21"/>
                      <w:lang w:val="en-US" w:eastAsia="zh-CN" w:bidi="ar-SA"/>
                    </w:rPr>
                    <w:t>，总占地</w:t>
                  </w:r>
                  <w:r>
                    <w:rPr>
                      <w:rFonts w:hint="eastAsia" w:ascii="Times New Roman" w:hAnsi="Times New Roman" w:eastAsia="宋体" w:cs="Times New Roman"/>
                      <w:bCs/>
                      <w:color w:val="auto"/>
                      <w:kern w:val="0"/>
                      <w:sz w:val="21"/>
                      <w:szCs w:val="21"/>
                      <w:highlight w:val="none"/>
                      <w:lang w:val="en-US" w:eastAsia="zh-CN" w:bidi="ar-SA"/>
                    </w:rPr>
                    <w:t>面积为50319</w:t>
                  </w:r>
                  <w:r>
                    <w:rPr>
                      <w:rFonts w:hint="eastAsia" w:ascii="Times New Roman" w:hAnsi="Times New Roman" w:eastAsia="宋体" w:cs="Times New Roman"/>
                      <w:bCs/>
                      <w:color w:val="auto"/>
                      <w:spacing w:val="0"/>
                      <w:kern w:val="0"/>
                      <w:sz w:val="21"/>
                      <w:szCs w:val="21"/>
                      <w:lang w:val="en-US" w:eastAsia="zh-CN" w:bidi="ar-SA"/>
                    </w:rPr>
                    <w:t>m</w:t>
                  </w:r>
                  <w:r>
                    <w:rPr>
                      <w:rFonts w:hint="eastAsia" w:ascii="Times New Roman" w:hAnsi="Times New Roman" w:eastAsia="宋体" w:cs="Times New Roman"/>
                      <w:bCs/>
                      <w:color w:val="auto"/>
                      <w:spacing w:val="0"/>
                      <w:kern w:val="0"/>
                      <w:sz w:val="21"/>
                      <w:szCs w:val="21"/>
                      <w:vertAlign w:val="superscript"/>
                      <w:lang w:val="en-US" w:eastAsia="zh-CN" w:bidi="ar-SA"/>
                    </w:rPr>
                    <w:t>2</w:t>
                  </w:r>
                  <w:r>
                    <w:rPr>
                      <w:rFonts w:hint="eastAsia" w:ascii="Times New Roman" w:hAnsi="Times New Roman" w:eastAsia="宋体" w:cs="Times New Roman"/>
                      <w:bCs/>
                      <w:color w:val="auto"/>
                      <w:spacing w:val="0"/>
                      <w:kern w:val="0"/>
                      <w:sz w:val="21"/>
                      <w:szCs w:val="21"/>
                      <w:vertAlign w:val="baseline"/>
                      <w:lang w:val="en-US" w:eastAsia="zh-CN" w:bidi="ar-SA"/>
                    </w:rPr>
                    <w:t>，项目未设置环境防护距离，区域环境空气保护目标为</w:t>
                  </w:r>
                  <w:r>
                    <w:rPr>
                      <w:rFonts w:hint="eastAsia" w:ascii="Times New Roman" w:hAnsi="Times New Roman" w:eastAsia="宋体" w:cs="Times New Roman"/>
                      <w:bCs/>
                      <w:color w:val="auto"/>
                      <w:kern w:val="0"/>
                      <w:sz w:val="21"/>
                      <w:szCs w:val="21"/>
                      <w:highlight w:val="none"/>
                      <w:lang w:val="en-US" w:eastAsia="zh-CN" w:bidi="ar-SA"/>
                    </w:rPr>
                    <w:t>薛家湾村、石头坡村、刘家台村、三姓台村及罗钵寺村</w:t>
                  </w:r>
                  <w:r>
                    <w:rPr>
                      <w:rFonts w:hint="eastAsia" w:ascii="Times New Roman" w:hAnsi="Times New Roman" w:eastAsia="宋体" w:cs="Times New Roman"/>
                      <w:bCs/>
                      <w:color w:val="auto"/>
                      <w:spacing w:val="0"/>
                      <w:kern w:val="0"/>
                      <w:sz w:val="21"/>
                      <w:szCs w:val="21"/>
                      <w:vertAlign w:val="baseline"/>
                      <w:lang w:val="en-US" w:eastAsia="zh-CN" w:bidi="ar-SA"/>
                    </w:rPr>
                    <w:t>。</w:t>
                  </w:r>
                </w:p>
              </w:tc>
              <w:tc>
                <w:tcPr>
                  <w:tcW w:w="986" w:type="pct"/>
                  <w:tcBorders>
                    <w:tl2br w:val="nil"/>
                    <w:tr2bl w:val="nil"/>
                  </w:tcBorders>
                  <w:noWrap w:val="0"/>
                  <w:vAlign w:val="center"/>
                </w:tcPr>
                <w:p w14:paraId="5A5F541C">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本项目</w:t>
                  </w:r>
                  <w:r>
                    <w:rPr>
                      <w:rFonts w:hint="eastAsia" w:ascii="Times New Roman" w:hAnsi="Times New Roman" w:eastAsia="宋体" w:cs="Times New Roman"/>
                      <w:color w:val="auto"/>
                      <w:kern w:val="0"/>
                      <w:sz w:val="21"/>
                      <w:szCs w:val="21"/>
                      <w:highlight w:val="none"/>
                      <w:lang w:val="en-US" w:eastAsia="zh-CN" w:bidi="ar-SA"/>
                    </w:rPr>
                    <w:t>位于陕西省宝鸡市凤翔高新区长青工业园</w:t>
                  </w:r>
                  <w:r>
                    <w:rPr>
                      <w:rFonts w:hint="eastAsia" w:ascii="Times New Roman" w:hAnsi="Times New Roman" w:eastAsia="宋体" w:cs="Times New Roman"/>
                      <w:bCs/>
                      <w:color w:val="auto"/>
                      <w:spacing w:val="0"/>
                      <w:kern w:val="0"/>
                      <w:sz w:val="21"/>
                      <w:szCs w:val="21"/>
                      <w:lang w:val="en-US" w:eastAsia="zh-CN" w:bidi="ar-SA"/>
                    </w:rPr>
                    <w:t>，总占地</w:t>
                  </w:r>
                  <w:r>
                    <w:rPr>
                      <w:rFonts w:hint="eastAsia" w:ascii="Times New Roman" w:hAnsi="Times New Roman" w:eastAsia="宋体" w:cs="Times New Roman"/>
                      <w:bCs/>
                      <w:color w:val="auto"/>
                      <w:kern w:val="0"/>
                      <w:sz w:val="21"/>
                      <w:szCs w:val="21"/>
                      <w:highlight w:val="none"/>
                      <w:lang w:val="en-US" w:eastAsia="zh-CN" w:bidi="ar-SA"/>
                    </w:rPr>
                    <w:t>面积为50319</w:t>
                  </w:r>
                  <w:r>
                    <w:rPr>
                      <w:rFonts w:hint="eastAsia" w:ascii="Times New Roman" w:hAnsi="Times New Roman" w:eastAsia="宋体" w:cs="Times New Roman"/>
                      <w:bCs/>
                      <w:color w:val="auto"/>
                      <w:spacing w:val="0"/>
                      <w:kern w:val="0"/>
                      <w:sz w:val="21"/>
                      <w:szCs w:val="21"/>
                      <w:lang w:val="en-US" w:eastAsia="zh-CN" w:bidi="ar-SA"/>
                    </w:rPr>
                    <w:t>m</w:t>
                  </w:r>
                  <w:r>
                    <w:rPr>
                      <w:rFonts w:hint="eastAsia" w:ascii="Times New Roman" w:hAnsi="Times New Roman" w:eastAsia="宋体" w:cs="Times New Roman"/>
                      <w:bCs/>
                      <w:color w:val="auto"/>
                      <w:spacing w:val="0"/>
                      <w:kern w:val="0"/>
                      <w:sz w:val="21"/>
                      <w:szCs w:val="21"/>
                      <w:vertAlign w:val="superscript"/>
                      <w:lang w:val="en-US" w:eastAsia="zh-CN" w:bidi="ar-SA"/>
                    </w:rPr>
                    <w:t>2</w:t>
                  </w:r>
                  <w:r>
                    <w:rPr>
                      <w:rFonts w:hint="eastAsia" w:ascii="Times New Roman" w:hAnsi="Times New Roman" w:eastAsia="宋体" w:cs="Times New Roman"/>
                      <w:bCs/>
                      <w:color w:val="auto"/>
                      <w:spacing w:val="0"/>
                      <w:kern w:val="0"/>
                      <w:sz w:val="21"/>
                      <w:szCs w:val="21"/>
                      <w:vertAlign w:val="baseline"/>
                      <w:lang w:val="en-US" w:eastAsia="zh-CN" w:bidi="ar-SA"/>
                    </w:rPr>
                    <w:t>，项目未设置环境防护距离，区域环境空气保护目标为</w:t>
                  </w:r>
                  <w:r>
                    <w:rPr>
                      <w:rFonts w:hint="eastAsia" w:ascii="Times New Roman" w:hAnsi="Times New Roman" w:eastAsia="宋体" w:cs="Times New Roman"/>
                      <w:bCs/>
                      <w:color w:val="auto"/>
                      <w:kern w:val="0"/>
                      <w:sz w:val="21"/>
                      <w:szCs w:val="21"/>
                      <w:highlight w:val="none"/>
                      <w:lang w:val="en-US" w:eastAsia="zh-CN" w:bidi="ar-SA"/>
                    </w:rPr>
                    <w:t>薛家湾村、石头坡村、刘家台村、三姓台村及罗钵寺村</w:t>
                  </w:r>
                  <w:r>
                    <w:rPr>
                      <w:rFonts w:hint="eastAsia" w:ascii="Times New Roman" w:hAnsi="Times New Roman" w:eastAsia="宋体" w:cs="Times New Roman"/>
                      <w:bCs/>
                      <w:color w:val="auto"/>
                      <w:spacing w:val="0"/>
                      <w:kern w:val="0"/>
                      <w:sz w:val="21"/>
                      <w:szCs w:val="21"/>
                      <w:vertAlign w:val="baseline"/>
                      <w:lang w:val="en-US" w:eastAsia="zh-CN" w:bidi="ar-SA"/>
                    </w:rPr>
                    <w:t>。</w:t>
                  </w:r>
                </w:p>
              </w:tc>
              <w:tc>
                <w:tcPr>
                  <w:tcW w:w="309" w:type="pct"/>
                  <w:tcBorders>
                    <w:tl2br w:val="nil"/>
                    <w:tr2bl w:val="nil"/>
                  </w:tcBorders>
                  <w:noWrap w:val="0"/>
                  <w:vAlign w:val="center"/>
                </w:tcPr>
                <w:p w14:paraId="6672BA3C">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否</w:t>
                  </w:r>
                </w:p>
              </w:tc>
              <w:tc>
                <w:tcPr>
                  <w:tcW w:w="635" w:type="pct"/>
                  <w:tcBorders>
                    <w:tl2br w:val="nil"/>
                    <w:tr2bl w:val="nil"/>
                  </w:tcBorders>
                  <w:noWrap w:val="0"/>
                  <w:vAlign w:val="center"/>
                </w:tcPr>
                <w:p w14:paraId="698709A9">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本项目厂址未发生变化</w:t>
                  </w:r>
                </w:p>
              </w:tc>
              <w:tc>
                <w:tcPr>
                  <w:tcW w:w="379" w:type="pct"/>
                  <w:tcBorders>
                    <w:tl2br w:val="nil"/>
                    <w:tr2bl w:val="nil"/>
                  </w:tcBorders>
                  <w:noWrap w:val="0"/>
                  <w:vAlign w:val="center"/>
                </w:tcPr>
                <w:p w14:paraId="40AF1969">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否</w:t>
                  </w:r>
                </w:p>
              </w:tc>
            </w:tr>
            <w:tr w14:paraId="20713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30" w:type="pct"/>
                  <w:vMerge w:val="restart"/>
                  <w:tcBorders>
                    <w:tl2br w:val="nil"/>
                    <w:tr2bl w:val="nil"/>
                  </w:tcBorders>
                  <w:noWrap w:val="0"/>
                  <w:vAlign w:val="center"/>
                </w:tcPr>
                <w:p w14:paraId="016C9AA9">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生产工艺</w:t>
                  </w:r>
                </w:p>
              </w:tc>
              <w:tc>
                <w:tcPr>
                  <w:tcW w:w="1420" w:type="pct"/>
                  <w:tcBorders>
                    <w:tl2br w:val="nil"/>
                    <w:tr2bl w:val="nil"/>
                  </w:tcBorders>
                  <w:noWrap w:val="0"/>
                  <w:vAlign w:val="center"/>
                </w:tcPr>
                <w:p w14:paraId="374EF65C">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ascii="Times New Roman" w:hAnsi="Times New Roman" w:eastAsia="宋体" w:cs="Times New Roman"/>
                      <w:bCs/>
                      <w:color w:val="auto"/>
                      <w:kern w:val="0"/>
                      <w:sz w:val="21"/>
                      <w:szCs w:val="21"/>
                      <w:highlight w:val="none"/>
                      <w:lang w:val="en-US" w:eastAsia="zh-CN" w:bidi="ar-SA"/>
                    </w:rPr>
                  </w:pPr>
                  <w:r>
                    <w:rPr>
                      <w:rFonts w:ascii="Times New Roman" w:hAnsi="Times New Roman" w:eastAsia="宋体" w:cs="Times New Roman"/>
                      <w:bCs/>
                      <w:color w:val="auto"/>
                      <w:kern w:val="0"/>
                      <w:sz w:val="21"/>
                      <w:szCs w:val="21"/>
                      <w:highlight w:val="none"/>
                      <w:lang w:val="en-US" w:eastAsia="zh-CN" w:bidi="ar-SA"/>
                    </w:rPr>
                    <w:t>6、新增产品品种或生产工艺（含主要生产装置、设备及配套设施）、主要原辅材料、燃料变化，导致以下情形之一：</w:t>
                  </w:r>
                </w:p>
                <w:p w14:paraId="38F499CF">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ascii="Times New Roman" w:hAnsi="Times New Roman" w:eastAsia="宋体" w:cs="Times New Roman"/>
                      <w:bCs/>
                      <w:color w:val="auto"/>
                      <w:kern w:val="0"/>
                      <w:sz w:val="21"/>
                      <w:szCs w:val="21"/>
                      <w:highlight w:val="none"/>
                      <w:lang w:val="en-US" w:eastAsia="zh-CN" w:bidi="ar-SA"/>
                    </w:rPr>
                  </w:pPr>
                  <w:r>
                    <w:rPr>
                      <w:rFonts w:ascii="Times New Roman" w:hAnsi="Times New Roman" w:eastAsia="宋体" w:cs="Times New Roman"/>
                      <w:bCs/>
                      <w:color w:val="auto"/>
                      <w:kern w:val="0"/>
                      <w:sz w:val="21"/>
                      <w:szCs w:val="21"/>
                      <w:highlight w:val="none"/>
                      <w:lang w:val="en-US" w:eastAsia="zh-CN" w:bidi="ar-SA"/>
                    </w:rPr>
                    <w:t>（1）新增排放污染物种类的（毒性、挥发性降低的除外）；</w:t>
                  </w:r>
                </w:p>
                <w:p w14:paraId="3AF39825">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ascii="Times New Roman" w:hAnsi="Times New Roman" w:eastAsia="宋体" w:cs="Times New Roman"/>
                      <w:bCs/>
                      <w:color w:val="auto"/>
                      <w:kern w:val="0"/>
                      <w:sz w:val="21"/>
                      <w:szCs w:val="21"/>
                      <w:highlight w:val="none"/>
                      <w:lang w:val="en-US" w:eastAsia="zh-CN" w:bidi="ar-SA"/>
                    </w:rPr>
                  </w:pPr>
                  <w:r>
                    <w:rPr>
                      <w:rFonts w:ascii="Times New Roman" w:hAnsi="Times New Roman" w:eastAsia="宋体" w:cs="Times New Roman"/>
                      <w:bCs/>
                      <w:color w:val="auto"/>
                      <w:kern w:val="0"/>
                      <w:sz w:val="21"/>
                      <w:szCs w:val="21"/>
                      <w:highlight w:val="none"/>
                      <w:lang w:val="en-US" w:eastAsia="zh-CN" w:bidi="ar-SA"/>
                    </w:rPr>
                    <w:t>（2）位于环境质量不达标区的建设项目相应污染物排放量增加的；</w:t>
                  </w:r>
                </w:p>
                <w:p w14:paraId="53DF117F">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ascii="Times New Roman" w:hAnsi="Times New Roman" w:eastAsia="宋体" w:cs="Times New Roman"/>
                      <w:bCs/>
                      <w:color w:val="auto"/>
                      <w:kern w:val="0"/>
                      <w:sz w:val="21"/>
                      <w:szCs w:val="21"/>
                      <w:highlight w:val="none"/>
                      <w:lang w:val="en-US" w:eastAsia="zh-CN" w:bidi="ar-SA"/>
                    </w:rPr>
                  </w:pPr>
                  <w:r>
                    <w:rPr>
                      <w:rFonts w:ascii="Times New Roman" w:hAnsi="Times New Roman" w:eastAsia="宋体" w:cs="Times New Roman"/>
                      <w:bCs/>
                      <w:color w:val="auto"/>
                      <w:kern w:val="0"/>
                      <w:sz w:val="21"/>
                      <w:szCs w:val="21"/>
                      <w:highlight w:val="none"/>
                      <w:lang w:val="en-US" w:eastAsia="zh-CN" w:bidi="ar-SA"/>
                    </w:rPr>
                    <w:t>（3）废水第一类污染物排放量增加的；</w:t>
                  </w:r>
                </w:p>
                <w:p w14:paraId="5166593A">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ascii="Times New Roman" w:hAnsi="Times New Roman" w:eastAsia="宋体" w:cs="Times New Roman"/>
                      <w:bCs/>
                      <w:color w:val="auto"/>
                      <w:kern w:val="0"/>
                      <w:sz w:val="21"/>
                      <w:szCs w:val="21"/>
                      <w:highlight w:val="none"/>
                      <w:lang w:val="en-US" w:eastAsia="zh-CN" w:bidi="ar-SA"/>
                    </w:rPr>
                    <w:t>（4）其他污染物排放量增加10%及以上的。</w:t>
                  </w:r>
                </w:p>
              </w:tc>
              <w:tc>
                <w:tcPr>
                  <w:tcW w:w="1037" w:type="pct"/>
                  <w:tcBorders>
                    <w:tl2br w:val="nil"/>
                    <w:tr2bl w:val="nil"/>
                  </w:tcBorders>
                  <w:noWrap w:val="0"/>
                  <w:vAlign w:val="center"/>
                </w:tcPr>
                <w:p w14:paraId="3A5AB1CC">
                  <w:pPr>
                    <w:widowControl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产品为</w:t>
                  </w:r>
                  <w:r>
                    <w:rPr>
                      <w:rFonts w:hint="eastAsia" w:ascii="Times New Roman" w:hAnsi="Times New Roman" w:eastAsia="宋体" w:cs="Times New Roman"/>
                      <w:color w:val="auto"/>
                      <w:kern w:val="0"/>
                      <w:sz w:val="21"/>
                      <w:szCs w:val="21"/>
                      <w:highlight w:val="none"/>
                      <w:lang w:val="en-US" w:eastAsia="zh-CN" w:bidi="ar-SA"/>
                    </w:rPr>
                    <w:t>溶解乙炔气体</w:t>
                  </w:r>
                  <w:r>
                    <w:rPr>
                      <w:rFonts w:hint="eastAsia" w:ascii="Times New Roman" w:hAnsi="Times New Roman" w:eastAsia="宋体" w:cs="Times New Roman"/>
                      <w:bCs/>
                      <w:color w:val="auto"/>
                      <w:kern w:val="0"/>
                      <w:sz w:val="21"/>
                      <w:szCs w:val="21"/>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工业氧气</w:t>
                  </w:r>
                  <w:r>
                    <w:rPr>
                      <w:rFonts w:hint="eastAsia" w:ascii="Times New Roman" w:hAnsi="Times New Roman" w:eastAsia="宋体" w:cs="Times New Roman"/>
                      <w:bCs/>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医用氧气、氮气、氩气、二氧化碳、混合气体、液化石油气和丙烷</w:t>
                  </w:r>
                  <w:r>
                    <w:rPr>
                      <w:rFonts w:hint="eastAsia" w:ascii="Times New Roman" w:hAnsi="Times New Roman" w:eastAsia="宋体" w:cs="Times New Roman"/>
                      <w:bCs/>
                      <w:color w:val="auto"/>
                      <w:spacing w:val="0"/>
                      <w:kern w:val="0"/>
                      <w:sz w:val="21"/>
                      <w:szCs w:val="21"/>
                      <w:highlight w:val="none"/>
                      <w:lang w:val="en-US" w:eastAsia="zh-CN" w:bidi="ar-SA"/>
                    </w:rPr>
                    <w:t>，</w:t>
                  </w:r>
                  <w:r>
                    <w:rPr>
                      <w:rFonts w:hint="eastAsia" w:ascii="Times New Roman" w:hAnsi="Times New Roman" w:eastAsia="宋体" w:cs="Times New Roman"/>
                      <w:bCs/>
                      <w:color w:val="auto"/>
                      <w:kern w:val="0"/>
                      <w:sz w:val="21"/>
                      <w:szCs w:val="21"/>
                      <w:highlight w:val="none"/>
                      <w:lang w:val="en-US" w:eastAsia="zh-CN" w:bidi="ar-SA"/>
                    </w:rPr>
                    <w:t>主要污染物为颗粒物、非甲烷总烃、</w:t>
                  </w: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S、PH</w:t>
                  </w:r>
                  <w:r>
                    <w:rPr>
                      <w:rFonts w:hint="eastAsia"/>
                      <w:sz w:val="21"/>
                      <w:szCs w:val="21"/>
                      <w:vertAlign w:val="subscript"/>
                      <w:lang w:val="en-US" w:eastAsia="zh-CN"/>
                    </w:rPr>
                    <w:t>3</w:t>
                  </w:r>
                  <w:r>
                    <w:rPr>
                      <w:rFonts w:hint="eastAsia"/>
                      <w:sz w:val="21"/>
                      <w:szCs w:val="21"/>
                      <w:vertAlign w:val="baseline"/>
                      <w:lang w:val="en-US" w:eastAsia="zh-CN"/>
                    </w:rPr>
                    <w:t>、丙酮</w:t>
                  </w:r>
                  <w:r>
                    <w:rPr>
                      <w:rFonts w:hint="eastAsia" w:ascii="Times New Roman" w:hAnsi="Times New Roman" w:eastAsia="宋体" w:cs="Times New Roman"/>
                      <w:bCs/>
                      <w:color w:val="auto"/>
                      <w:kern w:val="0"/>
                      <w:sz w:val="21"/>
                      <w:szCs w:val="21"/>
                      <w:highlight w:val="none"/>
                      <w:lang w:val="en-US" w:eastAsia="zh-CN" w:bidi="ar-SA"/>
                    </w:rPr>
                    <w:t>。本项目所在区域为环境质量达标区，项目无生产废水排放，无废水第一类污染物排放，颗粒物总排放量为0.234t/a、非甲烷总烃排放量3.536t/a、</w:t>
                  </w: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r>
                    <w:rPr>
                      <w:rFonts w:hint="eastAsia" w:ascii="Times New Roman" w:hAnsi="Times New Roman" w:eastAsia="宋体" w:cs="Times New Roman"/>
                      <w:bCs/>
                      <w:color w:val="auto"/>
                      <w:kern w:val="0"/>
                      <w:sz w:val="21"/>
                      <w:szCs w:val="21"/>
                      <w:highlight w:val="none"/>
                      <w:lang w:val="en-US" w:eastAsia="zh-CN" w:bidi="ar-SA"/>
                    </w:rPr>
                    <w:t>排放量0.002t/a</w:t>
                  </w:r>
                  <w:r>
                    <w:rPr>
                      <w:rFonts w:hint="eastAsia"/>
                      <w:sz w:val="21"/>
                      <w:szCs w:val="21"/>
                      <w:vertAlign w:val="baseline"/>
                      <w:lang w:val="en-US" w:eastAsia="zh-CN"/>
                    </w:rPr>
                    <w:t>、PH</w:t>
                  </w:r>
                  <w:r>
                    <w:rPr>
                      <w:rFonts w:hint="eastAsia"/>
                      <w:sz w:val="21"/>
                      <w:szCs w:val="21"/>
                      <w:vertAlign w:val="subscript"/>
                      <w:lang w:val="en-US" w:eastAsia="zh-CN"/>
                    </w:rPr>
                    <w:t>3</w:t>
                  </w:r>
                  <w:r>
                    <w:rPr>
                      <w:rFonts w:hint="eastAsia" w:ascii="Times New Roman" w:hAnsi="Times New Roman" w:eastAsia="宋体" w:cs="Times New Roman"/>
                      <w:bCs/>
                      <w:color w:val="auto"/>
                      <w:kern w:val="0"/>
                      <w:sz w:val="21"/>
                      <w:szCs w:val="21"/>
                      <w:highlight w:val="none"/>
                      <w:lang w:val="en-US" w:eastAsia="zh-CN" w:bidi="ar-SA"/>
                    </w:rPr>
                    <w:t>排放量0.001t/a</w:t>
                  </w:r>
                  <w:r>
                    <w:rPr>
                      <w:rFonts w:hint="eastAsia"/>
                      <w:sz w:val="21"/>
                      <w:szCs w:val="21"/>
                      <w:vertAlign w:val="baseline"/>
                      <w:lang w:val="en-US" w:eastAsia="zh-CN"/>
                    </w:rPr>
                    <w:t>、丙酮</w:t>
                  </w:r>
                  <w:r>
                    <w:rPr>
                      <w:rFonts w:hint="eastAsia" w:ascii="Times New Roman" w:hAnsi="Times New Roman" w:eastAsia="宋体" w:cs="Times New Roman"/>
                      <w:bCs/>
                      <w:color w:val="auto"/>
                      <w:kern w:val="0"/>
                      <w:sz w:val="21"/>
                      <w:szCs w:val="21"/>
                      <w:highlight w:val="none"/>
                      <w:lang w:val="en-US" w:eastAsia="zh-CN" w:bidi="ar-SA"/>
                    </w:rPr>
                    <w:t>排放量0.0002t/a</w:t>
                  </w:r>
                  <w:r>
                    <w:rPr>
                      <w:rFonts w:hint="eastAsia" w:cs="Times New Roman"/>
                      <w:bCs/>
                      <w:color w:val="auto"/>
                      <w:kern w:val="0"/>
                      <w:sz w:val="21"/>
                      <w:szCs w:val="21"/>
                      <w:highlight w:val="none"/>
                      <w:lang w:val="en-US" w:eastAsia="zh-CN" w:bidi="ar-SA"/>
                    </w:rPr>
                    <w:t>.</w:t>
                  </w:r>
                </w:p>
              </w:tc>
              <w:tc>
                <w:tcPr>
                  <w:tcW w:w="986" w:type="pct"/>
                  <w:tcBorders>
                    <w:tl2br w:val="nil"/>
                    <w:tr2bl w:val="nil"/>
                  </w:tcBorders>
                  <w:noWrap w:val="0"/>
                  <w:vAlign w:val="center"/>
                </w:tcPr>
                <w:p w14:paraId="17B106B5">
                  <w:pPr>
                    <w:widowControl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产品为</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液氧、液氮、液氩、高纯液氧；</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瓶装</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工业氧气</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医用氧气、氮气、氩气、二氧化碳、混合气体、液化石油气和丙烷；罐装液氧、液氮、液氩</w:t>
                  </w:r>
                  <w:r>
                    <w:rPr>
                      <w:rFonts w:hint="eastAsia" w:ascii="Times New Roman" w:hAnsi="Times New Roman" w:eastAsia="宋体" w:cs="Times New Roman"/>
                      <w:bCs/>
                      <w:color w:val="000000" w:themeColor="text1"/>
                      <w:spacing w:val="0"/>
                      <w:kern w:val="0"/>
                      <w:sz w:val="21"/>
                      <w:szCs w:val="21"/>
                      <w:highlight w:val="none"/>
                      <w:lang w:val="en-US" w:eastAsia="zh-CN" w:bidi="ar-SA"/>
                      <w14:textFill>
                        <w14:solidFill>
                          <w14:schemeClr w14:val="tx1"/>
                        </w14:solidFill>
                      </w14:textFill>
                    </w:rPr>
                    <w:t>。废气</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主要污染物为非甲烷总烃。本项目所在区域为环境质量达标区，无废水第一类污染物排放</w:t>
                  </w:r>
                  <w:r>
                    <w:rPr>
                      <w:rFonts w:hint="eastAsia" w:cs="Times New Roman"/>
                      <w:bCs/>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项目循环冷却水系统排污水排放至园区污水管线</w:t>
                  </w:r>
                  <w:r>
                    <w:rPr>
                      <w:rFonts w:hint="eastAsia" w:cs="Times New Roman"/>
                      <w:bCs/>
                      <w:color w:val="000000" w:themeColor="text1"/>
                      <w:kern w:val="0"/>
                      <w:sz w:val="21"/>
                      <w:szCs w:val="21"/>
                      <w:highlight w:val="none"/>
                      <w:lang w:val="en-US" w:eastAsia="zh-CN" w:bidi="ar-SA"/>
                      <w14:textFill>
                        <w14:solidFill>
                          <w14:schemeClr w14:val="tx1"/>
                        </w14:solidFill>
                      </w14:textFill>
                    </w:rPr>
                    <w:t>再</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进入长青工业园污水处理厂（宝鸡天龙污水处理有限公司）处理</w:t>
                  </w:r>
                  <w:r>
                    <w:rPr>
                      <w:rFonts w:hint="eastAsia" w:cs="Times New Roman"/>
                      <w:bCs/>
                      <w:color w:val="000000" w:themeColor="text1"/>
                      <w:kern w:val="0"/>
                      <w:sz w:val="21"/>
                      <w:szCs w:val="21"/>
                      <w:highlight w:val="none"/>
                      <w:lang w:val="en-US" w:eastAsia="zh-CN" w:bidi="ar-SA"/>
                      <w14:textFill>
                        <w14:solidFill>
                          <w14:schemeClr w14:val="tx1"/>
                        </w14:solidFill>
                      </w14:textFill>
                    </w:rPr>
                    <w:t>。</w:t>
                  </w:r>
                </w:p>
              </w:tc>
              <w:tc>
                <w:tcPr>
                  <w:tcW w:w="309" w:type="pct"/>
                  <w:tcBorders>
                    <w:tl2br w:val="nil"/>
                    <w:tr2bl w:val="nil"/>
                  </w:tcBorders>
                  <w:noWrap w:val="0"/>
                  <w:vAlign w:val="center"/>
                </w:tcPr>
                <w:p w14:paraId="33B602FE">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是</w:t>
                  </w:r>
                </w:p>
              </w:tc>
              <w:tc>
                <w:tcPr>
                  <w:tcW w:w="635" w:type="pct"/>
                  <w:tcBorders>
                    <w:tl2br w:val="nil"/>
                    <w:tr2bl w:val="nil"/>
                  </w:tcBorders>
                  <w:noWrap w:val="0"/>
                  <w:vAlign w:val="center"/>
                </w:tcPr>
                <w:p w14:paraId="2DA60595">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项目取消</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溶解乙炔气体生产线，</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新增</w:t>
                  </w:r>
                  <w:r>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产品品种</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及</w:t>
                  </w:r>
                  <w:r>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生产工艺</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（新增</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一套</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547T/D</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空分装置生产液氧、液氮、液氩、氮气及高纯液氧</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w:t>
                  </w:r>
                  <w:r>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主要原辅材料</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增加。本项目所在区域为环境质量达标区，无废水第一类污染物排放。</w:t>
                  </w:r>
                  <w:r>
                    <w:rPr>
                      <w:rFonts w:hint="eastAsia" w:ascii="Times New Roman" w:hAnsi="Times New Roman" w:eastAsia="宋体" w:cs="Times New Roman"/>
                      <w:bCs/>
                      <w:color w:val="000000" w:themeColor="text1"/>
                      <w:kern w:val="0"/>
                      <w:sz w:val="21"/>
                      <w:szCs w:val="24"/>
                      <w:highlight w:val="none"/>
                      <w:vertAlign w:val="baseline"/>
                      <w:lang w:val="en-US" w:eastAsia="zh-CN" w:bidi="ar-SA"/>
                      <w14:textFill>
                        <w14:solidFill>
                          <w14:schemeClr w14:val="tx1"/>
                        </w14:solidFill>
                      </w14:textFill>
                    </w:rPr>
                    <w:t>变动后废水污染物排放量增加10%及以上</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w:t>
                  </w:r>
                </w:p>
              </w:tc>
              <w:tc>
                <w:tcPr>
                  <w:tcW w:w="379" w:type="pct"/>
                  <w:tcBorders>
                    <w:tl2br w:val="nil"/>
                    <w:tr2bl w:val="nil"/>
                  </w:tcBorders>
                  <w:noWrap w:val="0"/>
                  <w:vAlign w:val="center"/>
                </w:tcPr>
                <w:p w14:paraId="7E71D2EF">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是</w:t>
                  </w:r>
                </w:p>
              </w:tc>
            </w:tr>
            <w:tr w14:paraId="3DDDB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30" w:type="pct"/>
                  <w:vMerge w:val="continue"/>
                  <w:tcBorders>
                    <w:tl2br w:val="nil"/>
                    <w:tr2bl w:val="nil"/>
                  </w:tcBorders>
                  <w:noWrap w:val="0"/>
                  <w:vAlign w:val="center"/>
                </w:tcPr>
                <w:p w14:paraId="3A8B2A6D">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p>
              </w:tc>
              <w:tc>
                <w:tcPr>
                  <w:tcW w:w="1420" w:type="pct"/>
                  <w:tcBorders>
                    <w:tl2br w:val="nil"/>
                    <w:tr2bl w:val="nil"/>
                  </w:tcBorders>
                  <w:noWrap w:val="0"/>
                  <w:vAlign w:val="center"/>
                </w:tcPr>
                <w:p w14:paraId="4A45E887">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ascii="Times New Roman" w:hAnsi="Times New Roman" w:eastAsia="宋体" w:cs="Times New Roman"/>
                      <w:bCs/>
                      <w:color w:val="auto"/>
                      <w:kern w:val="0"/>
                      <w:sz w:val="21"/>
                      <w:szCs w:val="21"/>
                      <w:highlight w:val="none"/>
                      <w:lang w:val="en-US" w:eastAsia="zh-CN" w:bidi="ar-SA"/>
                    </w:rPr>
                    <w:t>7、物料运输、装卸、贮存方式变化，导致大气污染物无组织排放量增加10%及以上的。</w:t>
                  </w:r>
                </w:p>
              </w:tc>
              <w:tc>
                <w:tcPr>
                  <w:tcW w:w="1037" w:type="pct"/>
                  <w:tcBorders>
                    <w:tl2br w:val="nil"/>
                    <w:tr2bl w:val="nil"/>
                  </w:tcBorders>
                  <w:noWrap w:val="0"/>
                  <w:vAlign w:val="center"/>
                </w:tcPr>
                <w:p w14:paraId="60D6453B">
                  <w:pPr>
                    <w:widowControl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厂内运输采用</w:t>
                  </w: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装载机、槽车</w:t>
                  </w: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等运输工具进行</w:t>
                  </w: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原</w:t>
                  </w: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材料及成品</w:t>
                  </w: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运输，贮存方式为储槽和储罐。</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产品</w:t>
                  </w:r>
                  <w:r>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运输、贮存</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和充装过程中非甲烷总烃排放量为2.0t/a。</w:t>
                  </w:r>
                </w:p>
              </w:tc>
              <w:tc>
                <w:tcPr>
                  <w:tcW w:w="986" w:type="pct"/>
                  <w:tcBorders>
                    <w:tl2br w:val="nil"/>
                    <w:tr2bl w:val="nil"/>
                  </w:tcBorders>
                  <w:noWrap w:val="0"/>
                  <w:vAlign w:val="center"/>
                </w:tcPr>
                <w:p w14:paraId="39D84362">
                  <w:pPr>
                    <w:widowControl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厂内运输采用</w:t>
                  </w: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槽车</w:t>
                  </w: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等运输工具进行</w:t>
                  </w: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原</w:t>
                  </w:r>
                  <w:r>
                    <w:rPr>
                      <w:rFonts w:hint="default"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材料及成品</w:t>
                  </w:r>
                  <w:r>
                    <w:rPr>
                      <w:rFonts w:hint="eastAsia" w:ascii="Times New Roman" w:hAnsi="Times New Roman" w:eastAsia="宋体" w:cs="Times New Roman"/>
                      <w:b w:val="0"/>
                      <w:bCs w:val="0"/>
                      <w:color w:val="000000" w:themeColor="text1"/>
                      <w:kern w:val="0"/>
                      <w:sz w:val="21"/>
                      <w:szCs w:val="21"/>
                      <w:highlight w:val="none"/>
                      <w:vertAlign w:val="baseline"/>
                      <w:lang w:val="en-US" w:eastAsia="zh-CN" w:bidi="ar-SA"/>
                      <w14:textFill>
                        <w14:solidFill>
                          <w14:schemeClr w14:val="tx1"/>
                        </w14:solidFill>
                      </w14:textFill>
                    </w:rPr>
                    <w:t>运输，贮存方式为储罐。</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产品</w:t>
                  </w:r>
                  <w:r>
                    <w:rPr>
                      <w:rFonts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运输、贮存</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和充装过程中非甲烷总烃排放量为0.5628t/a。</w:t>
                  </w:r>
                </w:p>
              </w:tc>
              <w:tc>
                <w:tcPr>
                  <w:tcW w:w="309" w:type="pct"/>
                  <w:tcBorders>
                    <w:tl2br w:val="nil"/>
                    <w:tr2bl w:val="nil"/>
                  </w:tcBorders>
                  <w:noWrap w:val="0"/>
                  <w:vAlign w:val="center"/>
                </w:tcPr>
                <w:p w14:paraId="45A31D32">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否</w:t>
                  </w:r>
                </w:p>
              </w:tc>
              <w:tc>
                <w:tcPr>
                  <w:tcW w:w="635" w:type="pct"/>
                  <w:tcBorders>
                    <w:tl2br w:val="nil"/>
                    <w:tr2bl w:val="nil"/>
                  </w:tcBorders>
                  <w:noWrap w:val="0"/>
                  <w:vAlign w:val="center"/>
                </w:tcPr>
                <w:p w14:paraId="2A4E182A">
                  <w:pPr>
                    <w:keepNext w:val="0"/>
                    <w:keepLines w:val="0"/>
                    <w:pageBreakBefore w:val="0"/>
                    <w:widowControl w:val="0"/>
                    <w:kinsoku/>
                    <w:wordWrap/>
                    <w:overflowPunct/>
                    <w:topLinePunct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大气无组织排放量减少</w:t>
                  </w:r>
                  <w:r>
                    <w:rPr>
                      <w:rFonts w:hint="eastAsia" w:cs="Times New Roman"/>
                      <w:bCs/>
                      <w:color w:val="000000" w:themeColor="text1"/>
                      <w:kern w:val="0"/>
                      <w:sz w:val="21"/>
                      <w:szCs w:val="21"/>
                      <w:highlight w:val="none"/>
                      <w:lang w:val="en-US" w:eastAsia="zh-CN" w:bidi="ar-SA"/>
                      <w14:textFill>
                        <w14:solidFill>
                          <w14:schemeClr w14:val="tx1"/>
                        </w14:solidFill>
                      </w14:textFill>
                    </w:rPr>
                    <w:t>72</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w:t>
                  </w:r>
                </w:p>
              </w:tc>
              <w:tc>
                <w:tcPr>
                  <w:tcW w:w="379" w:type="pct"/>
                  <w:tcBorders>
                    <w:tl2br w:val="nil"/>
                    <w:tr2bl w:val="nil"/>
                  </w:tcBorders>
                  <w:noWrap w:val="0"/>
                  <w:vAlign w:val="center"/>
                </w:tcPr>
                <w:p w14:paraId="781645B4">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否</w:t>
                  </w:r>
                </w:p>
              </w:tc>
            </w:tr>
            <w:tr w14:paraId="7321C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30" w:type="pct"/>
                  <w:vMerge w:val="restart"/>
                  <w:tcBorders>
                    <w:tl2br w:val="nil"/>
                    <w:tr2bl w:val="nil"/>
                  </w:tcBorders>
                  <w:noWrap w:val="0"/>
                  <w:vAlign w:val="center"/>
                </w:tcPr>
                <w:p w14:paraId="552B8A30">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zh-CN" w:eastAsia="zh-CN" w:bidi="ar-SA"/>
                    </w:rPr>
                  </w:pPr>
                  <w:r>
                    <w:rPr>
                      <w:rFonts w:ascii="Times New Roman" w:hAnsi="Times New Roman" w:eastAsia="宋体" w:cs="Times New Roman"/>
                      <w:color w:val="auto"/>
                      <w:kern w:val="0"/>
                      <w:sz w:val="21"/>
                      <w:szCs w:val="21"/>
                      <w:highlight w:val="none"/>
                      <w:lang w:val="en-US" w:eastAsia="zh-CN" w:bidi="ar-SA"/>
                    </w:rPr>
                    <w:t>环境保护措施</w:t>
                  </w:r>
                </w:p>
              </w:tc>
              <w:tc>
                <w:tcPr>
                  <w:tcW w:w="1420" w:type="pct"/>
                  <w:tcBorders>
                    <w:tl2br w:val="nil"/>
                    <w:tr2bl w:val="nil"/>
                  </w:tcBorders>
                  <w:noWrap w:val="0"/>
                  <w:vAlign w:val="center"/>
                </w:tcPr>
                <w:p w14:paraId="2FD50906">
                  <w:pPr>
                    <w:widowControl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8、废气、废水污染防治措施变化，导致第6条中所列情形之一（废气无组织排放改为有组织排放、污染防治措施强化或改进的除外）或大气污染物无组织排放量增加10%及以上的。</w:t>
                  </w:r>
                </w:p>
              </w:tc>
              <w:tc>
                <w:tcPr>
                  <w:tcW w:w="1037" w:type="pct"/>
                  <w:tcBorders>
                    <w:tl2br w:val="nil"/>
                    <w:tr2bl w:val="nil"/>
                  </w:tcBorders>
                  <w:noWrap w:val="0"/>
                  <w:vAlign w:val="center"/>
                </w:tcPr>
                <w:p w14:paraId="0AF5F57B">
                  <w:pPr>
                    <w:widowControl w:val="0"/>
                    <w:autoSpaceDE w:val="0"/>
                    <w:autoSpaceDN w:val="0"/>
                    <w:bidi w:val="0"/>
                    <w:adjustRightInd w:val="0"/>
                    <w:spacing w:line="240" w:lineRule="auto"/>
                    <w:ind w:left="-24" w:leftChars="-10" w:right="-24" w:rightChars="-10" w:firstLine="0" w:firstLineChars="0"/>
                    <w:jc w:val="both"/>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电石破碎粉尘采用在破碎机上方设置集气罩，经布袋除尘器处理后，15m高排气筒排放。乙炔发生器逸出废气、电石渣池废气、乙炔充装废气、液化石油气充装废气、丙烷充装废气均为无组织排放。无组织</w:t>
                  </w:r>
                  <w:r>
                    <w:rPr>
                      <w:rFonts w:hint="eastAsia" w:ascii="Times New Roman" w:hAnsi="Times New Roman" w:eastAsia="宋体" w:cs="Times New Roman"/>
                      <w:bCs/>
                      <w:color w:val="auto"/>
                      <w:kern w:val="0"/>
                      <w:sz w:val="21"/>
                      <w:szCs w:val="21"/>
                      <w:highlight w:val="none"/>
                      <w:lang w:val="en-US" w:eastAsia="zh-CN" w:bidi="ar-SA"/>
                    </w:rPr>
                    <w:t>颗粒物总排放量为0.225t/a、非甲烷总烃排放量3.536t/a、</w:t>
                  </w:r>
                  <w:r>
                    <w:rPr>
                      <w:rFonts w:hint="eastAsia"/>
                      <w:sz w:val="21"/>
                      <w:szCs w:val="21"/>
                      <w:vertAlign w:val="baseline"/>
                      <w:lang w:val="en-US" w:eastAsia="zh-CN"/>
                    </w:rPr>
                    <w:t>H</w:t>
                  </w:r>
                  <w:r>
                    <w:rPr>
                      <w:rFonts w:hint="eastAsia"/>
                      <w:sz w:val="21"/>
                      <w:szCs w:val="21"/>
                      <w:vertAlign w:val="subscript"/>
                      <w:lang w:val="en-US" w:eastAsia="zh-CN"/>
                    </w:rPr>
                    <w:t>2</w:t>
                  </w:r>
                  <w:r>
                    <w:rPr>
                      <w:rFonts w:hint="eastAsia"/>
                      <w:sz w:val="21"/>
                      <w:szCs w:val="21"/>
                      <w:vertAlign w:val="baseline"/>
                      <w:lang w:val="en-US" w:eastAsia="zh-CN"/>
                    </w:rPr>
                    <w:t>S</w:t>
                  </w:r>
                  <w:r>
                    <w:rPr>
                      <w:rFonts w:hint="eastAsia" w:ascii="Times New Roman" w:hAnsi="Times New Roman" w:eastAsia="宋体" w:cs="Times New Roman"/>
                      <w:bCs/>
                      <w:color w:val="auto"/>
                      <w:kern w:val="0"/>
                      <w:sz w:val="21"/>
                      <w:szCs w:val="21"/>
                      <w:highlight w:val="none"/>
                      <w:lang w:val="en-US" w:eastAsia="zh-CN" w:bidi="ar-SA"/>
                    </w:rPr>
                    <w:t>排放量0.00154t/a</w:t>
                  </w:r>
                  <w:r>
                    <w:rPr>
                      <w:rFonts w:hint="eastAsia"/>
                      <w:sz w:val="21"/>
                      <w:szCs w:val="21"/>
                      <w:vertAlign w:val="baseline"/>
                      <w:lang w:val="en-US" w:eastAsia="zh-CN"/>
                    </w:rPr>
                    <w:t>、PH</w:t>
                  </w:r>
                  <w:r>
                    <w:rPr>
                      <w:rFonts w:hint="eastAsia"/>
                      <w:sz w:val="21"/>
                      <w:szCs w:val="21"/>
                      <w:vertAlign w:val="subscript"/>
                      <w:lang w:val="en-US" w:eastAsia="zh-CN"/>
                    </w:rPr>
                    <w:t>3</w:t>
                  </w:r>
                  <w:r>
                    <w:rPr>
                      <w:rFonts w:hint="eastAsia" w:ascii="Times New Roman" w:hAnsi="Times New Roman" w:eastAsia="宋体" w:cs="Times New Roman"/>
                      <w:bCs/>
                      <w:color w:val="auto"/>
                      <w:kern w:val="0"/>
                      <w:sz w:val="21"/>
                      <w:szCs w:val="21"/>
                      <w:highlight w:val="none"/>
                      <w:lang w:val="en-US" w:eastAsia="zh-CN" w:bidi="ar-SA"/>
                    </w:rPr>
                    <w:t>排放量0.00096t/a</w:t>
                  </w:r>
                  <w:r>
                    <w:rPr>
                      <w:rFonts w:hint="eastAsia"/>
                      <w:sz w:val="21"/>
                      <w:szCs w:val="21"/>
                      <w:vertAlign w:val="baseline"/>
                      <w:lang w:val="en-US" w:eastAsia="zh-CN"/>
                    </w:rPr>
                    <w:t>、丙酮</w:t>
                  </w:r>
                  <w:r>
                    <w:rPr>
                      <w:rFonts w:hint="eastAsia" w:ascii="Times New Roman" w:hAnsi="Times New Roman" w:eastAsia="宋体" w:cs="Times New Roman"/>
                      <w:bCs/>
                      <w:color w:val="auto"/>
                      <w:kern w:val="0"/>
                      <w:sz w:val="21"/>
                      <w:szCs w:val="21"/>
                      <w:highlight w:val="none"/>
                      <w:lang w:val="en-US" w:eastAsia="zh-CN" w:bidi="ar-SA"/>
                    </w:rPr>
                    <w:t>排放量0.0002t/a。</w:t>
                  </w:r>
                  <w:r>
                    <w:rPr>
                      <w:rFonts w:hint="eastAsia" w:ascii="Times New Roman" w:hAnsi="Times New Roman" w:eastAsia="宋体" w:cs="Times New Roman"/>
                      <w:bCs/>
                      <w:color w:val="auto"/>
                      <w:kern w:val="0"/>
                      <w:sz w:val="21"/>
                      <w:szCs w:val="21"/>
                      <w:lang w:val="en-US" w:eastAsia="zh-CN" w:bidi="ar-SA"/>
                    </w:rPr>
                    <w:t>生活污水接管排入园区污水管网，最终经长青工业园天龙污水处理厂处理后达标排至千河。</w:t>
                  </w:r>
                  <w:r>
                    <w:rPr>
                      <w:rFonts w:hint="eastAsia" w:ascii="Times New Roman" w:hAnsi="Times New Roman" w:eastAsia="宋体" w:cs="Times New Roman"/>
                      <w:bCs/>
                      <w:color w:val="auto"/>
                      <w:kern w:val="0"/>
                      <w:sz w:val="21"/>
                      <w:szCs w:val="21"/>
                      <w:highlight w:val="none"/>
                      <w:lang w:val="en-US" w:eastAsia="zh-CN" w:bidi="ar-SA"/>
                    </w:rPr>
                    <w:t>项目无生产废水排放。</w:t>
                  </w:r>
                </w:p>
              </w:tc>
              <w:tc>
                <w:tcPr>
                  <w:tcW w:w="986" w:type="pct"/>
                  <w:tcBorders>
                    <w:tl2br w:val="nil"/>
                    <w:tr2bl w:val="nil"/>
                  </w:tcBorders>
                  <w:noWrap w:val="0"/>
                  <w:vAlign w:val="center"/>
                </w:tcPr>
                <w:p w14:paraId="4CE38DD1">
                  <w:pPr>
                    <w:widowControl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液化石油气充装废气、丙烷充装废气均为无组织排放。无组织</w:t>
                  </w:r>
                  <w:r>
                    <w:rPr>
                      <w:rFonts w:hint="eastAsia" w:ascii="Times New Roman" w:hAnsi="Times New Roman" w:eastAsia="宋体" w:cs="Times New Roman"/>
                      <w:bCs/>
                      <w:color w:val="auto"/>
                      <w:kern w:val="0"/>
                      <w:sz w:val="21"/>
                      <w:szCs w:val="21"/>
                      <w:highlight w:val="none"/>
                      <w:lang w:val="en-US" w:eastAsia="zh-CN" w:bidi="ar-SA"/>
                    </w:rPr>
                    <w:t>非甲烷总烃排放量</w:t>
                  </w:r>
                  <w:r>
                    <w:rPr>
                      <w:rFonts w:hint="eastAsia" w:cs="Times New Roman"/>
                      <w:bCs/>
                      <w:color w:val="auto"/>
                      <w:kern w:val="0"/>
                      <w:sz w:val="21"/>
                      <w:szCs w:val="21"/>
                      <w:highlight w:val="none"/>
                      <w:lang w:val="en-US" w:eastAsia="zh-CN" w:bidi="ar-SA"/>
                    </w:rPr>
                    <w:t>0.5628</w:t>
                  </w:r>
                  <w:r>
                    <w:rPr>
                      <w:rFonts w:hint="eastAsia" w:ascii="Times New Roman" w:hAnsi="Times New Roman" w:eastAsia="宋体" w:cs="Times New Roman"/>
                      <w:bCs/>
                      <w:color w:val="auto"/>
                      <w:kern w:val="0"/>
                      <w:sz w:val="21"/>
                      <w:szCs w:val="21"/>
                      <w:highlight w:val="none"/>
                      <w:lang w:val="en-US" w:eastAsia="zh-CN" w:bidi="ar-SA"/>
                    </w:rPr>
                    <w:t>t/a。</w:t>
                  </w:r>
                  <w:r>
                    <w:rPr>
                      <w:rFonts w:hint="eastAsia" w:ascii="Times New Roman" w:hAnsi="Times New Roman" w:eastAsia="宋体" w:cs="Times New Roman"/>
                      <w:bCs/>
                      <w:color w:val="auto"/>
                      <w:kern w:val="0"/>
                      <w:sz w:val="21"/>
                      <w:szCs w:val="21"/>
                      <w:lang w:val="en-US" w:eastAsia="zh-CN" w:bidi="ar-SA"/>
                    </w:rPr>
                    <w:t>生活污水经化粪池收集后</w:t>
                  </w:r>
                  <w:r>
                    <w:rPr>
                      <w:rFonts w:hint="eastAsia" w:cs="Times New Roman"/>
                      <w:bCs/>
                      <w:color w:val="auto"/>
                      <w:kern w:val="0"/>
                      <w:sz w:val="21"/>
                      <w:szCs w:val="21"/>
                      <w:lang w:val="en-US" w:eastAsia="zh-CN" w:bidi="ar-SA"/>
                    </w:rPr>
                    <w:t>接管排入园区污水管网再进入</w:t>
                  </w:r>
                  <w:r>
                    <w:rPr>
                      <w:rFonts w:hint="eastAsia" w:ascii="Times New Roman" w:hAnsi="Times New Roman" w:eastAsia="宋体" w:cs="Times New Roman"/>
                      <w:bCs/>
                      <w:color w:val="auto"/>
                      <w:kern w:val="0"/>
                      <w:sz w:val="21"/>
                      <w:szCs w:val="21"/>
                      <w:lang w:val="en-US" w:eastAsia="zh-CN" w:bidi="ar-SA"/>
                    </w:rPr>
                    <w:t>长青工业园天龙污水处理厂处理后达标排至千河。</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项目生产废水</w:t>
                  </w:r>
                  <w:r>
                    <w:rPr>
                      <w:rFonts w:hint="eastAsia" w:cs="Times New Roman"/>
                      <w:bCs/>
                      <w:color w:val="000000" w:themeColor="text1"/>
                      <w:kern w:val="0"/>
                      <w:sz w:val="21"/>
                      <w:szCs w:val="21"/>
                      <w:highlight w:val="none"/>
                      <w:lang w:val="en-US" w:eastAsia="zh-CN" w:bidi="ar-SA"/>
                      <w14:textFill>
                        <w14:solidFill>
                          <w14:schemeClr w14:val="tx1"/>
                        </w14:solidFill>
                      </w14:textFill>
                    </w:rPr>
                    <w:t>（循环冷却水系统排污水）</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排放至园区污水管线</w:t>
                  </w:r>
                  <w:r>
                    <w:rPr>
                      <w:rFonts w:hint="eastAsia" w:cs="Times New Roman"/>
                      <w:bCs/>
                      <w:color w:val="000000" w:themeColor="text1"/>
                      <w:kern w:val="0"/>
                      <w:sz w:val="21"/>
                      <w:szCs w:val="21"/>
                      <w:highlight w:val="none"/>
                      <w:lang w:val="en-US" w:eastAsia="zh-CN" w:bidi="ar-SA"/>
                      <w14:textFill>
                        <w14:solidFill>
                          <w14:schemeClr w14:val="tx1"/>
                        </w14:solidFill>
                      </w14:textFill>
                    </w:rPr>
                    <w:t>再</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进入长青工业园污水处理厂（宝鸡天龙污水处理有限公司）处理</w:t>
                  </w:r>
                  <w:r>
                    <w:rPr>
                      <w:rFonts w:hint="eastAsia" w:cs="Times New Roman"/>
                      <w:bCs/>
                      <w:color w:val="000000" w:themeColor="text1"/>
                      <w:kern w:val="0"/>
                      <w:sz w:val="21"/>
                      <w:szCs w:val="21"/>
                      <w:highlight w:val="none"/>
                      <w:lang w:val="en-US" w:eastAsia="zh-CN" w:bidi="ar-SA"/>
                      <w14:textFill>
                        <w14:solidFill>
                          <w14:schemeClr w14:val="tx1"/>
                        </w14:solidFill>
                      </w14:textFill>
                    </w:rPr>
                    <w:t>。</w:t>
                  </w:r>
                </w:p>
              </w:tc>
              <w:tc>
                <w:tcPr>
                  <w:tcW w:w="309" w:type="pct"/>
                  <w:tcBorders>
                    <w:tl2br w:val="nil"/>
                    <w:tr2bl w:val="nil"/>
                  </w:tcBorders>
                  <w:noWrap w:val="0"/>
                  <w:vAlign w:val="center"/>
                </w:tcPr>
                <w:p w14:paraId="6920BC9B">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是</w:t>
                  </w:r>
                </w:p>
              </w:tc>
              <w:tc>
                <w:tcPr>
                  <w:tcW w:w="635" w:type="pct"/>
                  <w:tcBorders>
                    <w:tl2br w:val="nil"/>
                    <w:tr2bl w:val="nil"/>
                  </w:tcBorders>
                  <w:noWrap w:val="0"/>
                  <w:vAlign w:val="center"/>
                </w:tcPr>
                <w:p w14:paraId="2C74D5C6">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项目废气排放量减少。</w:t>
                  </w:r>
                  <w:r>
                    <w:rPr>
                      <w:rFonts w:hint="eastAsia" w:cs="Times New Roman"/>
                      <w:color w:val="auto"/>
                      <w:kern w:val="0"/>
                      <w:sz w:val="21"/>
                      <w:szCs w:val="21"/>
                      <w:highlight w:val="none"/>
                      <w:lang w:val="en-US" w:eastAsia="zh-CN" w:bidi="ar-SA"/>
                    </w:rPr>
                    <w:t>新增</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生产废水</w:t>
                  </w:r>
                  <w:r>
                    <w:rPr>
                      <w:rFonts w:hint="eastAsia" w:cs="Times New Roman"/>
                      <w:bCs/>
                      <w:color w:val="000000" w:themeColor="text1"/>
                      <w:kern w:val="0"/>
                      <w:sz w:val="21"/>
                      <w:szCs w:val="21"/>
                      <w:highlight w:val="none"/>
                      <w:lang w:val="en-US" w:eastAsia="zh-CN" w:bidi="ar-SA"/>
                      <w14:textFill>
                        <w14:solidFill>
                          <w14:schemeClr w14:val="tx1"/>
                        </w14:solidFill>
                      </w14:textFill>
                    </w:rPr>
                    <w:t>（循环冷却水系统排污水），</w:t>
                  </w:r>
                  <w:r>
                    <w:rPr>
                      <w:rFonts w:hint="eastAsia" w:ascii="Times New Roman" w:hAnsi="Times New Roman" w:eastAsia="宋体" w:cs="Times New Roman"/>
                      <w:bCs/>
                      <w:color w:val="000000" w:themeColor="text1"/>
                      <w:kern w:val="0"/>
                      <w:sz w:val="21"/>
                      <w:szCs w:val="24"/>
                      <w:highlight w:val="none"/>
                      <w:vertAlign w:val="baseline"/>
                      <w:lang w:val="en-US" w:eastAsia="zh-CN" w:bidi="ar-SA"/>
                      <w14:textFill>
                        <w14:solidFill>
                          <w14:schemeClr w14:val="tx1"/>
                        </w14:solidFill>
                      </w14:textFill>
                    </w:rPr>
                    <w:t>变动后废水污染物排放量增加10%及以上</w:t>
                  </w:r>
                  <w:r>
                    <w:rPr>
                      <w:rFonts w:hint="eastAsia"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t>。</w:t>
                  </w:r>
                </w:p>
              </w:tc>
              <w:tc>
                <w:tcPr>
                  <w:tcW w:w="379" w:type="pct"/>
                  <w:tcBorders>
                    <w:tl2br w:val="nil"/>
                    <w:tr2bl w:val="nil"/>
                  </w:tcBorders>
                  <w:noWrap w:val="0"/>
                  <w:vAlign w:val="center"/>
                </w:tcPr>
                <w:p w14:paraId="7C0E9BCE">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是</w:t>
                  </w:r>
                </w:p>
              </w:tc>
            </w:tr>
            <w:tr w14:paraId="3D4C5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0" w:type="pct"/>
                  <w:vMerge w:val="continue"/>
                  <w:tcBorders>
                    <w:tl2br w:val="nil"/>
                    <w:tr2bl w:val="nil"/>
                  </w:tcBorders>
                  <w:noWrap w:val="0"/>
                  <w:vAlign w:val="center"/>
                </w:tcPr>
                <w:p w14:paraId="43EDC55D">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ascii="Times New Roman" w:hAnsi="Times New Roman" w:eastAsia="宋体" w:cs="Times New Roman"/>
                      <w:color w:val="auto"/>
                      <w:kern w:val="0"/>
                      <w:sz w:val="21"/>
                      <w:szCs w:val="21"/>
                      <w:highlight w:val="none"/>
                      <w:lang w:val="en-US" w:eastAsia="zh-CN" w:bidi="ar-SA"/>
                    </w:rPr>
                  </w:pPr>
                </w:p>
              </w:tc>
              <w:tc>
                <w:tcPr>
                  <w:tcW w:w="1420" w:type="pct"/>
                  <w:tcBorders>
                    <w:tl2br w:val="nil"/>
                    <w:tr2bl w:val="nil"/>
                  </w:tcBorders>
                  <w:noWrap w:val="0"/>
                  <w:vAlign w:val="center"/>
                </w:tcPr>
                <w:p w14:paraId="3ECE1B7C">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9、新增废水直接排放口；废水由间接排放改为直接排放；废水直接排放口位置变化，导致不利环境影响加重的。</w:t>
                  </w:r>
                </w:p>
              </w:tc>
              <w:tc>
                <w:tcPr>
                  <w:tcW w:w="1037" w:type="pct"/>
                  <w:tcBorders>
                    <w:tl2br w:val="nil"/>
                    <w:tr2bl w:val="nil"/>
                  </w:tcBorders>
                  <w:noWrap w:val="0"/>
                  <w:vAlign w:val="center"/>
                </w:tcPr>
                <w:p w14:paraId="6BEC570F">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不涉及</w:t>
                  </w:r>
                </w:p>
              </w:tc>
              <w:tc>
                <w:tcPr>
                  <w:tcW w:w="986" w:type="pct"/>
                  <w:tcBorders>
                    <w:tl2br w:val="nil"/>
                    <w:tr2bl w:val="nil"/>
                  </w:tcBorders>
                  <w:noWrap w:val="0"/>
                  <w:vAlign w:val="center"/>
                </w:tcPr>
                <w:p w14:paraId="565D01F4">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不涉及</w:t>
                  </w:r>
                </w:p>
              </w:tc>
              <w:tc>
                <w:tcPr>
                  <w:tcW w:w="309" w:type="pct"/>
                  <w:tcBorders>
                    <w:tl2br w:val="nil"/>
                    <w:tr2bl w:val="nil"/>
                  </w:tcBorders>
                  <w:noWrap w:val="0"/>
                  <w:vAlign w:val="center"/>
                </w:tcPr>
                <w:p w14:paraId="6D7A6976">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否</w:t>
                  </w:r>
                </w:p>
              </w:tc>
              <w:tc>
                <w:tcPr>
                  <w:tcW w:w="635" w:type="pct"/>
                  <w:tcBorders>
                    <w:tl2br w:val="nil"/>
                    <w:tr2bl w:val="nil"/>
                  </w:tcBorders>
                  <w:noWrap w:val="0"/>
                  <w:vAlign w:val="center"/>
                </w:tcPr>
                <w:p w14:paraId="56A338C3">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379" w:type="pct"/>
                  <w:tcBorders>
                    <w:tl2br w:val="nil"/>
                    <w:tr2bl w:val="nil"/>
                  </w:tcBorders>
                  <w:noWrap w:val="0"/>
                  <w:vAlign w:val="center"/>
                </w:tcPr>
                <w:p w14:paraId="75377FFC">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否</w:t>
                  </w:r>
                </w:p>
              </w:tc>
            </w:tr>
            <w:tr w14:paraId="18318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0" w:type="pct"/>
                  <w:vMerge w:val="continue"/>
                  <w:tcBorders>
                    <w:tl2br w:val="nil"/>
                    <w:tr2bl w:val="nil"/>
                  </w:tcBorders>
                  <w:noWrap w:val="0"/>
                  <w:vAlign w:val="center"/>
                </w:tcPr>
                <w:p w14:paraId="354FCFFF">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ascii="Times New Roman" w:hAnsi="Times New Roman" w:eastAsia="宋体" w:cs="Times New Roman"/>
                      <w:color w:val="auto"/>
                      <w:kern w:val="0"/>
                      <w:sz w:val="21"/>
                      <w:szCs w:val="21"/>
                      <w:highlight w:val="none"/>
                      <w:lang w:val="en-US" w:eastAsia="zh-CN" w:bidi="ar-SA"/>
                    </w:rPr>
                  </w:pPr>
                </w:p>
              </w:tc>
              <w:tc>
                <w:tcPr>
                  <w:tcW w:w="1420" w:type="pct"/>
                  <w:tcBorders>
                    <w:tl2br w:val="nil"/>
                    <w:tr2bl w:val="nil"/>
                  </w:tcBorders>
                  <w:noWrap w:val="0"/>
                  <w:vAlign w:val="center"/>
                </w:tcPr>
                <w:p w14:paraId="12FFA67F">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10、新增废气主要排放口（废气无组织排放改为有组织排放的除外）；主要排放口排气筒高度降低10%及以上的。</w:t>
                  </w:r>
                </w:p>
              </w:tc>
              <w:tc>
                <w:tcPr>
                  <w:tcW w:w="1037" w:type="pct"/>
                  <w:tcBorders>
                    <w:tl2br w:val="nil"/>
                    <w:tr2bl w:val="nil"/>
                  </w:tcBorders>
                  <w:noWrap w:val="0"/>
                  <w:vAlign w:val="center"/>
                </w:tcPr>
                <w:p w14:paraId="7ABA9DC0">
                  <w:pPr>
                    <w:widowControl w:val="0"/>
                    <w:autoSpaceDE w:val="0"/>
                    <w:autoSpaceDN w:val="0"/>
                    <w:bidi w:val="0"/>
                    <w:adjustRightInd w:val="0"/>
                    <w:spacing w:line="240" w:lineRule="auto"/>
                    <w:ind w:left="-24" w:leftChars="-10" w:right="-24" w:rightChars="-10"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lang w:val="en-US" w:eastAsia="zh-CN" w:bidi="ar-SA"/>
                    </w:rPr>
                    <w:t>不涉及</w:t>
                  </w:r>
                </w:p>
              </w:tc>
              <w:tc>
                <w:tcPr>
                  <w:tcW w:w="986" w:type="pct"/>
                  <w:tcBorders>
                    <w:tl2br w:val="nil"/>
                    <w:tr2bl w:val="nil"/>
                  </w:tcBorders>
                  <w:noWrap w:val="0"/>
                  <w:vAlign w:val="center"/>
                </w:tcPr>
                <w:p w14:paraId="1942551A">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lang w:val="en-US" w:eastAsia="zh-CN" w:bidi="ar-SA"/>
                    </w:rPr>
                    <w:t>不涉及</w:t>
                  </w:r>
                </w:p>
              </w:tc>
              <w:tc>
                <w:tcPr>
                  <w:tcW w:w="309" w:type="pct"/>
                  <w:tcBorders>
                    <w:tl2br w:val="nil"/>
                    <w:tr2bl w:val="nil"/>
                  </w:tcBorders>
                  <w:noWrap w:val="0"/>
                  <w:vAlign w:val="center"/>
                </w:tcPr>
                <w:p w14:paraId="241F5DDC">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否</w:t>
                  </w:r>
                </w:p>
              </w:tc>
              <w:tc>
                <w:tcPr>
                  <w:tcW w:w="635" w:type="pct"/>
                  <w:tcBorders>
                    <w:tl2br w:val="nil"/>
                    <w:tr2bl w:val="nil"/>
                  </w:tcBorders>
                  <w:noWrap w:val="0"/>
                  <w:vAlign w:val="center"/>
                </w:tcPr>
                <w:p w14:paraId="731B0F25">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both"/>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变动后项目</w:t>
                  </w:r>
                  <w:r>
                    <w:rPr>
                      <w:rFonts w:hint="eastAsia" w:ascii="Times New Roman" w:hAnsi="Times New Roman" w:eastAsia="宋体" w:cs="Times New Roman"/>
                      <w:bCs/>
                      <w:color w:val="auto"/>
                      <w:kern w:val="0"/>
                      <w:sz w:val="21"/>
                      <w:szCs w:val="21"/>
                      <w:highlight w:val="none"/>
                      <w:lang w:val="en-US" w:eastAsia="zh-CN" w:bidi="ar-SA"/>
                    </w:rPr>
                    <w:t>取消</w:t>
                  </w:r>
                  <w:r>
                    <w:rPr>
                      <w:rFonts w:hint="eastAsia" w:ascii="Times New Roman" w:hAnsi="Times New Roman" w:eastAsia="宋体" w:cs="Times New Roman"/>
                      <w:color w:val="auto"/>
                      <w:kern w:val="0"/>
                      <w:sz w:val="21"/>
                      <w:szCs w:val="21"/>
                      <w:highlight w:val="none"/>
                      <w:lang w:val="en-US" w:eastAsia="zh-CN" w:bidi="ar-SA"/>
                    </w:rPr>
                    <w:t>溶解乙炔气体生产生产线及产品，项目无有组织废气排放、</w:t>
                  </w:r>
                  <w:r>
                    <w:rPr>
                      <w:rFonts w:hint="eastAsia" w:ascii="Times New Roman" w:hAnsi="Times New Roman" w:eastAsia="宋体" w:cs="Times New Roman"/>
                      <w:bCs/>
                      <w:color w:val="auto"/>
                      <w:kern w:val="0"/>
                      <w:sz w:val="21"/>
                      <w:szCs w:val="21"/>
                      <w:highlight w:val="none"/>
                      <w:lang w:val="en-US" w:eastAsia="zh-CN" w:bidi="ar-SA"/>
                    </w:rPr>
                    <w:t>无组织排放量减少。</w:t>
                  </w:r>
                </w:p>
              </w:tc>
              <w:tc>
                <w:tcPr>
                  <w:tcW w:w="379" w:type="pct"/>
                  <w:tcBorders>
                    <w:tl2br w:val="nil"/>
                    <w:tr2bl w:val="nil"/>
                  </w:tcBorders>
                  <w:noWrap w:val="0"/>
                  <w:vAlign w:val="center"/>
                </w:tcPr>
                <w:p w14:paraId="2B6C74F7">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否</w:t>
                  </w:r>
                </w:p>
              </w:tc>
            </w:tr>
            <w:tr w14:paraId="73F67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30" w:type="pct"/>
                  <w:vMerge w:val="continue"/>
                  <w:tcBorders>
                    <w:tl2br w:val="nil"/>
                    <w:tr2bl w:val="nil"/>
                  </w:tcBorders>
                  <w:noWrap w:val="0"/>
                  <w:vAlign w:val="center"/>
                </w:tcPr>
                <w:p w14:paraId="49899BDF">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ascii="Times New Roman" w:hAnsi="Times New Roman" w:eastAsia="宋体" w:cs="Times New Roman"/>
                      <w:color w:val="auto"/>
                      <w:kern w:val="0"/>
                      <w:sz w:val="21"/>
                      <w:szCs w:val="21"/>
                      <w:highlight w:val="none"/>
                      <w:lang w:val="en-US" w:eastAsia="zh-CN" w:bidi="ar-SA"/>
                    </w:rPr>
                  </w:pPr>
                </w:p>
              </w:tc>
              <w:tc>
                <w:tcPr>
                  <w:tcW w:w="1420" w:type="pct"/>
                  <w:tcBorders>
                    <w:tl2br w:val="nil"/>
                    <w:tr2bl w:val="nil"/>
                  </w:tcBorders>
                  <w:noWrap w:val="0"/>
                  <w:vAlign w:val="center"/>
                </w:tcPr>
                <w:p w14:paraId="30FB9470">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11、噪声、土壤或地下水污染防治措施变化，导致不利环境影响加重的。</w:t>
                  </w:r>
                </w:p>
              </w:tc>
              <w:tc>
                <w:tcPr>
                  <w:tcW w:w="1037" w:type="pct"/>
                  <w:tcBorders>
                    <w:tl2br w:val="nil"/>
                    <w:tr2bl w:val="nil"/>
                  </w:tcBorders>
                  <w:noWrap w:val="0"/>
                  <w:vAlign w:val="center"/>
                </w:tcPr>
                <w:p w14:paraId="6057067D">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厂房隔声、基础减振等</w:t>
                  </w:r>
                  <w:r>
                    <w:rPr>
                      <w:rFonts w:hint="eastAsia" w:ascii="Times New Roman" w:hAnsi="Times New Roman" w:eastAsia="宋体" w:cs="Times New Roman"/>
                      <w:b w:val="0"/>
                      <w:bCs w:val="0"/>
                      <w:color w:val="auto"/>
                      <w:kern w:val="0"/>
                      <w:sz w:val="21"/>
                      <w:szCs w:val="21"/>
                      <w:highlight w:val="none"/>
                      <w:vertAlign w:val="baseline"/>
                      <w:lang w:val="en-US" w:eastAsia="zh-CN" w:bidi="ar-SA"/>
                    </w:rPr>
                    <w:t>，危险废物贮存库按要求进行防渗处理。</w:t>
                  </w:r>
                </w:p>
              </w:tc>
              <w:tc>
                <w:tcPr>
                  <w:tcW w:w="986" w:type="pct"/>
                  <w:tcBorders>
                    <w:tl2br w:val="nil"/>
                    <w:tr2bl w:val="nil"/>
                  </w:tcBorders>
                  <w:noWrap w:val="0"/>
                  <w:vAlign w:val="center"/>
                </w:tcPr>
                <w:p w14:paraId="72295F04">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厂房隔声、基础减振等</w:t>
                  </w:r>
                  <w:r>
                    <w:rPr>
                      <w:rFonts w:hint="eastAsia" w:ascii="Times New Roman" w:hAnsi="Times New Roman" w:eastAsia="宋体" w:cs="Times New Roman"/>
                      <w:b w:val="0"/>
                      <w:bCs w:val="0"/>
                      <w:color w:val="auto"/>
                      <w:kern w:val="0"/>
                      <w:sz w:val="21"/>
                      <w:szCs w:val="21"/>
                      <w:highlight w:val="none"/>
                      <w:vertAlign w:val="baseline"/>
                      <w:lang w:val="en-US" w:eastAsia="zh-CN" w:bidi="ar-SA"/>
                    </w:rPr>
                    <w:t>，危险废物贮存库按要求进行防渗处理。</w:t>
                  </w:r>
                </w:p>
              </w:tc>
              <w:tc>
                <w:tcPr>
                  <w:tcW w:w="309" w:type="pct"/>
                  <w:tcBorders>
                    <w:tl2br w:val="nil"/>
                    <w:tr2bl w:val="nil"/>
                  </w:tcBorders>
                  <w:noWrap w:val="0"/>
                  <w:vAlign w:val="center"/>
                </w:tcPr>
                <w:p w14:paraId="7FC02AA7">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否</w:t>
                  </w:r>
                </w:p>
              </w:tc>
              <w:tc>
                <w:tcPr>
                  <w:tcW w:w="635" w:type="pct"/>
                  <w:tcBorders>
                    <w:tl2br w:val="nil"/>
                    <w:tr2bl w:val="nil"/>
                  </w:tcBorders>
                  <w:noWrap w:val="0"/>
                  <w:vAlign w:val="center"/>
                </w:tcPr>
                <w:p w14:paraId="078EBF7A">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379" w:type="pct"/>
                  <w:tcBorders>
                    <w:tl2br w:val="nil"/>
                    <w:tr2bl w:val="nil"/>
                  </w:tcBorders>
                  <w:noWrap w:val="0"/>
                  <w:vAlign w:val="center"/>
                </w:tcPr>
                <w:p w14:paraId="5EB192CC">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否</w:t>
                  </w:r>
                </w:p>
              </w:tc>
            </w:tr>
            <w:tr w14:paraId="7F640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0" w:type="pct"/>
                  <w:vMerge w:val="continue"/>
                  <w:tcBorders>
                    <w:tl2br w:val="nil"/>
                    <w:tr2bl w:val="nil"/>
                  </w:tcBorders>
                  <w:noWrap w:val="0"/>
                  <w:vAlign w:val="center"/>
                </w:tcPr>
                <w:p w14:paraId="66FBAE17">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ascii="Times New Roman" w:hAnsi="Times New Roman" w:eastAsia="宋体" w:cs="Times New Roman"/>
                      <w:color w:val="auto"/>
                      <w:kern w:val="0"/>
                      <w:sz w:val="21"/>
                      <w:szCs w:val="21"/>
                      <w:highlight w:val="none"/>
                      <w:lang w:val="en-US" w:eastAsia="zh-CN" w:bidi="ar-SA"/>
                    </w:rPr>
                  </w:pPr>
                </w:p>
              </w:tc>
              <w:tc>
                <w:tcPr>
                  <w:tcW w:w="1420" w:type="pct"/>
                  <w:tcBorders>
                    <w:tl2br w:val="nil"/>
                    <w:tr2bl w:val="nil"/>
                  </w:tcBorders>
                  <w:noWrap w:val="0"/>
                  <w:vAlign w:val="center"/>
                </w:tcPr>
                <w:p w14:paraId="7E381687">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12、固体废物利用处置方式由委托外单位利用处置改为自行利用处置的（自行利用处置设施单独开展环境影响评价的除外）；固体废物自行处置方式变化，导致不利环境影响加重的。</w:t>
                  </w:r>
                </w:p>
              </w:tc>
              <w:tc>
                <w:tcPr>
                  <w:tcW w:w="1037" w:type="pct"/>
                  <w:tcBorders>
                    <w:tl2br w:val="nil"/>
                    <w:tr2bl w:val="nil"/>
                  </w:tcBorders>
                  <w:noWrap w:val="0"/>
                  <w:vAlign w:val="center"/>
                </w:tcPr>
                <w:p w14:paraId="6716CE4E">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一般固废均综合利用，危险废物暂存于危废贮存库</w:t>
                  </w:r>
                  <w:r>
                    <w:rPr>
                      <w:rFonts w:hint="eastAsia" w:cs="Times New Roman"/>
                      <w:color w:val="auto"/>
                      <w:kern w:val="0"/>
                      <w:sz w:val="21"/>
                      <w:szCs w:val="21"/>
                      <w:highlight w:val="none"/>
                      <w:lang w:val="en-US" w:eastAsia="zh-CN" w:bidi="ar-SA"/>
                    </w:rPr>
                    <w:t>并</w:t>
                  </w:r>
                  <w:r>
                    <w:rPr>
                      <w:rFonts w:hint="eastAsia" w:ascii="Times New Roman" w:hAnsi="Times New Roman" w:eastAsia="宋体" w:cs="Times New Roman"/>
                      <w:color w:val="auto"/>
                      <w:kern w:val="0"/>
                      <w:sz w:val="21"/>
                      <w:szCs w:val="21"/>
                      <w:highlight w:val="none"/>
                      <w:lang w:val="en-US" w:eastAsia="zh-CN" w:bidi="ar-SA"/>
                    </w:rPr>
                    <w:t>交由有资质单位处置。</w:t>
                  </w:r>
                </w:p>
              </w:tc>
              <w:tc>
                <w:tcPr>
                  <w:tcW w:w="986" w:type="pct"/>
                  <w:tcBorders>
                    <w:tl2br w:val="nil"/>
                    <w:tr2bl w:val="nil"/>
                  </w:tcBorders>
                  <w:noWrap w:val="0"/>
                  <w:vAlign w:val="center"/>
                </w:tcPr>
                <w:p w14:paraId="5409F38F">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u w:val="none"/>
                      <w:lang w:val="en-US" w:eastAsia="zh-CN" w:bidi="ar-SA"/>
                    </w:rPr>
                    <w:t>一般固废</w:t>
                  </w:r>
                  <w:r>
                    <w:rPr>
                      <w:rFonts w:hint="eastAsia" w:cs="Times New Roman"/>
                      <w:color w:val="auto"/>
                      <w:kern w:val="0"/>
                      <w:sz w:val="21"/>
                      <w:szCs w:val="21"/>
                      <w:u w:val="none"/>
                      <w:lang w:val="en-US" w:eastAsia="zh-CN" w:bidi="ar-SA"/>
                    </w:rPr>
                    <w:t>为</w:t>
                  </w:r>
                  <w:r>
                    <w:rPr>
                      <w:rFonts w:hint="default" w:ascii="Times New Roman" w:hAnsi="Times New Roman" w:eastAsia="宋体" w:cs="Times New Roman"/>
                      <w:color w:val="auto"/>
                      <w:kern w:val="0"/>
                      <w:sz w:val="21"/>
                      <w:szCs w:val="21"/>
                      <w:u w:val="none"/>
                      <w:lang w:val="en-US" w:eastAsia="zh-CN" w:bidi="ar-SA"/>
                    </w:rPr>
                    <w:t>废旧滤筒、废吸附剂（分子筛和氧化铝）、废珠光砂</w:t>
                  </w:r>
                  <w:r>
                    <w:rPr>
                      <w:rFonts w:hint="eastAsia" w:ascii="Times New Roman" w:hAnsi="Times New Roman" w:eastAsia="宋体" w:cs="Times New Roman"/>
                      <w:color w:val="auto"/>
                      <w:kern w:val="0"/>
                      <w:sz w:val="21"/>
                      <w:szCs w:val="21"/>
                      <w:u w:val="none"/>
                      <w:lang w:val="en-US" w:eastAsia="zh-CN" w:bidi="ar-SA"/>
                    </w:rPr>
                    <w:t>等</w:t>
                  </w:r>
                  <w:r>
                    <w:rPr>
                      <w:rFonts w:hint="eastAsia" w:cs="Times New Roman"/>
                      <w:color w:val="auto"/>
                      <w:kern w:val="0"/>
                      <w:sz w:val="21"/>
                      <w:szCs w:val="21"/>
                      <w:u w:val="none"/>
                      <w:lang w:val="en-US" w:eastAsia="zh-CN" w:bidi="ar-SA"/>
                    </w:rPr>
                    <w:t>。其中：废旧滤筒、废吸附剂（分子筛和氧化铝）、废珠光砂每次更换前提前联系厂家上门更换并回收处理，不在厂区内暂存；废钢瓶暂存于一般工业固废暂存间，</w:t>
                  </w:r>
                  <w:r>
                    <w:rPr>
                      <w:rFonts w:hint="eastAsia" w:ascii="Times New Roman" w:hAnsi="宋体" w:eastAsia="宋体" w:cs="Times New Roman"/>
                      <w:color w:val="auto"/>
                      <w:kern w:val="0"/>
                      <w:sz w:val="21"/>
                      <w:szCs w:val="21"/>
                      <w:lang w:val="en-US" w:eastAsia="zh-CN" w:bidi="ar-SA"/>
                    </w:rPr>
                    <w:t>定期送至当地有资质的钢瓶检验站进行检验、报废</w:t>
                  </w:r>
                  <w:r>
                    <w:rPr>
                      <w:rFonts w:hint="eastAsia" w:cs="Times New Roman"/>
                      <w:color w:val="auto"/>
                      <w:kern w:val="0"/>
                      <w:sz w:val="21"/>
                      <w:szCs w:val="21"/>
                      <w:u w:val="none"/>
                      <w:lang w:val="en-US" w:eastAsia="zh-CN" w:bidi="ar-SA"/>
                    </w:rPr>
                    <w:t>。危险废物包括液化石油气残液、报废乙炔及液化石油气钢瓶、废润滑油、废油桶和含油抹布、手套。其中：</w:t>
                  </w:r>
                  <w:r>
                    <w:rPr>
                      <w:rFonts w:hint="eastAsia" w:ascii="Times New Roman" w:hAnsi="Times New Roman" w:eastAsia="宋体" w:cs="Times New Roman"/>
                      <w:color w:val="auto"/>
                      <w:kern w:val="0"/>
                      <w:sz w:val="21"/>
                      <w:szCs w:val="21"/>
                      <w:lang w:val="en-US" w:eastAsia="zh-CN" w:bidi="ar-SA"/>
                    </w:rPr>
                    <w:t>液化石油气残液</w:t>
                  </w:r>
                  <w:r>
                    <w:rPr>
                      <w:rFonts w:hint="eastAsia" w:cs="Times New Roman"/>
                      <w:color w:val="auto"/>
                      <w:kern w:val="0"/>
                      <w:sz w:val="21"/>
                      <w:szCs w:val="21"/>
                      <w:u w:val="none"/>
                      <w:lang w:val="en-US" w:eastAsia="zh-CN" w:bidi="ar-SA"/>
                    </w:rPr>
                    <w:t>暂存在残液储罐内，定期委托液化石油气供应单位进行回收处理；</w:t>
                  </w:r>
                  <w:r>
                    <w:rPr>
                      <w:rFonts w:hint="eastAsia" w:ascii="Times New Roman" w:hAnsi="Times New Roman" w:eastAsia="宋体" w:cs="Times New Roman"/>
                      <w:color w:val="auto"/>
                      <w:kern w:val="0"/>
                      <w:sz w:val="21"/>
                      <w:szCs w:val="21"/>
                      <w:lang w:val="en-US" w:eastAsia="zh-CN" w:bidi="ar-SA"/>
                    </w:rPr>
                    <w:t>报废乙炔及液化石油气钢瓶</w:t>
                  </w:r>
                  <w:r>
                    <w:rPr>
                      <w:rFonts w:hint="eastAsia" w:cs="Times New Roman"/>
                      <w:color w:val="auto"/>
                      <w:kern w:val="0"/>
                      <w:sz w:val="21"/>
                      <w:szCs w:val="21"/>
                      <w:u w:val="none"/>
                      <w:lang w:val="en-US" w:eastAsia="zh-CN" w:bidi="ar-SA"/>
                    </w:rPr>
                    <w:t>统一收集暂存于危废贮存库，</w:t>
                  </w:r>
                  <w:r>
                    <w:rPr>
                      <w:rFonts w:hint="eastAsia" w:ascii="Times New Roman" w:hAnsi="宋体" w:eastAsia="宋体" w:cs="Times New Roman"/>
                      <w:color w:val="auto"/>
                      <w:kern w:val="0"/>
                      <w:sz w:val="21"/>
                      <w:szCs w:val="21"/>
                      <w:lang w:val="en-US" w:eastAsia="zh-CN" w:bidi="ar-SA"/>
                    </w:rPr>
                    <w:t>定期送至当地有资质的钢瓶检验站进行检验、报废</w:t>
                  </w:r>
                  <w:r>
                    <w:rPr>
                      <w:rFonts w:hint="eastAsia" w:cs="Times New Roman"/>
                      <w:color w:val="auto"/>
                      <w:kern w:val="0"/>
                      <w:sz w:val="21"/>
                      <w:szCs w:val="21"/>
                      <w:u w:val="none"/>
                      <w:lang w:val="en-US" w:eastAsia="zh-CN" w:bidi="ar-SA"/>
                    </w:rPr>
                    <w:t>；废润滑油、废油桶、含油抹布、手套暂存于危废贮存库，定期交由有资质单位处置。</w:t>
                  </w:r>
                </w:p>
              </w:tc>
              <w:tc>
                <w:tcPr>
                  <w:tcW w:w="309" w:type="pct"/>
                  <w:tcBorders>
                    <w:tl2br w:val="nil"/>
                    <w:tr2bl w:val="nil"/>
                  </w:tcBorders>
                  <w:noWrap w:val="0"/>
                  <w:vAlign w:val="center"/>
                </w:tcPr>
                <w:p w14:paraId="2CBB6980">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否</w:t>
                  </w:r>
                </w:p>
              </w:tc>
              <w:tc>
                <w:tcPr>
                  <w:tcW w:w="635" w:type="pct"/>
                  <w:tcBorders>
                    <w:tl2br w:val="nil"/>
                    <w:tr2bl w:val="nil"/>
                  </w:tcBorders>
                  <w:noWrap w:val="0"/>
                  <w:vAlign w:val="center"/>
                </w:tcPr>
                <w:p w14:paraId="1ADD6298">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379" w:type="pct"/>
                  <w:tcBorders>
                    <w:tl2br w:val="nil"/>
                    <w:tr2bl w:val="nil"/>
                  </w:tcBorders>
                  <w:noWrap w:val="0"/>
                  <w:vAlign w:val="center"/>
                </w:tcPr>
                <w:p w14:paraId="70D9A49B">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否</w:t>
                  </w:r>
                </w:p>
              </w:tc>
            </w:tr>
            <w:tr w14:paraId="64EB3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30" w:type="pct"/>
                  <w:vMerge w:val="continue"/>
                  <w:tcBorders>
                    <w:tl2br w:val="nil"/>
                    <w:tr2bl w:val="nil"/>
                  </w:tcBorders>
                  <w:noWrap w:val="0"/>
                  <w:vAlign w:val="center"/>
                </w:tcPr>
                <w:p w14:paraId="659FAD48">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ascii="Times New Roman" w:hAnsi="Times New Roman" w:eastAsia="宋体" w:cs="Times New Roman"/>
                      <w:color w:val="auto"/>
                      <w:kern w:val="0"/>
                      <w:sz w:val="21"/>
                      <w:szCs w:val="21"/>
                      <w:highlight w:val="none"/>
                      <w:lang w:val="en-US" w:eastAsia="zh-CN" w:bidi="ar-SA"/>
                    </w:rPr>
                  </w:pPr>
                </w:p>
              </w:tc>
              <w:tc>
                <w:tcPr>
                  <w:tcW w:w="1420" w:type="pct"/>
                  <w:tcBorders>
                    <w:tl2br w:val="nil"/>
                    <w:tr2bl w:val="nil"/>
                  </w:tcBorders>
                  <w:noWrap w:val="0"/>
                  <w:vAlign w:val="center"/>
                </w:tcPr>
                <w:p w14:paraId="64B00183">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13、事故废水暂存能力或拦截设施变化，导致环境风险防范能力弱化或降低的。</w:t>
                  </w:r>
                </w:p>
              </w:tc>
              <w:tc>
                <w:tcPr>
                  <w:tcW w:w="1037" w:type="pct"/>
                  <w:tcBorders>
                    <w:tl2br w:val="nil"/>
                    <w:tr2bl w:val="nil"/>
                  </w:tcBorders>
                  <w:noWrap w:val="0"/>
                  <w:vAlign w:val="center"/>
                </w:tcPr>
                <w:p w14:paraId="0D3910C3">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1座</w:t>
                  </w:r>
                  <w:r>
                    <w:rPr>
                      <w:rFonts w:hint="eastAsia" w:ascii="Times New Roman" w:hAnsi="Times New Roman" w:eastAsia="宋体" w:cs="Times New Roman"/>
                      <w:color w:val="auto"/>
                      <w:kern w:val="0"/>
                      <w:sz w:val="21"/>
                      <w:szCs w:val="21"/>
                      <w:highlight w:val="none"/>
                      <w:u w:val="none"/>
                      <w:lang w:val="en-US" w:eastAsia="zh-CN" w:bidi="ar-SA"/>
                    </w:rPr>
                    <w:t>4</w:t>
                  </w:r>
                  <w:r>
                    <w:rPr>
                      <w:rFonts w:hint="default" w:ascii="Times New Roman" w:hAnsi="Times New Roman" w:eastAsia="宋体" w:cs="Times New Roman"/>
                      <w:color w:val="auto"/>
                      <w:kern w:val="0"/>
                      <w:sz w:val="21"/>
                      <w:szCs w:val="21"/>
                      <w:highlight w:val="none"/>
                      <w:u w:val="none"/>
                      <w:lang w:val="en-US" w:eastAsia="zh-CN" w:bidi="ar-SA"/>
                    </w:rPr>
                    <w:t>00m</w:t>
                  </w:r>
                  <w:r>
                    <w:rPr>
                      <w:rFonts w:hint="default" w:ascii="Times New Roman" w:hAnsi="Times New Roman" w:eastAsia="宋体" w:cs="Times New Roman"/>
                      <w:color w:val="auto"/>
                      <w:kern w:val="0"/>
                      <w:sz w:val="21"/>
                      <w:szCs w:val="21"/>
                      <w:highlight w:val="none"/>
                      <w:u w:val="none"/>
                      <w:vertAlign w:val="superscript"/>
                      <w:lang w:val="en-US" w:eastAsia="zh-CN" w:bidi="ar-SA"/>
                    </w:rPr>
                    <w:t>3</w:t>
                  </w:r>
                  <w:r>
                    <w:rPr>
                      <w:rFonts w:hint="default" w:ascii="Times New Roman" w:hAnsi="Times New Roman" w:eastAsia="宋体" w:cs="Times New Roman"/>
                      <w:color w:val="auto"/>
                      <w:kern w:val="0"/>
                      <w:sz w:val="21"/>
                      <w:szCs w:val="21"/>
                      <w:highlight w:val="none"/>
                      <w:u w:val="none"/>
                      <w:lang w:val="en-US" w:eastAsia="zh-CN" w:bidi="ar-SA"/>
                    </w:rPr>
                    <w:t>消防水池、1座容积</w:t>
                  </w:r>
                  <w:r>
                    <w:rPr>
                      <w:rFonts w:hint="eastAsia" w:ascii="Times New Roman" w:hAnsi="Times New Roman" w:eastAsia="宋体" w:cs="Times New Roman"/>
                      <w:color w:val="auto"/>
                      <w:kern w:val="0"/>
                      <w:sz w:val="21"/>
                      <w:szCs w:val="21"/>
                      <w:highlight w:val="none"/>
                      <w:u w:val="none"/>
                      <w:lang w:val="en-US" w:eastAsia="zh-CN" w:bidi="ar-SA"/>
                    </w:rPr>
                    <w:t>60</w:t>
                  </w:r>
                  <w:r>
                    <w:rPr>
                      <w:rFonts w:hint="default" w:ascii="Times New Roman" w:hAnsi="Times New Roman" w:eastAsia="宋体" w:cs="Times New Roman"/>
                      <w:color w:val="auto"/>
                      <w:kern w:val="0"/>
                      <w:sz w:val="21"/>
                      <w:szCs w:val="21"/>
                      <w:highlight w:val="none"/>
                      <w:u w:val="none"/>
                      <w:lang w:val="en-US" w:eastAsia="zh-CN" w:bidi="ar-SA"/>
                    </w:rPr>
                    <w:t>0m</w:t>
                  </w:r>
                  <w:r>
                    <w:rPr>
                      <w:rFonts w:hint="default" w:ascii="Times New Roman" w:hAnsi="Times New Roman" w:eastAsia="宋体" w:cs="Times New Roman"/>
                      <w:color w:val="auto"/>
                      <w:kern w:val="0"/>
                      <w:sz w:val="21"/>
                      <w:szCs w:val="21"/>
                      <w:highlight w:val="none"/>
                      <w:u w:val="none"/>
                      <w:vertAlign w:val="superscript"/>
                      <w:lang w:val="en-US" w:eastAsia="zh-CN" w:bidi="ar-SA"/>
                    </w:rPr>
                    <w:t>3</w:t>
                  </w:r>
                  <w:r>
                    <w:rPr>
                      <w:rFonts w:hint="default" w:ascii="Times New Roman" w:hAnsi="Times New Roman" w:eastAsia="宋体" w:cs="Times New Roman"/>
                      <w:color w:val="auto"/>
                      <w:kern w:val="0"/>
                      <w:sz w:val="21"/>
                      <w:szCs w:val="21"/>
                      <w:highlight w:val="none"/>
                      <w:u w:val="none"/>
                      <w:lang w:val="en-US" w:eastAsia="zh-CN" w:bidi="ar-SA"/>
                    </w:rPr>
                    <w:t>的事故水池、事故废水切换装置、一级丙酮储罐区围堰</w:t>
                  </w:r>
                </w:p>
              </w:tc>
              <w:tc>
                <w:tcPr>
                  <w:tcW w:w="986" w:type="pct"/>
                  <w:tcBorders>
                    <w:tl2br w:val="nil"/>
                    <w:tr2bl w:val="nil"/>
                  </w:tcBorders>
                  <w:noWrap w:val="0"/>
                  <w:vAlign w:val="center"/>
                </w:tcPr>
                <w:p w14:paraId="4AB6DD4D">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u w:val="none"/>
                      <w:lang w:val="en-US" w:eastAsia="zh-CN" w:bidi="ar-SA"/>
                    </w:rPr>
                    <w:t>1座</w:t>
                  </w:r>
                  <w:r>
                    <w:rPr>
                      <w:rFonts w:hint="eastAsia" w:ascii="Times New Roman" w:hAnsi="Times New Roman" w:eastAsia="宋体" w:cs="Times New Roman"/>
                      <w:color w:val="auto"/>
                      <w:kern w:val="0"/>
                      <w:sz w:val="21"/>
                      <w:szCs w:val="21"/>
                      <w:highlight w:val="none"/>
                      <w:u w:val="none"/>
                      <w:lang w:val="en-US" w:eastAsia="zh-CN" w:bidi="ar-SA"/>
                    </w:rPr>
                    <w:t>972</w:t>
                  </w:r>
                  <w:r>
                    <w:rPr>
                      <w:rFonts w:hint="default" w:ascii="Times New Roman" w:hAnsi="Times New Roman" w:eastAsia="宋体" w:cs="Times New Roman"/>
                      <w:color w:val="auto"/>
                      <w:kern w:val="0"/>
                      <w:sz w:val="21"/>
                      <w:szCs w:val="21"/>
                      <w:highlight w:val="none"/>
                      <w:u w:val="none"/>
                      <w:lang w:val="en-US" w:eastAsia="zh-CN" w:bidi="ar-SA"/>
                    </w:rPr>
                    <w:t>m</w:t>
                  </w:r>
                  <w:r>
                    <w:rPr>
                      <w:rFonts w:hint="default" w:ascii="Times New Roman" w:hAnsi="Times New Roman" w:eastAsia="宋体" w:cs="Times New Roman"/>
                      <w:color w:val="auto"/>
                      <w:kern w:val="0"/>
                      <w:sz w:val="21"/>
                      <w:szCs w:val="21"/>
                      <w:highlight w:val="none"/>
                      <w:u w:val="none"/>
                      <w:vertAlign w:val="superscript"/>
                      <w:lang w:val="en-US" w:eastAsia="zh-CN" w:bidi="ar-SA"/>
                    </w:rPr>
                    <w:t>3</w:t>
                  </w:r>
                  <w:r>
                    <w:rPr>
                      <w:rFonts w:hint="default" w:ascii="Times New Roman" w:hAnsi="Times New Roman" w:eastAsia="宋体" w:cs="Times New Roman"/>
                      <w:color w:val="auto"/>
                      <w:kern w:val="0"/>
                      <w:sz w:val="21"/>
                      <w:szCs w:val="21"/>
                      <w:highlight w:val="none"/>
                      <w:u w:val="none"/>
                      <w:lang w:val="en-US" w:eastAsia="zh-CN" w:bidi="ar-SA"/>
                    </w:rPr>
                    <w:t>消防水池、1座容积</w:t>
                  </w:r>
                  <w:r>
                    <w:rPr>
                      <w:rFonts w:hint="eastAsia" w:ascii="Times New Roman" w:hAnsi="Times New Roman" w:eastAsia="宋体" w:cs="Times New Roman"/>
                      <w:color w:val="auto"/>
                      <w:kern w:val="0"/>
                      <w:sz w:val="21"/>
                      <w:szCs w:val="21"/>
                      <w:highlight w:val="none"/>
                      <w:u w:val="none"/>
                      <w:lang w:val="en-US" w:eastAsia="zh-CN" w:bidi="ar-SA"/>
                    </w:rPr>
                    <w:t>140</w:t>
                  </w:r>
                  <w:r>
                    <w:rPr>
                      <w:rFonts w:hint="default" w:ascii="Times New Roman" w:hAnsi="Times New Roman" w:eastAsia="宋体" w:cs="Times New Roman"/>
                      <w:color w:val="auto"/>
                      <w:kern w:val="0"/>
                      <w:sz w:val="21"/>
                      <w:szCs w:val="21"/>
                      <w:highlight w:val="none"/>
                      <w:u w:val="none"/>
                      <w:lang w:val="en-US" w:eastAsia="zh-CN" w:bidi="ar-SA"/>
                    </w:rPr>
                    <w:t>0m</w:t>
                  </w:r>
                  <w:r>
                    <w:rPr>
                      <w:rFonts w:hint="default" w:ascii="Times New Roman" w:hAnsi="Times New Roman" w:eastAsia="宋体" w:cs="Times New Roman"/>
                      <w:color w:val="auto"/>
                      <w:kern w:val="0"/>
                      <w:sz w:val="21"/>
                      <w:szCs w:val="21"/>
                      <w:highlight w:val="none"/>
                      <w:u w:val="none"/>
                      <w:vertAlign w:val="superscript"/>
                      <w:lang w:val="en-US" w:eastAsia="zh-CN" w:bidi="ar-SA"/>
                    </w:rPr>
                    <w:t>3</w:t>
                  </w:r>
                  <w:r>
                    <w:rPr>
                      <w:rFonts w:hint="default" w:ascii="Times New Roman" w:hAnsi="Times New Roman" w:eastAsia="宋体" w:cs="Times New Roman"/>
                      <w:color w:val="auto"/>
                      <w:kern w:val="0"/>
                      <w:sz w:val="21"/>
                      <w:szCs w:val="21"/>
                      <w:highlight w:val="none"/>
                      <w:u w:val="none"/>
                      <w:lang w:val="en-US" w:eastAsia="zh-CN" w:bidi="ar-SA"/>
                    </w:rPr>
                    <w:t>的事故水池、事故废水切换装置</w:t>
                  </w:r>
                </w:p>
              </w:tc>
              <w:tc>
                <w:tcPr>
                  <w:tcW w:w="309" w:type="pct"/>
                  <w:tcBorders>
                    <w:tl2br w:val="nil"/>
                    <w:tr2bl w:val="nil"/>
                  </w:tcBorders>
                  <w:noWrap w:val="0"/>
                  <w:vAlign w:val="center"/>
                </w:tcPr>
                <w:p w14:paraId="1B8C79A4">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否</w:t>
                  </w:r>
                </w:p>
              </w:tc>
              <w:tc>
                <w:tcPr>
                  <w:tcW w:w="635" w:type="pct"/>
                  <w:tcBorders>
                    <w:tl2br w:val="nil"/>
                    <w:tr2bl w:val="nil"/>
                  </w:tcBorders>
                  <w:noWrap w:val="0"/>
                  <w:vAlign w:val="center"/>
                </w:tcPr>
                <w:p w14:paraId="69490B67">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u w:val="none"/>
                      <w:lang w:val="en-US" w:eastAsia="zh-CN" w:bidi="ar-SA"/>
                    </w:rPr>
                    <w:t>变更后</w:t>
                  </w:r>
                  <w:r>
                    <w:rPr>
                      <w:rFonts w:hint="eastAsia" w:cs="Times New Roman"/>
                      <w:color w:val="auto"/>
                      <w:kern w:val="0"/>
                      <w:sz w:val="21"/>
                      <w:szCs w:val="21"/>
                      <w:highlight w:val="none"/>
                      <w:u w:val="none"/>
                      <w:lang w:val="en-US" w:eastAsia="zh-CN" w:bidi="ar-SA"/>
                    </w:rPr>
                    <w:t>取消了乙炔发生装置，降低了乙炔生</w:t>
                  </w:r>
                  <w:r>
                    <w:rPr>
                      <w:rFonts w:hint="default" w:ascii="Times New Roman" w:hAnsi="Times New Roman" w:eastAsia="宋体" w:cs="Times New Roman"/>
                      <w:color w:val="auto"/>
                      <w:kern w:val="0"/>
                      <w:sz w:val="21"/>
                      <w:szCs w:val="21"/>
                      <w:highlight w:val="none"/>
                      <w:u w:val="none"/>
                      <w:lang w:val="en-US" w:eastAsia="zh-CN" w:bidi="ar-SA"/>
                    </w:rPr>
                    <w:t>产过程的风险</w:t>
                  </w:r>
                </w:p>
              </w:tc>
              <w:tc>
                <w:tcPr>
                  <w:tcW w:w="379" w:type="pct"/>
                  <w:tcBorders>
                    <w:tl2br w:val="nil"/>
                    <w:tr2bl w:val="nil"/>
                  </w:tcBorders>
                  <w:noWrap w:val="0"/>
                  <w:vAlign w:val="center"/>
                </w:tcPr>
                <w:p w14:paraId="0C8927F7">
                  <w:pPr>
                    <w:keepNext w:val="0"/>
                    <w:keepLines w:val="0"/>
                    <w:pageBreakBefore w:val="0"/>
                    <w:widowControl w:val="0"/>
                    <w:kinsoku/>
                    <w:wordWrap/>
                    <w:overflowPunct/>
                    <w:topLinePunct w:val="0"/>
                    <w:bidi w:val="0"/>
                    <w:adjustRightInd w:val="0"/>
                    <w:snapToGrid w:val="0"/>
                    <w:spacing w:before="40" w:after="40" w:line="240" w:lineRule="auto"/>
                    <w:ind w:left="-24" w:leftChars="-10" w:right="-24" w:rightChars="-10" w:firstLine="0" w:firstLineChars="0"/>
                    <w:jc w:val="center"/>
                    <w:textAlignment w:val="baseline"/>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否</w:t>
                  </w:r>
                </w:p>
              </w:tc>
            </w:tr>
          </w:tbl>
          <w:p w14:paraId="71C3035E">
            <w:pPr>
              <w:bidi w:val="0"/>
              <w:rPr>
                <w:rFonts w:hint="eastAsia" w:ascii="Times New Roman" w:hAnsi="Times New Roman" w:eastAsia="宋体" w:cs="Times New Roman"/>
                <w:color w:val="auto"/>
                <w:spacing w:val="0"/>
                <w:kern w:val="21"/>
                <w:position w:val="0"/>
                <w:sz w:val="24"/>
                <w:szCs w:val="24"/>
                <w:lang w:eastAsia="zh-CN"/>
              </w:rPr>
            </w:pPr>
            <w:r>
              <w:rPr>
                <w:rFonts w:hint="default" w:ascii="Times New Roman" w:hAnsi="Times New Roman" w:eastAsia="宋体" w:cs="Times New Roman"/>
                <w:color w:val="auto"/>
                <w:spacing w:val="0"/>
                <w:position w:val="0"/>
                <w:sz w:val="24"/>
                <w:szCs w:val="24"/>
                <w:highlight w:val="none"/>
                <w:lang w:val="en-US" w:eastAsia="zh-CN"/>
              </w:rPr>
              <w:t>综上所述</w:t>
            </w:r>
            <w:r>
              <w:rPr>
                <w:rFonts w:hint="eastAsia"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根据</w:t>
            </w:r>
            <w:r>
              <w:rPr>
                <w:rFonts w:hint="eastAsia" w:cs="Times New Roman"/>
                <w:color w:val="auto"/>
                <w:spacing w:val="0"/>
                <w:position w:val="0"/>
                <w:sz w:val="24"/>
                <w:szCs w:val="24"/>
                <w:highlight w:val="none"/>
                <w:lang w:val="en-US" w:eastAsia="zh-CN"/>
              </w:rPr>
              <w:t>《</w:t>
            </w:r>
            <w:r>
              <w:rPr>
                <w:rFonts w:hint="default" w:ascii="Times New Roman" w:hAnsi="Times New Roman" w:eastAsia="宋体" w:cs="Times New Roman"/>
                <w:color w:val="auto"/>
                <w:spacing w:val="0"/>
                <w:position w:val="0"/>
                <w:sz w:val="24"/>
                <w:szCs w:val="24"/>
                <w:highlight w:val="none"/>
                <w:lang w:val="en-US" w:eastAsia="zh-CN"/>
              </w:rPr>
              <w:t>生态环境部办公厅关于印发&lt;污染影响类建设项目重大变动清单（试行）&gt;的通知》（环办环评函〔2020〕688号）及</w:t>
            </w:r>
            <w:r>
              <w:rPr>
                <w:rFonts w:hint="default" w:ascii="Times New Roman" w:hAnsi="Times New Roman" w:eastAsia="宋体" w:cs="Times New Roman"/>
                <w:color w:val="auto"/>
                <w:spacing w:val="0"/>
                <w:kern w:val="0"/>
                <w:position w:val="0"/>
                <w:sz w:val="24"/>
                <w:szCs w:val="24"/>
                <w:highlight w:val="none"/>
                <w:lang w:val="en-US" w:eastAsia="zh-CN" w:bidi="ar-SA"/>
              </w:rPr>
              <w:t>《关于加强建设项目重大变动环境影响评价管理工作的通知》（陕环环评函〔2021〕11号）</w:t>
            </w:r>
            <w:r>
              <w:rPr>
                <w:rFonts w:hint="default" w:ascii="Times New Roman" w:hAnsi="Times New Roman" w:eastAsia="宋体" w:cs="Times New Roman"/>
                <w:color w:val="auto"/>
                <w:spacing w:val="0"/>
                <w:position w:val="0"/>
                <w:sz w:val="24"/>
                <w:szCs w:val="24"/>
                <w:highlight w:val="none"/>
                <w:lang w:val="en-US" w:eastAsia="zh-CN"/>
              </w:rPr>
              <w:t>，本项目的建设地点未发生改变；</w:t>
            </w:r>
            <w:r>
              <w:rPr>
                <w:rFonts w:hint="eastAsia" w:ascii="Times New Roman" w:hAnsi="Times New Roman" w:eastAsia="宋体" w:cs="Times New Roman"/>
                <w:color w:val="auto"/>
                <w:spacing w:val="0"/>
                <w:position w:val="0"/>
                <w:sz w:val="24"/>
                <w:szCs w:val="24"/>
                <w:highlight w:val="none"/>
                <w:lang w:val="en-US" w:eastAsia="zh-CN"/>
              </w:rPr>
              <w:t>性质、</w:t>
            </w:r>
            <w:r>
              <w:rPr>
                <w:rFonts w:hint="default" w:ascii="Times New Roman" w:hAnsi="Times New Roman" w:eastAsia="宋体" w:cs="Times New Roman"/>
                <w:color w:val="auto"/>
                <w:spacing w:val="0"/>
                <w:position w:val="0"/>
                <w:sz w:val="24"/>
                <w:szCs w:val="24"/>
                <w:highlight w:val="none"/>
                <w:lang w:val="en-US" w:eastAsia="zh-CN"/>
              </w:rPr>
              <w:t>规模、生产工艺、环境保护措施发生变动，废水污染物排放量增加10%及以上，导致不利环境影响加重。</w:t>
            </w:r>
            <w:r>
              <w:rPr>
                <w:rFonts w:hint="eastAsia" w:ascii="Times New Roman" w:hAnsi="Times New Roman" w:eastAsia="宋体" w:cs="Times New Roman"/>
                <w:color w:val="auto"/>
                <w:spacing w:val="0"/>
                <w:kern w:val="21"/>
                <w:position w:val="0"/>
                <w:sz w:val="24"/>
                <w:szCs w:val="24"/>
                <w:lang w:eastAsia="zh-CN"/>
              </w:rPr>
              <w:t>根据《中华人民共和国环境影响评价法》（2018年12月29日修正）第二十四条：建设项目的环境影响评价文件经批准后，建设项目的性质、规模、地点、采用的生产工艺或者防止污染、</w:t>
            </w:r>
            <w:r>
              <w:rPr>
                <w:rFonts w:hint="eastAsia" w:cs="Times New Roman"/>
                <w:color w:val="auto"/>
                <w:spacing w:val="0"/>
                <w:kern w:val="21"/>
                <w:position w:val="0"/>
                <w:sz w:val="24"/>
                <w:szCs w:val="24"/>
                <w:lang w:val="en-US" w:eastAsia="zh-CN"/>
              </w:rPr>
              <w:t>防治</w:t>
            </w:r>
            <w:r>
              <w:rPr>
                <w:rFonts w:hint="eastAsia" w:ascii="Times New Roman" w:hAnsi="Times New Roman" w:eastAsia="宋体" w:cs="Times New Roman"/>
                <w:color w:val="auto"/>
                <w:spacing w:val="0"/>
                <w:kern w:val="21"/>
                <w:position w:val="0"/>
                <w:sz w:val="24"/>
                <w:szCs w:val="24"/>
                <w:lang w:eastAsia="zh-CN"/>
              </w:rPr>
              <w:t>生态破坏的措施发生重大变动的，建设单位应当重新报批建设项目的环境影响评价文件。</w:t>
            </w:r>
            <w:r>
              <w:rPr>
                <w:rFonts w:hint="default" w:ascii="Times New Roman" w:hAnsi="Times New Roman" w:eastAsia="宋体" w:cs="Times New Roman"/>
                <w:color w:val="auto"/>
                <w:spacing w:val="0"/>
                <w:position w:val="0"/>
                <w:sz w:val="24"/>
                <w:szCs w:val="24"/>
                <w:highlight w:val="none"/>
                <w:lang w:val="en-US" w:eastAsia="zh-CN"/>
              </w:rPr>
              <w:t>因此，</w:t>
            </w:r>
            <w:r>
              <w:rPr>
                <w:rFonts w:hint="eastAsia" w:ascii="Times New Roman" w:hAnsi="Times New Roman" w:eastAsia="宋体" w:cs="Times New Roman"/>
                <w:color w:val="auto"/>
                <w:spacing w:val="0"/>
                <w:position w:val="0"/>
                <w:sz w:val="24"/>
                <w:szCs w:val="24"/>
                <w:highlight w:val="none"/>
                <w:lang w:val="en-US" w:eastAsia="zh-CN"/>
              </w:rPr>
              <w:t>本</w:t>
            </w:r>
            <w:r>
              <w:rPr>
                <w:rFonts w:hint="default" w:ascii="Times New Roman" w:hAnsi="Times New Roman" w:eastAsia="宋体" w:cs="Times New Roman"/>
                <w:color w:val="auto"/>
                <w:spacing w:val="0"/>
                <w:position w:val="0"/>
                <w:sz w:val="24"/>
                <w:szCs w:val="24"/>
                <w:highlight w:val="none"/>
                <w:lang w:val="en-US" w:eastAsia="zh-CN"/>
              </w:rPr>
              <w:t>项目属于重大变动，应当重新报批环境影响评价文件</w:t>
            </w:r>
            <w:r>
              <w:rPr>
                <w:rFonts w:hint="eastAsia" w:ascii="Times New Roman" w:hAnsi="Times New Roman" w:eastAsia="宋体" w:cs="Times New Roman"/>
                <w:color w:val="auto"/>
                <w:spacing w:val="0"/>
                <w:kern w:val="21"/>
                <w:position w:val="0"/>
                <w:sz w:val="24"/>
                <w:szCs w:val="24"/>
                <w:lang w:eastAsia="zh-CN"/>
              </w:rPr>
              <w:t>。</w:t>
            </w:r>
          </w:p>
          <w:p w14:paraId="354289EC">
            <w:pPr>
              <w:bidi w:val="0"/>
              <w:rPr>
                <w:rFonts w:hint="eastAsia"/>
                <w:color w:val="auto"/>
                <w:lang w:val="en-US" w:eastAsia="zh-CN"/>
              </w:rPr>
            </w:pPr>
            <w:r>
              <w:rPr>
                <w:color w:val="auto"/>
              </w:rPr>
              <w:t>原环评办理后，项目于</w:t>
            </w:r>
            <w:r>
              <w:rPr>
                <w:rFonts w:hint="eastAsia"/>
                <w:color w:val="auto"/>
                <w:lang w:val="en-US" w:eastAsia="zh-CN"/>
              </w:rPr>
              <w:t>2022</w:t>
            </w:r>
            <w:r>
              <w:rPr>
                <w:color w:val="auto"/>
              </w:rPr>
              <w:t>年</w:t>
            </w:r>
            <w:r>
              <w:rPr>
                <w:rFonts w:hint="eastAsia"/>
                <w:color w:val="auto"/>
                <w:lang w:val="en-US" w:eastAsia="zh-CN"/>
              </w:rPr>
              <w:t>8</w:t>
            </w:r>
            <w:r>
              <w:rPr>
                <w:color w:val="auto"/>
              </w:rPr>
              <w:t>月动工建设，</w:t>
            </w:r>
            <w:r>
              <w:rPr>
                <w:rFonts w:hint="eastAsia"/>
                <w:color w:val="auto"/>
                <w:lang w:val="en-US" w:eastAsia="zh-CN"/>
              </w:rPr>
              <w:t>目前工业氧气、医用氧气充装间，氮气、氩气、二氧化碳、混合气体充装间及丙烷气、液化石油气充装间已建设完成，配套的储运工程、辅助工程、环保工程和公用工程正在建设中。</w:t>
            </w:r>
          </w:p>
          <w:p w14:paraId="0749A344">
            <w:pPr>
              <w:bidi w:val="0"/>
              <w:rPr>
                <w:rFonts w:hint="eastAsia" w:ascii="宋体" w:hAnsi="宋体" w:eastAsia="宋体" w:cs="宋体"/>
                <w:color w:val="auto"/>
                <w:kern w:val="0"/>
                <w:sz w:val="24"/>
                <w:szCs w:val="24"/>
                <w:highlight w:val="none"/>
                <w:lang w:val="en-US" w:eastAsia="zh-CN" w:bidi="ar"/>
              </w:rPr>
            </w:pPr>
            <w:r>
              <w:rPr>
                <w:rFonts w:hint="eastAsia" w:ascii="Times New Roman" w:hAnsi="Times New Roman" w:eastAsia="宋体" w:cs="Times New Roman"/>
                <w:color w:val="auto"/>
                <w:highlight w:val="none"/>
                <w:lang w:val="en-US" w:eastAsia="zh-CN"/>
              </w:rPr>
              <w:t>根据《关于加强建设项目重大变动环境影响评价管理工作的通知》（陕环环评函〔2021〕11号）</w:t>
            </w:r>
            <w:r>
              <w:rPr>
                <w:rFonts w:hint="eastAsia" w:ascii="宋体" w:hAnsi="宋体" w:eastAsia="宋体" w:cs="宋体"/>
                <w:color w:val="auto"/>
                <w:kern w:val="0"/>
                <w:sz w:val="24"/>
                <w:szCs w:val="24"/>
                <w:highlight w:val="none"/>
                <w:lang w:val="en-US" w:eastAsia="zh-CN" w:bidi="ar"/>
              </w:rPr>
              <w:t>中“二、建设项目重大变动环评管理适用于环境影响报告书（表）已经批准且未通过竣工环境保护验收的建设项目，已通过竣工环境保护验收</w:t>
            </w:r>
            <w:r>
              <w:rPr>
                <w:rFonts w:hint="eastAsia" w:ascii="宋体" w:hAnsi="宋体" w:cs="宋体"/>
                <w:color w:val="auto"/>
                <w:kern w:val="0"/>
                <w:sz w:val="24"/>
                <w:szCs w:val="24"/>
                <w:highlight w:val="none"/>
                <w:lang w:val="en-US" w:eastAsia="zh-CN" w:bidi="ar"/>
              </w:rPr>
              <w:t>的</w:t>
            </w:r>
            <w:r>
              <w:rPr>
                <w:rFonts w:hint="eastAsia" w:ascii="宋体" w:hAnsi="宋体" w:eastAsia="宋体" w:cs="宋体"/>
                <w:color w:val="auto"/>
                <w:kern w:val="0"/>
                <w:sz w:val="24"/>
                <w:szCs w:val="24"/>
                <w:highlight w:val="none"/>
                <w:lang w:val="en-US" w:eastAsia="zh-CN" w:bidi="ar"/>
              </w:rPr>
              <w:t>建设项目发生重大变动的，建设单位应根据变动的内容按照改建、扩建项目编制并报批环评文件”，本项目正在建设，且目前建设未完成，故本项目属于环境影响报告表已经批准且未进行竣工环境保护验收的建设项目。依据《中华人民共和国环境影响评价法（</w:t>
            </w:r>
            <w:r>
              <w:rPr>
                <w:rFonts w:hint="default" w:ascii="Times New Roman" w:hAnsi="Times New Roman" w:eastAsia="宋体" w:cs="Times New Roman"/>
                <w:color w:val="auto"/>
                <w:kern w:val="0"/>
                <w:sz w:val="24"/>
                <w:szCs w:val="24"/>
                <w:highlight w:val="none"/>
                <w:lang w:val="en-US" w:eastAsia="zh-CN" w:bidi="ar"/>
              </w:rPr>
              <w:t xml:space="preserve">2018 </w:t>
            </w:r>
            <w:r>
              <w:rPr>
                <w:rFonts w:hint="eastAsia" w:ascii="宋体" w:hAnsi="宋体" w:eastAsia="宋体" w:cs="宋体"/>
                <w:color w:val="auto"/>
                <w:kern w:val="0"/>
                <w:sz w:val="24"/>
                <w:szCs w:val="24"/>
                <w:highlight w:val="none"/>
                <w:lang w:val="en-US" w:eastAsia="zh-CN" w:bidi="ar"/>
              </w:rPr>
              <w:t>修正版）》第三章 建设项目的环境影响评价中“第二十四条 建设项目的环境影响评价文件经批准后，建设项目的性质、规模、地</w:t>
            </w:r>
          </w:p>
          <w:p w14:paraId="471BAA25">
            <w:pPr>
              <w:pStyle w:val="29"/>
              <w:ind w:left="0" w:leftChars="0" w:firstLine="0" w:firstLineChars="0"/>
              <w:rPr>
                <w:rFonts w:hint="default"/>
                <w:lang w:val="en-US" w:eastAsia="zh-CN"/>
              </w:rPr>
            </w:pPr>
            <w:r>
              <w:rPr>
                <w:rFonts w:hint="eastAsia" w:ascii="宋体" w:hAnsi="宋体" w:eastAsia="宋体" w:cs="宋体"/>
                <w:color w:val="auto"/>
                <w:kern w:val="0"/>
                <w:sz w:val="24"/>
                <w:szCs w:val="24"/>
                <w:highlight w:val="none"/>
                <w:lang w:val="en-US" w:eastAsia="zh-CN" w:bidi="ar"/>
              </w:rPr>
              <w:t>点、采用的生产工艺或者防治污染、防止生态破坏的措施发生重大变动的，建设单位应当重新报批建设项目的环境影响评价文件”。故本项目属于发生重大变动，重新报批建设项目环境影响评价报告表</w:t>
            </w:r>
            <w:r>
              <w:rPr>
                <w:rFonts w:hint="eastAsia" w:ascii="宋体" w:hAnsi="宋体" w:cs="宋体"/>
                <w:color w:val="auto"/>
                <w:kern w:val="0"/>
                <w:sz w:val="24"/>
                <w:szCs w:val="24"/>
                <w:highlight w:val="none"/>
                <w:lang w:val="en-US" w:eastAsia="zh-CN" w:bidi="ar"/>
              </w:rPr>
              <w:t>。</w:t>
            </w:r>
          </w:p>
        </w:tc>
      </w:tr>
    </w:tbl>
    <w:p w14:paraId="67C1CA8C">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eastAsia" w:ascii="黑体" w:hAnsi="黑体" w:eastAsia="黑体" w:cs="黑体"/>
          <w:b w:val="0"/>
          <w:bCs w:val="0"/>
          <w:snapToGrid w:val="0"/>
          <w:color w:val="auto"/>
          <w:sz w:val="30"/>
          <w:szCs w:val="30"/>
          <w:highlight w:val="none"/>
        </w:rPr>
        <w:sectPr>
          <w:pgSz w:w="16838" w:h="11906" w:orient="landscape"/>
          <w:pgMar w:top="1587" w:right="1247" w:bottom="1247" w:left="124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95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3"/>
        <w:gridCol w:w="8736"/>
      </w:tblGrid>
      <w:tr w14:paraId="71DD1F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6" w:hRule="atLeast"/>
          <w:jc w:val="center"/>
        </w:trPr>
        <w:tc>
          <w:tcPr>
            <w:tcW w:w="783" w:type="dxa"/>
            <w:noWrap w:val="0"/>
            <w:vAlign w:val="center"/>
          </w:tcPr>
          <w:p w14:paraId="47A8D483">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4"/>
                <w:szCs w:val="24"/>
                <w:highlight w:val="none"/>
              </w:rPr>
              <w:t>建设内容</w:t>
            </w:r>
          </w:p>
        </w:tc>
        <w:tc>
          <w:tcPr>
            <w:tcW w:w="8736" w:type="dxa"/>
            <w:noWrap w:val="0"/>
            <w:vAlign w:val="top"/>
          </w:tcPr>
          <w:p w14:paraId="4D0A3F19">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Ansi="宋体"/>
                <w:color w:val="auto"/>
                <w:kern w:val="0"/>
                <w:sz w:val="24"/>
              </w:rPr>
            </w:pPr>
            <w:r>
              <w:rPr>
                <w:rFonts w:hint="eastAsia"/>
                <w:color w:val="auto"/>
                <w:sz w:val="24"/>
                <w:u w:val="none"/>
              </w:rPr>
              <w:t>本项目</w:t>
            </w:r>
            <w:r>
              <w:rPr>
                <w:rFonts w:hint="eastAsia"/>
                <w:color w:val="auto"/>
                <w:sz w:val="24"/>
                <w:u w:val="none"/>
                <w:lang w:val="en-US" w:eastAsia="zh-CN"/>
              </w:rPr>
              <w:t>为工业</w:t>
            </w:r>
            <w:r>
              <w:rPr>
                <w:rFonts w:hint="eastAsia"/>
                <w:color w:val="auto"/>
                <w:sz w:val="24"/>
                <w:u w:val="none"/>
                <w:lang w:eastAsia="zh-CN"/>
              </w:rPr>
              <w:t>气体的</w:t>
            </w:r>
            <w:r>
              <w:rPr>
                <w:rFonts w:hint="eastAsia"/>
                <w:color w:val="auto"/>
                <w:sz w:val="24"/>
                <w:u w:val="none"/>
                <w:lang w:val="en-US" w:eastAsia="zh-CN"/>
              </w:rPr>
              <w:t>生产、</w:t>
            </w:r>
            <w:r>
              <w:rPr>
                <w:rFonts w:hint="eastAsia"/>
                <w:color w:val="auto"/>
                <w:sz w:val="24"/>
                <w:u w:val="none"/>
                <w:lang w:eastAsia="zh-CN"/>
              </w:rPr>
              <w:t>存储及</w:t>
            </w:r>
            <w:r>
              <w:rPr>
                <w:rFonts w:hint="eastAsia"/>
                <w:color w:val="auto"/>
                <w:sz w:val="24"/>
                <w:u w:val="none"/>
                <w:lang w:val="en-US" w:eastAsia="zh-CN"/>
              </w:rPr>
              <w:t>充</w:t>
            </w:r>
            <w:r>
              <w:rPr>
                <w:rFonts w:hint="eastAsia"/>
                <w:color w:val="auto"/>
                <w:sz w:val="24"/>
                <w:u w:val="none"/>
                <w:lang w:eastAsia="zh-CN"/>
              </w:rPr>
              <w:t>装</w:t>
            </w:r>
            <w:r>
              <w:rPr>
                <w:rFonts w:hint="eastAsia"/>
                <w:color w:val="auto"/>
                <w:sz w:val="24"/>
                <w:u w:val="none"/>
                <w:lang w:val="en-US" w:eastAsia="zh-CN"/>
              </w:rPr>
              <w:t>销售</w:t>
            </w:r>
            <w:r>
              <w:rPr>
                <w:rFonts w:hint="eastAsia"/>
                <w:color w:val="auto"/>
                <w:sz w:val="24"/>
                <w:u w:val="none"/>
                <w:lang w:eastAsia="zh-CN"/>
              </w:rPr>
              <w:t>，涉及的工业气体种类</w:t>
            </w:r>
            <w:r>
              <w:rPr>
                <w:rFonts w:hint="eastAsia"/>
                <w:color w:val="auto"/>
                <w:sz w:val="24"/>
                <w:highlight w:val="none"/>
                <w:u w:val="none"/>
                <w:lang w:eastAsia="zh-CN"/>
              </w:rPr>
              <w:t>为</w:t>
            </w:r>
            <w:r>
              <w:rPr>
                <w:rFonts w:hint="eastAsia"/>
                <w:color w:val="auto"/>
                <w:sz w:val="24"/>
                <w:highlight w:val="none"/>
                <w:u w:val="none"/>
              </w:rPr>
              <w:t>氧气、氮气、氩气、二氧化碳，混合气体、丙烷、液化石油气、乙炔共计8类，其中，乙炔为外购瓶装成品在甲类仓库暂存后直接销售，不进行分装。</w:t>
            </w:r>
            <w:r>
              <w:rPr>
                <w:rFonts w:hint="eastAsia"/>
                <w:color w:val="auto"/>
                <w:kern w:val="2"/>
                <w:sz w:val="24"/>
                <w:szCs w:val="24"/>
                <w:u w:val="none"/>
              </w:rPr>
              <w:t>经查阅《国民经济行业分类》</w:t>
            </w:r>
            <w:r>
              <w:rPr>
                <w:rFonts w:hint="eastAsia"/>
                <w:color w:val="auto"/>
                <w:kern w:val="2"/>
                <w:sz w:val="24"/>
                <w:szCs w:val="24"/>
                <w:u w:val="none"/>
                <w:lang w:eastAsia="zh-CN"/>
              </w:rPr>
              <w:t>（</w:t>
            </w:r>
            <w:r>
              <w:rPr>
                <w:color w:val="auto"/>
                <w:kern w:val="2"/>
                <w:sz w:val="24"/>
                <w:szCs w:val="24"/>
                <w:u w:val="none"/>
              </w:rPr>
              <w:t>GB/T4754-2017</w:t>
            </w:r>
            <w:r>
              <w:rPr>
                <w:rFonts w:hint="eastAsia"/>
                <w:color w:val="auto"/>
                <w:kern w:val="2"/>
                <w:sz w:val="24"/>
                <w:szCs w:val="24"/>
                <w:u w:val="none"/>
                <w:lang w:eastAsia="zh-CN"/>
              </w:rPr>
              <w:t>）（</w:t>
            </w:r>
            <w:r>
              <w:rPr>
                <w:color w:val="auto"/>
                <w:kern w:val="2"/>
                <w:sz w:val="24"/>
                <w:szCs w:val="24"/>
                <w:u w:val="none"/>
              </w:rPr>
              <w:t>2019</w:t>
            </w:r>
            <w:r>
              <w:rPr>
                <w:rFonts w:hint="eastAsia"/>
                <w:color w:val="auto"/>
                <w:kern w:val="2"/>
                <w:sz w:val="24"/>
                <w:szCs w:val="24"/>
                <w:u w:val="none"/>
              </w:rPr>
              <w:t>年修改版</w:t>
            </w:r>
            <w:r>
              <w:rPr>
                <w:rFonts w:hint="eastAsia"/>
                <w:color w:val="auto"/>
                <w:kern w:val="2"/>
                <w:sz w:val="24"/>
                <w:szCs w:val="24"/>
                <w:u w:val="none"/>
                <w:lang w:eastAsia="zh-CN"/>
              </w:rPr>
              <w:t>）</w:t>
            </w:r>
            <w:r>
              <w:rPr>
                <w:rFonts w:hint="eastAsia"/>
                <w:color w:val="auto"/>
                <w:kern w:val="2"/>
                <w:sz w:val="24"/>
                <w:szCs w:val="24"/>
                <w:u w:val="none"/>
              </w:rPr>
              <w:t>，项目属于</w:t>
            </w:r>
            <w:bookmarkStart w:id="8" w:name="OLE_LINK29"/>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val="en-US" w:eastAsia="zh-CN"/>
              </w:rPr>
              <w:t>C2619</w:t>
            </w:r>
            <w:r>
              <w:rPr>
                <w:rFonts w:hint="default" w:ascii="Times New Roman" w:hAnsi="Times New Roman" w:cs="Times New Roman"/>
                <w:color w:val="auto"/>
                <w:sz w:val="24"/>
              </w:rPr>
              <w:t>其他基础化学原料制造</w:t>
            </w:r>
            <w:r>
              <w:rPr>
                <w:rFonts w:hint="default" w:ascii="Times New Roman" w:hAnsi="Times New Roman" w:cs="Times New Roman"/>
                <w:color w:val="auto"/>
                <w:sz w:val="24"/>
                <w:lang w:val="en-US" w:eastAsia="zh-CN"/>
              </w:rPr>
              <w:t>项目</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G5942 危险化学品仓储</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G5941油气仓储</w:t>
            </w:r>
            <w:r>
              <w:rPr>
                <w:rFonts w:hint="eastAsia" w:ascii="Times New Roman" w:hAnsi="Times New Roman" w:cs="Times New Roman"/>
                <w:color w:val="auto"/>
                <w:sz w:val="24"/>
                <w:lang w:eastAsia="zh-CN"/>
              </w:rPr>
              <w:t>”</w:t>
            </w:r>
            <w:bookmarkEnd w:id="8"/>
            <w:r>
              <w:rPr>
                <w:rFonts w:hint="eastAsia"/>
                <w:color w:val="auto"/>
                <w:kern w:val="2"/>
                <w:sz w:val="24"/>
                <w:szCs w:val="24"/>
                <w:u w:val="none"/>
              </w:rPr>
              <w:t>。</w:t>
            </w:r>
            <w:r>
              <w:rPr>
                <w:rFonts w:hAnsi="宋体"/>
                <w:color w:val="auto"/>
                <w:kern w:val="0"/>
                <w:sz w:val="24"/>
              </w:rPr>
              <w:t>根据《中华人民共和国环境保护法》《中华人民共和国环境影响评价法》《建设项目环境保护管理条例》的相关规定，本项目属于《国民经济行业分类》（</w:t>
            </w:r>
            <w:r>
              <w:rPr>
                <w:color w:val="auto"/>
                <w:kern w:val="0"/>
                <w:sz w:val="24"/>
              </w:rPr>
              <w:t>GB/T4754-2017</w:t>
            </w:r>
            <w:r>
              <w:rPr>
                <w:rFonts w:hAnsi="宋体"/>
                <w:color w:val="auto"/>
                <w:kern w:val="0"/>
                <w:sz w:val="24"/>
              </w:rPr>
              <w:t>）中的</w:t>
            </w:r>
            <w:r>
              <w:rPr>
                <w:rFonts w:hint="eastAsia"/>
                <w:color w:val="auto"/>
                <w:kern w:val="0"/>
                <w:sz w:val="24"/>
                <w:lang w:eastAsia="zh-CN"/>
              </w:rPr>
              <w:t>”</w:t>
            </w:r>
            <w:r>
              <w:rPr>
                <w:rFonts w:hAnsi="宋体"/>
                <w:color w:val="auto"/>
                <w:kern w:val="0"/>
                <w:sz w:val="24"/>
              </w:rPr>
              <w:t>其他</w:t>
            </w:r>
            <w:r>
              <w:rPr>
                <w:rFonts w:hint="eastAsia" w:hAnsi="宋体"/>
                <w:color w:val="auto"/>
                <w:kern w:val="0"/>
                <w:sz w:val="24"/>
                <w:lang w:val="en-US" w:eastAsia="zh-CN"/>
              </w:rPr>
              <w:t>基础化学原料制造</w:t>
            </w:r>
            <w:r>
              <w:rPr>
                <w:rFonts w:hAnsi="宋体"/>
                <w:color w:val="auto"/>
                <w:kern w:val="0"/>
                <w:sz w:val="24"/>
              </w:rPr>
              <w:t>（</w:t>
            </w:r>
            <w:r>
              <w:rPr>
                <w:color w:val="auto"/>
                <w:kern w:val="0"/>
                <w:sz w:val="24"/>
              </w:rPr>
              <w:t>C</w:t>
            </w:r>
            <w:r>
              <w:rPr>
                <w:rFonts w:hint="eastAsia"/>
                <w:color w:val="auto"/>
                <w:kern w:val="0"/>
                <w:sz w:val="24"/>
                <w:lang w:val="en-US" w:eastAsia="zh-CN"/>
              </w:rPr>
              <w:t>26</w:t>
            </w:r>
            <w:r>
              <w:rPr>
                <w:color w:val="auto"/>
                <w:kern w:val="0"/>
                <w:sz w:val="24"/>
              </w:rPr>
              <w:t>19</w:t>
            </w:r>
            <w:r>
              <w:rPr>
                <w:rFonts w:hAnsi="宋体"/>
                <w:color w:val="auto"/>
                <w:kern w:val="0"/>
                <w:sz w:val="24"/>
              </w:rPr>
              <w:t>）</w:t>
            </w:r>
            <w:r>
              <w:rPr>
                <w:rFonts w:hint="eastAsia"/>
                <w:color w:val="auto"/>
                <w:kern w:val="0"/>
                <w:sz w:val="24"/>
                <w:lang w:eastAsia="zh-CN"/>
              </w:rPr>
              <w:t>”</w:t>
            </w:r>
            <w:r>
              <w:rPr>
                <w:rFonts w:hint="eastAsia" w:hAnsi="宋体"/>
                <w:color w:val="auto"/>
                <w:kern w:val="0"/>
                <w:sz w:val="24"/>
                <w:lang w:eastAsia="zh-CN"/>
              </w:rPr>
              <w:t>，</w:t>
            </w:r>
            <w:r>
              <w:rPr>
                <w:rFonts w:hAnsi="宋体"/>
                <w:color w:val="auto"/>
                <w:kern w:val="0"/>
                <w:sz w:val="24"/>
              </w:rPr>
              <w:t>根据《建设项目环境影响评价分类管理名录（</w:t>
            </w:r>
            <w:r>
              <w:rPr>
                <w:color w:val="auto"/>
                <w:kern w:val="0"/>
                <w:sz w:val="24"/>
              </w:rPr>
              <w:t>2021</w:t>
            </w:r>
            <w:r>
              <w:rPr>
                <w:rFonts w:hAnsi="宋体"/>
                <w:color w:val="auto"/>
                <w:kern w:val="0"/>
                <w:sz w:val="24"/>
              </w:rPr>
              <w:t>年版）》的规定，</w:t>
            </w:r>
            <w:r>
              <w:rPr>
                <w:rFonts w:hAnsi="宋体"/>
                <w:bCs/>
                <w:color w:val="auto"/>
                <w:kern w:val="0"/>
                <w:sz w:val="24"/>
              </w:rPr>
              <w:t>本项目属</w:t>
            </w:r>
            <w:r>
              <w:rPr>
                <w:rFonts w:hint="eastAsia"/>
                <w:bCs/>
                <w:color w:val="auto"/>
                <w:kern w:val="0"/>
                <w:sz w:val="24"/>
                <w:lang w:eastAsia="zh-CN"/>
              </w:rPr>
              <w:t>”</w:t>
            </w:r>
            <w:r>
              <w:rPr>
                <w:rFonts w:hint="eastAsia"/>
                <w:bCs/>
                <w:color w:val="auto"/>
                <w:kern w:val="0"/>
                <w:sz w:val="24"/>
              </w:rPr>
              <w:t>44、基础化学原料制造（261）—单纯物理分离、物理提纯、混合、分装的（不产生废水或挥发性有机物的除外）</w:t>
            </w:r>
            <w:r>
              <w:rPr>
                <w:rFonts w:hint="eastAsia"/>
                <w:bCs/>
                <w:color w:val="auto"/>
                <w:kern w:val="0"/>
                <w:sz w:val="24"/>
                <w:lang w:eastAsia="zh-CN"/>
              </w:rPr>
              <w:t>”</w:t>
            </w:r>
            <w:r>
              <w:rPr>
                <w:bCs/>
                <w:color w:val="auto"/>
                <w:kern w:val="0"/>
                <w:sz w:val="24"/>
              </w:rPr>
              <w:t>，应编</w:t>
            </w:r>
            <w:r>
              <w:rPr>
                <w:rFonts w:hAnsi="宋体"/>
                <w:bCs/>
                <w:color w:val="auto"/>
                <w:kern w:val="0"/>
                <w:sz w:val="24"/>
              </w:rPr>
              <w:t>制环境影响报告表</w:t>
            </w:r>
            <w:r>
              <w:rPr>
                <w:rFonts w:hAnsi="宋体"/>
                <w:color w:val="auto"/>
                <w:kern w:val="0"/>
                <w:sz w:val="24"/>
              </w:rPr>
              <w:t>。为此，</w:t>
            </w:r>
            <w:r>
              <w:rPr>
                <w:rFonts w:hint="eastAsia" w:ascii="Times New Roman" w:hAnsi="Times New Roman" w:eastAsia="宋体" w:cs="Times New Roman"/>
                <w:color w:val="auto"/>
                <w:lang w:val="zh-CN" w:eastAsia="zh-CN"/>
              </w:rPr>
              <w:t>宝鸡渭河气体有限公司</w:t>
            </w:r>
            <w:r>
              <w:rPr>
                <w:rFonts w:hAnsi="宋体"/>
                <w:color w:val="auto"/>
                <w:kern w:val="0"/>
                <w:sz w:val="24"/>
              </w:rPr>
              <w:t>委托</w:t>
            </w:r>
            <w:r>
              <w:rPr>
                <w:rFonts w:hint="eastAsia" w:hAnsi="宋体"/>
                <w:color w:val="auto"/>
                <w:kern w:val="0"/>
                <w:sz w:val="24"/>
                <w:lang w:val="en-US" w:eastAsia="zh-CN"/>
              </w:rPr>
              <w:t>陕西恒绿环保科技</w:t>
            </w:r>
            <w:r>
              <w:rPr>
                <w:rFonts w:hAnsi="宋体"/>
                <w:color w:val="auto"/>
                <w:kern w:val="0"/>
                <w:sz w:val="24"/>
              </w:rPr>
              <w:t>有限公司承担该项目的环境影响评价工作（委托书</w:t>
            </w:r>
            <w:r>
              <w:rPr>
                <w:rFonts w:hint="eastAsia" w:hAnsi="宋体"/>
                <w:color w:val="auto"/>
                <w:kern w:val="0"/>
                <w:sz w:val="24"/>
                <w:lang w:val="en-US" w:eastAsia="zh-CN"/>
              </w:rPr>
              <w:t>详</w:t>
            </w:r>
            <w:r>
              <w:rPr>
                <w:rFonts w:hAnsi="宋体"/>
                <w:color w:val="auto"/>
                <w:kern w:val="0"/>
                <w:sz w:val="24"/>
              </w:rPr>
              <w:t>见附件</w:t>
            </w:r>
            <w:r>
              <w:rPr>
                <w:color w:val="auto"/>
                <w:kern w:val="0"/>
                <w:sz w:val="24"/>
              </w:rPr>
              <w:t>1</w:t>
            </w:r>
            <w:r>
              <w:rPr>
                <w:rFonts w:hAnsi="宋体"/>
                <w:color w:val="auto"/>
                <w:kern w:val="0"/>
                <w:sz w:val="24"/>
              </w:rPr>
              <w:t>）。接受委托后，评价单位立即组织技术人员进行现场调查及资料收集，在完成工程分析和环境影响因素识别的基础上，按照有关法律法规和</w:t>
            </w:r>
            <w:r>
              <w:rPr>
                <w:rFonts w:hint="eastAsia"/>
                <w:color w:val="auto"/>
                <w:kern w:val="0"/>
                <w:sz w:val="24"/>
                <w:lang w:eastAsia="zh-CN"/>
              </w:rPr>
              <w:t>《建设项目环境影响报告表编制技术指南（污染影响类）（试行）》</w:t>
            </w:r>
            <w:r>
              <w:rPr>
                <w:rFonts w:hAnsi="宋体"/>
                <w:color w:val="auto"/>
                <w:kern w:val="0"/>
                <w:sz w:val="24"/>
              </w:rPr>
              <w:t>技术规范要求，编制完成了《</w:t>
            </w:r>
            <w:r>
              <w:rPr>
                <w:rFonts w:hint="eastAsia"/>
                <w:color w:val="auto"/>
                <w:sz w:val="24"/>
                <w:lang w:bidi="zh-CN"/>
              </w:rPr>
              <w:t>工业气体建设项目（原宝鸡渭河电石公司异地搬迁项目）</w:t>
            </w:r>
            <w:r>
              <w:rPr>
                <w:rFonts w:hint="eastAsia" w:cs="Times New Roman"/>
                <w:color w:val="auto"/>
                <w:sz w:val="24"/>
                <w:szCs w:val="24"/>
                <w:highlight w:val="none"/>
                <w:lang w:val="en-US" w:eastAsia="zh-CN"/>
              </w:rPr>
              <w:t>（重大变动）</w:t>
            </w:r>
            <w:r>
              <w:rPr>
                <w:rFonts w:hAnsi="宋体"/>
                <w:color w:val="auto"/>
                <w:kern w:val="0"/>
                <w:sz w:val="24"/>
              </w:rPr>
              <w:t>环境影响报告</w:t>
            </w:r>
            <w:r>
              <w:rPr>
                <w:rFonts w:hint="eastAsia" w:hAnsi="宋体"/>
                <w:color w:val="auto"/>
                <w:kern w:val="0"/>
                <w:sz w:val="24"/>
                <w:lang w:val="en-US" w:eastAsia="zh-CN"/>
              </w:rPr>
              <w:t>表</w:t>
            </w:r>
            <w:r>
              <w:rPr>
                <w:rFonts w:hAnsi="宋体"/>
                <w:color w:val="auto"/>
                <w:kern w:val="0"/>
                <w:sz w:val="24"/>
              </w:rPr>
              <w:t>》，现上报审批。</w:t>
            </w:r>
          </w:p>
          <w:p w14:paraId="74C1E4DD">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b/>
                <w:bCs/>
                <w:color w:val="auto"/>
                <w:lang w:val="en-US" w:eastAsia="zh-CN"/>
              </w:rPr>
            </w:pPr>
            <w:r>
              <w:rPr>
                <w:rFonts w:hint="eastAsia"/>
                <w:b/>
                <w:bCs/>
                <w:color w:val="auto"/>
                <w:lang w:val="en-US" w:eastAsia="zh-CN"/>
              </w:rPr>
              <w:t>二、</w:t>
            </w:r>
            <w:r>
              <w:rPr>
                <w:rFonts w:hint="default"/>
                <w:b/>
                <w:bCs/>
                <w:color w:val="auto"/>
                <w:lang w:val="en-US" w:eastAsia="zh-CN"/>
              </w:rPr>
              <w:t>项目概况</w:t>
            </w:r>
          </w:p>
          <w:p w14:paraId="39E47715">
            <w:pPr>
              <w:bidi w:val="0"/>
              <w:rPr>
                <w:rFonts w:hint="default"/>
                <w:color w:val="auto"/>
                <w:lang w:eastAsia="zh-CN"/>
              </w:rPr>
            </w:pPr>
            <w:r>
              <w:rPr>
                <w:rFonts w:hint="default"/>
                <w:color w:val="auto"/>
                <w:lang w:eastAsia="zh-CN"/>
              </w:rPr>
              <w:t>项目名称：</w:t>
            </w:r>
            <w:r>
              <w:rPr>
                <w:rFonts w:hint="eastAsia"/>
                <w:color w:val="auto"/>
                <w:sz w:val="24"/>
                <w:lang w:bidi="zh-CN"/>
              </w:rPr>
              <w:t>工业气体建设项目（原宝鸡渭河电石公司异地搬迁项目）（重大变动）</w:t>
            </w:r>
          </w:p>
          <w:p w14:paraId="28430089">
            <w:pPr>
              <w:bidi w:val="0"/>
              <w:rPr>
                <w:rFonts w:hint="default"/>
                <w:color w:val="auto"/>
                <w:lang w:val="en-US" w:eastAsia="zh-CN"/>
              </w:rPr>
            </w:pPr>
            <w:r>
              <w:rPr>
                <w:rFonts w:hint="default"/>
                <w:color w:val="auto"/>
              </w:rPr>
              <w:t>建设性质：</w:t>
            </w:r>
            <w:r>
              <w:rPr>
                <w:rFonts w:hint="eastAsia"/>
                <w:color w:val="auto"/>
                <w:lang w:val="en-US" w:eastAsia="zh-CN"/>
              </w:rPr>
              <w:t>迁</w:t>
            </w:r>
            <w:r>
              <w:rPr>
                <w:rFonts w:hint="default"/>
                <w:color w:val="auto"/>
                <w:lang w:val="en-US" w:eastAsia="zh-CN"/>
              </w:rPr>
              <w:t>建</w:t>
            </w:r>
          </w:p>
          <w:p w14:paraId="60C82143">
            <w:pPr>
              <w:bidi w:val="0"/>
              <w:rPr>
                <w:rFonts w:hint="default"/>
                <w:color w:val="auto"/>
                <w:lang w:val="en-US" w:eastAsia="zh-CN"/>
              </w:rPr>
            </w:pPr>
            <w:r>
              <w:rPr>
                <w:rFonts w:hint="default"/>
                <w:color w:val="auto"/>
                <w:lang w:eastAsia="zh-CN"/>
              </w:rPr>
              <w:t>建设单位：</w:t>
            </w:r>
            <w:r>
              <w:rPr>
                <w:rFonts w:hint="eastAsia"/>
                <w:color w:val="auto"/>
                <w:lang w:val="en-US" w:eastAsia="zh-CN"/>
              </w:rPr>
              <w:t>宝鸡渭河气体有限公司</w:t>
            </w:r>
          </w:p>
          <w:p w14:paraId="7D479A83">
            <w:pPr>
              <w:bidi w:val="0"/>
              <w:rPr>
                <w:rFonts w:hint="default"/>
                <w:color w:val="auto"/>
                <w:lang w:val="en-US"/>
              </w:rPr>
            </w:pPr>
            <w:r>
              <w:rPr>
                <w:rFonts w:hint="default"/>
                <w:color w:val="auto"/>
              </w:rPr>
              <w:t>建设地点：</w:t>
            </w:r>
            <w:r>
              <w:rPr>
                <w:rFonts w:hint="eastAsia" w:ascii="Times New Roman" w:hAnsi="Times New Roman" w:cs="Times New Roman"/>
                <w:color w:val="auto"/>
                <w:sz w:val="24"/>
                <w:szCs w:val="24"/>
                <w:highlight w:val="none"/>
                <w:u w:val="none"/>
                <w:lang w:eastAsia="zh-CN"/>
              </w:rPr>
              <w:t>陕西省宝鸡市凤翔高新区长青工业园</w:t>
            </w:r>
          </w:p>
          <w:p w14:paraId="127653C9">
            <w:pPr>
              <w:bidi w:val="0"/>
              <w:rPr>
                <w:rFonts w:hint="default" w:eastAsia="宋体"/>
                <w:color w:val="auto"/>
                <w:lang w:val="en-US" w:eastAsia="zh-CN"/>
              </w:rPr>
            </w:pPr>
            <w:r>
              <w:rPr>
                <w:rFonts w:hint="default"/>
                <w:color w:val="auto"/>
              </w:rPr>
              <w:t>建设内容</w:t>
            </w:r>
            <w:r>
              <w:rPr>
                <w:rFonts w:hint="default"/>
                <w:color w:val="auto"/>
                <w:lang w:eastAsia="zh-CN"/>
              </w:rPr>
              <w:t>及规模</w:t>
            </w:r>
            <w:r>
              <w:rPr>
                <w:rFonts w:hint="default"/>
                <w:color w:val="auto"/>
              </w:rPr>
              <w:t>：</w:t>
            </w:r>
            <w:r>
              <w:rPr>
                <w:rFonts w:hint="eastAsia"/>
                <w:color w:val="auto"/>
                <w:sz w:val="24"/>
                <w:lang w:val="en-US" w:bidi="zh-CN"/>
              </w:rPr>
              <w:t>建设1套547T/D全液化空分装置，主要设备：空气过滤器、空压机、纯化系统、膨胀机、分馏塔；建设工业氧、医用氧充装间，氮、氩、二氧化碳、混合气体充装间，丙烷、液化石油气充装间，充装线共8条，年充装420万瓶；2台3000m³、2台30m³、6台50m³立式储槽，5台50m³卧式储罐，配套建设综合楼12</w:t>
            </w:r>
            <w:r>
              <w:rPr>
                <w:rFonts w:hint="default" w:ascii="Times New Roman" w:hAnsi="Times New Roman" w:cs="Times New Roman"/>
                <w:color w:val="auto"/>
                <w:sz w:val="24"/>
                <w:lang w:val="en-US" w:bidi="zh-CN"/>
              </w:rPr>
              <w:t>00㎡、厂房、甲丁类仓库。消防水池及泵房，事故应急兼雨水收集池共1</w:t>
            </w:r>
            <w:r>
              <w:rPr>
                <w:rFonts w:hint="eastAsia" w:cs="Times New Roman"/>
                <w:color w:val="auto"/>
                <w:sz w:val="24"/>
                <w:lang w:val="en-US" w:bidi="zh-CN"/>
              </w:rPr>
              <w:t>2</w:t>
            </w:r>
            <w:r>
              <w:rPr>
                <w:rFonts w:hint="default" w:ascii="Times New Roman" w:hAnsi="Times New Roman" w:cs="Times New Roman"/>
                <w:color w:val="auto"/>
                <w:sz w:val="24"/>
                <w:lang w:val="en-US" w:bidi="zh-CN"/>
              </w:rPr>
              <w:t>000m³及附属</w:t>
            </w:r>
            <w:r>
              <w:rPr>
                <w:rFonts w:hint="eastAsia"/>
                <w:color w:val="auto"/>
                <w:sz w:val="24"/>
                <w:lang w:val="en-US" w:bidi="zh-CN"/>
              </w:rPr>
              <w:t>设施。</w:t>
            </w:r>
          </w:p>
          <w:p w14:paraId="7B4FC58C">
            <w:pPr>
              <w:bidi w:val="0"/>
              <w:rPr>
                <w:rFonts w:hint="default"/>
                <w:color w:val="auto"/>
              </w:rPr>
            </w:pPr>
            <w:r>
              <w:rPr>
                <w:rFonts w:hint="default"/>
                <w:color w:val="auto"/>
              </w:rPr>
              <w:t>地理位置与四</w:t>
            </w:r>
            <w:r>
              <w:rPr>
                <w:rFonts w:hint="default"/>
                <w:color w:val="auto"/>
                <w:highlight w:val="none"/>
              </w:rPr>
              <w:t>邻关系</w:t>
            </w:r>
            <w:r>
              <w:rPr>
                <w:rFonts w:hint="default"/>
                <w:color w:val="auto"/>
                <w:highlight w:val="none"/>
                <w:lang w:eastAsia="zh-CN"/>
              </w:rPr>
              <w:t>：</w:t>
            </w:r>
            <w:r>
              <w:rPr>
                <w:rFonts w:hint="default" w:ascii="Times New Roman" w:hAnsi="Times New Roman" w:eastAsia="宋体" w:cs="Times New Roman"/>
                <w:color w:val="auto"/>
                <w:spacing w:val="0"/>
                <w:sz w:val="24"/>
                <w:highlight w:val="none"/>
              </w:rPr>
              <w:t>本项目位于陕西省宝鸡市凤翔县高新区长青工业园，距凤翔县城14km，项目所在厂区东面为耕地，西面为陕西秦景新业有限公司，南面为石头坡村耕地，北面为陕西橘子实业有限公司。项目地理位置图</w:t>
            </w:r>
            <w:r>
              <w:rPr>
                <w:rFonts w:hint="eastAsia" w:cs="Times New Roman"/>
                <w:color w:val="auto"/>
                <w:spacing w:val="0"/>
                <w:sz w:val="24"/>
                <w:highlight w:val="none"/>
                <w:lang w:val="en-US" w:eastAsia="zh-CN"/>
              </w:rPr>
              <w:t>详见附</w:t>
            </w:r>
            <w:r>
              <w:rPr>
                <w:rFonts w:hint="default" w:ascii="Times New Roman" w:hAnsi="Times New Roman" w:eastAsia="宋体" w:cs="Times New Roman"/>
                <w:color w:val="auto"/>
                <w:spacing w:val="0"/>
                <w:sz w:val="24"/>
                <w:highlight w:val="none"/>
              </w:rPr>
              <w:t>图1，四邻关系见</w:t>
            </w:r>
            <w:r>
              <w:rPr>
                <w:rFonts w:hint="eastAsia" w:cs="Times New Roman"/>
                <w:color w:val="auto"/>
                <w:spacing w:val="0"/>
                <w:sz w:val="24"/>
                <w:highlight w:val="none"/>
                <w:lang w:val="en-US" w:eastAsia="zh-CN"/>
              </w:rPr>
              <w:t>详附</w:t>
            </w:r>
            <w:r>
              <w:rPr>
                <w:rFonts w:hint="default" w:ascii="Times New Roman" w:hAnsi="Times New Roman" w:eastAsia="宋体" w:cs="Times New Roman"/>
                <w:color w:val="auto"/>
                <w:spacing w:val="0"/>
                <w:sz w:val="24"/>
                <w:highlight w:val="none"/>
              </w:rPr>
              <w:t>图2。</w:t>
            </w:r>
          </w:p>
          <w:p w14:paraId="5D64420E">
            <w:pPr>
              <w:pStyle w:val="85"/>
              <w:bidi w:val="0"/>
              <w:rPr>
                <w:rFonts w:hint="default"/>
                <w:color w:val="auto"/>
              </w:rPr>
            </w:pPr>
            <w:r>
              <w:rPr>
                <w:rFonts w:hint="default"/>
                <w:color w:val="auto"/>
                <w:sz w:val="21"/>
                <w:szCs w:val="21"/>
              </w:rPr>
              <w:t>表</w:t>
            </w:r>
            <w:r>
              <w:rPr>
                <w:rFonts w:hint="default"/>
                <w:color w:val="auto"/>
                <w:sz w:val="21"/>
                <w:szCs w:val="21"/>
                <w:lang w:val="en-US" w:eastAsia="zh-CN"/>
              </w:rPr>
              <w:t>2-</w:t>
            </w:r>
            <w:r>
              <w:rPr>
                <w:rFonts w:hint="eastAsia"/>
                <w:color w:val="auto"/>
                <w:sz w:val="21"/>
                <w:szCs w:val="21"/>
                <w:lang w:val="en-US" w:eastAsia="zh-CN"/>
              </w:rPr>
              <w:t>3</w:t>
            </w:r>
            <w:r>
              <w:rPr>
                <w:rFonts w:hint="default"/>
                <w:color w:val="auto"/>
                <w:sz w:val="21"/>
                <w:szCs w:val="21"/>
              </w:rPr>
              <w:t xml:space="preserve">  </w:t>
            </w:r>
            <w:r>
              <w:rPr>
                <w:rFonts w:hint="default"/>
                <w:color w:val="auto"/>
                <w:sz w:val="21"/>
                <w:szCs w:val="21"/>
                <w:lang w:val="en-US" w:eastAsia="zh-CN"/>
              </w:rPr>
              <w:t xml:space="preserve"> 项目</w:t>
            </w:r>
            <w:r>
              <w:rPr>
                <w:rFonts w:hint="default"/>
                <w:color w:val="auto"/>
                <w:sz w:val="21"/>
                <w:szCs w:val="21"/>
              </w:rPr>
              <w:t>工程组成一览表</w:t>
            </w:r>
          </w:p>
          <w:tbl>
            <w:tblPr>
              <w:tblStyle w:val="30"/>
              <w:tblW w:w="85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520"/>
              <w:gridCol w:w="450"/>
              <w:gridCol w:w="890"/>
              <w:gridCol w:w="6080"/>
              <w:gridCol w:w="611"/>
            </w:tblGrid>
            <w:tr w14:paraId="5358A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1087" w:type="pct"/>
                  <w:gridSpan w:val="3"/>
                  <w:noWrap w:val="0"/>
                  <w:vAlign w:val="center"/>
                </w:tcPr>
                <w:p w14:paraId="3858E52F">
                  <w:pPr>
                    <w:pStyle w:val="52"/>
                    <w:bidi w:val="0"/>
                    <w:rPr>
                      <w:rFonts w:hint="default"/>
                      <w:b/>
                      <w:bCs w:val="0"/>
                      <w:color w:val="auto"/>
                    </w:rPr>
                  </w:pPr>
                  <w:r>
                    <w:rPr>
                      <w:rFonts w:hint="default"/>
                      <w:b/>
                      <w:bCs w:val="0"/>
                      <w:color w:val="auto"/>
                    </w:rPr>
                    <w:t>项目组成</w:t>
                  </w:r>
                </w:p>
              </w:tc>
              <w:tc>
                <w:tcPr>
                  <w:tcW w:w="3555" w:type="pct"/>
                  <w:noWrap w:val="0"/>
                  <w:vAlign w:val="center"/>
                </w:tcPr>
                <w:p w14:paraId="75B38FA3">
                  <w:pPr>
                    <w:pStyle w:val="52"/>
                    <w:bidi w:val="0"/>
                    <w:rPr>
                      <w:rFonts w:hint="default"/>
                      <w:b/>
                      <w:bCs w:val="0"/>
                      <w:color w:val="auto"/>
                    </w:rPr>
                  </w:pPr>
                  <w:r>
                    <w:rPr>
                      <w:rFonts w:hint="default"/>
                      <w:b/>
                      <w:bCs w:val="0"/>
                      <w:color w:val="auto"/>
                    </w:rPr>
                    <w:t>建设内容</w:t>
                  </w:r>
                </w:p>
              </w:tc>
              <w:tc>
                <w:tcPr>
                  <w:tcW w:w="357" w:type="pct"/>
                  <w:noWrap w:val="0"/>
                  <w:vAlign w:val="center"/>
                </w:tcPr>
                <w:p w14:paraId="7DD289F1">
                  <w:pPr>
                    <w:pStyle w:val="52"/>
                    <w:bidi w:val="0"/>
                    <w:rPr>
                      <w:rFonts w:hint="eastAsia"/>
                      <w:b/>
                      <w:bCs w:val="0"/>
                      <w:color w:val="auto"/>
                      <w:lang w:val="en-US" w:eastAsia="zh-CN"/>
                    </w:rPr>
                  </w:pPr>
                  <w:r>
                    <w:rPr>
                      <w:rFonts w:hint="eastAsia"/>
                      <w:b/>
                      <w:bCs w:val="0"/>
                      <w:color w:val="auto"/>
                      <w:lang w:val="en-US" w:eastAsia="zh-CN"/>
                    </w:rPr>
                    <w:t>备注</w:t>
                  </w:r>
                </w:p>
              </w:tc>
            </w:tr>
            <w:tr w14:paraId="089B7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82" w:hRule="atLeast"/>
                <w:jc w:val="center"/>
              </w:trPr>
              <w:tc>
                <w:tcPr>
                  <w:tcW w:w="304" w:type="pct"/>
                  <w:vMerge w:val="restart"/>
                  <w:noWrap w:val="0"/>
                  <w:vAlign w:val="center"/>
                </w:tcPr>
                <w:p w14:paraId="12BF5249">
                  <w:pPr>
                    <w:pStyle w:val="52"/>
                    <w:bidi w:val="0"/>
                    <w:rPr>
                      <w:rFonts w:hint="default"/>
                      <w:color w:val="auto"/>
                    </w:rPr>
                  </w:pPr>
                  <w:r>
                    <w:rPr>
                      <w:rFonts w:hint="default"/>
                      <w:color w:val="auto"/>
                    </w:rPr>
                    <w:t>主体工程</w:t>
                  </w:r>
                </w:p>
              </w:tc>
              <w:tc>
                <w:tcPr>
                  <w:tcW w:w="783" w:type="pct"/>
                  <w:gridSpan w:val="2"/>
                  <w:noWrap w:val="0"/>
                  <w:vAlign w:val="center"/>
                </w:tcPr>
                <w:p w14:paraId="5D03FCA9">
                  <w:pPr>
                    <w:pStyle w:val="52"/>
                    <w:bidi w:val="0"/>
                    <w:ind w:left="-24" w:leftChars="-10" w:right="-24" w:rightChars="-10" w:firstLine="0" w:firstLineChars="0"/>
                    <w:rPr>
                      <w:rFonts w:hint="default" w:ascii="Times New Roman" w:hAnsi="Times New Roman" w:eastAsia="宋体"/>
                      <w:bCs/>
                      <w:color w:val="auto"/>
                      <w:kern w:val="0"/>
                      <w:sz w:val="21"/>
                      <w:szCs w:val="21"/>
                      <w:highlight w:val="none"/>
                      <w:lang w:val="en-US" w:eastAsia="zh-CN" w:bidi="ar-SA"/>
                    </w:rPr>
                  </w:pPr>
                  <w:r>
                    <w:rPr>
                      <w:rFonts w:hint="eastAsia"/>
                      <w:color w:val="auto"/>
                      <w:highlight w:val="none"/>
                      <w:lang w:val="en-US" w:eastAsia="zh-CN"/>
                    </w:rPr>
                    <w:t>空分</w:t>
                  </w:r>
                  <w:r>
                    <w:rPr>
                      <w:rFonts w:hint="eastAsia"/>
                      <w:bCs/>
                      <w:color w:val="auto"/>
                      <w:kern w:val="0"/>
                      <w:sz w:val="21"/>
                      <w:szCs w:val="21"/>
                      <w:highlight w:val="none"/>
                      <w:lang w:val="en-US" w:eastAsia="zh-CN" w:bidi="ar-SA"/>
                    </w:rPr>
                    <w:t>生产厂房</w:t>
                  </w:r>
                </w:p>
              </w:tc>
              <w:tc>
                <w:tcPr>
                  <w:tcW w:w="3555" w:type="pct"/>
                  <w:noWrap w:val="0"/>
                  <w:vAlign w:val="center"/>
                </w:tcPr>
                <w:p w14:paraId="43E19083">
                  <w:pPr>
                    <w:pStyle w:val="52"/>
                    <w:bidi w:val="0"/>
                    <w:ind w:left="-24" w:leftChars="-10" w:right="-24" w:rightChars="-10" w:firstLine="0" w:firstLineChars="0"/>
                    <w:jc w:val="both"/>
                    <w:rPr>
                      <w:rFonts w:hint="default" w:ascii="Times New Roman" w:hAnsi="Times New Roman" w:eastAsia="宋体"/>
                      <w:bCs/>
                      <w:color w:val="auto"/>
                      <w:kern w:val="0"/>
                      <w:sz w:val="21"/>
                      <w:szCs w:val="21"/>
                      <w:highlight w:val="none"/>
                      <w:lang w:val="en-US" w:eastAsia="zh-CN" w:bidi="ar-SA"/>
                    </w:rPr>
                  </w:pPr>
                  <w:r>
                    <w:rPr>
                      <w:rFonts w:hint="eastAsia"/>
                      <w:color w:val="auto"/>
                      <w:highlight w:val="none"/>
                      <w:lang w:val="en-US" w:eastAsia="zh-CN"/>
                    </w:rPr>
                    <w:t>位于厂区东南侧，一层钢筋混凝土框架结构，全封闭厂房，占地面积1805.5m</w:t>
                  </w:r>
                  <w:r>
                    <w:rPr>
                      <w:rFonts w:hint="eastAsia"/>
                      <w:color w:val="auto"/>
                      <w:highlight w:val="none"/>
                      <w:vertAlign w:val="superscript"/>
                      <w:lang w:val="en-US" w:eastAsia="zh-CN"/>
                    </w:rPr>
                    <w:t>2</w:t>
                  </w:r>
                  <w:r>
                    <w:rPr>
                      <w:rFonts w:hint="eastAsia"/>
                      <w:color w:val="auto"/>
                      <w:highlight w:val="none"/>
                      <w:lang w:val="en-US" w:eastAsia="zh-CN"/>
                    </w:rPr>
                    <w:t>，建筑高度14.4m；设一套制氧能力为547T/D的全液化空分装置，包括自洁式空气过滤器、空气压缩系统、空气预冷系统、空气纯化系统、空气增压膨胀系统、分馏塔及板式换热器系统、氮气压缩系统、液体后备贮存气化系统及相应的仪控系统和电控系统。</w:t>
                  </w:r>
                </w:p>
              </w:tc>
              <w:tc>
                <w:tcPr>
                  <w:tcW w:w="357" w:type="pct"/>
                  <w:vMerge w:val="restart"/>
                  <w:noWrap w:val="0"/>
                  <w:vAlign w:val="center"/>
                </w:tcPr>
                <w:p w14:paraId="7830D686">
                  <w:pPr>
                    <w:pStyle w:val="52"/>
                    <w:bidi w:val="0"/>
                    <w:rPr>
                      <w:rFonts w:hint="default"/>
                      <w:color w:val="auto"/>
                      <w:lang w:val="en-US" w:eastAsia="zh-CN"/>
                    </w:rPr>
                  </w:pPr>
                  <w:r>
                    <w:rPr>
                      <w:rFonts w:hint="eastAsia"/>
                      <w:color w:val="auto"/>
                      <w:lang w:val="en-US" w:eastAsia="zh-CN"/>
                    </w:rPr>
                    <w:t>新建</w:t>
                  </w:r>
                </w:p>
              </w:tc>
            </w:tr>
            <w:tr w14:paraId="77786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04" w:type="pct"/>
                  <w:vMerge w:val="continue"/>
                  <w:noWrap w:val="0"/>
                  <w:vAlign w:val="center"/>
                </w:tcPr>
                <w:p w14:paraId="67F3C881">
                  <w:pPr>
                    <w:pStyle w:val="52"/>
                    <w:bidi w:val="0"/>
                    <w:rPr>
                      <w:rFonts w:hint="default"/>
                      <w:color w:val="auto"/>
                    </w:rPr>
                  </w:pPr>
                </w:p>
              </w:tc>
              <w:tc>
                <w:tcPr>
                  <w:tcW w:w="783" w:type="pct"/>
                  <w:gridSpan w:val="2"/>
                  <w:noWrap w:val="0"/>
                  <w:vAlign w:val="center"/>
                </w:tcPr>
                <w:p w14:paraId="0E29F373">
                  <w:pPr>
                    <w:pStyle w:val="52"/>
                    <w:bidi w:val="0"/>
                    <w:ind w:left="-24" w:leftChars="-10" w:right="-24" w:rightChars="-10" w:firstLine="0" w:firstLineChars="0"/>
                    <w:rPr>
                      <w:rFonts w:hint="eastAsia"/>
                      <w:color w:val="auto"/>
                      <w:highlight w:val="none"/>
                      <w:lang w:val="en-US" w:eastAsia="zh-CN"/>
                    </w:rPr>
                  </w:pPr>
                  <w:r>
                    <w:rPr>
                      <w:rFonts w:hint="eastAsia"/>
                      <w:color w:val="auto"/>
                      <w:highlight w:val="none"/>
                      <w:lang w:val="en-US" w:eastAsia="zh-CN"/>
                    </w:rPr>
                    <w:t>氧气充装站（工业氧、医用氧充装间）</w:t>
                  </w:r>
                </w:p>
              </w:tc>
              <w:tc>
                <w:tcPr>
                  <w:tcW w:w="3555" w:type="pct"/>
                  <w:noWrap w:val="0"/>
                  <w:vAlign w:val="center"/>
                </w:tcPr>
                <w:p w14:paraId="120460DB">
                  <w:pPr>
                    <w:pStyle w:val="52"/>
                    <w:bidi w:val="0"/>
                    <w:ind w:left="-24" w:leftChars="-10" w:right="-24" w:rightChars="-10" w:firstLine="0" w:firstLineChars="0"/>
                    <w:jc w:val="both"/>
                    <w:rPr>
                      <w:rFonts w:hint="eastAsia"/>
                      <w:color w:val="auto"/>
                      <w:highlight w:val="none"/>
                      <w:lang w:val="en-US" w:eastAsia="zh-CN"/>
                    </w:rPr>
                  </w:pPr>
                  <w:r>
                    <w:rPr>
                      <w:rFonts w:hint="eastAsia"/>
                      <w:color w:val="auto"/>
                      <w:highlight w:val="none"/>
                      <w:lang w:val="en-US" w:eastAsia="zh-CN"/>
                    </w:rPr>
                    <w:t>1F，占地面积为973.50m²，建筑面积722.7m²，火灾危险类别乙类，结构形式为钢结构，耐火等级为二级。设置充装间和辅助设备区，充装间布置工业氧气充装线、医用氧气充装线各一条，辅助设备区地上露天设置1个3000m³液氧储罐、1个50m³工业液氧储罐，1个30m³医用液氧储罐和工业液氧杜瓦罐充装区域、1个30m³高纯氧储罐。</w:t>
                  </w:r>
                </w:p>
              </w:tc>
              <w:tc>
                <w:tcPr>
                  <w:tcW w:w="357" w:type="pct"/>
                  <w:vMerge w:val="continue"/>
                  <w:noWrap w:val="0"/>
                  <w:vAlign w:val="center"/>
                </w:tcPr>
                <w:p w14:paraId="0E3706B6">
                  <w:pPr>
                    <w:pStyle w:val="52"/>
                    <w:bidi w:val="0"/>
                    <w:rPr>
                      <w:rFonts w:hint="eastAsia"/>
                      <w:color w:val="auto"/>
                      <w:lang w:val="en-US" w:eastAsia="zh-CN"/>
                    </w:rPr>
                  </w:pPr>
                </w:p>
              </w:tc>
            </w:tr>
            <w:tr w14:paraId="7022A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04" w:type="pct"/>
                  <w:vMerge w:val="continue"/>
                  <w:noWrap w:val="0"/>
                  <w:vAlign w:val="center"/>
                </w:tcPr>
                <w:p w14:paraId="105CBCFD">
                  <w:pPr>
                    <w:pStyle w:val="52"/>
                    <w:bidi w:val="0"/>
                    <w:rPr>
                      <w:rFonts w:hint="default"/>
                      <w:color w:val="auto"/>
                    </w:rPr>
                  </w:pPr>
                </w:p>
              </w:tc>
              <w:tc>
                <w:tcPr>
                  <w:tcW w:w="783" w:type="pct"/>
                  <w:gridSpan w:val="2"/>
                  <w:noWrap w:val="0"/>
                  <w:vAlign w:val="center"/>
                </w:tcPr>
                <w:p w14:paraId="74266204">
                  <w:pPr>
                    <w:pStyle w:val="52"/>
                    <w:bidi w:val="0"/>
                    <w:ind w:left="-24" w:leftChars="-10" w:right="-24" w:rightChars="-10" w:firstLine="0" w:firstLineChars="0"/>
                    <w:rPr>
                      <w:rFonts w:hint="eastAsia"/>
                      <w:color w:val="auto"/>
                      <w:highlight w:val="none"/>
                      <w:lang w:val="en-US" w:eastAsia="zh-CN"/>
                    </w:rPr>
                  </w:pPr>
                  <w:r>
                    <w:rPr>
                      <w:rFonts w:hint="eastAsia"/>
                      <w:color w:val="auto"/>
                      <w:highlight w:val="none"/>
                      <w:lang w:val="en-US" w:eastAsia="zh-CN"/>
                    </w:rPr>
                    <w:t>惰性气体充</w:t>
                  </w:r>
                </w:p>
                <w:p w14:paraId="19DF0B1F">
                  <w:pPr>
                    <w:pStyle w:val="52"/>
                    <w:bidi w:val="0"/>
                    <w:ind w:left="-24" w:leftChars="-10" w:right="-24" w:rightChars="-10" w:firstLine="0" w:firstLineChars="0"/>
                    <w:rPr>
                      <w:rFonts w:hint="eastAsia"/>
                      <w:color w:val="auto"/>
                      <w:highlight w:val="none"/>
                      <w:lang w:val="en-US" w:eastAsia="zh-CN"/>
                    </w:rPr>
                  </w:pPr>
                  <w:r>
                    <w:rPr>
                      <w:rFonts w:hint="eastAsia"/>
                      <w:color w:val="auto"/>
                      <w:highlight w:val="none"/>
                      <w:lang w:val="en-US" w:eastAsia="zh-CN"/>
                    </w:rPr>
                    <w:t>装站（氮、氩、二氧化碳、混合气体充装间）</w:t>
                  </w:r>
                </w:p>
              </w:tc>
              <w:tc>
                <w:tcPr>
                  <w:tcW w:w="3555" w:type="pct"/>
                  <w:noWrap w:val="0"/>
                  <w:vAlign w:val="center"/>
                </w:tcPr>
                <w:p w14:paraId="5B1A75F2">
                  <w:pPr>
                    <w:pStyle w:val="52"/>
                    <w:bidi w:val="0"/>
                    <w:ind w:left="-24" w:leftChars="-10" w:right="-24" w:rightChars="-10" w:firstLine="0" w:firstLineChars="0"/>
                    <w:jc w:val="both"/>
                    <w:rPr>
                      <w:rFonts w:hint="eastAsia"/>
                      <w:color w:val="auto"/>
                      <w:highlight w:val="none"/>
                      <w:lang w:val="en-US" w:eastAsia="zh-CN"/>
                    </w:rPr>
                  </w:pPr>
                  <w:r>
                    <w:rPr>
                      <w:rFonts w:hint="eastAsia"/>
                      <w:color w:val="auto"/>
                      <w:highlight w:val="none"/>
                      <w:lang w:val="en-US" w:eastAsia="zh-CN"/>
                    </w:rPr>
                    <w:t>1F，占地面积1415m²，建筑面积1023.00m²，火灾危险类别为戊类，</w:t>
                  </w:r>
                </w:p>
                <w:p w14:paraId="39982188">
                  <w:pPr>
                    <w:pStyle w:val="52"/>
                    <w:bidi w:val="0"/>
                    <w:ind w:left="-24" w:leftChars="-10" w:right="-24" w:rightChars="-10" w:firstLine="0" w:firstLineChars="0"/>
                    <w:jc w:val="both"/>
                    <w:rPr>
                      <w:rFonts w:hint="eastAsia"/>
                      <w:color w:val="auto"/>
                      <w:highlight w:val="none"/>
                      <w:lang w:val="en-US" w:eastAsia="zh-CN"/>
                    </w:rPr>
                  </w:pPr>
                  <w:r>
                    <w:rPr>
                      <w:rFonts w:hint="eastAsia"/>
                      <w:color w:val="auto"/>
                      <w:highlight w:val="none"/>
                      <w:lang w:val="en-US" w:eastAsia="zh-CN"/>
                    </w:rPr>
                    <w:t>结构形式为钢结构，耐火等级为二级。设置充装间和辅助设备区，充装间布置氮气充装线、氩气充装线、二氧化碳充装线、混合气充装线各一条，辅助设备区地上露天设置液氮杜瓦罐充装区域、1个3000m³液氮储罐、1个50m³液氮储罐，1个50m³液态二氧化碳储罐、3个50m³液氩储罐和液氩杜瓦罐充装区域。</w:t>
                  </w:r>
                </w:p>
              </w:tc>
              <w:tc>
                <w:tcPr>
                  <w:tcW w:w="357" w:type="pct"/>
                  <w:vMerge w:val="continue"/>
                  <w:noWrap w:val="0"/>
                  <w:vAlign w:val="center"/>
                </w:tcPr>
                <w:p w14:paraId="0D784B03">
                  <w:pPr>
                    <w:pStyle w:val="52"/>
                    <w:bidi w:val="0"/>
                    <w:rPr>
                      <w:rFonts w:hint="eastAsia"/>
                      <w:color w:val="auto"/>
                      <w:lang w:val="en-US" w:eastAsia="zh-CN"/>
                    </w:rPr>
                  </w:pPr>
                </w:p>
              </w:tc>
            </w:tr>
            <w:tr w14:paraId="7024D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04" w:type="pct"/>
                  <w:vMerge w:val="continue"/>
                  <w:noWrap w:val="0"/>
                  <w:vAlign w:val="center"/>
                </w:tcPr>
                <w:p w14:paraId="4896A560">
                  <w:pPr>
                    <w:pStyle w:val="52"/>
                    <w:bidi w:val="0"/>
                    <w:rPr>
                      <w:rFonts w:hint="default"/>
                      <w:color w:val="auto"/>
                    </w:rPr>
                  </w:pPr>
                </w:p>
              </w:tc>
              <w:tc>
                <w:tcPr>
                  <w:tcW w:w="783" w:type="pct"/>
                  <w:gridSpan w:val="2"/>
                  <w:noWrap w:val="0"/>
                  <w:vAlign w:val="center"/>
                </w:tcPr>
                <w:p w14:paraId="4D7A18FD">
                  <w:pPr>
                    <w:pStyle w:val="52"/>
                    <w:bidi w:val="0"/>
                    <w:ind w:left="-24" w:leftChars="-10" w:right="-24" w:rightChars="-10" w:firstLine="0" w:firstLineChars="0"/>
                    <w:rPr>
                      <w:rFonts w:hint="eastAsia"/>
                      <w:color w:val="auto"/>
                      <w:highlight w:val="none"/>
                      <w:lang w:val="en-US" w:eastAsia="zh-CN"/>
                    </w:rPr>
                  </w:pPr>
                  <w:r>
                    <w:rPr>
                      <w:rFonts w:hint="eastAsia"/>
                      <w:color w:val="auto"/>
                      <w:highlight w:val="none"/>
                      <w:lang w:val="en-US" w:eastAsia="zh-CN"/>
                    </w:rPr>
                    <w:t>工业丙烷、民</w:t>
                  </w:r>
                </w:p>
                <w:p w14:paraId="1D987540">
                  <w:pPr>
                    <w:pStyle w:val="52"/>
                    <w:bidi w:val="0"/>
                    <w:ind w:left="-24" w:leftChars="-10" w:right="-24" w:rightChars="-10" w:firstLine="0" w:firstLineChars="0"/>
                    <w:rPr>
                      <w:rFonts w:hint="eastAsia"/>
                      <w:color w:val="auto"/>
                      <w:highlight w:val="none"/>
                      <w:lang w:val="en-US" w:eastAsia="zh-CN"/>
                    </w:rPr>
                  </w:pPr>
                  <w:r>
                    <w:rPr>
                      <w:rFonts w:hint="eastAsia"/>
                      <w:color w:val="auto"/>
                      <w:highlight w:val="none"/>
                      <w:lang w:val="en-US" w:eastAsia="zh-CN"/>
                    </w:rPr>
                    <w:t>用液化石油</w:t>
                  </w:r>
                </w:p>
                <w:p w14:paraId="68FE48C6">
                  <w:pPr>
                    <w:pStyle w:val="52"/>
                    <w:bidi w:val="0"/>
                    <w:ind w:left="-24" w:leftChars="-10" w:right="-24" w:rightChars="-10" w:firstLine="0" w:firstLineChars="0"/>
                    <w:rPr>
                      <w:rFonts w:hint="eastAsia"/>
                      <w:color w:val="auto"/>
                      <w:highlight w:val="none"/>
                      <w:lang w:val="en-US" w:eastAsia="zh-CN"/>
                    </w:rPr>
                  </w:pPr>
                  <w:r>
                    <w:rPr>
                      <w:rFonts w:hint="eastAsia"/>
                      <w:color w:val="auto"/>
                      <w:highlight w:val="none"/>
                      <w:lang w:val="en-US" w:eastAsia="zh-CN"/>
                    </w:rPr>
                    <w:t>气充装站（丙烷、液化石油气充装间）</w:t>
                  </w:r>
                </w:p>
              </w:tc>
              <w:tc>
                <w:tcPr>
                  <w:tcW w:w="3555" w:type="pct"/>
                  <w:noWrap w:val="0"/>
                  <w:vAlign w:val="center"/>
                </w:tcPr>
                <w:p w14:paraId="52D94D46">
                  <w:pPr>
                    <w:pStyle w:val="52"/>
                    <w:bidi w:val="0"/>
                    <w:ind w:left="-24" w:leftChars="-10" w:right="-24" w:rightChars="-10" w:firstLine="0" w:firstLineChars="0"/>
                    <w:jc w:val="both"/>
                    <w:rPr>
                      <w:rFonts w:hint="eastAsia"/>
                      <w:color w:val="auto"/>
                      <w:highlight w:val="none"/>
                      <w:lang w:val="en-US" w:eastAsia="zh-CN"/>
                    </w:rPr>
                  </w:pPr>
                  <w:r>
                    <w:rPr>
                      <w:rFonts w:hint="eastAsia"/>
                      <w:color w:val="auto"/>
                      <w:highlight w:val="none"/>
                      <w:lang w:val="en-US" w:eastAsia="zh-CN"/>
                    </w:rPr>
                    <w:t>1F，占地面积722.84m²，建筑面积368.00m²，火灾危险类别为甲类，</w:t>
                  </w:r>
                </w:p>
                <w:p w14:paraId="48AC7EC3">
                  <w:pPr>
                    <w:pStyle w:val="52"/>
                    <w:bidi w:val="0"/>
                    <w:ind w:left="-24" w:leftChars="-10" w:right="-24" w:rightChars="-10" w:firstLine="0" w:firstLineChars="0"/>
                    <w:jc w:val="both"/>
                    <w:rPr>
                      <w:rFonts w:hint="eastAsia"/>
                      <w:color w:val="auto"/>
                      <w:highlight w:val="none"/>
                      <w:lang w:val="en-US" w:eastAsia="zh-CN"/>
                    </w:rPr>
                  </w:pPr>
                  <w:r>
                    <w:rPr>
                      <w:rFonts w:hint="eastAsia"/>
                      <w:color w:val="auto"/>
                      <w:highlight w:val="none"/>
                      <w:lang w:val="en-US" w:eastAsia="zh-CN"/>
                    </w:rPr>
                    <w:t>结构形式为钢筋混凝土框架，耐火等级为二级。设置灌装间和埋地罐区，灌装站布置丙烷气充装线1条，工业丙烷储罐和液化石油气储罐均设置为埋地卧式储罐，上面设置罩棚，2个50m³丙烷储罐、2个50m³</w:t>
                  </w:r>
                  <w:r>
                    <w:rPr>
                      <w:rFonts w:hint="default" w:ascii="Times New Roman" w:hAnsi="Times New Roman" w:eastAsia="宋体" w:cs="Times New Roman"/>
                      <w:color w:val="auto"/>
                      <w:kern w:val="0"/>
                      <w:sz w:val="21"/>
                      <w:szCs w:val="21"/>
                      <w:u w:val="none"/>
                      <w:lang w:val="en-US" w:eastAsia="zh-CN" w:bidi="ar-SA"/>
                    </w:rPr>
                    <w:t>液化石油气</w:t>
                  </w:r>
                  <w:r>
                    <w:rPr>
                      <w:rFonts w:hint="eastAsia"/>
                      <w:color w:val="auto"/>
                      <w:highlight w:val="none"/>
                      <w:lang w:val="en-US" w:eastAsia="zh-CN"/>
                    </w:rPr>
                    <w:t>储罐</w:t>
                  </w:r>
                  <w:r>
                    <w:rPr>
                      <w:rFonts w:hint="eastAsia" w:ascii="Times New Roman" w:hAnsi="Times New Roman" w:eastAsia="宋体" w:cs="Times New Roman"/>
                      <w:color w:val="auto"/>
                      <w:kern w:val="0"/>
                      <w:sz w:val="21"/>
                      <w:szCs w:val="21"/>
                      <w:u w:val="none"/>
                      <w:lang w:val="en-US" w:eastAsia="zh-CN" w:bidi="ar-SA"/>
                    </w:rPr>
                    <w:t>、1个</w:t>
                  </w:r>
                  <w:r>
                    <w:rPr>
                      <w:rFonts w:hint="eastAsia"/>
                      <w:color w:val="auto"/>
                      <w:highlight w:val="none"/>
                      <w:lang w:val="en-US" w:eastAsia="zh-CN"/>
                    </w:rPr>
                    <w:t>50m³</w:t>
                  </w:r>
                  <w:r>
                    <w:rPr>
                      <w:rFonts w:hint="eastAsia" w:ascii="Times New Roman" w:hAnsi="Times New Roman" w:eastAsia="宋体" w:cs="Times New Roman"/>
                      <w:color w:val="auto"/>
                      <w:kern w:val="0"/>
                      <w:sz w:val="21"/>
                      <w:szCs w:val="21"/>
                      <w:u w:val="none"/>
                      <w:lang w:val="en-US" w:eastAsia="zh-CN" w:bidi="ar-SA"/>
                    </w:rPr>
                    <w:t>储罐储存</w:t>
                  </w:r>
                  <w:r>
                    <w:rPr>
                      <w:rFonts w:hint="default" w:ascii="Times New Roman" w:hAnsi="Times New Roman" w:eastAsia="宋体" w:cs="Times New Roman"/>
                      <w:color w:val="auto"/>
                      <w:kern w:val="0"/>
                      <w:sz w:val="21"/>
                      <w:szCs w:val="21"/>
                      <w:u w:val="none"/>
                      <w:lang w:val="en-US" w:eastAsia="zh-CN" w:bidi="ar-SA"/>
                    </w:rPr>
                    <w:t>液化石油气残液</w:t>
                  </w:r>
                  <w:r>
                    <w:rPr>
                      <w:rFonts w:hint="eastAsia"/>
                      <w:color w:val="auto"/>
                      <w:highlight w:val="none"/>
                      <w:lang w:val="en-US" w:eastAsia="zh-CN"/>
                    </w:rPr>
                    <w:t>。</w:t>
                  </w:r>
                </w:p>
              </w:tc>
              <w:tc>
                <w:tcPr>
                  <w:tcW w:w="357" w:type="pct"/>
                  <w:vMerge w:val="continue"/>
                  <w:noWrap w:val="0"/>
                  <w:vAlign w:val="center"/>
                </w:tcPr>
                <w:p w14:paraId="69D5A85F">
                  <w:pPr>
                    <w:pStyle w:val="52"/>
                    <w:bidi w:val="0"/>
                    <w:rPr>
                      <w:rFonts w:hint="eastAsia"/>
                      <w:color w:val="auto"/>
                      <w:lang w:val="en-US" w:eastAsia="zh-CN"/>
                    </w:rPr>
                  </w:pPr>
                </w:p>
              </w:tc>
            </w:tr>
            <w:tr w14:paraId="4A373C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470" w:hRule="atLeast"/>
                <w:jc w:val="center"/>
              </w:trPr>
              <w:tc>
                <w:tcPr>
                  <w:tcW w:w="304" w:type="pct"/>
                  <w:vMerge w:val="continue"/>
                  <w:noWrap w:val="0"/>
                  <w:vAlign w:val="center"/>
                </w:tcPr>
                <w:p w14:paraId="7132EBEE">
                  <w:pPr>
                    <w:pStyle w:val="52"/>
                    <w:bidi w:val="0"/>
                    <w:rPr>
                      <w:rFonts w:hint="default"/>
                      <w:color w:val="auto"/>
                    </w:rPr>
                  </w:pPr>
                </w:p>
              </w:tc>
              <w:tc>
                <w:tcPr>
                  <w:tcW w:w="783" w:type="pct"/>
                  <w:gridSpan w:val="2"/>
                  <w:noWrap w:val="0"/>
                  <w:vAlign w:val="center"/>
                </w:tcPr>
                <w:p w14:paraId="15821237">
                  <w:pPr>
                    <w:pStyle w:val="52"/>
                    <w:bidi w:val="0"/>
                    <w:ind w:left="-24" w:leftChars="-10" w:right="-24" w:rightChars="-10" w:firstLine="0" w:firstLineChars="0"/>
                    <w:rPr>
                      <w:rFonts w:hint="eastAsia"/>
                      <w:color w:val="auto"/>
                      <w:highlight w:val="none"/>
                      <w:lang w:val="en-US" w:eastAsia="zh-CN"/>
                    </w:rPr>
                  </w:pPr>
                  <w:r>
                    <w:rPr>
                      <w:rFonts w:hint="eastAsia"/>
                      <w:color w:val="auto"/>
                      <w:highlight w:val="none"/>
                      <w:lang w:val="en-US" w:eastAsia="zh-CN"/>
                    </w:rPr>
                    <w:t>压缩机房</w:t>
                  </w:r>
                </w:p>
              </w:tc>
              <w:tc>
                <w:tcPr>
                  <w:tcW w:w="3555" w:type="pct"/>
                  <w:noWrap w:val="0"/>
                  <w:vAlign w:val="center"/>
                </w:tcPr>
                <w:p w14:paraId="4E1D0FD1">
                  <w:pPr>
                    <w:pStyle w:val="52"/>
                    <w:bidi w:val="0"/>
                    <w:ind w:left="-24" w:leftChars="-10" w:right="-24" w:rightChars="-10" w:firstLine="0" w:firstLineChars="0"/>
                    <w:jc w:val="both"/>
                    <w:rPr>
                      <w:rFonts w:hint="eastAsia"/>
                      <w:color w:val="auto"/>
                      <w:highlight w:val="none"/>
                      <w:lang w:val="en-US" w:eastAsia="zh-CN"/>
                    </w:rPr>
                  </w:pPr>
                  <w:r>
                    <w:rPr>
                      <w:rFonts w:hint="eastAsia"/>
                      <w:color w:val="auto"/>
                      <w:highlight w:val="none"/>
                      <w:lang w:val="en-US" w:eastAsia="zh-CN"/>
                    </w:rPr>
                    <w:t>主要布置空压机、预冷机、氮气压缩机、氮气补气机、循环压缩机和电动起重机。</w:t>
                  </w:r>
                </w:p>
              </w:tc>
              <w:tc>
                <w:tcPr>
                  <w:tcW w:w="357" w:type="pct"/>
                  <w:vMerge w:val="continue"/>
                  <w:noWrap w:val="0"/>
                  <w:vAlign w:val="center"/>
                </w:tcPr>
                <w:p w14:paraId="21FE7ED5">
                  <w:pPr>
                    <w:pStyle w:val="52"/>
                    <w:bidi w:val="0"/>
                    <w:rPr>
                      <w:rFonts w:hint="eastAsia"/>
                      <w:color w:val="auto"/>
                      <w:lang w:val="en-US" w:eastAsia="zh-CN"/>
                    </w:rPr>
                  </w:pPr>
                </w:p>
              </w:tc>
            </w:tr>
            <w:tr w14:paraId="6C621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04" w:type="pct"/>
                  <w:vMerge w:val="restart"/>
                  <w:noWrap w:val="0"/>
                  <w:vAlign w:val="center"/>
                </w:tcPr>
                <w:p w14:paraId="3B1057CA">
                  <w:pPr>
                    <w:pStyle w:val="52"/>
                    <w:bidi w:val="0"/>
                    <w:rPr>
                      <w:rFonts w:hint="default"/>
                      <w:color w:val="auto"/>
                    </w:rPr>
                  </w:pPr>
                  <w:r>
                    <w:rPr>
                      <w:rFonts w:hint="default"/>
                      <w:color w:val="auto"/>
                    </w:rPr>
                    <w:t>储运</w:t>
                  </w:r>
                </w:p>
                <w:p w14:paraId="71DE4157">
                  <w:pPr>
                    <w:pStyle w:val="52"/>
                    <w:bidi w:val="0"/>
                    <w:rPr>
                      <w:rFonts w:hint="default"/>
                      <w:color w:val="auto"/>
                    </w:rPr>
                  </w:pPr>
                  <w:r>
                    <w:rPr>
                      <w:rFonts w:hint="default"/>
                      <w:color w:val="auto"/>
                    </w:rPr>
                    <w:t>工程</w:t>
                  </w:r>
                </w:p>
              </w:tc>
              <w:tc>
                <w:tcPr>
                  <w:tcW w:w="783" w:type="pct"/>
                  <w:gridSpan w:val="2"/>
                  <w:noWrap w:val="0"/>
                  <w:vAlign w:val="center"/>
                </w:tcPr>
                <w:p w14:paraId="35B9FD5C">
                  <w:pPr>
                    <w:pStyle w:val="52"/>
                    <w:bidi w:val="0"/>
                    <w:ind w:left="-24" w:leftChars="-10" w:right="-24" w:rightChars="-10" w:firstLine="0" w:firstLineChars="0"/>
                    <w:rPr>
                      <w:rFonts w:hint="eastAsia"/>
                      <w:color w:val="auto"/>
                      <w:highlight w:val="none"/>
                      <w:lang w:val="en-US" w:eastAsia="zh-CN"/>
                    </w:rPr>
                  </w:pPr>
                  <w:r>
                    <w:rPr>
                      <w:rFonts w:hint="eastAsia" w:ascii="Times New Roman" w:hAnsi="Times New Roman"/>
                      <w:color w:val="auto"/>
                      <w:sz w:val="21"/>
                      <w:szCs w:val="21"/>
                      <w:lang w:val="en-US" w:eastAsia="zh-CN"/>
                    </w:rPr>
                    <w:t>甲类仓库</w:t>
                  </w:r>
                </w:p>
              </w:tc>
              <w:tc>
                <w:tcPr>
                  <w:tcW w:w="3555" w:type="pct"/>
                  <w:noWrap w:val="0"/>
                  <w:vAlign w:val="center"/>
                </w:tcPr>
                <w:p w14:paraId="5C2D8906">
                  <w:pPr>
                    <w:pStyle w:val="52"/>
                    <w:bidi w:val="0"/>
                    <w:ind w:left="-24" w:leftChars="-10" w:right="-24" w:rightChars="-10" w:firstLine="0" w:firstLineChars="0"/>
                    <w:jc w:val="both"/>
                    <w:rPr>
                      <w:rFonts w:hint="eastAsia"/>
                      <w:color w:val="auto"/>
                      <w:highlight w:val="none"/>
                      <w:lang w:val="en-US" w:eastAsia="zh-CN"/>
                    </w:rPr>
                  </w:pPr>
                  <w:r>
                    <w:rPr>
                      <w:rFonts w:hint="eastAsia"/>
                      <w:color w:val="auto"/>
                      <w:highlight w:val="none"/>
                      <w:lang w:val="en-US" w:eastAsia="zh-CN"/>
                    </w:rPr>
                    <w:t>1F，占地面积728m²，建筑面积728m²，火灾危险类别为甲类，结构形式为门式钢架结构，耐火等级为二级。主要存放丙烷气瓶、液化石油气气瓶、乙炔气瓶和润滑油等。</w:t>
                  </w:r>
                </w:p>
              </w:tc>
              <w:tc>
                <w:tcPr>
                  <w:tcW w:w="357" w:type="pct"/>
                  <w:vMerge w:val="restart"/>
                  <w:noWrap w:val="0"/>
                  <w:vAlign w:val="center"/>
                </w:tcPr>
                <w:p w14:paraId="5E5627CD">
                  <w:pPr>
                    <w:pStyle w:val="52"/>
                    <w:bidi w:val="0"/>
                    <w:rPr>
                      <w:rFonts w:hint="default"/>
                      <w:color w:val="auto"/>
                      <w:lang w:val="en-US" w:eastAsia="zh-CN"/>
                    </w:rPr>
                  </w:pPr>
                  <w:r>
                    <w:rPr>
                      <w:rFonts w:hint="eastAsia"/>
                      <w:color w:val="auto"/>
                      <w:lang w:val="en-US" w:eastAsia="zh-CN"/>
                    </w:rPr>
                    <w:t>新建</w:t>
                  </w:r>
                </w:p>
              </w:tc>
            </w:tr>
            <w:tr w14:paraId="3E20D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04" w:type="pct"/>
                  <w:vMerge w:val="continue"/>
                  <w:noWrap w:val="0"/>
                  <w:vAlign w:val="center"/>
                </w:tcPr>
                <w:p w14:paraId="7D277CCD">
                  <w:pPr>
                    <w:pStyle w:val="52"/>
                    <w:bidi w:val="0"/>
                    <w:rPr>
                      <w:rFonts w:hint="default"/>
                      <w:color w:val="auto"/>
                    </w:rPr>
                  </w:pPr>
                </w:p>
              </w:tc>
              <w:tc>
                <w:tcPr>
                  <w:tcW w:w="783" w:type="pct"/>
                  <w:gridSpan w:val="2"/>
                  <w:noWrap w:val="0"/>
                  <w:vAlign w:val="center"/>
                </w:tcPr>
                <w:p w14:paraId="01F14C9C">
                  <w:pPr>
                    <w:pStyle w:val="52"/>
                    <w:bidi w:val="0"/>
                    <w:ind w:left="-24" w:leftChars="-10" w:right="-24" w:rightChars="-10" w:firstLine="0" w:firstLineChars="0"/>
                    <w:rPr>
                      <w:rFonts w:hint="eastAsia" w:ascii="Times New Roman" w:hAnsi="Times New Roman" w:eastAsia="宋体"/>
                      <w:bCs/>
                      <w:color w:val="auto"/>
                      <w:kern w:val="0"/>
                      <w:sz w:val="21"/>
                      <w:szCs w:val="21"/>
                      <w:highlight w:val="none"/>
                      <w:lang w:val="en-US" w:eastAsia="zh-CN" w:bidi="ar-SA"/>
                    </w:rPr>
                  </w:pPr>
                  <w:r>
                    <w:rPr>
                      <w:rFonts w:hint="eastAsia"/>
                      <w:color w:val="auto"/>
                      <w:highlight w:val="none"/>
                      <w:lang w:val="en-US" w:eastAsia="zh-CN"/>
                    </w:rPr>
                    <w:t>丁类仓库</w:t>
                  </w:r>
                </w:p>
              </w:tc>
              <w:tc>
                <w:tcPr>
                  <w:tcW w:w="3555" w:type="pct"/>
                  <w:noWrap w:val="0"/>
                  <w:vAlign w:val="center"/>
                </w:tcPr>
                <w:p w14:paraId="50BBC5DD">
                  <w:pPr>
                    <w:pStyle w:val="52"/>
                    <w:bidi w:val="0"/>
                    <w:ind w:left="-24" w:leftChars="-10" w:right="-24" w:rightChars="-10" w:firstLine="0" w:firstLineChars="0"/>
                    <w:jc w:val="both"/>
                    <w:rPr>
                      <w:rFonts w:hint="eastAsia"/>
                      <w:color w:val="auto"/>
                      <w:highlight w:val="none"/>
                      <w:lang w:val="en-US" w:eastAsia="zh-CN"/>
                    </w:rPr>
                  </w:pPr>
                  <w:r>
                    <w:rPr>
                      <w:rFonts w:hint="eastAsia"/>
                      <w:color w:val="auto"/>
                      <w:highlight w:val="none"/>
                      <w:lang w:val="en-US" w:eastAsia="zh-CN"/>
                    </w:rPr>
                    <w:t>1F，占地面积914m²，建筑面积914m²，火灾危险类别为丁类，结</w:t>
                  </w:r>
                </w:p>
                <w:p w14:paraId="4DC7CE69">
                  <w:pPr>
                    <w:pStyle w:val="52"/>
                    <w:bidi w:val="0"/>
                    <w:ind w:left="-24" w:leftChars="-10" w:right="-24" w:rightChars="-10" w:firstLine="0" w:firstLineChars="0"/>
                    <w:jc w:val="both"/>
                    <w:rPr>
                      <w:rFonts w:hint="eastAsia" w:ascii="Times New Roman" w:hAnsi="Times New Roman" w:eastAsia="宋体"/>
                      <w:bCs/>
                      <w:color w:val="auto"/>
                      <w:kern w:val="0"/>
                      <w:sz w:val="21"/>
                      <w:szCs w:val="21"/>
                      <w:highlight w:val="none"/>
                      <w:lang w:val="en-US" w:eastAsia="zh-CN" w:bidi="ar-SA"/>
                    </w:rPr>
                  </w:pPr>
                  <w:r>
                    <w:rPr>
                      <w:rFonts w:hint="eastAsia"/>
                      <w:color w:val="auto"/>
                      <w:highlight w:val="none"/>
                      <w:lang w:val="en-US" w:eastAsia="zh-CN"/>
                    </w:rPr>
                    <w:t>构形式为门式钢架结构，耐火等级为二级。主要存放惰性气体的空钢瓶，金属备件等。</w:t>
                  </w:r>
                </w:p>
              </w:tc>
              <w:tc>
                <w:tcPr>
                  <w:tcW w:w="357" w:type="pct"/>
                  <w:vMerge w:val="continue"/>
                  <w:noWrap w:val="0"/>
                  <w:vAlign w:val="center"/>
                </w:tcPr>
                <w:p w14:paraId="4662D08C">
                  <w:pPr>
                    <w:pStyle w:val="52"/>
                    <w:bidi w:val="0"/>
                    <w:rPr>
                      <w:rFonts w:hint="eastAsia"/>
                      <w:color w:val="auto"/>
                      <w:lang w:val="en-US" w:eastAsia="zh-CN"/>
                    </w:rPr>
                  </w:pPr>
                </w:p>
              </w:tc>
            </w:tr>
            <w:tr w14:paraId="7F6C17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restart"/>
                  <w:noWrap w:val="0"/>
                  <w:vAlign w:val="center"/>
                </w:tcPr>
                <w:p w14:paraId="46C0A347">
                  <w:pPr>
                    <w:pStyle w:val="52"/>
                    <w:bidi w:val="0"/>
                    <w:rPr>
                      <w:rFonts w:hint="default"/>
                      <w:color w:val="auto"/>
                    </w:rPr>
                  </w:pPr>
                  <w:r>
                    <w:rPr>
                      <w:rFonts w:hint="default"/>
                      <w:color w:val="auto"/>
                    </w:rPr>
                    <w:t>辅助工程</w:t>
                  </w:r>
                </w:p>
              </w:tc>
              <w:tc>
                <w:tcPr>
                  <w:tcW w:w="783" w:type="pct"/>
                  <w:gridSpan w:val="2"/>
                  <w:noWrap w:val="0"/>
                  <w:vAlign w:val="center"/>
                </w:tcPr>
                <w:p w14:paraId="1967C15E">
                  <w:pPr>
                    <w:pStyle w:val="52"/>
                    <w:bidi w:val="0"/>
                    <w:ind w:left="-24" w:leftChars="-10" w:right="-24" w:rightChars="-10" w:firstLine="0" w:firstLineChars="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color w:val="auto"/>
                      <w:lang w:val="en-US" w:eastAsia="zh-CN"/>
                    </w:rPr>
                    <w:t>综合楼</w:t>
                  </w:r>
                </w:p>
              </w:tc>
              <w:tc>
                <w:tcPr>
                  <w:tcW w:w="3555" w:type="pct"/>
                  <w:noWrap w:val="0"/>
                  <w:vAlign w:val="center"/>
                </w:tcPr>
                <w:p w14:paraId="210C0EA5">
                  <w:pPr>
                    <w:pStyle w:val="52"/>
                    <w:bidi w:val="0"/>
                    <w:jc w:val="center"/>
                    <w:rPr>
                      <w:rFonts w:hint="default"/>
                      <w:color w:val="auto"/>
                      <w:lang w:val="en-US" w:eastAsia="zh-CN"/>
                    </w:rPr>
                  </w:pPr>
                  <w:r>
                    <w:rPr>
                      <w:rFonts w:hint="default"/>
                      <w:color w:val="auto"/>
                      <w:lang w:val="en-US" w:eastAsia="zh-CN"/>
                    </w:rPr>
                    <w:t>3F，占地</w:t>
                  </w:r>
                  <w:r>
                    <w:rPr>
                      <w:rFonts w:hint="eastAsia"/>
                      <w:color w:val="auto"/>
                      <w:lang w:val="en-US" w:eastAsia="zh-CN"/>
                    </w:rPr>
                    <w:t>面积</w:t>
                  </w:r>
                  <w:r>
                    <w:rPr>
                      <w:rFonts w:hint="default"/>
                      <w:color w:val="auto"/>
                      <w:lang w:val="en-US" w:eastAsia="zh-CN"/>
                    </w:rPr>
                    <w:t>372.9m²，</w:t>
                  </w:r>
                  <w:r>
                    <w:rPr>
                      <w:rFonts w:hint="eastAsia"/>
                      <w:color w:val="auto"/>
                      <w:lang w:val="en-US" w:eastAsia="zh-CN"/>
                    </w:rPr>
                    <w:t>建筑面积</w:t>
                  </w:r>
                  <w:r>
                    <w:rPr>
                      <w:rFonts w:hint="default"/>
                      <w:color w:val="auto"/>
                      <w:lang w:val="en-US" w:eastAsia="zh-CN"/>
                    </w:rPr>
                    <w:t>1051.17m²，建筑</w:t>
                  </w:r>
                  <w:r>
                    <w:rPr>
                      <w:rFonts w:hint="eastAsia"/>
                      <w:color w:val="auto"/>
                      <w:lang w:val="en-US" w:eastAsia="zh-CN"/>
                    </w:rPr>
                    <w:t>高度</w:t>
                  </w:r>
                  <w:r>
                    <w:rPr>
                      <w:rFonts w:hint="default"/>
                      <w:color w:val="auto"/>
                      <w:lang w:val="en-US" w:eastAsia="zh-CN"/>
                    </w:rPr>
                    <w:t>11.10m，</w:t>
                  </w:r>
                </w:p>
                <w:p w14:paraId="6876037E">
                  <w:pPr>
                    <w:pStyle w:val="52"/>
                    <w:bidi w:val="0"/>
                    <w:jc w:val="center"/>
                    <w:rPr>
                      <w:rFonts w:hint="default"/>
                      <w:color w:val="auto"/>
                      <w:lang w:val="en-US" w:eastAsia="zh-CN"/>
                    </w:rPr>
                  </w:pPr>
                  <w:r>
                    <w:rPr>
                      <w:rFonts w:hint="default"/>
                      <w:color w:val="auto"/>
                      <w:lang w:val="en-US" w:eastAsia="zh-CN"/>
                    </w:rPr>
                    <w:t>主体结构为钢筋混凝土框架结构。综合楼布置卫生间、厨房、餐</w:t>
                  </w:r>
                </w:p>
                <w:p w14:paraId="6FBF1FBD">
                  <w:pPr>
                    <w:pStyle w:val="52"/>
                    <w:bidi w:val="0"/>
                    <w:jc w:val="both"/>
                    <w:rPr>
                      <w:rFonts w:hint="default"/>
                      <w:color w:val="auto"/>
                      <w:lang w:val="en-US" w:eastAsia="zh-CN"/>
                    </w:rPr>
                  </w:pPr>
                  <w:r>
                    <w:rPr>
                      <w:rFonts w:hint="default"/>
                      <w:color w:val="auto"/>
                      <w:lang w:val="en-US" w:eastAsia="zh-CN"/>
                    </w:rPr>
                    <w:t>厅、控制室、办公室</w:t>
                  </w:r>
                  <w:r>
                    <w:rPr>
                      <w:rFonts w:hint="eastAsia"/>
                      <w:color w:val="auto"/>
                      <w:lang w:val="en-US" w:eastAsia="zh-CN"/>
                    </w:rPr>
                    <w:t>、</w:t>
                  </w:r>
                  <w:r>
                    <w:rPr>
                      <w:rFonts w:hint="default"/>
                      <w:color w:val="auto"/>
                      <w:lang w:val="en-US" w:eastAsia="zh-CN"/>
                    </w:rPr>
                    <w:t>消防控制室</w:t>
                  </w:r>
                  <w:r>
                    <w:rPr>
                      <w:rFonts w:hint="eastAsia"/>
                      <w:color w:val="auto"/>
                      <w:lang w:val="en-US" w:eastAsia="zh-CN"/>
                    </w:rPr>
                    <w:t>等</w:t>
                  </w:r>
                  <w:r>
                    <w:rPr>
                      <w:rFonts w:hint="default"/>
                      <w:color w:val="auto"/>
                      <w:lang w:val="en-US" w:eastAsia="zh-CN"/>
                    </w:rPr>
                    <w:t>。</w:t>
                  </w:r>
                </w:p>
              </w:tc>
              <w:tc>
                <w:tcPr>
                  <w:tcW w:w="357" w:type="pct"/>
                  <w:noWrap w:val="0"/>
                  <w:vAlign w:val="center"/>
                </w:tcPr>
                <w:p w14:paraId="2C886DDA">
                  <w:pPr>
                    <w:pStyle w:val="5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p>
              </w:tc>
            </w:tr>
            <w:tr w14:paraId="5C42B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continue"/>
                  <w:noWrap w:val="0"/>
                  <w:vAlign w:val="center"/>
                </w:tcPr>
                <w:p w14:paraId="1CB4F30F">
                  <w:pPr>
                    <w:pStyle w:val="52"/>
                    <w:bidi w:val="0"/>
                    <w:rPr>
                      <w:rFonts w:hint="default"/>
                      <w:color w:val="auto"/>
                    </w:rPr>
                  </w:pPr>
                </w:p>
              </w:tc>
              <w:tc>
                <w:tcPr>
                  <w:tcW w:w="783" w:type="pct"/>
                  <w:gridSpan w:val="2"/>
                  <w:noWrap w:val="0"/>
                  <w:vAlign w:val="center"/>
                </w:tcPr>
                <w:p w14:paraId="2E968F50">
                  <w:pPr>
                    <w:pStyle w:val="52"/>
                    <w:bidi w:val="0"/>
                    <w:ind w:left="-24" w:leftChars="-10" w:right="-24" w:rightChars="-10"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color w:val="auto"/>
                      <w:lang w:val="en-US" w:eastAsia="zh-CN"/>
                    </w:rPr>
                    <w:t>辅助用房一</w:t>
                  </w:r>
                </w:p>
              </w:tc>
              <w:tc>
                <w:tcPr>
                  <w:tcW w:w="3555" w:type="pct"/>
                  <w:noWrap w:val="0"/>
                  <w:vAlign w:val="center"/>
                </w:tcPr>
                <w:p w14:paraId="105F7F7B">
                  <w:pPr>
                    <w:pStyle w:val="52"/>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1F，占地</w:t>
                  </w:r>
                  <w:r>
                    <w:rPr>
                      <w:rFonts w:hint="eastAsia" w:cs="Times New Roman"/>
                      <w:color w:val="auto"/>
                      <w:lang w:val="en-US" w:eastAsia="zh-CN"/>
                    </w:rPr>
                    <w:t>面积</w:t>
                  </w:r>
                  <w:r>
                    <w:rPr>
                      <w:rFonts w:hint="default" w:ascii="Times New Roman" w:hAnsi="Times New Roman" w:eastAsia="宋体" w:cs="Times New Roman"/>
                      <w:color w:val="auto"/>
                      <w:lang w:val="en-US" w:eastAsia="zh-CN"/>
                    </w:rPr>
                    <w:t>390m²，</w:t>
                  </w:r>
                  <w:r>
                    <w:rPr>
                      <w:rFonts w:hint="eastAsia" w:cs="Times New Roman"/>
                      <w:color w:val="auto"/>
                      <w:lang w:val="en-US" w:eastAsia="zh-CN"/>
                    </w:rPr>
                    <w:t>建筑面积</w:t>
                  </w:r>
                  <w:r>
                    <w:rPr>
                      <w:rFonts w:hint="default" w:ascii="Times New Roman" w:hAnsi="Times New Roman" w:eastAsia="宋体" w:cs="Times New Roman"/>
                      <w:color w:val="auto"/>
                      <w:lang w:val="en-US" w:eastAsia="zh-CN"/>
                    </w:rPr>
                    <w:t>1390m²，火灾危险类别</w:t>
                  </w:r>
                  <w:r>
                    <w:rPr>
                      <w:rFonts w:hint="eastAsia" w:cs="Times New Roman"/>
                      <w:color w:val="auto"/>
                      <w:lang w:val="en-US" w:eastAsia="zh-CN"/>
                    </w:rPr>
                    <w:t>为</w:t>
                  </w:r>
                  <w:r>
                    <w:rPr>
                      <w:rFonts w:hint="default" w:ascii="Times New Roman" w:hAnsi="Times New Roman" w:eastAsia="宋体" w:cs="Times New Roman"/>
                      <w:color w:val="auto"/>
                      <w:lang w:val="en-US" w:eastAsia="zh-CN"/>
                    </w:rPr>
                    <w:t>丁类，结</w:t>
                  </w:r>
                </w:p>
                <w:p w14:paraId="136ABF07">
                  <w:pPr>
                    <w:pStyle w:val="52"/>
                    <w:bidi w:val="0"/>
                    <w:jc w:val="both"/>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构形式为钢结构，耐火等级</w:t>
                  </w:r>
                  <w:r>
                    <w:rPr>
                      <w:rFonts w:hint="eastAsia" w:cs="Times New Roman"/>
                      <w:color w:val="auto"/>
                      <w:lang w:val="en-US" w:eastAsia="zh-CN"/>
                    </w:rPr>
                    <w:t>为</w:t>
                  </w:r>
                  <w:r>
                    <w:rPr>
                      <w:rFonts w:hint="default" w:ascii="Times New Roman" w:hAnsi="Times New Roman" w:eastAsia="宋体" w:cs="Times New Roman"/>
                      <w:color w:val="auto"/>
                      <w:lang w:val="en-US" w:eastAsia="zh-CN"/>
                    </w:rPr>
                    <w:t>二级。设置卫生间、维修间、备品备件库和工具间等。</w:t>
                  </w:r>
                </w:p>
              </w:tc>
              <w:tc>
                <w:tcPr>
                  <w:tcW w:w="357" w:type="pct"/>
                  <w:noWrap w:val="0"/>
                  <w:vAlign w:val="center"/>
                </w:tcPr>
                <w:p w14:paraId="306BC890">
                  <w:pPr>
                    <w:pStyle w:val="52"/>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新建</w:t>
                  </w:r>
                </w:p>
              </w:tc>
            </w:tr>
            <w:tr w14:paraId="5E718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continue"/>
                  <w:noWrap w:val="0"/>
                  <w:vAlign w:val="center"/>
                </w:tcPr>
                <w:p w14:paraId="70C5BF77">
                  <w:pPr>
                    <w:pStyle w:val="52"/>
                    <w:bidi w:val="0"/>
                    <w:rPr>
                      <w:rFonts w:hint="default"/>
                      <w:color w:val="auto"/>
                    </w:rPr>
                  </w:pPr>
                </w:p>
              </w:tc>
              <w:tc>
                <w:tcPr>
                  <w:tcW w:w="783" w:type="pct"/>
                  <w:gridSpan w:val="2"/>
                  <w:noWrap w:val="0"/>
                  <w:vAlign w:val="center"/>
                </w:tcPr>
                <w:p w14:paraId="47D80A6A">
                  <w:pPr>
                    <w:pStyle w:val="52"/>
                    <w:bidi w:val="0"/>
                    <w:ind w:left="-24" w:leftChars="-10" w:right="-24" w:rightChars="-10"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辅助用房二</w:t>
                  </w:r>
                </w:p>
              </w:tc>
              <w:tc>
                <w:tcPr>
                  <w:tcW w:w="3555" w:type="pct"/>
                  <w:noWrap w:val="0"/>
                  <w:vAlign w:val="center"/>
                </w:tcPr>
                <w:p w14:paraId="2FCBEBDE">
                  <w:pPr>
                    <w:pStyle w:val="52"/>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1F，占地面积232.7m²，</w:t>
                  </w:r>
                  <w:r>
                    <w:rPr>
                      <w:rFonts w:hint="eastAsia" w:cs="Times New Roman"/>
                      <w:color w:val="auto"/>
                      <w:lang w:val="en-US" w:eastAsia="zh-CN"/>
                    </w:rPr>
                    <w:t>建筑面积</w:t>
                  </w:r>
                  <w:r>
                    <w:rPr>
                      <w:rFonts w:hint="default" w:ascii="Times New Roman" w:hAnsi="Times New Roman" w:eastAsia="宋体" w:cs="Times New Roman"/>
                      <w:color w:val="auto"/>
                      <w:lang w:val="en-US" w:eastAsia="zh-CN"/>
                    </w:rPr>
                    <w:t>232.7m²，结构形式为钢筋混凝</w:t>
                  </w:r>
                </w:p>
                <w:p w14:paraId="7847125A">
                  <w:pPr>
                    <w:pStyle w:val="52"/>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土框架。设置工具间、会议室、司机休息室等。</w:t>
                  </w:r>
                </w:p>
              </w:tc>
              <w:tc>
                <w:tcPr>
                  <w:tcW w:w="357" w:type="pct"/>
                  <w:noWrap w:val="0"/>
                  <w:vAlign w:val="center"/>
                </w:tcPr>
                <w:p w14:paraId="08EFF1E4">
                  <w:pPr>
                    <w:pStyle w:val="5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p>
              </w:tc>
            </w:tr>
            <w:tr w14:paraId="261C8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continue"/>
                  <w:noWrap w:val="0"/>
                  <w:vAlign w:val="center"/>
                </w:tcPr>
                <w:p w14:paraId="572D864C">
                  <w:pPr>
                    <w:pStyle w:val="52"/>
                    <w:bidi w:val="0"/>
                    <w:rPr>
                      <w:rFonts w:hint="default"/>
                      <w:color w:val="auto"/>
                    </w:rPr>
                  </w:pPr>
                </w:p>
              </w:tc>
              <w:tc>
                <w:tcPr>
                  <w:tcW w:w="783" w:type="pct"/>
                  <w:gridSpan w:val="2"/>
                  <w:noWrap w:val="0"/>
                  <w:vAlign w:val="center"/>
                </w:tcPr>
                <w:p w14:paraId="0B80881E">
                  <w:pPr>
                    <w:pStyle w:val="52"/>
                    <w:bidi w:val="0"/>
                    <w:ind w:left="-24" w:leftChars="-10" w:right="-24" w:rightChars="-10"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地中衡</w:t>
                  </w:r>
                </w:p>
              </w:tc>
              <w:tc>
                <w:tcPr>
                  <w:tcW w:w="3555" w:type="pct"/>
                  <w:noWrap w:val="0"/>
                  <w:vAlign w:val="center"/>
                </w:tcPr>
                <w:p w14:paraId="0FD5615D">
                  <w:pPr>
                    <w:pStyle w:val="52"/>
                    <w:bidi w:val="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80t，占地面积为49.6m²。</w:t>
                  </w:r>
                </w:p>
              </w:tc>
              <w:tc>
                <w:tcPr>
                  <w:tcW w:w="357" w:type="pct"/>
                  <w:noWrap w:val="0"/>
                  <w:vAlign w:val="center"/>
                </w:tcPr>
                <w:p w14:paraId="2F6AC501">
                  <w:pPr>
                    <w:pStyle w:val="5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p>
              </w:tc>
            </w:tr>
            <w:tr w14:paraId="4E83C3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restart"/>
                  <w:noWrap w:val="0"/>
                  <w:vAlign w:val="center"/>
                </w:tcPr>
                <w:p w14:paraId="00B4522A">
                  <w:pPr>
                    <w:pStyle w:val="52"/>
                    <w:bidi w:val="0"/>
                    <w:rPr>
                      <w:rFonts w:hint="default"/>
                      <w:color w:val="auto"/>
                    </w:rPr>
                  </w:pPr>
                  <w:r>
                    <w:rPr>
                      <w:rFonts w:hint="default"/>
                      <w:color w:val="auto"/>
                    </w:rPr>
                    <w:t>公用工程</w:t>
                  </w:r>
                </w:p>
              </w:tc>
              <w:tc>
                <w:tcPr>
                  <w:tcW w:w="783" w:type="pct"/>
                  <w:gridSpan w:val="2"/>
                  <w:noWrap w:val="0"/>
                  <w:vAlign w:val="center"/>
                </w:tcPr>
                <w:p w14:paraId="653C0E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val="en-US" w:eastAsia="zh-CN"/>
                    </w:rPr>
                  </w:pPr>
                  <w:r>
                    <w:rPr>
                      <w:rFonts w:ascii="Times New Roman" w:hAnsi="Times New Roman"/>
                      <w:color w:val="auto"/>
                      <w:sz w:val="21"/>
                      <w:szCs w:val="18"/>
                    </w:rPr>
                    <w:t>门卫</w:t>
                  </w:r>
                  <w:r>
                    <w:rPr>
                      <w:rFonts w:hint="eastAsia" w:ascii="Times New Roman" w:hAnsi="Times New Roman"/>
                      <w:color w:val="auto"/>
                      <w:sz w:val="21"/>
                      <w:szCs w:val="18"/>
                      <w:lang w:val="en-US" w:eastAsia="zh-CN"/>
                    </w:rPr>
                    <w:t>室</w:t>
                  </w:r>
                </w:p>
              </w:tc>
              <w:tc>
                <w:tcPr>
                  <w:tcW w:w="3555" w:type="pct"/>
                  <w:noWrap w:val="0"/>
                  <w:vAlign w:val="center"/>
                </w:tcPr>
                <w:p w14:paraId="747BE00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olor w:val="auto"/>
                      <w:sz w:val="21"/>
                      <w:szCs w:val="18"/>
                      <w:lang w:val="en-US" w:eastAsia="zh-CN"/>
                    </w:rPr>
                    <w:t>1F，占地面积为20.16m²，建筑面积20.16m²，结构形式为钢结构。</w:t>
                  </w:r>
                </w:p>
              </w:tc>
              <w:tc>
                <w:tcPr>
                  <w:tcW w:w="357" w:type="pct"/>
                  <w:vMerge w:val="restart"/>
                  <w:noWrap w:val="0"/>
                  <w:vAlign w:val="center"/>
                </w:tcPr>
                <w:p w14:paraId="72177106">
                  <w:pPr>
                    <w:pStyle w:val="52"/>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p>
              </w:tc>
            </w:tr>
            <w:tr w14:paraId="6C863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continue"/>
                  <w:noWrap w:val="0"/>
                  <w:vAlign w:val="center"/>
                </w:tcPr>
                <w:p w14:paraId="090AD1BD">
                  <w:pPr>
                    <w:pStyle w:val="52"/>
                    <w:bidi w:val="0"/>
                    <w:rPr>
                      <w:rFonts w:hint="default"/>
                      <w:color w:val="auto"/>
                    </w:rPr>
                  </w:pPr>
                </w:p>
              </w:tc>
              <w:tc>
                <w:tcPr>
                  <w:tcW w:w="783" w:type="pct"/>
                  <w:gridSpan w:val="2"/>
                  <w:noWrap w:val="0"/>
                  <w:vAlign w:val="center"/>
                </w:tcPr>
                <w:p w14:paraId="0080D3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18"/>
                    </w:rPr>
                  </w:pPr>
                  <w:r>
                    <w:rPr>
                      <w:rFonts w:hint="eastAsia" w:ascii="Times New Roman" w:hAnsi="Times New Roman"/>
                      <w:color w:val="auto"/>
                      <w:sz w:val="21"/>
                      <w:szCs w:val="18"/>
                    </w:rPr>
                    <w:t>泵房及消防</w:t>
                  </w:r>
                </w:p>
                <w:p w14:paraId="6BE3B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18"/>
                    </w:rPr>
                  </w:pPr>
                  <w:r>
                    <w:rPr>
                      <w:rFonts w:hint="eastAsia" w:ascii="Times New Roman" w:hAnsi="Times New Roman"/>
                      <w:color w:val="auto"/>
                      <w:sz w:val="21"/>
                      <w:szCs w:val="18"/>
                    </w:rPr>
                    <w:t>水池</w:t>
                  </w:r>
                </w:p>
              </w:tc>
              <w:tc>
                <w:tcPr>
                  <w:tcW w:w="3555" w:type="pct"/>
                  <w:noWrap w:val="0"/>
                  <w:vAlign w:val="center"/>
                </w:tcPr>
                <w:p w14:paraId="45674AF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olor w:val="auto"/>
                      <w:sz w:val="21"/>
                      <w:szCs w:val="18"/>
                      <w:lang w:val="en-US" w:eastAsia="zh-CN"/>
                    </w:rPr>
                  </w:pPr>
                  <w:r>
                    <w:rPr>
                      <w:rFonts w:hint="eastAsia" w:ascii="Times New Roman" w:hAnsi="Times New Roman"/>
                      <w:color w:val="auto"/>
                      <w:sz w:val="21"/>
                      <w:szCs w:val="18"/>
                      <w:lang w:val="en-US" w:eastAsia="zh-CN"/>
                    </w:rPr>
                    <w:t>1F/-1F，泵房占地</w:t>
                  </w:r>
                  <w:r>
                    <w:rPr>
                      <w:rFonts w:hint="eastAsia"/>
                      <w:color w:val="auto"/>
                      <w:sz w:val="21"/>
                      <w:szCs w:val="18"/>
                      <w:lang w:val="en-US" w:eastAsia="zh-CN"/>
                    </w:rPr>
                    <w:t>面积</w:t>
                  </w:r>
                  <w:r>
                    <w:rPr>
                      <w:rFonts w:hint="eastAsia" w:ascii="Times New Roman" w:hAnsi="Times New Roman"/>
                      <w:color w:val="auto"/>
                      <w:sz w:val="21"/>
                      <w:szCs w:val="18"/>
                      <w:lang w:val="en-US" w:eastAsia="zh-CN"/>
                    </w:rPr>
                    <w:t>121.50m²，消防水池占地面积373.50m²，</w:t>
                  </w:r>
                </w:p>
                <w:p w14:paraId="7B89D1E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olor w:val="auto"/>
                      <w:sz w:val="21"/>
                      <w:szCs w:val="18"/>
                      <w:lang w:val="en-US" w:eastAsia="zh-CN"/>
                    </w:rPr>
                  </w:pPr>
                  <w:r>
                    <w:rPr>
                      <w:rFonts w:hint="eastAsia" w:ascii="Times New Roman" w:hAnsi="Times New Roman"/>
                      <w:color w:val="auto"/>
                      <w:sz w:val="21"/>
                      <w:szCs w:val="18"/>
                      <w:lang w:val="en-US" w:eastAsia="zh-CN"/>
                    </w:rPr>
                    <w:t>钢筋混凝土结构。</w:t>
                  </w:r>
                </w:p>
              </w:tc>
              <w:tc>
                <w:tcPr>
                  <w:tcW w:w="357" w:type="pct"/>
                  <w:vMerge w:val="continue"/>
                  <w:noWrap w:val="0"/>
                  <w:vAlign w:val="center"/>
                </w:tcPr>
                <w:p w14:paraId="743D4541">
                  <w:pPr>
                    <w:pStyle w:val="52"/>
                    <w:bidi w:val="0"/>
                    <w:rPr>
                      <w:rFonts w:hint="eastAsia" w:ascii="Times New Roman" w:hAnsi="Times New Roman" w:eastAsia="宋体" w:cs="Times New Roman"/>
                      <w:color w:val="auto"/>
                      <w:lang w:val="en-US" w:eastAsia="zh-CN"/>
                    </w:rPr>
                  </w:pPr>
                </w:p>
              </w:tc>
            </w:tr>
            <w:tr w14:paraId="35D05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continue"/>
                  <w:noWrap w:val="0"/>
                  <w:vAlign w:val="center"/>
                </w:tcPr>
                <w:p w14:paraId="064FE130">
                  <w:pPr>
                    <w:pStyle w:val="52"/>
                    <w:bidi w:val="0"/>
                    <w:rPr>
                      <w:rFonts w:hint="default"/>
                      <w:color w:val="auto"/>
                    </w:rPr>
                  </w:pPr>
                </w:p>
              </w:tc>
              <w:tc>
                <w:tcPr>
                  <w:tcW w:w="783" w:type="pct"/>
                  <w:gridSpan w:val="2"/>
                  <w:noWrap w:val="0"/>
                  <w:vAlign w:val="center"/>
                </w:tcPr>
                <w:p w14:paraId="520343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18"/>
                    </w:rPr>
                  </w:pPr>
                  <w:r>
                    <w:rPr>
                      <w:rFonts w:hint="eastAsia" w:ascii="Times New Roman" w:hAnsi="Times New Roman"/>
                      <w:color w:val="auto"/>
                      <w:sz w:val="21"/>
                      <w:szCs w:val="18"/>
                    </w:rPr>
                    <w:t>事故应急池</w:t>
                  </w:r>
                </w:p>
                <w:p w14:paraId="36A779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18"/>
                    </w:rPr>
                  </w:pPr>
                  <w:r>
                    <w:rPr>
                      <w:rFonts w:hint="eastAsia" w:ascii="Times New Roman" w:hAnsi="Times New Roman"/>
                      <w:color w:val="auto"/>
                      <w:sz w:val="21"/>
                      <w:szCs w:val="18"/>
                    </w:rPr>
                    <w:t>兼初期雨水</w:t>
                  </w:r>
                </w:p>
                <w:p w14:paraId="387E07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olor w:val="auto"/>
                      <w:sz w:val="21"/>
                      <w:szCs w:val="18"/>
                    </w:rPr>
                  </w:pPr>
                  <w:r>
                    <w:rPr>
                      <w:rFonts w:hint="eastAsia" w:ascii="Times New Roman" w:hAnsi="Times New Roman"/>
                      <w:color w:val="auto"/>
                      <w:sz w:val="21"/>
                      <w:szCs w:val="18"/>
                    </w:rPr>
                    <w:t>池</w:t>
                  </w:r>
                </w:p>
              </w:tc>
              <w:tc>
                <w:tcPr>
                  <w:tcW w:w="3555" w:type="pct"/>
                  <w:noWrap w:val="0"/>
                  <w:vAlign w:val="center"/>
                </w:tcPr>
                <w:p w14:paraId="6ABCC13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olor w:val="auto"/>
                      <w:sz w:val="21"/>
                      <w:szCs w:val="18"/>
                      <w:lang w:val="en-US" w:eastAsia="zh-CN"/>
                    </w:rPr>
                  </w:pPr>
                  <w:r>
                    <w:rPr>
                      <w:rFonts w:hint="eastAsia" w:ascii="Times New Roman" w:hAnsi="Times New Roman"/>
                      <w:color w:val="auto"/>
                      <w:sz w:val="21"/>
                      <w:szCs w:val="18"/>
                      <w:lang w:val="en-US" w:eastAsia="zh-CN"/>
                    </w:rPr>
                    <w:t>1F，占地面积458.4m²，为钢筋混凝土结构，有效容积1</w:t>
                  </w:r>
                  <w:r>
                    <w:rPr>
                      <w:rFonts w:hint="eastAsia"/>
                      <w:color w:val="auto"/>
                      <w:sz w:val="21"/>
                      <w:szCs w:val="18"/>
                      <w:lang w:val="en-US" w:eastAsia="zh-CN"/>
                    </w:rPr>
                    <w:t>4</w:t>
                  </w:r>
                  <w:r>
                    <w:rPr>
                      <w:rFonts w:hint="eastAsia" w:ascii="Times New Roman" w:hAnsi="Times New Roman"/>
                      <w:color w:val="auto"/>
                      <w:sz w:val="21"/>
                      <w:szCs w:val="18"/>
                      <w:lang w:val="en-US" w:eastAsia="zh-CN"/>
                    </w:rPr>
                    <w:t>00m³。</w:t>
                  </w:r>
                </w:p>
              </w:tc>
              <w:tc>
                <w:tcPr>
                  <w:tcW w:w="357" w:type="pct"/>
                  <w:vMerge w:val="continue"/>
                  <w:noWrap w:val="0"/>
                  <w:vAlign w:val="center"/>
                </w:tcPr>
                <w:p w14:paraId="20CE6A06">
                  <w:pPr>
                    <w:pStyle w:val="52"/>
                    <w:bidi w:val="0"/>
                    <w:rPr>
                      <w:rFonts w:hint="eastAsia" w:ascii="Times New Roman" w:hAnsi="Times New Roman" w:eastAsia="宋体" w:cs="Times New Roman"/>
                      <w:color w:val="auto"/>
                      <w:lang w:val="en-US" w:eastAsia="zh-CN"/>
                    </w:rPr>
                  </w:pPr>
                </w:p>
              </w:tc>
            </w:tr>
            <w:tr w14:paraId="1FA20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continue"/>
                  <w:noWrap w:val="0"/>
                  <w:vAlign w:val="center"/>
                </w:tcPr>
                <w:p w14:paraId="4EAB9901">
                  <w:pPr>
                    <w:pStyle w:val="52"/>
                    <w:bidi w:val="0"/>
                    <w:rPr>
                      <w:rFonts w:hint="default"/>
                      <w:color w:val="auto"/>
                    </w:rPr>
                  </w:pPr>
                </w:p>
              </w:tc>
              <w:tc>
                <w:tcPr>
                  <w:tcW w:w="783" w:type="pct"/>
                  <w:gridSpan w:val="2"/>
                  <w:noWrap w:val="0"/>
                  <w:vAlign w:val="center"/>
                </w:tcPr>
                <w:p w14:paraId="330373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18"/>
                    </w:rPr>
                  </w:pPr>
                  <w:r>
                    <w:rPr>
                      <w:rFonts w:hint="eastAsia" w:ascii="Times New Roman" w:hAnsi="Times New Roman"/>
                      <w:color w:val="auto"/>
                      <w:sz w:val="21"/>
                      <w:szCs w:val="18"/>
                    </w:rPr>
                    <w:t>供水系统</w:t>
                  </w:r>
                </w:p>
              </w:tc>
              <w:tc>
                <w:tcPr>
                  <w:tcW w:w="3555" w:type="pct"/>
                  <w:noWrap w:val="0"/>
                  <w:vAlign w:val="center"/>
                </w:tcPr>
                <w:p w14:paraId="77A9D1D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olor w:val="auto"/>
                      <w:szCs w:val="21"/>
                      <w:lang w:val="en-US" w:eastAsia="zh-CN"/>
                    </w:rPr>
                  </w:pPr>
                  <w:r>
                    <w:rPr>
                      <w:rFonts w:hint="eastAsia" w:ascii="Times New Roman" w:hAnsi="Times New Roman"/>
                      <w:color w:val="auto"/>
                      <w:sz w:val="21"/>
                      <w:szCs w:val="18"/>
                      <w:lang w:val="en-US" w:eastAsia="zh-CN"/>
                    </w:rPr>
                    <w:t>项目所在地无自来水管网，故项目用水由厂区自备井提供</w:t>
                  </w:r>
                </w:p>
              </w:tc>
              <w:tc>
                <w:tcPr>
                  <w:tcW w:w="357" w:type="pct"/>
                  <w:vMerge w:val="continue"/>
                  <w:noWrap w:val="0"/>
                  <w:vAlign w:val="center"/>
                </w:tcPr>
                <w:p w14:paraId="089AD2EE">
                  <w:pPr>
                    <w:pStyle w:val="52"/>
                    <w:bidi w:val="0"/>
                    <w:rPr>
                      <w:rFonts w:hint="eastAsia" w:ascii="Times New Roman" w:hAnsi="Times New Roman" w:eastAsia="宋体" w:cs="Times New Roman"/>
                      <w:color w:val="auto"/>
                      <w:lang w:val="en-US" w:eastAsia="zh-CN"/>
                    </w:rPr>
                  </w:pPr>
                </w:p>
              </w:tc>
            </w:tr>
            <w:tr w14:paraId="0A9B9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continue"/>
                  <w:noWrap w:val="0"/>
                  <w:vAlign w:val="center"/>
                </w:tcPr>
                <w:p w14:paraId="021B4273">
                  <w:pPr>
                    <w:pStyle w:val="52"/>
                    <w:bidi w:val="0"/>
                    <w:rPr>
                      <w:rFonts w:hint="default"/>
                      <w:color w:val="auto"/>
                    </w:rPr>
                  </w:pPr>
                </w:p>
              </w:tc>
              <w:tc>
                <w:tcPr>
                  <w:tcW w:w="783" w:type="pct"/>
                  <w:gridSpan w:val="2"/>
                  <w:noWrap w:val="0"/>
                  <w:vAlign w:val="center"/>
                </w:tcPr>
                <w:p w14:paraId="17F1F0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18"/>
                    </w:rPr>
                  </w:pPr>
                  <w:r>
                    <w:rPr>
                      <w:rFonts w:hint="eastAsia" w:ascii="Times New Roman" w:hAnsi="Times New Roman"/>
                      <w:color w:val="auto"/>
                      <w:sz w:val="21"/>
                      <w:szCs w:val="18"/>
                    </w:rPr>
                    <w:t>供电系统</w:t>
                  </w:r>
                </w:p>
              </w:tc>
              <w:tc>
                <w:tcPr>
                  <w:tcW w:w="3555" w:type="pct"/>
                  <w:noWrap w:val="0"/>
                  <w:vAlign w:val="center"/>
                </w:tcPr>
                <w:p w14:paraId="0EE8F6D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color w:val="auto"/>
                      <w:szCs w:val="21"/>
                      <w:lang w:val="en-US" w:eastAsia="zh-CN"/>
                    </w:rPr>
                  </w:pPr>
                  <w:r>
                    <w:rPr>
                      <w:rFonts w:hint="eastAsia" w:ascii="Times New Roman" w:hAnsi="Times New Roman"/>
                      <w:color w:val="auto"/>
                      <w:sz w:val="21"/>
                      <w:szCs w:val="18"/>
                      <w:lang w:val="en-US" w:eastAsia="zh-CN"/>
                    </w:rPr>
                    <w:t>主要设备的能源供应均是用电，由市政供电系统提供</w:t>
                  </w:r>
                </w:p>
              </w:tc>
              <w:tc>
                <w:tcPr>
                  <w:tcW w:w="357" w:type="pct"/>
                  <w:vMerge w:val="continue"/>
                  <w:noWrap w:val="0"/>
                  <w:vAlign w:val="center"/>
                </w:tcPr>
                <w:p w14:paraId="5BD75E1F">
                  <w:pPr>
                    <w:pStyle w:val="52"/>
                    <w:bidi w:val="0"/>
                    <w:rPr>
                      <w:rFonts w:hint="eastAsia" w:ascii="Times New Roman" w:hAnsi="Times New Roman" w:eastAsia="宋体" w:cs="Times New Roman"/>
                      <w:color w:val="auto"/>
                      <w:lang w:val="en-US" w:eastAsia="zh-CN"/>
                    </w:rPr>
                  </w:pPr>
                </w:p>
              </w:tc>
            </w:tr>
            <w:tr w14:paraId="4C5AB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04" w:type="pct"/>
                  <w:vMerge w:val="continue"/>
                  <w:noWrap w:val="0"/>
                  <w:vAlign w:val="center"/>
                </w:tcPr>
                <w:p w14:paraId="6E4BA298">
                  <w:pPr>
                    <w:pStyle w:val="52"/>
                    <w:bidi w:val="0"/>
                    <w:rPr>
                      <w:rFonts w:hint="default"/>
                      <w:color w:val="auto"/>
                    </w:rPr>
                  </w:pPr>
                </w:p>
              </w:tc>
              <w:tc>
                <w:tcPr>
                  <w:tcW w:w="263" w:type="pct"/>
                  <w:vMerge w:val="restart"/>
                  <w:noWrap w:val="0"/>
                  <w:vAlign w:val="center"/>
                </w:tcPr>
                <w:p w14:paraId="017F2CB1">
                  <w:pPr>
                    <w:pStyle w:val="52"/>
                    <w:bidi w:val="0"/>
                    <w:rPr>
                      <w:rFonts w:hint="default"/>
                      <w:color w:val="auto"/>
                    </w:rPr>
                  </w:pPr>
                  <w:r>
                    <w:rPr>
                      <w:rFonts w:hint="default"/>
                      <w:color w:val="auto"/>
                    </w:rPr>
                    <w:t>排水</w:t>
                  </w:r>
                </w:p>
              </w:tc>
              <w:tc>
                <w:tcPr>
                  <w:tcW w:w="520" w:type="pct"/>
                  <w:noWrap w:val="0"/>
                  <w:vAlign w:val="center"/>
                </w:tcPr>
                <w:p w14:paraId="2B45115E">
                  <w:pPr>
                    <w:pStyle w:val="52"/>
                    <w:bidi w:val="0"/>
                    <w:rPr>
                      <w:rFonts w:hint="default"/>
                      <w:color w:val="auto"/>
                    </w:rPr>
                  </w:pPr>
                  <w:r>
                    <w:rPr>
                      <w:rFonts w:hint="default"/>
                      <w:color w:val="auto"/>
                    </w:rPr>
                    <w:t>生活</w:t>
                  </w:r>
                </w:p>
                <w:p w14:paraId="41D085E7">
                  <w:pPr>
                    <w:pStyle w:val="52"/>
                    <w:bidi w:val="0"/>
                    <w:rPr>
                      <w:rFonts w:hint="default"/>
                      <w:color w:val="auto"/>
                      <w:lang w:val="en-US" w:eastAsia="zh-CN"/>
                    </w:rPr>
                  </w:pPr>
                  <w:r>
                    <w:rPr>
                      <w:rFonts w:hint="default"/>
                      <w:color w:val="auto"/>
                    </w:rPr>
                    <w:t>污水</w:t>
                  </w:r>
                </w:p>
              </w:tc>
              <w:tc>
                <w:tcPr>
                  <w:tcW w:w="3555" w:type="pct"/>
                  <w:noWrap w:val="0"/>
                  <w:vAlign w:val="center"/>
                </w:tcPr>
                <w:p w14:paraId="3FDE9317">
                  <w:pPr>
                    <w:pStyle w:val="52"/>
                    <w:bidi w:val="0"/>
                    <w:jc w:val="both"/>
                    <w:rPr>
                      <w:rFonts w:hint="default" w:eastAsia="宋体"/>
                      <w:color w:val="auto"/>
                      <w:lang w:val="en-US" w:eastAsia="zh-CN"/>
                    </w:rPr>
                  </w:pPr>
                  <w:r>
                    <w:rPr>
                      <w:rFonts w:hint="eastAsia"/>
                      <w:color w:val="auto"/>
                      <w:lang w:val="en-US" w:eastAsia="zh-CN"/>
                    </w:rPr>
                    <w:t>生活污水经厂区化粪池收集预处理后接管排入园区污水管网再进入长青工业园区污水处理厂进一步处理</w:t>
                  </w:r>
                </w:p>
              </w:tc>
              <w:tc>
                <w:tcPr>
                  <w:tcW w:w="357" w:type="pct"/>
                  <w:vMerge w:val="continue"/>
                  <w:noWrap w:val="0"/>
                  <w:vAlign w:val="center"/>
                </w:tcPr>
                <w:p w14:paraId="7C718A9C">
                  <w:pPr>
                    <w:pStyle w:val="52"/>
                    <w:bidi w:val="0"/>
                    <w:rPr>
                      <w:rFonts w:hint="default"/>
                      <w:color w:val="auto"/>
                      <w:lang w:val="en-US" w:eastAsia="zh-CN"/>
                    </w:rPr>
                  </w:pPr>
                </w:p>
              </w:tc>
            </w:tr>
            <w:tr w14:paraId="4F007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04" w:type="pct"/>
                  <w:vMerge w:val="continue"/>
                  <w:noWrap w:val="0"/>
                  <w:vAlign w:val="center"/>
                </w:tcPr>
                <w:p w14:paraId="6E1AF136">
                  <w:pPr>
                    <w:pStyle w:val="52"/>
                    <w:bidi w:val="0"/>
                    <w:rPr>
                      <w:rFonts w:hint="default"/>
                      <w:color w:val="auto"/>
                    </w:rPr>
                  </w:pPr>
                </w:p>
              </w:tc>
              <w:tc>
                <w:tcPr>
                  <w:tcW w:w="263" w:type="pct"/>
                  <w:vMerge w:val="continue"/>
                  <w:noWrap w:val="0"/>
                  <w:vAlign w:val="center"/>
                </w:tcPr>
                <w:p w14:paraId="175F2CF8">
                  <w:pPr>
                    <w:pStyle w:val="52"/>
                    <w:bidi w:val="0"/>
                    <w:rPr>
                      <w:rFonts w:hint="default"/>
                      <w:color w:val="auto"/>
                    </w:rPr>
                  </w:pPr>
                </w:p>
              </w:tc>
              <w:tc>
                <w:tcPr>
                  <w:tcW w:w="520" w:type="pct"/>
                  <w:noWrap w:val="0"/>
                  <w:vAlign w:val="center"/>
                </w:tcPr>
                <w:p w14:paraId="17D94F43">
                  <w:pPr>
                    <w:pStyle w:val="52"/>
                    <w:bidi w:val="0"/>
                    <w:rPr>
                      <w:rFonts w:hint="eastAsia"/>
                      <w:color w:val="auto"/>
                      <w:lang w:val="en-US" w:eastAsia="zh-CN"/>
                    </w:rPr>
                  </w:pPr>
                  <w:r>
                    <w:rPr>
                      <w:rFonts w:hint="eastAsia"/>
                      <w:color w:val="auto"/>
                      <w:lang w:val="en-US" w:eastAsia="zh-CN"/>
                    </w:rPr>
                    <w:t>生产</w:t>
                  </w:r>
                </w:p>
                <w:p w14:paraId="0F7A64D7">
                  <w:pPr>
                    <w:pStyle w:val="52"/>
                    <w:bidi w:val="0"/>
                    <w:rPr>
                      <w:rFonts w:hint="default"/>
                      <w:color w:val="auto"/>
                      <w:lang w:val="en-US" w:eastAsia="zh-CN"/>
                    </w:rPr>
                  </w:pPr>
                  <w:r>
                    <w:rPr>
                      <w:rFonts w:hint="eastAsia"/>
                      <w:color w:val="auto"/>
                      <w:lang w:val="en-US" w:eastAsia="zh-CN"/>
                    </w:rPr>
                    <w:t>废水</w:t>
                  </w:r>
                </w:p>
              </w:tc>
              <w:tc>
                <w:tcPr>
                  <w:tcW w:w="3555" w:type="pct"/>
                  <w:noWrap w:val="0"/>
                  <w:vAlign w:val="center"/>
                </w:tcPr>
                <w:p w14:paraId="6F582E3E">
                  <w:pPr>
                    <w:pStyle w:val="52"/>
                    <w:bidi w:val="0"/>
                    <w:jc w:val="both"/>
                    <w:rPr>
                      <w:rFonts w:hint="default"/>
                      <w:color w:val="auto"/>
                      <w:lang w:val="en-US" w:eastAsia="zh-CN"/>
                    </w:rPr>
                  </w:pPr>
                  <w:r>
                    <w:rPr>
                      <w:rFonts w:hint="default" w:ascii="Times New Roman" w:hAnsi="Times New Roman" w:eastAsia="宋体" w:cs="Times New Roman"/>
                      <w:color w:val="000000" w:themeColor="text1"/>
                      <w:lang w:val="en-US" w:eastAsia="zh-CN"/>
                      <w14:textFill>
                        <w14:solidFill>
                          <w14:schemeClr w14:val="tx1"/>
                        </w14:solidFill>
                      </w14:textFill>
                    </w:rPr>
                    <w:t>排放至园区污水管线进入长青工业园污水处理厂（宝鸡天龙污水处理有限公司）处理</w:t>
                  </w:r>
                  <w:r>
                    <w:rPr>
                      <w:rFonts w:hint="eastAsia" w:cs="Times New Roman"/>
                      <w:color w:val="000000" w:themeColor="text1"/>
                      <w:lang w:val="en-US" w:eastAsia="zh-CN"/>
                      <w14:textFill>
                        <w14:solidFill>
                          <w14:schemeClr w14:val="tx1"/>
                        </w14:solidFill>
                      </w14:textFill>
                    </w:rPr>
                    <w:t>。</w:t>
                  </w:r>
                </w:p>
              </w:tc>
              <w:tc>
                <w:tcPr>
                  <w:tcW w:w="357" w:type="pct"/>
                  <w:vMerge w:val="continue"/>
                  <w:noWrap w:val="0"/>
                  <w:vAlign w:val="center"/>
                </w:tcPr>
                <w:p w14:paraId="52A6AFA6">
                  <w:pPr>
                    <w:pStyle w:val="52"/>
                    <w:bidi w:val="0"/>
                    <w:rPr>
                      <w:rFonts w:hint="eastAsia"/>
                      <w:color w:val="auto"/>
                      <w:lang w:val="en-US" w:eastAsia="zh-CN"/>
                    </w:rPr>
                  </w:pPr>
                </w:p>
              </w:tc>
            </w:tr>
            <w:tr w14:paraId="2E907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continue"/>
                  <w:noWrap w:val="0"/>
                  <w:vAlign w:val="center"/>
                </w:tcPr>
                <w:p w14:paraId="5D51CF3D">
                  <w:pPr>
                    <w:pStyle w:val="52"/>
                    <w:bidi w:val="0"/>
                    <w:rPr>
                      <w:rFonts w:hint="default"/>
                      <w:color w:val="auto"/>
                    </w:rPr>
                  </w:pPr>
                </w:p>
              </w:tc>
              <w:tc>
                <w:tcPr>
                  <w:tcW w:w="783" w:type="pct"/>
                  <w:gridSpan w:val="2"/>
                  <w:noWrap w:val="0"/>
                  <w:vAlign w:val="center"/>
                </w:tcPr>
                <w:p w14:paraId="715033C7">
                  <w:pPr>
                    <w:pStyle w:val="52"/>
                    <w:bidi w:val="0"/>
                    <w:rPr>
                      <w:rFonts w:hint="default"/>
                      <w:color w:val="auto"/>
                    </w:rPr>
                  </w:pPr>
                  <w:r>
                    <w:rPr>
                      <w:rFonts w:hint="default"/>
                      <w:color w:val="auto"/>
                    </w:rPr>
                    <w:t>供配电</w:t>
                  </w:r>
                </w:p>
              </w:tc>
              <w:tc>
                <w:tcPr>
                  <w:tcW w:w="3555" w:type="pct"/>
                  <w:noWrap w:val="0"/>
                  <w:vAlign w:val="center"/>
                </w:tcPr>
                <w:p w14:paraId="218F4EA8">
                  <w:pPr>
                    <w:pStyle w:val="52"/>
                    <w:bidi w:val="0"/>
                    <w:jc w:val="both"/>
                    <w:rPr>
                      <w:rFonts w:hint="eastAsia" w:eastAsia="宋体"/>
                      <w:color w:val="auto"/>
                      <w:lang w:eastAsia="zh-CN"/>
                    </w:rPr>
                  </w:pPr>
                  <w:r>
                    <w:rPr>
                      <w:rFonts w:hint="default"/>
                      <w:color w:val="auto"/>
                    </w:rPr>
                    <w:t>由当地供电局供电，可满足项目运营期的用电需求</w:t>
                  </w:r>
                </w:p>
              </w:tc>
              <w:tc>
                <w:tcPr>
                  <w:tcW w:w="357" w:type="pct"/>
                  <w:vMerge w:val="continue"/>
                  <w:noWrap w:val="0"/>
                  <w:vAlign w:val="center"/>
                </w:tcPr>
                <w:p w14:paraId="1F9256B6">
                  <w:pPr>
                    <w:pStyle w:val="52"/>
                    <w:bidi w:val="0"/>
                    <w:rPr>
                      <w:rFonts w:hint="default"/>
                      <w:color w:val="auto"/>
                    </w:rPr>
                  </w:pPr>
                </w:p>
              </w:tc>
            </w:tr>
            <w:tr w14:paraId="24949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continue"/>
                  <w:noWrap w:val="0"/>
                  <w:vAlign w:val="center"/>
                </w:tcPr>
                <w:p w14:paraId="16580D22">
                  <w:pPr>
                    <w:pStyle w:val="52"/>
                    <w:bidi w:val="0"/>
                    <w:rPr>
                      <w:rFonts w:hint="default"/>
                      <w:color w:val="auto"/>
                    </w:rPr>
                  </w:pPr>
                </w:p>
              </w:tc>
              <w:tc>
                <w:tcPr>
                  <w:tcW w:w="783" w:type="pct"/>
                  <w:gridSpan w:val="2"/>
                  <w:noWrap w:val="0"/>
                  <w:vAlign w:val="center"/>
                </w:tcPr>
                <w:p w14:paraId="04C215AC">
                  <w:pPr>
                    <w:pStyle w:val="52"/>
                    <w:bidi w:val="0"/>
                    <w:ind w:left="-24" w:leftChars="-10" w:right="-24" w:rightChars="-10" w:firstLine="0" w:firstLineChars="0"/>
                    <w:rPr>
                      <w:rFonts w:hint="default" w:ascii="Times New Roman" w:hAnsi="Times New Roman" w:eastAsia="宋体"/>
                      <w:bCs/>
                      <w:color w:val="auto"/>
                      <w:kern w:val="0"/>
                      <w:sz w:val="21"/>
                      <w:szCs w:val="21"/>
                      <w:lang w:val="en-US" w:eastAsia="zh-CN" w:bidi="ar-SA"/>
                    </w:rPr>
                  </w:pPr>
                  <w:r>
                    <w:rPr>
                      <w:rFonts w:hint="default"/>
                      <w:color w:val="auto"/>
                    </w:rPr>
                    <w:t>供暖制冷</w:t>
                  </w:r>
                </w:p>
              </w:tc>
              <w:tc>
                <w:tcPr>
                  <w:tcW w:w="3555" w:type="pct"/>
                  <w:noWrap w:val="0"/>
                  <w:vAlign w:val="center"/>
                </w:tcPr>
                <w:p w14:paraId="4F461B4A">
                  <w:pPr>
                    <w:pStyle w:val="52"/>
                    <w:bidi w:val="0"/>
                    <w:ind w:left="-24" w:leftChars="-10" w:right="-24" w:rightChars="-10" w:firstLine="0" w:firstLineChars="0"/>
                    <w:jc w:val="both"/>
                    <w:rPr>
                      <w:rFonts w:hint="default" w:ascii="Times New Roman" w:hAnsi="Times New Roman" w:eastAsia="宋体"/>
                      <w:bCs/>
                      <w:color w:val="auto"/>
                      <w:kern w:val="0"/>
                      <w:sz w:val="21"/>
                      <w:szCs w:val="21"/>
                      <w:lang w:val="en-US" w:eastAsia="zh-CN" w:bidi="ar-SA"/>
                    </w:rPr>
                  </w:pPr>
                  <w:r>
                    <w:rPr>
                      <w:rFonts w:hint="default"/>
                      <w:color w:val="auto"/>
                    </w:rPr>
                    <w:t>办公供暖制冷采用分体空调</w:t>
                  </w:r>
                </w:p>
              </w:tc>
              <w:tc>
                <w:tcPr>
                  <w:tcW w:w="357" w:type="pct"/>
                  <w:vMerge w:val="continue"/>
                  <w:noWrap w:val="0"/>
                  <w:vAlign w:val="center"/>
                </w:tcPr>
                <w:p w14:paraId="335676D9">
                  <w:pPr>
                    <w:pStyle w:val="52"/>
                    <w:bidi w:val="0"/>
                    <w:rPr>
                      <w:rFonts w:hint="default"/>
                      <w:color w:val="auto"/>
                    </w:rPr>
                  </w:pPr>
                </w:p>
              </w:tc>
            </w:tr>
            <w:tr w14:paraId="1FE48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restart"/>
                  <w:noWrap w:val="0"/>
                  <w:vAlign w:val="center"/>
                </w:tcPr>
                <w:p w14:paraId="57DD373C">
                  <w:pPr>
                    <w:pStyle w:val="52"/>
                    <w:bidi w:val="0"/>
                    <w:rPr>
                      <w:rFonts w:hint="default"/>
                      <w:color w:val="auto"/>
                    </w:rPr>
                  </w:pPr>
                  <w:r>
                    <w:rPr>
                      <w:rFonts w:hint="default"/>
                      <w:color w:val="auto"/>
                    </w:rPr>
                    <w:t>环保工程</w:t>
                  </w:r>
                </w:p>
              </w:tc>
              <w:tc>
                <w:tcPr>
                  <w:tcW w:w="783" w:type="pct"/>
                  <w:gridSpan w:val="2"/>
                  <w:noWrap w:val="0"/>
                  <w:vAlign w:val="center"/>
                </w:tcPr>
                <w:p w14:paraId="1916B078">
                  <w:pPr>
                    <w:pStyle w:val="52"/>
                    <w:bidi w:val="0"/>
                    <w:ind w:left="-24" w:leftChars="-10" w:right="-24" w:rightChars="-10" w:firstLine="0" w:firstLineChars="0"/>
                    <w:rPr>
                      <w:rFonts w:hint="default" w:ascii="Times New Roman" w:hAnsi="Times New Roman" w:eastAsia="宋体" w:cs="Times New Roman"/>
                      <w:color w:val="auto"/>
                      <w:lang w:val="en-US" w:eastAsia="zh-CN"/>
                    </w:rPr>
                  </w:pPr>
                  <w:r>
                    <w:rPr>
                      <w:rFonts w:hint="default"/>
                      <w:color w:val="auto"/>
                    </w:rPr>
                    <w:t>废气</w:t>
                  </w:r>
                </w:p>
              </w:tc>
              <w:tc>
                <w:tcPr>
                  <w:tcW w:w="3555" w:type="pct"/>
                  <w:noWrap w:val="0"/>
                  <w:vAlign w:val="center"/>
                </w:tcPr>
                <w:p w14:paraId="790B48FC">
                  <w:pPr>
                    <w:pStyle w:val="52"/>
                    <w:bidi w:val="0"/>
                    <w:ind w:left="-24" w:leftChars="-10" w:right="-24" w:rightChars="-10" w:firstLine="0" w:firstLineChars="0"/>
                    <w:jc w:val="both"/>
                    <w:rPr>
                      <w:rFonts w:hint="eastAsia" w:ascii="Times New Roman" w:hAnsi="Times New Roman" w:eastAsia="宋体" w:cs="Times New Roman"/>
                      <w:color w:val="auto"/>
                      <w:lang w:val="zh-CN"/>
                    </w:rPr>
                  </w:pPr>
                  <w:r>
                    <w:rPr>
                      <w:rFonts w:hint="eastAsia" w:ascii="Times New Roman" w:hAnsi="Times New Roman" w:eastAsia="宋体" w:cs="Times New Roman"/>
                      <w:color w:val="auto"/>
                      <w:lang w:val="zh-CN"/>
                    </w:rPr>
                    <w:t>项目产生的废气主要为水冷塔和分子筛吸附器放空的部分氮气、污氮气、空气中的水蒸气以及分馏系统放空的部分氮气和车辆运输废气。</w:t>
                  </w:r>
                </w:p>
                <w:p w14:paraId="4F518677">
                  <w:pPr>
                    <w:pStyle w:val="52"/>
                    <w:bidi w:val="0"/>
                    <w:ind w:left="-24" w:leftChars="-10" w:right="-24" w:rightChars="-10" w:firstLine="0" w:firstLineChars="0"/>
                    <w:jc w:val="both"/>
                    <w:rPr>
                      <w:rFonts w:hint="eastAsia" w:ascii="Times New Roman" w:hAnsi="Times New Roman" w:eastAsia="宋体" w:cs="Times New Roman"/>
                      <w:color w:val="auto"/>
                      <w:lang w:val="zh-CN"/>
                    </w:rPr>
                  </w:pPr>
                  <w:r>
                    <w:rPr>
                      <w:rFonts w:hint="eastAsia" w:ascii="Times New Roman" w:hAnsi="Times New Roman" w:eastAsia="宋体" w:cs="Times New Roman"/>
                      <w:color w:val="auto"/>
                      <w:lang w:val="zh-CN"/>
                    </w:rPr>
                    <w:t>“污氮”等气体通过在作业区采取充分的通风换气措施</w:t>
                  </w:r>
                  <w:r>
                    <w:rPr>
                      <w:rFonts w:hint="eastAsia" w:ascii="Times New Roman" w:hAnsi="Times New Roman" w:eastAsia="宋体" w:cs="Times New Roman"/>
                      <w:color w:val="auto"/>
                      <w:lang w:val="en-US" w:eastAsia="zh-CN"/>
                    </w:rPr>
                    <w:t>无组织排放</w:t>
                  </w:r>
                  <w:r>
                    <w:rPr>
                      <w:rFonts w:hint="eastAsia" w:ascii="Times New Roman" w:hAnsi="Times New Roman" w:eastAsia="宋体" w:cs="Times New Roman"/>
                      <w:color w:val="auto"/>
                      <w:lang w:val="zh-CN"/>
                    </w:rPr>
                    <w:t>；车辆运输废气通过生产及运输地面硬化，</w:t>
                  </w:r>
                  <w:r>
                    <w:rPr>
                      <w:rFonts w:hint="eastAsia" w:cs="Times New Roman"/>
                      <w:color w:val="auto"/>
                      <w:lang w:val="zh-CN"/>
                    </w:rPr>
                    <w:t>对厂区内运输道路及厂区外附近运输道路实施洒水抑尘等措施</w:t>
                  </w:r>
                  <w:r>
                    <w:rPr>
                      <w:rFonts w:hint="eastAsia" w:ascii="Times New Roman" w:hAnsi="Times New Roman" w:eastAsia="宋体" w:cs="Times New Roman"/>
                      <w:color w:val="auto"/>
                      <w:lang w:val="zh-CN"/>
                    </w:rPr>
                    <w:t>。</w:t>
                  </w:r>
                </w:p>
                <w:p w14:paraId="055F0B4E">
                  <w:pPr>
                    <w:pStyle w:val="52"/>
                    <w:bidi w:val="0"/>
                    <w:ind w:left="-24" w:leftChars="-10" w:right="-24" w:rightChars="-10" w:firstLine="0" w:firstLineChars="0"/>
                    <w:jc w:val="both"/>
                    <w:rPr>
                      <w:rFonts w:hint="eastAsia"/>
                      <w:sz w:val="21"/>
                      <w:szCs w:val="21"/>
                      <w:lang w:eastAsia="zh-CN"/>
                    </w:rPr>
                  </w:pPr>
                  <w:r>
                    <w:rPr>
                      <w:rFonts w:hint="eastAsia" w:ascii="Times New Roman" w:cs="Times New Roman"/>
                      <w:color w:val="000000"/>
                      <w:sz w:val="21"/>
                      <w:lang w:val="en-US" w:eastAsia="zh-CN"/>
                    </w:rPr>
                    <w:t>卸料、充装废气：</w:t>
                  </w:r>
                  <w:r>
                    <w:rPr>
                      <w:rFonts w:hint="eastAsia"/>
                      <w:color w:val="000000"/>
                      <w:sz w:val="21"/>
                      <w:szCs w:val="21"/>
                      <w:lang w:val="en-US" w:eastAsia="zh-CN"/>
                    </w:rPr>
                    <w:t>加强通风，</w:t>
                  </w:r>
                  <w:r>
                    <w:rPr>
                      <w:rFonts w:hint="eastAsia" w:cs="Times New Roman"/>
                      <w:color w:val="000000"/>
                      <w:sz w:val="21"/>
                      <w:szCs w:val="21"/>
                      <w:highlight w:val="none"/>
                      <w:u w:val="none" w:color="auto"/>
                      <w:lang w:val="en-US" w:eastAsia="zh-CN"/>
                    </w:rPr>
                    <w:t>企业需</w:t>
                  </w:r>
                  <w:r>
                    <w:rPr>
                      <w:rFonts w:hint="eastAsia"/>
                      <w:sz w:val="21"/>
                      <w:szCs w:val="21"/>
                      <w:lang w:val="en-US" w:eastAsia="zh-CN"/>
                    </w:rPr>
                    <w:t>加强管理巡查，</w:t>
                  </w:r>
                  <w:r>
                    <w:rPr>
                      <w:rFonts w:hint="eastAsia"/>
                      <w:sz w:val="21"/>
                      <w:szCs w:val="21"/>
                    </w:rPr>
                    <w:t>开展泄漏检测</w:t>
                  </w:r>
                  <w:r>
                    <w:rPr>
                      <w:rFonts w:hint="eastAsia"/>
                      <w:sz w:val="21"/>
                      <w:szCs w:val="21"/>
                      <w:lang w:val="en-US" w:eastAsia="zh-CN"/>
                    </w:rPr>
                    <w:t>修复</w:t>
                  </w:r>
                  <w:r>
                    <w:rPr>
                      <w:rFonts w:hint="eastAsia"/>
                      <w:sz w:val="21"/>
                      <w:szCs w:val="21"/>
                    </w:rPr>
                    <w:t>，装卸环节建立气相平衡系统</w:t>
                  </w:r>
                  <w:r>
                    <w:rPr>
                      <w:rFonts w:hint="eastAsia"/>
                      <w:sz w:val="21"/>
                      <w:szCs w:val="21"/>
                      <w:lang w:eastAsia="zh-CN"/>
                    </w:rPr>
                    <w:t>。</w:t>
                  </w:r>
                </w:p>
                <w:p w14:paraId="68436539">
                  <w:pPr>
                    <w:pStyle w:val="52"/>
                    <w:bidi w:val="0"/>
                    <w:ind w:left="-24" w:leftChars="-10" w:right="-24" w:rightChars="-10" w:firstLine="0" w:firstLineChars="0"/>
                    <w:jc w:val="both"/>
                    <w:rPr>
                      <w:rFonts w:hint="eastAsia"/>
                      <w:sz w:val="21"/>
                      <w:szCs w:val="21"/>
                      <w:lang w:val="en-US" w:eastAsia="zh-CN"/>
                    </w:rPr>
                  </w:pPr>
                  <w:r>
                    <w:rPr>
                      <w:rFonts w:hint="eastAsia" w:ascii="Times New Roman" w:cs="Times New Roman"/>
                      <w:color w:val="000000"/>
                      <w:sz w:val="21"/>
                      <w:lang w:val="en-US" w:eastAsia="zh-CN"/>
                    </w:rPr>
                    <w:t>食堂油烟：油烟净化器+专用烟管排放。</w:t>
                  </w:r>
                </w:p>
              </w:tc>
              <w:tc>
                <w:tcPr>
                  <w:tcW w:w="357" w:type="pct"/>
                  <w:vMerge w:val="restart"/>
                  <w:noWrap w:val="0"/>
                  <w:vAlign w:val="center"/>
                </w:tcPr>
                <w:p w14:paraId="06C9C5EF">
                  <w:pPr>
                    <w:pStyle w:val="52"/>
                    <w:bidi w:val="0"/>
                    <w:rPr>
                      <w:rFonts w:hint="eastAsia"/>
                      <w:color w:val="auto"/>
                      <w:lang w:val="en-US" w:eastAsia="zh-CN"/>
                    </w:rPr>
                  </w:pPr>
                  <w:r>
                    <w:rPr>
                      <w:rFonts w:hint="eastAsia"/>
                      <w:color w:val="auto"/>
                      <w:lang w:val="en-US" w:eastAsia="zh-CN"/>
                    </w:rPr>
                    <w:t>新建</w:t>
                  </w:r>
                </w:p>
              </w:tc>
            </w:tr>
            <w:tr w14:paraId="5D6E26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continue"/>
                  <w:noWrap w:val="0"/>
                  <w:vAlign w:val="center"/>
                </w:tcPr>
                <w:p w14:paraId="482CFD46">
                  <w:pPr>
                    <w:pStyle w:val="52"/>
                    <w:bidi w:val="0"/>
                    <w:rPr>
                      <w:rFonts w:hint="default"/>
                      <w:color w:val="auto"/>
                    </w:rPr>
                  </w:pPr>
                </w:p>
              </w:tc>
              <w:tc>
                <w:tcPr>
                  <w:tcW w:w="263" w:type="pct"/>
                  <w:vMerge w:val="restart"/>
                  <w:noWrap w:val="0"/>
                  <w:vAlign w:val="center"/>
                </w:tcPr>
                <w:p w14:paraId="455831B9">
                  <w:pPr>
                    <w:pStyle w:val="52"/>
                    <w:bidi w:val="0"/>
                    <w:rPr>
                      <w:rFonts w:hint="default"/>
                      <w:color w:val="auto"/>
                    </w:rPr>
                  </w:pPr>
                  <w:r>
                    <w:rPr>
                      <w:rFonts w:hint="default"/>
                      <w:color w:val="auto"/>
                    </w:rPr>
                    <w:t>废水</w:t>
                  </w:r>
                </w:p>
              </w:tc>
              <w:tc>
                <w:tcPr>
                  <w:tcW w:w="520" w:type="pct"/>
                  <w:noWrap w:val="0"/>
                  <w:vAlign w:val="center"/>
                </w:tcPr>
                <w:p w14:paraId="306389C1">
                  <w:pPr>
                    <w:pStyle w:val="52"/>
                    <w:bidi w:val="0"/>
                    <w:ind w:left="-24" w:leftChars="-10" w:right="-24" w:rightChars="-1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w:t>
                  </w:r>
                </w:p>
                <w:p w14:paraId="1EA33D41">
                  <w:pPr>
                    <w:pStyle w:val="52"/>
                    <w:bidi w:val="0"/>
                    <w:ind w:left="-24" w:leftChars="-10" w:right="-24" w:rightChars="-1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污水</w:t>
                  </w:r>
                </w:p>
              </w:tc>
              <w:tc>
                <w:tcPr>
                  <w:tcW w:w="3555" w:type="pct"/>
                  <w:noWrap w:val="0"/>
                  <w:vAlign w:val="center"/>
                </w:tcPr>
                <w:p w14:paraId="188FE868">
                  <w:pPr>
                    <w:pStyle w:val="52"/>
                    <w:bidi w:val="0"/>
                    <w:ind w:left="-24" w:leftChars="-10" w:right="-24" w:rightChars="-10" w:firstLine="0" w:firstLineChars="0"/>
                    <w:jc w:val="both"/>
                    <w:rPr>
                      <w:rFonts w:hint="default" w:ascii="Times New Roman" w:hAnsi="Times New Roman" w:eastAsia="宋体" w:cs="Times New Roman"/>
                      <w:color w:val="auto"/>
                      <w:lang w:val="en-US" w:eastAsia="zh-CN"/>
                    </w:rPr>
                  </w:pPr>
                  <w:r>
                    <w:rPr>
                      <w:rFonts w:hint="eastAsia"/>
                      <w:color w:val="auto"/>
                      <w:lang w:val="en-US" w:eastAsia="zh-CN"/>
                    </w:rPr>
                    <w:t>经厂区化粪池收集预处理后接管排入园区污水管网再进入长青工业园区污水处理厂进一步处理。</w:t>
                  </w:r>
                </w:p>
              </w:tc>
              <w:tc>
                <w:tcPr>
                  <w:tcW w:w="357" w:type="pct"/>
                  <w:vMerge w:val="continue"/>
                  <w:noWrap w:val="0"/>
                  <w:vAlign w:val="center"/>
                </w:tcPr>
                <w:p w14:paraId="1A2F145E">
                  <w:pPr>
                    <w:pStyle w:val="52"/>
                    <w:bidi w:val="0"/>
                    <w:rPr>
                      <w:rFonts w:hint="eastAsia"/>
                      <w:color w:val="auto"/>
                      <w:lang w:val="en-US" w:eastAsia="zh-CN"/>
                    </w:rPr>
                  </w:pPr>
                </w:p>
              </w:tc>
            </w:tr>
            <w:tr w14:paraId="0A950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304" w:type="pct"/>
                  <w:vMerge w:val="continue"/>
                  <w:noWrap w:val="0"/>
                  <w:vAlign w:val="center"/>
                </w:tcPr>
                <w:p w14:paraId="50B98A79">
                  <w:pPr>
                    <w:pStyle w:val="52"/>
                    <w:bidi w:val="0"/>
                    <w:rPr>
                      <w:rFonts w:hint="default"/>
                      <w:color w:val="auto"/>
                    </w:rPr>
                  </w:pPr>
                </w:p>
              </w:tc>
              <w:tc>
                <w:tcPr>
                  <w:tcW w:w="263" w:type="pct"/>
                  <w:vMerge w:val="continue"/>
                  <w:noWrap w:val="0"/>
                  <w:vAlign w:val="center"/>
                </w:tcPr>
                <w:p w14:paraId="6B9CE3D3">
                  <w:pPr>
                    <w:pStyle w:val="52"/>
                    <w:bidi w:val="0"/>
                    <w:rPr>
                      <w:rFonts w:hint="default"/>
                      <w:color w:val="auto"/>
                    </w:rPr>
                  </w:pPr>
                </w:p>
              </w:tc>
              <w:tc>
                <w:tcPr>
                  <w:tcW w:w="520" w:type="pct"/>
                  <w:noWrap w:val="0"/>
                  <w:vAlign w:val="center"/>
                </w:tcPr>
                <w:p w14:paraId="65B85542">
                  <w:pPr>
                    <w:pStyle w:val="52"/>
                    <w:bidi w:val="0"/>
                    <w:ind w:left="-24" w:leftChars="-10" w:right="-24" w:rightChars="-10"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生产</w:t>
                  </w:r>
                </w:p>
                <w:p w14:paraId="2328D124">
                  <w:pPr>
                    <w:pStyle w:val="52"/>
                    <w:bidi w:val="0"/>
                    <w:ind w:left="-24" w:leftChars="-10" w:right="-24" w:rightChars="-10"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废水</w:t>
                  </w:r>
                </w:p>
              </w:tc>
              <w:tc>
                <w:tcPr>
                  <w:tcW w:w="3555" w:type="pct"/>
                  <w:noWrap w:val="0"/>
                  <w:vAlign w:val="center"/>
                </w:tcPr>
                <w:p w14:paraId="68E18865">
                  <w:pPr>
                    <w:pStyle w:val="52"/>
                    <w:bidi w:val="0"/>
                    <w:ind w:left="-24" w:leftChars="-10" w:right="-24" w:rightChars="-10" w:firstLine="0" w:firstLineChars="0"/>
                    <w:jc w:val="both"/>
                    <w:rPr>
                      <w:rFonts w:hint="default" w:ascii="Times New Roman" w:hAnsi="Times New Roman" w:eastAsia="宋体" w:cs="Times New Roman"/>
                      <w:color w:val="auto"/>
                      <w:lang w:val="en-US" w:eastAsia="zh-CN"/>
                    </w:rPr>
                  </w:pPr>
                  <w:r>
                    <w:rPr>
                      <w:rFonts w:hint="eastAsia"/>
                      <w:color w:val="auto"/>
                      <w:lang w:eastAsia="zh-CN"/>
                    </w:rPr>
                    <w:t>设备冷却循环水排污水</w:t>
                  </w:r>
                  <w:r>
                    <w:rPr>
                      <w:rFonts w:hint="default" w:ascii="Times New Roman" w:hAnsi="Times New Roman" w:eastAsia="宋体" w:cs="Times New Roman"/>
                      <w:color w:val="000000" w:themeColor="text1"/>
                      <w:lang w:val="en-US" w:eastAsia="zh-CN"/>
                      <w14:textFill>
                        <w14:solidFill>
                          <w14:schemeClr w14:val="tx1"/>
                        </w14:solidFill>
                      </w14:textFill>
                    </w:rPr>
                    <w:t>排放至园区污水管线进入长青工业园污水处理厂（宝鸡天龙污水处理有限公司）处理</w:t>
                  </w:r>
                  <w:r>
                    <w:rPr>
                      <w:rFonts w:hint="eastAsia" w:cs="Times New Roman"/>
                      <w:color w:val="000000" w:themeColor="text1"/>
                      <w:lang w:val="en-US" w:eastAsia="zh-CN"/>
                      <w14:textFill>
                        <w14:solidFill>
                          <w14:schemeClr w14:val="tx1"/>
                        </w14:solidFill>
                      </w14:textFill>
                    </w:rPr>
                    <w:t>。</w:t>
                  </w:r>
                </w:p>
              </w:tc>
              <w:tc>
                <w:tcPr>
                  <w:tcW w:w="357" w:type="pct"/>
                  <w:vMerge w:val="continue"/>
                  <w:noWrap w:val="0"/>
                  <w:vAlign w:val="center"/>
                </w:tcPr>
                <w:p w14:paraId="64AF8972">
                  <w:pPr>
                    <w:pStyle w:val="52"/>
                    <w:bidi w:val="0"/>
                    <w:rPr>
                      <w:rFonts w:hint="eastAsia"/>
                      <w:color w:val="auto"/>
                      <w:lang w:val="en-US" w:eastAsia="zh-CN"/>
                    </w:rPr>
                  </w:pPr>
                </w:p>
              </w:tc>
            </w:tr>
            <w:tr w14:paraId="1E2A7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04" w:type="pct"/>
                  <w:vMerge w:val="continue"/>
                  <w:noWrap w:val="0"/>
                  <w:vAlign w:val="center"/>
                </w:tcPr>
                <w:p w14:paraId="470F459F">
                  <w:pPr>
                    <w:pStyle w:val="52"/>
                    <w:bidi w:val="0"/>
                    <w:rPr>
                      <w:rFonts w:hint="default"/>
                      <w:color w:val="auto"/>
                    </w:rPr>
                  </w:pPr>
                </w:p>
              </w:tc>
              <w:tc>
                <w:tcPr>
                  <w:tcW w:w="263" w:type="pct"/>
                  <w:noWrap w:val="0"/>
                  <w:vAlign w:val="center"/>
                </w:tcPr>
                <w:p w14:paraId="1ABB74C7">
                  <w:pPr>
                    <w:pStyle w:val="52"/>
                    <w:bidi w:val="0"/>
                    <w:rPr>
                      <w:rFonts w:hint="default"/>
                      <w:color w:val="auto"/>
                    </w:rPr>
                  </w:pPr>
                  <w:r>
                    <w:rPr>
                      <w:rFonts w:hint="default"/>
                      <w:color w:val="auto"/>
                    </w:rPr>
                    <w:t>噪声</w:t>
                  </w:r>
                </w:p>
              </w:tc>
              <w:tc>
                <w:tcPr>
                  <w:tcW w:w="520" w:type="pct"/>
                  <w:noWrap w:val="0"/>
                  <w:vAlign w:val="center"/>
                </w:tcPr>
                <w:p w14:paraId="2C30B00E">
                  <w:pPr>
                    <w:pStyle w:val="52"/>
                    <w:bidi w:val="0"/>
                    <w:ind w:left="-24" w:leftChars="-10" w:right="-24" w:rightChars="-10" w:firstLine="0" w:firstLineChars="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生产</w:t>
                  </w:r>
                </w:p>
                <w:p w14:paraId="34A7D43B">
                  <w:pPr>
                    <w:pStyle w:val="52"/>
                    <w:bidi w:val="0"/>
                    <w:ind w:left="-24" w:leftChars="-10" w:right="-24" w:rightChars="-10" w:firstLine="0" w:firstLineChars="0"/>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设备</w:t>
                  </w:r>
                </w:p>
              </w:tc>
              <w:tc>
                <w:tcPr>
                  <w:tcW w:w="3555" w:type="pct"/>
                  <w:noWrap w:val="0"/>
                  <w:vAlign w:val="center"/>
                </w:tcPr>
                <w:p w14:paraId="684C7B67">
                  <w:pPr>
                    <w:pStyle w:val="52"/>
                    <w:bidi w:val="0"/>
                    <w:ind w:left="-24" w:leftChars="-10" w:right="-24" w:rightChars="-10" w:firstLine="0" w:firstLineChars="0"/>
                    <w:jc w:val="both"/>
                    <w:rPr>
                      <w:rFonts w:hint="default" w:ascii="Times New Roman" w:hAnsi="Times New Roman" w:eastAsia="宋体" w:cs="Times New Roman"/>
                      <w:color w:val="auto"/>
                      <w:lang w:val="zh-CN" w:eastAsia="zh-CN"/>
                    </w:rPr>
                  </w:pPr>
                  <w:r>
                    <w:rPr>
                      <w:rFonts w:hint="default" w:ascii="Times New Roman" w:hAnsi="Times New Roman" w:eastAsia="宋体" w:cs="Times New Roman"/>
                      <w:color w:val="auto"/>
                      <w:lang w:val="zh-CN" w:eastAsia="zh-CN"/>
                    </w:rPr>
                    <w:t>①对空压机、氮压机</w:t>
                  </w:r>
                  <w:r>
                    <w:rPr>
                      <w:rFonts w:hint="eastAsia" w:cs="Times New Roman"/>
                      <w:color w:val="auto"/>
                      <w:lang w:val="zh-CN" w:eastAsia="zh-CN"/>
                    </w:rPr>
                    <w:t>布置在封闭厂房内</w:t>
                  </w:r>
                  <w:r>
                    <w:rPr>
                      <w:rFonts w:hint="default" w:ascii="Times New Roman" w:hAnsi="Times New Roman" w:eastAsia="宋体" w:cs="Times New Roman"/>
                      <w:color w:val="auto"/>
                      <w:lang w:val="zh-CN" w:eastAsia="zh-CN"/>
                    </w:rPr>
                    <w:t>；②对空压机、氧活塞机、氮压机出口管道</w:t>
                  </w:r>
                  <w:r>
                    <w:rPr>
                      <w:rFonts w:hint="eastAsia" w:ascii="Times New Roman" w:hAnsi="Times New Roman" w:eastAsia="宋体" w:cs="Times New Roman"/>
                      <w:color w:val="auto"/>
                      <w:lang w:val="en-US" w:eastAsia="zh-CN"/>
                    </w:rPr>
                    <w:t>等</w:t>
                  </w:r>
                  <w:r>
                    <w:rPr>
                      <w:rFonts w:hint="default" w:ascii="Times New Roman" w:hAnsi="Times New Roman" w:eastAsia="宋体" w:cs="Times New Roman"/>
                      <w:color w:val="auto"/>
                      <w:lang w:val="zh-CN" w:eastAsia="zh-CN"/>
                    </w:rPr>
                    <w:t>产生气体流动力噪声的管道、容器，采用包扎隔声材料；</w:t>
                  </w:r>
                  <w:r>
                    <w:rPr>
                      <w:rFonts w:hint="eastAsia" w:ascii="Times New Roman" w:hAnsi="Times New Roman" w:eastAsia="宋体" w:cs="Times New Roman"/>
                      <w:color w:val="auto"/>
                      <w:lang w:val="en-US" w:eastAsia="zh-CN"/>
                    </w:rPr>
                    <w:t>③</w:t>
                  </w:r>
                  <w:r>
                    <w:rPr>
                      <w:rFonts w:hint="default" w:ascii="Times New Roman" w:hAnsi="Times New Roman" w:eastAsia="宋体" w:cs="Times New Roman"/>
                      <w:color w:val="auto"/>
                      <w:lang w:val="zh-CN" w:eastAsia="zh-CN"/>
                    </w:rPr>
                    <w:t>氧气、氮气放散和空气放空管上均设有消声器；</w:t>
                  </w:r>
                  <w:r>
                    <w:rPr>
                      <w:rFonts w:hint="eastAsia" w:ascii="Times New Roman" w:hAnsi="Times New Roman" w:eastAsia="宋体" w:cs="Times New Roman"/>
                      <w:color w:val="auto"/>
                      <w:lang w:val="en-US" w:eastAsia="zh-CN"/>
                    </w:rPr>
                    <w:t>④</w:t>
                  </w:r>
                  <w:r>
                    <w:rPr>
                      <w:rFonts w:hint="default" w:ascii="Times New Roman" w:hAnsi="Times New Roman" w:eastAsia="宋体" w:cs="Times New Roman"/>
                      <w:color w:val="auto"/>
                      <w:lang w:val="zh-CN" w:eastAsia="zh-CN"/>
                    </w:rPr>
                    <w:t>大功率水泵的进/出水管处设有减震接头；</w:t>
                  </w:r>
                  <w:r>
                    <w:rPr>
                      <w:rFonts w:hint="eastAsia" w:ascii="Times New Roman" w:hAnsi="Times New Roman" w:eastAsia="宋体" w:cs="Times New Roman"/>
                      <w:color w:val="auto"/>
                      <w:lang w:val="en-US" w:eastAsia="zh-CN"/>
                    </w:rPr>
                    <w:t>⑤</w:t>
                  </w:r>
                  <w:r>
                    <w:rPr>
                      <w:rFonts w:hint="default" w:ascii="Times New Roman" w:hAnsi="Times New Roman" w:eastAsia="宋体" w:cs="Times New Roman"/>
                      <w:color w:val="auto"/>
                      <w:lang w:val="zh-CN" w:eastAsia="zh-CN"/>
                    </w:rPr>
                    <w:t>在总图布置上，制氧区域道路两旁设有绿化带，减少噪声污染；⑥运输车辆减速慢行，禁止厂内鸣笛。</w:t>
                  </w:r>
                </w:p>
              </w:tc>
              <w:tc>
                <w:tcPr>
                  <w:tcW w:w="357" w:type="pct"/>
                  <w:vMerge w:val="continue"/>
                  <w:noWrap w:val="0"/>
                  <w:vAlign w:val="center"/>
                </w:tcPr>
                <w:p w14:paraId="14B37473">
                  <w:pPr>
                    <w:pStyle w:val="52"/>
                    <w:bidi w:val="0"/>
                    <w:rPr>
                      <w:rFonts w:hint="default"/>
                      <w:color w:val="auto"/>
                    </w:rPr>
                  </w:pPr>
                </w:p>
              </w:tc>
            </w:tr>
            <w:tr w14:paraId="1E3A7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04" w:type="pct"/>
                  <w:vMerge w:val="continue"/>
                  <w:noWrap w:val="0"/>
                  <w:vAlign w:val="center"/>
                </w:tcPr>
                <w:p w14:paraId="68DBD2B9">
                  <w:pPr>
                    <w:pStyle w:val="52"/>
                    <w:bidi w:val="0"/>
                    <w:rPr>
                      <w:rFonts w:hint="default"/>
                      <w:color w:val="auto"/>
                    </w:rPr>
                  </w:pPr>
                </w:p>
              </w:tc>
              <w:tc>
                <w:tcPr>
                  <w:tcW w:w="263" w:type="pct"/>
                  <w:vMerge w:val="restart"/>
                  <w:noWrap w:val="0"/>
                  <w:vAlign w:val="center"/>
                </w:tcPr>
                <w:p w14:paraId="3E2E5067">
                  <w:pPr>
                    <w:pStyle w:val="52"/>
                    <w:bidi w:val="0"/>
                    <w:rPr>
                      <w:rFonts w:hint="default"/>
                      <w:color w:val="auto"/>
                    </w:rPr>
                  </w:pPr>
                  <w:r>
                    <w:rPr>
                      <w:rFonts w:hint="default"/>
                      <w:color w:val="auto"/>
                    </w:rPr>
                    <w:t>固废</w:t>
                  </w:r>
                </w:p>
              </w:tc>
              <w:tc>
                <w:tcPr>
                  <w:tcW w:w="520" w:type="pct"/>
                  <w:noWrap w:val="0"/>
                  <w:vAlign w:val="center"/>
                </w:tcPr>
                <w:p w14:paraId="265ECC11">
                  <w:pPr>
                    <w:pStyle w:val="52"/>
                    <w:bidi w:val="0"/>
                    <w:ind w:left="-24" w:leftChars="-10" w:right="-24" w:rightChars="-10"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一般工业固废</w:t>
                  </w:r>
                </w:p>
              </w:tc>
              <w:tc>
                <w:tcPr>
                  <w:tcW w:w="3555" w:type="pct"/>
                  <w:noWrap w:val="0"/>
                  <w:vAlign w:val="center"/>
                </w:tcPr>
                <w:p w14:paraId="71415247">
                  <w:pPr>
                    <w:pStyle w:val="52"/>
                    <w:bidi w:val="0"/>
                    <w:ind w:left="-24" w:leftChars="-10" w:right="-24" w:rightChars="-10" w:firstLine="0" w:firstLineChars="0"/>
                    <w:jc w:val="both"/>
                    <w:rPr>
                      <w:rFonts w:hint="eastAsia" w:ascii="Times New Roman" w:hAnsi="Times New Roman" w:eastAsia="宋体" w:cs="Times New Roman"/>
                      <w:color w:val="auto"/>
                      <w:szCs w:val="21"/>
                      <w:lang w:val="en-US" w:eastAsia="zh-CN"/>
                    </w:rPr>
                  </w:pPr>
                  <w:r>
                    <w:rPr>
                      <w:rFonts w:hint="eastAsia"/>
                      <w:color w:val="auto"/>
                      <w:szCs w:val="21"/>
                      <w:lang w:val="en-US" w:eastAsia="zh-CN"/>
                    </w:rPr>
                    <w:t>空气分离线产生的</w:t>
                  </w:r>
                  <w:r>
                    <w:rPr>
                      <w:rFonts w:hint="eastAsia" w:ascii="Times New Roman" w:hAnsi="Times New Roman"/>
                      <w:color w:val="auto"/>
                      <w:szCs w:val="21"/>
                      <w:lang w:val="en-US" w:eastAsia="zh-CN"/>
                    </w:rPr>
                    <w:t>废旧滤筒</w:t>
                  </w:r>
                  <w:r>
                    <w:rPr>
                      <w:rFonts w:hint="eastAsia"/>
                      <w:color w:val="auto"/>
                      <w:szCs w:val="21"/>
                      <w:lang w:val="en-US" w:eastAsia="zh-CN"/>
                    </w:rPr>
                    <w:t>、</w:t>
                  </w:r>
                  <w:r>
                    <w:rPr>
                      <w:rFonts w:hint="eastAsia" w:ascii="Times New Roman" w:hAnsi="Times New Roman"/>
                      <w:color w:val="auto"/>
                      <w:szCs w:val="21"/>
                      <w:lang w:val="en-US" w:eastAsia="zh-CN"/>
                    </w:rPr>
                    <w:t>废吸附剂（分子筛和氧化铝）</w:t>
                  </w:r>
                  <w:r>
                    <w:rPr>
                      <w:rFonts w:hint="eastAsia"/>
                      <w:color w:val="auto"/>
                      <w:szCs w:val="21"/>
                      <w:lang w:val="en-US" w:eastAsia="zh-CN"/>
                    </w:rPr>
                    <w:t>、</w:t>
                  </w:r>
                  <w:r>
                    <w:rPr>
                      <w:rFonts w:hint="eastAsia" w:ascii="Times New Roman" w:hAnsi="Times New Roman"/>
                      <w:color w:val="auto"/>
                      <w:szCs w:val="21"/>
                      <w:lang w:val="en-US" w:eastAsia="zh-CN"/>
                    </w:rPr>
                    <w:t>废珠光砂</w:t>
                  </w:r>
                  <w:r>
                    <w:rPr>
                      <w:rFonts w:hint="eastAsia"/>
                      <w:color w:val="auto"/>
                      <w:szCs w:val="21"/>
                      <w:lang w:val="en-US" w:eastAsia="zh-CN"/>
                    </w:rPr>
                    <w:t>不在厂内暂存，厂家更换后回收。气体充装线产生的</w:t>
                  </w:r>
                  <w:r>
                    <w:rPr>
                      <w:rFonts w:hint="eastAsia" w:ascii="Times New Roman" w:hAnsi="Times New Roman"/>
                      <w:color w:val="auto"/>
                      <w:szCs w:val="21"/>
                      <w:lang w:val="en-US" w:eastAsia="zh-CN"/>
                    </w:rPr>
                    <w:t>废钢瓶统一收集暂存于一般固废暂存区，定期送至当地有资质的钢瓶检验站进行检验、报废</w:t>
                  </w:r>
                  <w:r>
                    <w:rPr>
                      <w:rFonts w:hint="eastAsia"/>
                      <w:color w:val="auto"/>
                      <w:szCs w:val="21"/>
                      <w:lang w:val="en-US" w:eastAsia="zh-CN"/>
                    </w:rPr>
                    <w:t>。</w:t>
                  </w:r>
                </w:p>
              </w:tc>
              <w:tc>
                <w:tcPr>
                  <w:tcW w:w="357" w:type="pct"/>
                  <w:noWrap w:val="0"/>
                  <w:vAlign w:val="center"/>
                </w:tcPr>
                <w:p w14:paraId="5057D7F3">
                  <w:pPr>
                    <w:pStyle w:val="52"/>
                    <w:bidi w:val="0"/>
                    <w:rPr>
                      <w:rFonts w:hint="eastAsia" w:eastAsia="宋体"/>
                      <w:color w:val="auto"/>
                      <w:lang w:val="en-US" w:eastAsia="zh-CN"/>
                    </w:rPr>
                  </w:pPr>
                  <w:r>
                    <w:rPr>
                      <w:rFonts w:hint="eastAsia"/>
                      <w:color w:val="auto"/>
                      <w:lang w:val="en-US" w:eastAsia="zh-CN"/>
                    </w:rPr>
                    <w:t>新建</w:t>
                  </w:r>
                </w:p>
              </w:tc>
            </w:tr>
            <w:tr w14:paraId="47407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04" w:type="pct"/>
                  <w:vMerge w:val="continue"/>
                  <w:noWrap w:val="0"/>
                  <w:vAlign w:val="center"/>
                </w:tcPr>
                <w:p w14:paraId="1160A0BF">
                  <w:pPr>
                    <w:pStyle w:val="52"/>
                    <w:bidi w:val="0"/>
                    <w:rPr>
                      <w:rFonts w:hint="default"/>
                      <w:color w:val="auto"/>
                    </w:rPr>
                  </w:pPr>
                </w:p>
              </w:tc>
              <w:tc>
                <w:tcPr>
                  <w:tcW w:w="263" w:type="pct"/>
                  <w:vMerge w:val="continue"/>
                  <w:noWrap w:val="0"/>
                  <w:vAlign w:val="center"/>
                </w:tcPr>
                <w:p w14:paraId="185D6EF3">
                  <w:pPr>
                    <w:pStyle w:val="52"/>
                    <w:bidi w:val="0"/>
                    <w:rPr>
                      <w:rFonts w:hint="default"/>
                      <w:color w:val="auto"/>
                    </w:rPr>
                  </w:pPr>
                </w:p>
              </w:tc>
              <w:tc>
                <w:tcPr>
                  <w:tcW w:w="520" w:type="pct"/>
                  <w:noWrap w:val="0"/>
                  <w:vAlign w:val="center"/>
                </w:tcPr>
                <w:p w14:paraId="4F7F70FB">
                  <w:pPr>
                    <w:pStyle w:val="52"/>
                    <w:bidi w:val="0"/>
                    <w:ind w:left="-24" w:leftChars="-10" w:right="-24" w:rightChars="-10"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危险</w:t>
                  </w:r>
                </w:p>
                <w:p w14:paraId="427F6D4D">
                  <w:pPr>
                    <w:pStyle w:val="52"/>
                    <w:bidi w:val="0"/>
                    <w:ind w:left="-24" w:leftChars="-10" w:right="-24" w:rightChars="-10"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废物</w:t>
                  </w:r>
                </w:p>
              </w:tc>
              <w:tc>
                <w:tcPr>
                  <w:tcW w:w="3555" w:type="pct"/>
                  <w:noWrap w:val="0"/>
                  <w:vAlign w:val="center"/>
                </w:tcPr>
                <w:p w14:paraId="1F3D35CC">
                  <w:pPr>
                    <w:pStyle w:val="52"/>
                    <w:bidi w:val="0"/>
                    <w:ind w:left="-24" w:leftChars="-10" w:right="-24" w:rightChars="-10" w:firstLine="0" w:firstLineChars="0"/>
                    <w:jc w:val="both"/>
                    <w:rPr>
                      <w:rFonts w:hint="default" w:ascii="Times New Roman" w:hAnsi="Times New Roman" w:eastAsia="宋体" w:cs="Times New Roman"/>
                      <w:b w:val="0"/>
                      <w:bCs w:val="0"/>
                      <w:color w:val="auto"/>
                      <w:highlight w:val="none"/>
                      <w:lang w:val="en-US" w:eastAsia="zh-CN"/>
                    </w:rPr>
                  </w:pPr>
                  <w:r>
                    <w:rPr>
                      <w:rFonts w:hint="eastAsia"/>
                      <w:color w:val="auto"/>
                      <w:szCs w:val="21"/>
                      <w:lang w:val="en-US" w:eastAsia="zh-CN"/>
                    </w:rPr>
                    <w:t>丙烷及液化石油气充装产生的报废乙炔及液化石油气钢瓶统一收集暂存于危废贮存库，定期送至当地有资质的钢瓶检验站进行检验、报废。液化石油气充装产生的液化石油气残液</w:t>
                  </w:r>
                  <w:r>
                    <w:rPr>
                      <w:rFonts w:hint="eastAsia"/>
                      <w:color w:val="auto"/>
                      <w:szCs w:val="21"/>
                      <w:lang w:val="en-US" w:eastAsia="zh-CN"/>
                    </w:rPr>
                    <w:tab/>
                  </w:r>
                  <w:r>
                    <w:rPr>
                      <w:rFonts w:hint="eastAsia"/>
                      <w:color w:val="auto"/>
                      <w:szCs w:val="21"/>
                      <w:lang w:val="en-US" w:eastAsia="zh-CN"/>
                    </w:rPr>
                    <w:t>收集至</w:t>
                  </w:r>
                  <w:r>
                    <w:rPr>
                      <w:rFonts w:hint="eastAsia" w:ascii="Times New Roman" w:cs="Times New Roman"/>
                      <w:color w:val="000000"/>
                      <w:sz w:val="21"/>
                    </w:rPr>
                    <w:t>一个50m</w:t>
                  </w:r>
                  <w:r>
                    <w:rPr>
                      <w:rFonts w:hint="default" w:ascii="Times New Roman" w:hAnsi="Times New Roman" w:cs="Times New Roman"/>
                      <w:color w:val="000000"/>
                      <w:sz w:val="21"/>
                    </w:rPr>
                    <w:t>³</w:t>
                  </w:r>
                  <w:r>
                    <w:rPr>
                      <w:rFonts w:hint="eastAsia"/>
                      <w:color w:val="auto"/>
                      <w:szCs w:val="21"/>
                      <w:lang w:val="en-US" w:eastAsia="zh-CN"/>
                    </w:rPr>
                    <w:t>残液储罐暂存，定期委托液化石油气供应单位进行回收处理。设备维护保养产生的废润滑油、含油抹布、手套和废油桶在危废贮存库暂存，定期交由有资质单位处置。</w:t>
                  </w:r>
                </w:p>
              </w:tc>
              <w:tc>
                <w:tcPr>
                  <w:tcW w:w="357" w:type="pct"/>
                  <w:noWrap w:val="0"/>
                  <w:vAlign w:val="center"/>
                </w:tcPr>
                <w:p w14:paraId="2BAA9E98">
                  <w:pPr>
                    <w:pStyle w:val="52"/>
                    <w:bidi w:val="0"/>
                    <w:rPr>
                      <w:rFonts w:hint="eastAsia" w:eastAsia="宋体"/>
                      <w:color w:val="auto"/>
                      <w:lang w:val="en-US" w:eastAsia="zh-CN"/>
                    </w:rPr>
                  </w:pPr>
                  <w:r>
                    <w:rPr>
                      <w:rFonts w:hint="eastAsia"/>
                      <w:color w:val="auto"/>
                      <w:lang w:val="en-US" w:eastAsia="zh-CN"/>
                    </w:rPr>
                    <w:t>新建</w:t>
                  </w:r>
                </w:p>
              </w:tc>
            </w:tr>
            <w:tr w14:paraId="7DA6E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04" w:type="pct"/>
                  <w:vMerge w:val="continue"/>
                  <w:noWrap w:val="0"/>
                  <w:vAlign w:val="center"/>
                </w:tcPr>
                <w:p w14:paraId="74985C7C">
                  <w:pPr>
                    <w:pStyle w:val="52"/>
                    <w:bidi w:val="0"/>
                    <w:rPr>
                      <w:rFonts w:hint="default"/>
                      <w:color w:val="auto"/>
                    </w:rPr>
                  </w:pPr>
                </w:p>
              </w:tc>
              <w:tc>
                <w:tcPr>
                  <w:tcW w:w="263" w:type="pct"/>
                  <w:vMerge w:val="continue"/>
                  <w:noWrap w:val="0"/>
                  <w:vAlign w:val="center"/>
                </w:tcPr>
                <w:p w14:paraId="261AAF89">
                  <w:pPr>
                    <w:pStyle w:val="52"/>
                    <w:bidi w:val="0"/>
                    <w:rPr>
                      <w:rFonts w:hint="default"/>
                      <w:color w:val="auto"/>
                    </w:rPr>
                  </w:pPr>
                </w:p>
              </w:tc>
              <w:tc>
                <w:tcPr>
                  <w:tcW w:w="520" w:type="pct"/>
                  <w:noWrap w:val="0"/>
                  <w:vAlign w:val="center"/>
                </w:tcPr>
                <w:p w14:paraId="599B85C0">
                  <w:pPr>
                    <w:pStyle w:val="52"/>
                    <w:bidi w:val="0"/>
                    <w:rPr>
                      <w:rFonts w:hint="default"/>
                      <w:color w:val="auto"/>
                    </w:rPr>
                  </w:pPr>
                  <w:r>
                    <w:rPr>
                      <w:rFonts w:hint="default"/>
                      <w:color w:val="auto"/>
                    </w:rPr>
                    <w:t>生活</w:t>
                  </w:r>
                </w:p>
                <w:p w14:paraId="12F6B791">
                  <w:pPr>
                    <w:pStyle w:val="52"/>
                    <w:bidi w:val="0"/>
                    <w:ind w:left="-24" w:leftChars="-10" w:right="-24" w:rightChars="-10" w:firstLine="0" w:firstLineChars="0"/>
                    <w:rPr>
                      <w:rFonts w:hint="eastAsia" w:ascii="Times New Roman" w:hAnsi="Times New Roman" w:eastAsia="宋体"/>
                      <w:bCs/>
                      <w:color w:val="auto"/>
                      <w:kern w:val="0"/>
                      <w:sz w:val="21"/>
                      <w:szCs w:val="21"/>
                      <w:lang w:val="en-US" w:eastAsia="zh-CN" w:bidi="ar-SA"/>
                    </w:rPr>
                  </w:pPr>
                  <w:r>
                    <w:rPr>
                      <w:rFonts w:hint="default"/>
                      <w:color w:val="auto"/>
                    </w:rPr>
                    <w:t>垃圾</w:t>
                  </w:r>
                </w:p>
              </w:tc>
              <w:tc>
                <w:tcPr>
                  <w:tcW w:w="3555" w:type="pct"/>
                  <w:noWrap w:val="0"/>
                  <w:vAlign w:val="center"/>
                </w:tcPr>
                <w:p w14:paraId="1B042355">
                  <w:pPr>
                    <w:pStyle w:val="52"/>
                    <w:bidi w:val="0"/>
                    <w:ind w:left="-24" w:leftChars="-10" w:right="-24" w:rightChars="-10" w:firstLine="0" w:firstLineChars="0"/>
                    <w:jc w:val="both"/>
                    <w:rPr>
                      <w:rFonts w:hint="eastAsia" w:ascii="Times New Roman" w:hAnsi="Times New Roman" w:eastAsia="宋体"/>
                      <w:bCs/>
                      <w:color w:val="auto"/>
                      <w:kern w:val="0"/>
                      <w:sz w:val="21"/>
                      <w:szCs w:val="21"/>
                      <w:lang w:val="en-US" w:eastAsia="zh-CN" w:bidi="ar-SA"/>
                    </w:rPr>
                  </w:pPr>
                  <w:r>
                    <w:rPr>
                      <w:rFonts w:hint="eastAsia"/>
                      <w:color w:val="auto"/>
                      <w:lang w:val="en-US" w:eastAsia="zh-CN"/>
                    </w:rPr>
                    <w:t>由园区环卫部门统一处置。</w:t>
                  </w:r>
                </w:p>
              </w:tc>
              <w:tc>
                <w:tcPr>
                  <w:tcW w:w="357" w:type="pct"/>
                  <w:noWrap w:val="0"/>
                  <w:vAlign w:val="center"/>
                </w:tcPr>
                <w:p w14:paraId="6D55A6DF">
                  <w:pPr>
                    <w:pStyle w:val="52"/>
                    <w:bidi w:val="0"/>
                    <w:ind w:left="-24" w:leftChars="-10" w:right="-24" w:rightChars="-10" w:firstLine="0" w:firstLineChars="0"/>
                    <w:rPr>
                      <w:rFonts w:hint="eastAsia" w:ascii="Times New Roman" w:hAnsi="Times New Roman" w:eastAsia="宋体"/>
                      <w:bCs/>
                      <w:color w:val="auto"/>
                      <w:kern w:val="0"/>
                      <w:sz w:val="21"/>
                      <w:szCs w:val="21"/>
                      <w:lang w:val="en-US" w:eastAsia="zh-CN" w:bidi="ar-SA"/>
                    </w:rPr>
                  </w:pPr>
                  <w:r>
                    <w:rPr>
                      <w:rFonts w:hint="eastAsia"/>
                      <w:color w:val="auto"/>
                      <w:lang w:val="en-US" w:eastAsia="zh-CN"/>
                    </w:rPr>
                    <w:t>依托</w:t>
                  </w:r>
                </w:p>
              </w:tc>
            </w:tr>
            <w:tr w14:paraId="09801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04" w:type="pct"/>
                  <w:vMerge w:val="continue"/>
                  <w:noWrap w:val="0"/>
                  <w:vAlign w:val="center"/>
                </w:tcPr>
                <w:p w14:paraId="3294D821">
                  <w:pPr>
                    <w:pStyle w:val="52"/>
                    <w:bidi w:val="0"/>
                    <w:rPr>
                      <w:rFonts w:hint="default"/>
                      <w:color w:val="auto"/>
                    </w:rPr>
                  </w:pPr>
                </w:p>
              </w:tc>
              <w:tc>
                <w:tcPr>
                  <w:tcW w:w="263" w:type="pct"/>
                  <w:vMerge w:val="continue"/>
                  <w:noWrap w:val="0"/>
                  <w:vAlign w:val="center"/>
                </w:tcPr>
                <w:p w14:paraId="75145E79">
                  <w:pPr>
                    <w:pStyle w:val="52"/>
                    <w:bidi w:val="0"/>
                    <w:rPr>
                      <w:rFonts w:hint="default"/>
                      <w:color w:val="auto"/>
                    </w:rPr>
                  </w:pPr>
                </w:p>
              </w:tc>
              <w:tc>
                <w:tcPr>
                  <w:tcW w:w="520" w:type="pct"/>
                  <w:vMerge w:val="restart"/>
                  <w:noWrap w:val="0"/>
                  <w:vAlign w:val="center"/>
                </w:tcPr>
                <w:p w14:paraId="72A2B6A5">
                  <w:pPr>
                    <w:pStyle w:val="52"/>
                    <w:bidi w:val="0"/>
                    <w:rPr>
                      <w:rFonts w:hint="default"/>
                      <w:color w:val="auto"/>
                    </w:rPr>
                  </w:pPr>
                  <w:r>
                    <w:rPr>
                      <w:rFonts w:ascii="Times New Roman" w:hAnsi="Times New Roman"/>
                      <w:color w:val="auto"/>
                      <w:szCs w:val="21"/>
                      <w:highlight w:val="none"/>
                    </w:rPr>
                    <w:t>风险防范措施</w:t>
                  </w:r>
                </w:p>
              </w:tc>
              <w:tc>
                <w:tcPr>
                  <w:tcW w:w="3555" w:type="pct"/>
                  <w:noWrap w:val="0"/>
                  <w:vAlign w:val="center"/>
                </w:tcPr>
                <w:p w14:paraId="3015281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olor w:val="auto"/>
                      <w:kern w:val="2"/>
                      <w:sz w:val="21"/>
                      <w:szCs w:val="21"/>
                      <w:lang w:val="en-US" w:eastAsia="zh-CN" w:bidi="ar-SA"/>
                    </w:rPr>
                  </w:pPr>
                  <w:r>
                    <w:rPr>
                      <w:rFonts w:hint="eastAsia" w:ascii="Times New Roman" w:hAnsi="Times New Roman" w:eastAsia="宋体"/>
                      <w:color w:val="auto"/>
                      <w:sz w:val="21"/>
                      <w:szCs w:val="21"/>
                      <w:lang w:val="en-US" w:eastAsia="zh-CN"/>
                    </w:rPr>
                    <w:t>设事故应急池，切断阀，</w:t>
                  </w:r>
                  <w:r>
                    <w:rPr>
                      <w:rFonts w:ascii="Times New Roman" w:hAnsi="Times New Roman"/>
                      <w:color w:val="auto"/>
                      <w:sz w:val="21"/>
                      <w:szCs w:val="21"/>
                      <w:highlight w:val="none"/>
                    </w:rPr>
                    <w:t>收集厂区消防废水，地下式，</w:t>
                  </w:r>
                  <w:r>
                    <w:rPr>
                      <w:rFonts w:hint="eastAsia" w:ascii="Times New Roman" w:hAnsi="Times New Roman"/>
                      <w:color w:val="auto"/>
                      <w:sz w:val="21"/>
                      <w:szCs w:val="21"/>
                      <w:highlight w:val="none"/>
                      <w:lang w:val="en-US" w:eastAsia="zh-CN"/>
                    </w:rPr>
                    <w:t>140</w:t>
                  </w:r>
                  <w:r>
                    <w:rPr>
                      <w:rFonts w:ascii="Times New Roman" w:hAnsi="Times New Roman"/>
                      <w:color w:val="auto"/>
                      <w:sz w:val="21"/>
                      <w:szCs w:val="21"/>
                      <w:highlight w:val="none"/>
                    </w:rPr>
                    <w:t>0m</w:t>
                  </w:r>
                  <w:r>
                    <w:rPr>
                      <w:rFonts w:ascii="Times New Roman" w:hAnsi="Times New Roman"/>
                      <w:color w:val="auto"/>
                      <w:sz w:val="21"/>
                      <w:szCs w:val="21"/>
                      <w:highlight w:val="none"/>
                      <w:vertAlign w:val="superscript"/>
                    </w:rPr>
                    <w:t>3</w:t>
                  </w:r>
                  <w:r>
                    <w:rPr>
                      <w:rFonts w:ascii="Times New Roman" w:hAnsi="Times New Roman"/>
                      <w:color w:val="auto"/>
                      <w:sz w:val="21"/>
                      <w:szCs w:val="21"/>
                      <w:highlight w:val="none"/>
                    </w:rPr>
                    <w:t>。</w:t>
                  </w:r>
                  <w:r>
                    <w:rPr>
                      <w:rFonts w:hint="default" w:ascii="Times New Roman" w:hAnsi="Times New Roman" w:eastAsia="宋体" w:cs="Times New Roman"/>
                      <w:color w:val="auto"/>
                      <w:kern w:val="0"/>
                      <w:sz w:val="21"/>
                      <w:szCs w:val="21"/>
                      <w:highlight w:val="none"/>
                      <w:u w:val="none"/>
                      <w:lang w:val="en-US" w:eastAsia="zh-CN" w:bidi="ar-SA"/>
                    </w:rPr>
                    <w:t>1座</w:t>
                  </w:r>
                  <w:r>
                    <w:rPr>
                      <w:rFonts w:hint="eastAsia" w:ascii="Times New Roman" w:hAnsi="Times New Roman" w:eastAsia="宋体" w:cs="Times New Roman"/>
                      <w:color w:val="auto"/>
                      <w:kern w:val="0"/>
                      <w:sz w:val="21"/>
                      <w:szCs w:val="21"/>
                      <w:highlight w:val="none"/>
                      <w:u w:val="none"/>
                      <w:lang w:val="en-US" w:eastAsia="zh-CN" w:bidi="ar-SA"/>
                    </w:rPr>
                    <w:t>972</w:t>
                  </w:r>
                  <w:r>
                    <w:rPr>
                      <w:rFonts w:hint="default" w:ascii="Times New Roman" w:hAnsi="Times New Roman" w:eastAsia="宋体" w:cs="Times New Roman"/>
                      <w:color w:val="auto"/>
                      <w:kern w:val="0"/>
                      <w:sz w:val="21"/>
                      <w:szCs w:val="21"/>
                      <w:highlight w:val="none"/>
                      <w:u w:val="none"/>
                      <w:lang w:val="en-US" w:eastAsia="zh-CN" w:bidi="ar-SA"/>
                    </w:rPr>
                    <w:t>m</w:t>
                  </w:r>
                  <w:r>
                    <w:rPr>
                      <w:rFonts w:hint="default" w:ascii="Times New Roman" w:hAnsi="Times New Roman" w:eastAsia="宋体" w:cs="Times New Roman"/>
                      <w:color w:val="auto"/>
                      <w:kern w:val="0"/>
                      <w:sz w:val="21"/>
                      <w:szCs w:val="21"/>
                      <w:highlight w:val="none"/>
                      <w:u w:val="none"/>
                      <w:vertAlign w:val="superscript"/>
                      <w:lang w:val="en-US" w:eastAsia="zh-CN" w:bidi="ar-SA"/>
                    </w:rPr>
                    <w:t>3</w:t>
                  </w:r>
                  <w:r>
                    <w:rPr>
                      <w:rFonts w:hint="default" w:ascii="Times New Roman" w:hAnsi="Times New Roman" w:eastAsia="宋体" w:cs="Times New Roman"/>
                      <w:color w:val="auto"/>
                      <w:kern w:val="0"/>
                      <w:sz w:val="21"/>
                      <w:szCs w:val="21"/>
                      <w:highlight w:val="none"/>
                      <w:u w:val="none"/>
                      <w:lang w:val="en-US" w:eastAsia="zh-CN" w:bidi="ar-SA"/>
                    </w:rPr>
                    <w:t>消防水池、</w:t>
                  </w:r>
                  <w:r>
                    <w:rPr>
                      <w:rFonts w:hint="eastAsia" w:ascii="Times New Roman" w:hAnsi="Times New Roman"/>
                      <w:color w:val="auto"/>
                      <w:sz w:val="21"/>
                      <w:szCs w:val="18"/>
                    </w:rPr>
                    <w:t>事故应急池兼初期雨水池</w:t>
                  </w:r>
                  <w:r>
                    <w:rPr>
                      <w:rFonts w:hint="eastAsia" w:ascii="Times New Roman" w:hAnsi="Times New Roman"/>
                      <w:color w:val="auto"/>
                      <w:sz w:val="21"/>
                      <w:szCs w:val="18"/>
                      <w:lang w:eastAsia="zh-CN"/>
                    </w:rPr>
                    <w:t>。</w:t>
                  </w:r>
                </w:p>
              </w:tc>
              <w:tc>
                <w:tcPr>
                  <w:tcW w:w="357" w:type="pct"/>
                  <w:noWrap w:val="0"/>
                  <w:vAlign w:val="center"/>
                </w:tcPr>
                <w:p w14:paraId="57DBC70C">
                  <w:pPr>
                    <w:pStyle w:val="52"/>
                    <w:bidi w:val="0"/>
                    <w:ind w:left="-24" w:leftChars="-10" w:right="-24" w:rightChars="-10" w:firstLine="0" w:firstLineChars="0"/>
                    <w:rPr>
                      <w:rFonts w:hint="default"/>
                      <w:color w:val="auto"/>
                      <w:lang w:val="en-US" w:eastAsia="zh-CN"/>
                    </w:rPr>
                  </w:pPr>
                  <w:r>
                    <w:rPr>
                      <w:rFonts w:hint="eastAsia"/>
                      <w:color w:val="auto"/>
                      <w:lang w:val="en-US" w:eastAsia="zh-CN"/>
                    </w:rPr>
                    <w:t>新建</w:t>
                  </w:r>
                </w:p>
              </w:tc>
            </w:tr>
            <w:tr w14:paraId="71D0E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04" w:type="pct"/>
                  <w:vMerge w:val="continue"/>
                  <w:noWrap w:val="0"/>
                  <w:vAlign w:val="center"/>
                </w:tcPr>
                <w:p w14:paraId="376DA0CF">
                  <w:pPr>
                    <w:pStyle w:val="52"/>
                    <w:bidi w:val="0"/>
                    <w:rPr>
                      <w:rFonts w:hint="default"/>
                      <w:color w:val="auto"/>
                    </w:rPr>
                  </w:pPr>
                </w:p>
              </w:tc>
              <w:tc>
                <w:tcPr>
                  <w:tcW w:w="263" w:type="pct"/>
                  <w:vMerge w:val="continue"/>
                  <w:noWrap w:val="0"/>
                  <w:vAlign w:val="center"/>
                </w:tcPr>
                <w:p w14:paraId="575CDDEF">
                  <w:pPr>
                    <w:pStyle w:val="52"/>
                    <w:bidi w:val="0"/>
                    <w:rPr>
                      <w:rFonts w:hint="default"/>
                      <w:color w:val="auto"/>
                    </w:rPr>
                  </w:pPr>
                </w:p>
              </w:tc>
              <w:tc>
                <w:tcPr>
                  <w:tcW w:w="520" w:type="pct"/>
                  <w:vMerge w:val="continue"/>
                  <w:noWrap w:val="0"/>
                  <w:vAlign w:val="center"/>
                </w:tcPr>
                <w:p w14:paraId="2EBB090E">
                  <w:pPr>
                    <w:pStyle w:val="52"/>
                    <w:bidi w:val="0"/>
                    <w:rPr>
                      <w:rFonts w:hint="default"/>
                      <w:color w:val="auto"/>
                    </w:rPr>
                  </w:pPr>
                </w:p>
              </w:tc>
              <w:tc>
                <w:tcPr>
                  <w:tcW w:w="3555" w:type="pct"/>
                  <w:noWrap w:val="0"/>
                  <w:vAlign w:val="center"/>
                </w:tcPr>
                <w:p w14:paraId="68DD4DBC">
                  <w:pPr>
                    <w:keepNext w:val="0"/>
                    <w:keepLines w:val="0"/>
                    <w:pageBreakBefore w:val="0"/>
                    <w:widowControl w:val="0"/>
                    <w:kinsoku/>
                    <w:wordWrap/>
                    <w:overflowPunct/>
                    <w:topLinePunct w:val="0"/>
                    <w:bidi w:val="0"/>
                    <w:adjustRightInd/>
                    <w:snapToGrid/>
                    <w:spacing w:line="240" w:lineRule="auto"/>
                    <w:ind w:firstLine="0" w:firstLineChars="0"/>
                    <w:jc w:val="left"/>
                    <w:textAlignment w:val="auto"/>
                    <w:rPr>
                      <w:rFonts w:hint="default" w:ascii="Times New Roman" w:hAnsi="Times New Roman" w:eastAsia="宋体"/>
                      <w:color w:val="auto"/>
                      <w:kern w:val="2"/>
                      <w:sz w:val="21"/>
                      <w:szCs w:val="21"/>
                      <w:highlight w:val="yellow"/>
                      <w:lang w:val="en-US" w:eastAsia="zh-CN" w:bidi="ar-SA"/>
                    </w:rPr>
                  </w:pPr>
                  <w:r>
                    <w:rPr>
                      <w:rFonts w:hint="eastAsia" w:ascii="Times New Roman" w:hAnsi="Times New Roman" w:eastAsia="宋体"/>
                      <w:color w:val="auto"/>
                      <w:sz w:val="21"/>
                      <w:szCs w:val="21"/>
                      <w:lang w:val="en-US" w:eastAsia="zh-CN"/>
                    </w:rPr>
                    <w:t>配套灭火器材，分馏塔、液体储槽、氧气管道等设置防雷设施和防静电接地保护。设可燃气体报警器等风险防范措施。做好原辅材料和产品的运输过程、装卸过程及贮存过程的安全防范措施，有效防范风险事故的发生。生产过程中注意通风，远离火花、明火、热源。厂区内应安装消防及火灾报警系统，并配套相应的消防设施。制定突发环境事件应急预案，加强工作人员教育及训练，定期进行演练与考核。</w:t>
                  </w:r>
                </w:p>
              </w:tc>
              <w:tc>
                <w:tcPr>
                  <w:tcW w:w="357" w:type="pct"/>
                  <w:noWrap w:val="0"/>
                  <w:vAlign w:val="center"/>
                </w:tcPr>
                <w:p w14:paraId="0C79028E">
                  <w:pPr>
                    <w:pStyle w:val="52"/>
                    <w:bidi w:val="0"/>
                    <w:rPr>
                      <w:rFonts w:hint="default" w:eastAsia="宋体"/>
                      <w:color w:val="auto"/>
                      <w:lang w:val="en-US" w:eastAsia="zh-CN"/>
                    </w:rPr>
                  </w:pPr>
                  <w:r>
                    <w:rPr>
                      <w:rFonts w:hint="eastAsia"/>
                      <w:color w:val="auto"/>
                      <w:lang w:val="en-US" w:eastAsia="zh-CN"/>
                    </w:rPr>
                    <w:t>新建</w:t>
                  </w:r>
                </w:p>
              </w:tc>
            </w:tr>
          </w:tbl>
          <w:p w14:paraId="5C6BA428">
            <w:pPr>
              <w:pStyle w:val="85"/>
              <w:bidi w:val="0"/>
              <w:spacing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本项目用气瓶须每3~5年进行一次检测，项目厂区不设置</w:t>
            </w:r>
            <w:r>
              <w:rPr>
                <w:rFonts w:hint="default" w:ascii="Times New Roman" w:hAnsi="Times New Roman" w:eastAsia="宋体" w:cs="Times New Roman"/>
                <w:b w:val="0"/>
                <w:bCs/>
                <w:color w:val="auto"/>
                <w:sz w:val="21"/>
                <w:szCs w:val="21"/>
                <w:lang w:val="en-US" w:eastAsia="zh-CN"/>
              </w:rPr>
              <w:t>气瓶检验站</w:t>
            </w:r>
            <w:r>
              <w:rPr>
                <w:rFonts w:hint="eastAsia" w:cs="Times New Roman"/>
                <w:b w:val="0"/>
                <w:bCs/>
                <w:color w:val="auto"/>
                <w:sz w:val="21"/>
                <w:szCs w:val="21"/>
                <w:lang w:val="en-US" w:eastAsia="zh-CN"/>
              </w:rPr>
              <w:t>等区域，气瓶检测均委托外单位进行。</w:t>
            </w:r>
          </w:p>
          <w:p w14:paraId="158BDB4C">
            <w:pPr>
              <w:pStyle w:val="85"/>
              <w:bidi w:val="0"/>
              <w:spacing w:line="360" w:lineRule="auto"/>
              <w:ind w:firstLine="480" w:firstLineChars="200"/>
              <w:jc w:val="both"/>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本项目主要建（构）</w:t>
            </w:r>
            <w:r>
              <w:rPr>
                <w:rFonts w:hint="eastAsia" w:cs="Times New Roman"/>
                <w:b w:val="0"/>
                <w:bCs/>
                <w:color w:val="auto"/>
                <w:sz w:val="24"/>
                <w:szCs w:val="24"/>
                <w:lang w:val="en-US" w:eastAsia="zh-CN"/>
              </w:rPr>
              <w:t>筑物详见下表</w:t>
            </w:r>
            <w:r>
              <w:rPr>
                <w:rFonts w:hint="default" w:ascii="Times New Roman" w:hAnsi="Times New Roman" w:eastAsia="宋体" w:cs="Times New Roman"/>
                <w:b w:val="0"/>
                <w:bCs/>
                <w:color w:val="auto"/>
                <w:sz w:val="24"/>
                <w:szCs w:val="24"/>
                <w:lang w:val="en-US" w:eastAsia="zh-CN"/>
              </w:rPr>
              <w:t>2-</w:t>
            </w:r>
            <w:r>
              <w:rPr>
                <w:rFonts w:hint="eastAsia" w:cs="Times New Roman"/>
                <w:b w:val="0"/>
                <w:bCs/>
                <w:color w:val="auto"/>
                <w:sz w:val="24"/>
                <w:szCs w:val="24"/>
                <w:lang w:val="en-US" w:eastAsia="zh-CN"/>
              </w:rPr>
              <w:t>4，储罐区存储设备规格详见下表2-5。</w:t>
            </w:r>
          </w:p>
          <w:p w14:paraId="3215898F">
            <w:pPr>
              <w:pStyle w:val="85"/>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表2-</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 xml:space="preserve">  </w:t>
            </w:r>
            <w:r>
              <w:rPr>
                <w:rFonts w:hint="eastAsia" w:cs="Times New Roman"/>
                <w:color w:val="auto"/>
                <w:sz w:val="21"/>
                <w:szCs w:val="21"/>
                <w:lang w:val="en-US" w:eastAsia="zh-CN"/>
              </w:rPr>
              <w:t>项目主要建筑物一览表</w:t>
            </w:r>
          </w:p>
          <w:tbl>
            <w:tblPr>
              <w:tblStyle w:val="30"/>
              <w:tblW w:w="853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682"/>
              <w:gridCol w:w="958"/>
              <w:gridCol w:w="684"/>
              <w:gridCol w:w="813"/>
              <w:gridCol w:w="628"/>
              <w:gridCol w:w="823"/>
              <w:gridCol w:w="936"/>
              <w:gridCol w:w="1430"/>
              <w:gridCol w:w="1585"/>
            </w:tblGrid>
            <w:tr w14:paraId="50279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399" w:type="pct"/>
                  <w:noWrap w:val="0"/>
                  <w:vAlign w:val="center"/>
                </w:tcPr>
                <w:p w14:paraId="7B00ACA5">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序号</w:t>
                  </w:r>
                </w:p>
              </w:tc>
              <w:tc>
                <w:tcPr>
                  <w:tcW w:w="560" w:type="pct"/>
                  <w:noWrap w:val="0"/>
                  <w:vAlign w:val="center"/>
                </w:tcPr>
                <w:p w14:paraId="33D33D99">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名称</w:t>
                  </w:r>
                </w:p>
              </w:tc>
              <w:tc>
                <w:tcPr>
                  <w:tcW w:w="400" w:type="pct"/>
                  <w:noWrap w:val="0"/>
                  <w:vAlign w:val="center"/>
                </w:tcPr>
                <w:p w14:paraId="5B927E2E">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栋数</w:t>
                  </w:r>
                </w:p>
              </w:tc>
              <w:tc>
                <w:tcPr>
                  <w:tcW w:w="476" w:type="pct"/>
                  <w:noWrap w:val="0"/>
                  <w:vAlign w:val="center"/>
                </w:tcPr>
                <w:p w14:paraId="3B464C93">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高度/m</w:t>
                  </w:r>
                </w:p>
              </w:tc>
              <w:tc>
                <w:tcPr>
                  <w:tcW w:w="367" w:type="pct"/>
                  <w:noWrap w:val="0"/>
                  <w:vAlign w:val="center"/>
                </w:tcPr>
                <w:p w14:paraId="1212F2C1">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层数</w:t>
                  </w:r>
                </w:p>
              </w:tc>
              <w:tc>
                <w:tcPr>
                  <w:tcW w:w="481" w:type="pct"/>
                  <w:noWrap w:val="0"/>
                  <w:vAlign w:val="center"/>
                </w:tcPr>
                <w:p w14:paraId="18479F8C">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占地面积/m</w:t>
                  </w:r>
                  <w:r>
                    <w:rPr>
                      <w:rFonts w:hint="eastAsia" w:cs="Times New Roman"/>
                      <w:b/>
                      <w:bCs w:val="0"/>
                      <w:color w:val="000000" w:themeColor="text1"/>
                      <w:sz w:val="21"/>
                      <w:szCs w:val="21"/>
                      <w:vertAlign w:val="superscript"/>
                      <w:lang w:val="en-US" w:eastAsia="zh-CN"/>
                      <w14:textFill>
                        <w14:solidFill>
                          <w14:schemeClr w14:val="tx1"/>
                        </w14:solidFill>
                      </w14:textFill>
                    </w:rPr>
                    <w:t>2</w:t>
                  </w:r>
                </w:p>
              </w:tc>
              <w:tc>
                <w:tcPr>
                  <w:tcW w:w="548" w:type="pct"/>
                  <w:noWrap w:val="0"/>
                  <w:vAlign w:val="center"/>
                </w:tcPr>
                <w:p w14:paraId="7582666B">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建筑面积/m</w:t>
                  </w:r>
                  <w:r>
                    <w:rPr>
                      <w:rFonts w:hint="eastAsia" w:cs="Times New Roman"/>
                      <w:b/>
                      <w:bCs w:val="0"/>
                      <w:color w:val="000000" w:themeColor="text1"/>
                      <w:sz w:val="21"/>
                      <w:szCs w:val="21"/>
                      <w:vertAlign w:val="superscript"/>
                      <w:lang w:val="en-US" w:eastAsia="zh-CN"/>
                      <w14:textFill>
                        <w14:solidFill>
                          <w14:schemeClr w14:val="tx1"/>
                        </w14:solidFill>
                      </w14:textFill>
                    </w:rPr>
                    <w:t>2</w:t>
                  </w:r>
                </w:p>
              </w:tc>
              <w:tc>
                <w:tcPr>
                  <w:tcW w:w="837" w:type="pct"/>
                  <w:noWrap w:val="0"/>
                  <w:vAlign w:val="center"/>
                </w:tcPr>
                <w:p w14:paraId="19DE1DE7">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火险类别</w:t>
                  </w:r>
                </w:p>
              </w:tc>
              <w:tc>
                <w:tcPr>
                  <w:tcW w:w="928" w:type="pct"/>
                  <w:noWrap w:val="0"/>
                  <w:vAlign w:val="center"/>
                </w:tcPr>
                <w:p w14:paraId="5A7986FD">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kern w:val="0"/>
                      <w:sz w:val="21"/>
                      <w:szCs w:val="21"/>
                      <w:lang w:val="en-US" w:eastAsia="zh-CN" w:bidi="ar-SA"/>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建筑功能</w:t>
                  </w:r>
                </w:p>
              </w:tc>
            </w:tr>
            <w:tr w14:paraId="39B4E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noWrap w:val="0"/>
                  <w:vAlign w:val="center"/>
                </w:tcPr>
                <w:p w14:paraId="3ABE2A0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p>
              </w:tc>
              <w:tc>
                <w:tcPr>
                  <w:tcW w:w="560" w:type="pct"/>
                  <w:noWrap w:val="0"/>
                  <w:vAlign w:val="center"/>
                </w:tcPr>
                <w:p w14:paraId="499BDF5E">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主厂房</w:t>
                  </w:r>
                </w:p>
              </w:tc>
              <w:tc>
                <w:tcPr>
                  <w:tcW w:w="400" w:type="pct"/>
                  <w:noWrap w:val="0"/>
                  <w:vAlign w:val="center"/>
                </w:tcPr>
                <w:p w14:paraId="1FE9D474">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p>
              </w:tc>
              <w:tc>
                <w:tcPr>
                  <w:tcW w:w="476" w:type="pct"/>
                  <w:noWrap w:val="0"/>
                  <w:vAlign w:val="center"/>
                </w:tcPr>
                <w:p w14:paraId="73CFC484">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14.4</w:t>
                  </w:r>
                </w:p>
              </w:tc>
              <w:tc>
                <w:tcPr>
                  <w:tcW w:w="367" w:type="pct"/>
                  <w:noWrap w:val="0"/>
                  <w:vAlign w:val="center"/>
                </w:tcPr>
                <w:p w14:paraId="5EEA88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1F</w:t>
                  </w:r>
                </w:p>
              </w:tc>
              <w:tc>
                <w:tcPr>
                  <w:tcW w:w="481" w:type="pct"/>
                  <w:noWrap w:val="0"/>
                  <w:vAlign w:val="center"/>
                </w:tcPr>
                <w:p w14:paraId="4687EE0D">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1805.50</w:t>
                  </w:r>
                </w:p>
              </w:tc>
              <w:tc>
                <w:tcPr>
                  <w:tcW w:w="548" w:type="pct"/>
                  <w:noWrap w:val="0"/>
                  <w:vAlign w:val="center"/>
                </w:tcPr>
                <w:p w14:paraId="1DE57EAA">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1805.50</w:t>
                  </w:r>
                </w:p>
              </w:tc>
              <w:tc>
                <w:tcPr>
                  <w:tcW w:w="837" w:type="pct"/>
                  <w:noWrap w:val="0"/>
                  <w:vAlign w:val="center"/>
                </w:tcPr>
                <w:p w14:paraId="31B0456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丁类，二级耐火</w:t>
                  </w:r>
                </w:p>
              </w:tc>
              <w:tc>
                <w:tcPr>
                  <w:tcW w:w="928" w:type="pct"/>
                  <w:noWrap w:val="0"/>
                  <w:vAlign w:val="center"/>
                </w:tcPr>
                <w:p w14:paraId="6B976DF3">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布置空分设备，空分制氧/氮/氩产品</w:t>
                  </w:r>
                </w:p>
              </w:tc>
            </w:tr>
            <w:tr w14:paraId="78F6C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vMerge w:val="restart"/>
                  <w:noWrap w:val="0"/>
                  <w:vAlign w:val="center"/>
                </w:tcPr>
                <w:p w14:paraId="2563E180">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560" w:type="pct"/>
                  <w:noWrap w:val="0"/>
                  <w:vAlign w:val="center"/>
                </w:tcPr>
                <w:p w14:paraId="2D75011D">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循环水泵房</w:t>
                  </w:r>
                </w:p>
              </w:tc>
              <w:tc>
                <w:tcPr>
                  <w:tcW w:w="400" w:type="pct"/>
                  <w:noWrap w:val="0"/>
                  <w:vAlign w:val="center"/>
                </w:tcPr>
                <w:p w14:paraId="493CA904">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p>
              </w:tc>
              <w:tc>
                <w:tcPr>
                  <w:tcW w:w="476" w:type="pct"/>
                  <w:noWrap w:val="0"/>
                  <w:vAlign w:val="center"/>
                </w:tcPr>
                <w:p w14:paraId="1B5BDFAC">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6.15</w:t>
                  </w:r>
                </w:p>
              </w:tc>
              <w:tc>
                <w:tcPr>
                  <w:tcW w:w="367" w:type="pct"/>
                  <w:noWrap w:val="0"/>
                  <w:vAlign w:val="center"/>
                </w:tcPr>
                <w:p w14:paraId="16CD0F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1F</w:t>
                  </w:r>
                </w:p>
              </w:tc>
              <w:tc>
                <w:tcPr>
                  <w:tcW w:w="481" w:type="pct"/>
                  <w:noWrap w:val="0"/>
                  <w:vAlign w:val="center"/>
                </w:tcPr>
                <w:p w14:paraId="5EABD5AB">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216.00</w:t>
                  </w:r>
                </w:p>
              </w:tc>
              <w:tc>
                <w:tcPr>
                  <w:tcW w:w="548" w:type="pct"/>
                  <w:noWrap w:val="0"/>
                  <w:vAlign w:val="center"/>
                </w:tcPr>
                <w:p w14:paraId="7953C2A2">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216.00</w:t>
                  </w:r>
                </w:p>
              </w:tc>
              <w:tc>
                <w:tcPr>
                  <w:tcW w:w="837" w:type="pct"/>
                  <w:noWrap w:val="0"/>
                  <w:vAlign w:val="center"/>
                </w:tcPr>
                <w:p w14:paraId="71FD959A">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丁类，二级耐火</w:t>
                  </w:r>
                </w:p>
              </w:tc>
              <w:tc>
                <w:tcPr>
                  <w:tcW w:w="928" w:type="pct"/>
                  <w:vMerge w:val="restart"/>
                  <w:noWrap w:val="0"/>
                  <w:vAlign w:val="center"/>
                </w:tcPr>
                <w:p w14:paraId="7320C4CF">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空分设备设施间接冷却循环</w:t>
                  </w:r>
                </w:p>
              </w:tc>
            </w:tr>
            <w:tr w14:paraId="4A45D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vMerge w:val="continue"/>
                  <w:noWrap w:val="0"/>
                  <w:vAlign w:val="center"/>
                </w:tcPr>
                <w:p w14:paraId="67639D48">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p>
              </w:tc>
              <w:tc>
                <w:tcPr>
                  <w:tcW w:w="560" w:type="pct"/>
                  <w:noWrap w:val="0"/>
                  <w:vAlign w:val="center"/>
                </w:tcPr>
                <w:p w14:paraId="74F92AC7">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循环水池</w:t>
                  </w:r>
                </w:p>
              </w:tc>
              <w:tc>
                <w:tcPr>
                  <w:tcW w:w="400" w:type="pct"/>
                  <w:noWrap w:val="0"/>
                  <w:vAlign w:val="center"/>
                </w:tcPr>
                <w:p w14:paraId="0834F42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3</w:t>
                  </w:r>
                </w:p>
              </w:tc>
              <w:tc>
                <w:tcPr>
                  <w:tcW w:w="476" w:type="pct"/>
                  <w:noWrap w:val="0"/>
                  <w:vAlign w:val="center"/>
                </w:tcPr>
                <w:p w14:paraId="78ECF1F1">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367" w:type="pct"/>
                  <w:noWrap w:val="0"/>
                  <w:vAlign w:val="center"/>
                </w:tcPr>
                <w:p w14:paraId="66C943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481" w:type="pct"/>
                  <w:noWrap w:val="0"/>
                  <w:vAlign w:val="center"/>
                </w:tcPr>
                <w:p w14:paraId="20F542B1">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375.81</w:t>
                  </w:r>
                </w:p>
              </w:tc>
              <w:tc>
                <w:tcPr>
                  <w:tcW w:w="548" w:type="pct"/>
                  <w:noWrap w:val="0"/>
                  <w:vAlign w:val="center"/>
                </w:tcPr>
                <w:p w14:paraId="189748E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837" w:type="pct"/>
                  <w:noWrap w:val="0"/>
                  <w:vAlign w:val="center"/>
                </w:tcPr>
                <w:p w14:paraId="09A5D279">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戊类，二级耐火等级</w:t>
                  </w:r>
                </w:p>
              </w:tc>
              <w:tc>
                <w:tcPr>
                  <w:tcW w:w="928" w:type="pct"/>
                  <w:vMerge w:val="continue"/>
                  <w:noWrap w:val="0"/>
                  <w:vAlign w:val="center"/>
                </w:tcPr>
                <w:p w14:paraId="28F5685B">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r>
            <w:tr w14:paraId="60ECE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noWrap w:val="0"/>
                  <w:vAlign w:val="center"/>
                </w:tcPr>
                <w:p w14:paraId="510527BC">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560" w:type="pct"/>
                  <w:noWrap w:val="0"/>
                  <w:vAlign w:val="center"/>
                </w:tcPr>
                <w:p w14:paraId="45AA4152">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液氧贮罐</w:t>
                  </w:r>
                </w:p>
              </w:tc>
              <w:tc>
                <w:tcPr>
                  <w:tcW w:w="400" w:type="pct"/>
                  <w:noWrap w:val="0"/>
                  <w:vAlign w:val="center"/>
                </w:tcPr>
                <w:p w14:paraId="5E64B694">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p>
              </w:tc>
              <w:tc>
                <w:tcPr>
                  <w:tcW w:w="476" w:type="pct"/>
                  <w:noWrap w:val="0"/>
                  <w:vAlign w:val="center"/>
                </w:tcPr>
                <w:p w14:paraId="397EA412">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367" w:type="pct"/>
                  <w:noWrap w:val="0"/>
                  <w:vAlign w:val="center"/>
                </w:tcPr>
                <w:p w14:paraId="734A00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481" w:type="pct"/>
                  <w:noWrap w:val="0"/>
                  <w:vAlign w:val="center"/>
                </w:tcPr>
                <w:p w14:paraId="53A54CC8">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263.02</w:t>
                  </w:r>
                </w:p>
              </w:tc>
              <w:tc>
                <w:tcPr>
                  <w:tcW w:w="548" w:type="pct"/>
                  <w:noWrap w:val="0"/>
                  <w:vAlign w:val="center"/>
                </w:tcPr>
                <w:p w14:paraId="1019D8BD">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837" w:type="pct"/>
                  <w:noWrap w:val="0"/>
                  <w:vAlign w:val="center"/>
                </w:tcPr>
                <w:p w14:paraId="1BE508A4">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乙类，二级耐火等级</w:t>
                  </w:r>
                </w:p>
              </w:tc>
              <w:tc>
                <w:tcPr>
                  <w:tcW w:w="928" w:type="pct"/>
                  <w:noWrap w:val="0"/>
                  <w:vAlign w:val="center"/>
                </w:tcPr>
                <w:p w14:paraId="14F7A0E8">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空分制液氧产品的贮存</w:t>
                  </w:r>
                </w:p>
              </w:tc>
            </w:tr>
            <w:tr w14:paraId="093C7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noWrap w:val="0"/>
                  <w:vAlign w:val="center"/>
                </w:tcPr>
                <w:p w14:paraId="0D4F6FC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560" w:type="pct"/>
                  <w:noWrap w:val="0"/>
                  <w:vAlign w:val="center"/>
                </w:tcPr>
                <w:p w14:paraId="2B4D0CE9">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液氮贮罐</w:t>
                  </w:r>
                </w:p>
              </w:tc>
              <w:tc>
                <w:tcPr>
                  <w:tcW w:w="400" w:type="pct"/>
                  <w:noWrap w:val="0"/>
                  <w:vAlign w:val="center"/>
                </w:tcPr>
                <w:p w14:paraId="3B08E82A">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p>
              </w:tc>
              <w:tc>
                <w:tcPr>
                  <w:tcW w:w="476" w:type="pct"/>
                  <w:noWrap w:val="0"/>
                  <w:vAlign w:val="center"/>
                </w:tcPr>
                <w:p w14:paraId="28182B4B">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367" w:type="pct"/>
                  <w:noWrap w:val="0"/>
                  <w:vAlign w:val="center"/>
                </w:tcPr>
                <w:p w14:paraId="7A7F33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481" w:type="pct"/>
                  <w:noWrap w:val="0"/>
                  <w:vAlign w:val="center"/>
                </w:tcPr>
                <w:p w14:paraId="182A8CC8">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263.02</w:t>
                  </w:r>
                </w:p>
              </w:tc>
              <w:tc>
                <w:tcPr>
                  <w:tcW w:w="548" w:type="pct"/>
                  <w:noWrap w:val="0"/>
                  <w:vAlign w:val="center"/>
                </w:tcPr>
                <w:p w14:paraId="56BC96B1">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837" w:type="pct"/>
                  <w:noWrap w:val="0"/>
                  <w:vAlign w:val="center"/>
                </w:tcPr>
                <w:p w14:paraId="4AF66E1C">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戊类，二级耐火等级</w:t>
                  </w:r>
                </w:p>
              </w:tc>
              <w:tc>
                <w:tcPr>
                  <w:tcW w:w="928" w:type="pct"/>
                  <w:noWrap w:val="0"/>
                  <w:vAlign w:val="center"/>
                </w:tcPr>
                <w:p w14:paraId="0E6B4F6C">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空分制液氮产品的贮存</w:t>
                  </w:r>
                </w:p>
              </w:tc>
            </w:tr>
            <w:tr w14:paraId="130CF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noWrap w:val="0"/>
                  <w:vAlign w:val="center"/>
                </w:tcPr>
                <w:p w14:paraId="10E22A7B">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560" w:type="pct"/>
                  <w:noWrap w:val="0"/>
                  <w:vAlign w:val="center"/>
                </w:tcPr>
                <w:p w14:paraId="385B0C77">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高纯氧储罐</w:t>
                  </w:r>
                </w:p>
              </w:tc>
              <w:tc>
                <w:tcPr>
                  <w:tcW w:w="400" w:type="pct"/>
                  <w:noWrap w:val="0"/>
                  <w:vAlign w:val="center"/>
                </w:tcPr>
                <w:p w14:paraId="34A8FC76">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p>
              </w:tc>
              <w:tc>
                <w:tcPr>
                  <w:tcW w:w="476" w:type="pct"/>
                  <w:noWrap w:val="0"/>
                  <w:vAlign w:val="center"/>
                </w:tcPr>
                <w:p w14:paraId="7826AEA9">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367" w:type="pct"/>
                  <w:noWrap w:val="0"/>
                  <w:vAlign w:val="center"/>
                </w:tcPr>
                <w:p w14:paraId="0B88AA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481" w:type="pct"/>
                  <w:noWrap w:val="0"/>
                  <w:vAlign w:val="center"/>
                </w:tcPr>
                <w:p w14:paraId="61CCA08E">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5.94</w:t>
                  </w:r>
                </w:p>
              </w:tc>
              <w:tc>
                <w:tcPr>
                  <w:tcW w:w="548" w:type="pct"/>
                  <w:noWrap w:val="0"/>
                  <w:vAlign w:val="center"/>
                </w:tcPr>
                <w:p w14:paraId="7979C984">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837" w:type="pct"/>
                  <w:noWrap w:val="0"/>
                  <w:vAlign w:val="center"/>
                </w:tcPr>
                <w:p w14:paraId="7E492F15">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乙类，二级耐火等级</w:t>
                  </w:r>
                </w:p>
              </w:tc>
              <w:tc>
                <w:tcPr>
                  <w:tcW w:w="928" w:type="pct"/>
                  <w:noWrap w:val="0"/>
                  <w:vAlign w:val="center"/>
                </w:tcPr>
                <w:p w14:paraId="1167FB50">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空分制高纯液氧产品贮存</w:t>
                  </w:r>
                </w:p>
              </w:tc>
            </w:tr>
            <w:tr w14:paraId="73261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vMerge w:val="restart"/>
                  <w:noWrap w:val="0"/>
                  <w:vAlign w:val="center"/>
                </w:tcPr>
                <w:p w14:paraId="276C9BEB">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560" w:type="pct"/>
                  <w:shd w:val="clear" w:color="auto" w:fill="auto"/>
                  <w:noWrap w:val="0"/>
                  <w:vAlign w:val="center"/>
                </w:tcPr>
                <w:p w14:paraId="701AF272">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氧气充装站</w:t>
                  </w:r>
                </w:p>
              </w:tc>
              <w:tc>
                <w:tcPr>
                  <w:tcW w:w="400" w:type="pct"/>
                  <w:shd w:val="clear" w:color="auto" w:fill="auto"/>
                  <w:noWrap w:val="0"/>
                  <w:vAlign w:val="center"/>
                </w:tcPr>
                <w:p w14:paraId="78C70011">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p>
              </w:tc>
              <w:tc>
                <w:tcPr>
                  <w:tcW w:w="476" w:type="pct"/>
                  <w:shd w:val="clear" w:color="auto" w:fill="auto"/>
                  <w:noWrap w:val="0"/>
                  <w:vAlign w:val="center"/>
                </w:tcPr>
                <w:p w14:paraId="52E712E1">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6.8</w:t>
                  </w:r>
                </w:p>
              </w:tc>
              <w:tc>
                <w:tcPr>
                  <w:tcW w:w="367" w:type="pct"/>
                  <w:shd w:val="clear" w:color="auto" w:fill="auto"/>
                  <w:noWrap w:val="0"/>
                  <w:vAlign w:val="center"/>
                </w:tcPr>
                <w:p w14:paraId="12FD82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1F</w:t>
                  </w:r>
                </w:p>
              </w:tc>
              <w:tc>
                <w:tcPr>
                  <w:tcW w:w="481" w:type="pct"/>
                  <w:shd w:val="clear" w:color="auto" w:fill="auto"/>
                  <w:noWrap w:val="0"/>
                  <w:vAlign w:val="center"/>
                </w:tcPr>
                <w:p w14:paraId="16DA0B3B">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722.70</w:t>
                  </w:r>
                </w:p>
              </w:tc>
              <w:tc>
                <w:tcPr>
                  <w:tcW w:w="548" w:type="pct"/>
                  <w:shd w:val="clear" w:color="auto" w:fill="auto"/>
                  <w:noWrap w:val="0"/>
                  <w:vAlign w:val="center"/>
                </w:tcPr>
                <w:p w14:paraId="2BF9B59A">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722.70</w:t>
                  </w:r>
                </w:p>
              </w:tc>
              <w:tc>
                <w:tcPr>
                  <w:tcW w:w="837" w:type="pct"/>
                  <w:shd w:val="clear" w:color="auto" w:fill="auto"/>
                  <w:noWrap w:val="0"/>
                  <w:vAlign w:val="center"/>
                </w:tcPr>
                <w:p w14:paraId="1C495FCE">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乙类，二级耐火等级</w:t>
                  </w:r>
                </w:p>
              </w:tc>
              <w:tc>
                <w:tcPr>
                  <w:tcW w:w="928" w:type="pct"/>
                  <w:shd w:val="clear" w:color="auto" w:fill="auto"/>
                  <w:noWrap w:val="0"/>
                  <w:vAlign w:val="center"/>
                </w:tcPr>
                <w:p w14:paraId="08B3E07C">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用于工业氧气和医用氧气气瓶充装</w:t>
                  </w:r>
                </w:p>
              </w:tc>
            </w:tr>
            <w:tr w14:paraId="38C5B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vMerge w:val="continue"/>
                  <w:noWrap w:val="0"/>
                  <w:vAlign w:val="center"/>
                </w:tcPr>
                <w:p w14:paraId="5E5E15A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560" w:type="pct"/>
                  <w:noWrap w:val="0"/>
                  <w:vAlign w:val="center"/>
                </w:tcPr>
                <w:p w14:paraId="4D1ACA51">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罐区</w:t>
                  </w:r>
                </w:p>
              </w:tc>
              <w:tc>
                <w:tcPr>
                  <w:tcW w:w="400" w:type="pct"/>
                  <w:noWrap w:val="0"/>
                  <w:vAlign w:val="center"/>
                </w:tcPr>
                <w:p w14:paraId="74ECCF24">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1</w:t>
                  </w:r>
                </w:p>
              </w:tc>
              <w:tc>
                <w:tcPr>
                  <w:tcW w:w="476" w:type="pct"/>
                  <w:noWrap w:val="0"/>
                  <w:vAlign w:val="center"/>
                </w:tcPr>
                <w:p w14:paraId="1DA5602F">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367" w:type="pct"/>
                  <w:noWrap w:val="0"/>
                  <w:vAlign w:val="center"/>
                </w:tcPr>
                <w:p w14:paraId="1EB622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481" w:type="pct"/>
                  <w:noWrap w:val="0"/>
                  <w:vAlign w:val="center"/>
                </w:tcPr>
                <w:p w14:paraId="70366A12">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250.8</w:t>
                  </w:r>
                </w:p>
              </w:tc>
              <w:tc>
                <w:tcPr>
                  <w:tcW w:w="548" w:type="pct"/>
                  <w:noWrap w:val="0"/>
                  <w:vAlign w:val="center"/>
                </w:tcPr>
                <w:p w14:paraId="058C3253">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837" w:type="pct"/>
                  <w:noWrap w:val="0"/>
                  <w:vAlign w:val="center"/>
                </w:tcPr>
                <w:p w14:paraId="722DD9EC">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乙类，二级耐火等级</w:t>
                  </w:r>
                </w:p>
              </w:tc>
              <w:tc>
                <w:tcPr>
                  <w:tcW w:w="928" w:type="pct"/>
                  <w:noWrap w:val="0"/>
                  <w:vAlign w:val="center"/>
                </w:tcPr>
                <w:p w14:paraId="192A356C">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用于工业氧气和医用氧气的贮存</w:t>
                  </w:r>
                </w:p>
              </w:tc>
            </w:tr>
            <w:tr w14:paraId="78833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vMerge w:val="restart"/>
                  <w:noWrap w:val="0"/>
                  <w:vAlign w:val="center"/>
                </w:tcPr>
                <w:p w14:paraId="67168783">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eastAsia" w:cs="Times New Roman"/>
                      <w:bCs/>
                      <w:color w:val="000000" w:themeColor="text1"/>
                      <w:kern w:val="0"/>
                      <w:sz w:val="21"/>
                      <w:szCs w:val="21"/>
                      <w:highlight w:val="none"/>
                      <w:lang w:val="en-US" w:eastAsia="zh-CN" w:bidi="ar-SA"/>
                      <w14:textFill>
                        <w14:solidFill>
                          <w14:schemeClr w14:val="tx1"/>
                        </w14:solidFill>
                      </w14:textFill>
                    </w:rPr>
                    <w:t>7</w:t>
                  </w:r>
                </w:p>
              </w:tc>
              <w:tc>
                <w:tcPr>
                  <w:tcW w:w="560" w:type="pct"/>
                  <w:noWrap w:val="0"/>
                  <w:vAlign w:val="center"/>
                </w:tcPr>
                <w:p w14:paraId="3ACFAAF2">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惰性气体充装站</w:t>
                  </w:r>
                </w:p>
              </w:tc>
              <w:tc>
                <w:tcPr>
                  <w:tcW w:w="400" w:type="pct"/>
                  <w:noWrap w:val="0"/>
                  <w:vAlign w:val="center"/>
                </w:tcPr>
                <w:p w14:paraId="38BDA5FE">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p>
              </w:tc>
              <w:tc>
                <w:tcPr>
                  <w:tcW w:w="476" w:type="pct"/>
                  <w:noWrap w:val="0"/>
                  <w:vAlign w:val="center"/>
                </w:tcPr>
                <w:p w14:paraId="738D87E2">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6.8</w:t>
                  </w:r>
                </w:p>
              </w:tc>
              <w:tc>
                <w:tcPr>
                  <w:tcW w:w="367" w:type="pct"/>
                  <w:noWrap w:val="0"/>
                  <w:vAlign w:val="center"/>
                </w:tcPr>
                <w:p w14:paraId="4CECE7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1F</w:t>
                  </w:r>
                </w:p>
              </w:tc>
              <w:tc>
                <w:tcPr>
                  <w:tcW w:w="481" w:type="pct"/>
                  <w:noWrap w:val="0"/>
                  <w:vAlign w:val="center"/>
                </w:tcPr>
                <w:p w14:paraId="46F03B3C">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1023.00</w:t>
                  </w:r>
                </w:p>
              </w:tc>
              <w:tc>
                <w:tcPr>
                  <w:tcW w:w="548" w:type="pct"/>
                  <w:noWrap w:val="0"/>
                  <w:vAlign w:val="center"/>
                </w:tcPr>
                <w:p w14:paraId="462D82E5">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1023.00</w:t>
                  </w:r>
                </w:p>
              </w:tc>
              <w:tc>
                <w:tcPr>
                  <w:tcW w:w="837" w:type="pct"/>
                  <w:noWrap w:val="0"/>
                  <w:vAlign w:val="center"/>
                </w:tcPr>
                <w:p w14:paraId="7D8DEBA0">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戊类，二级耐火等级</w:t>
                  </w:r>
                </w:p>
              </w:tc>
              <w:tc>
                <w:tcPr>
                  <w:tcW w:w="928" w:type="pct"/>
                  <w:noWrap w:val="0"/>
                  <w:vAlign w:val="center"/>
                </w:tcPr>
                <w:p w14:paraId="6604B6B3">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用于氮、氩、CO</w:t>
                  </w:r>
                  <w:r>
                    <w:rPr>
                      <w:rFonts w:hint="eastAsia" w:cs="Times New Roman"/>
                      <w:b w:val="0"/>
                      <w:bCs/>
                      <w:color w:val="000000" w:themeColor="text1"/>
                      <w:sz w:val="21"/>
                      <w:szCs w:val="21"/>
                      <w:vertAlign w:val="subscript"/>
                      <w:lang w:val="en-US" w:eastAsia="zh-CN"/>
                      <w14:textFill>
                        <w14:solidFill>
                          <w14:schemeClr w14:val="tx1"/>
                        </w14:solidFill>
                      </w14:textFill>
                    </w:rPr>
                    <w:t>2</w:t>
                  </w:r>
                  <w:r>
                    <w:rPr>
                      <w:rFonts w:hint="eastAsia" w:cs="Times New Roman"/>
                      <w:b w:val="0"/>
                      <w:bCs/>
                      <w:color w:val="000000" w:themeColor="text1"/>
                      <w:sz w:val="21"/>
                      <w:szCs w:val="21"/>
                      <w:lang w:val="en-US" w:eastAsia="zh-CN"/>
                      <w14:textFill>
                        <w14:solidFill>
                          <w14:schemeClr w14:val="tx1"/>
                        </w14:solidFill>
                      </w14:textFill>
                    </w:rPr>
                    <w:t>、混合气体气瓶充装</w:t>
                  </w:r>
                </w:p>
              </w:tc>
            </w:tr>
            <w:tr w14:paraId="41A28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vMerge w:val="continue"/>
                  <w:noWrap w:val="0"/>
                  <w:vAlign w:val="center"/>
                </w:tcPr>
                <w:p w14:paraId="2C783161">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p>
              </w:tc>
              <w:tc>
                <w:tcPr>
                  <w:tcW w:w="560" w:type="pct"/>
                  <w:noWrap w:val="0"/>
                  <w:vAlign w:val="center"/>
                </w:tcPr>
                <w:p w14:paraId="73061EE8">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车间辅助区（罐区）</w:t>
                  </w:r>
                </w:p>
              </w:tc>
              <w:tc>
                <w:tcPr>
                  <w:tcW w:w="400" w:type="pct"/>
                  <w:noWrap w:val="0"/>
                  <w:vAlign w:val="center"/>
                </w:tcPr>
                <w:p w14:paraId="05C7FAC3">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1</w:t>
                  </w:r>
                </w:p>
              </w:tc>
              <w:tc>
                <w:tcPr>
                  <w:tcW w:w="476" w:type="pct"/>
                  <w:shd w:val="clear" w:color="auto" w:fill="auto"/>
                  <w:noWrap w:val="0"/>
                  <w:vAlign w:val="center"/>
                </w:tcPr>
                <w:p w14:paraId="3337878F">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367" w:type="pct"/>
                  <w:shd w:val="clear" w:color="auto" w:fill="auto"/>
                  <w:noWrap w:val="0"/>
                  <w:vAlign w:val="center"/>
                </w:tcPr>
                <w:p w14:paraId="5A201D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481" w:type="pct"/>
                  <w:shd w:val="clear" w:color="auto" w:fill="auto"/>
                  <w:noWrap w:val="0"/>
                  <w:vAlign w:val="center"/>
                </w:tcPr>
                <w:p w14:paraId="28CB0BA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392.00</w:t>
                  </w:r>
                </w:p>
              </w:tc>
              <w:tc>
                <w:tcPr>
                  <w:tcW w:w="548" w:type="pct"/>
                  <w:shd w:val="clear" w:color="auto" w:fill="auto"/>
                  <w:noWrap w:val="0"/>
                  <w:vAlign w:val="center"/>
                </w:tcPr>
                <w:p w14:paraId="515DF054">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837" w:type="pct"/>
                  <w:shd w:val="clear" w:color="auto" w:fill="auto"/>
                  <w:noWrap w:val="0"/>
                  <w:vAlign w:val="center"/>
                </w:tcPr>
                <w:p w14:paraId="3C9E88DB">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戊类，二级耐火等级</w:t>
                  </w:r>
                </w:p>
              </w:tc>
              <w:tc>
                <w:tcPr>
                  <w:tcW w:w="928" w:type="pct"/>
                  <w:shd w:val="clear" w:color="auto" w:fill="auto"/>
                  <w:noWrap w:val="0"/>
                  <w:vAlign w:val="center"/>
                </w:tcPr>
                <w:p w14:paraId="45A50BE6">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用于氮、氩、CO</w:t>
                  </w:r>
                  <w:r>
                    <w:rPr>
                      <w:rFonts w:hint="eastAsia" w:cs="Times New Roman"/>
                      <w:b w:val="0"/>
                      <w:bCs/>
                      <w:color w:val="000000" w:themeColor="text1"/>
                      <w:sz w:val="21"/>
                      <w:szCs w:val="21"/>
                      <w:vertAlign w:val="subscript"/>
                      <w:lang w:val="en-US" w:eastAsia="zh-CN"/>
                      <w14:textFill>
                        <w14:solidFill>
                          <w14:schemeClr w14:val="tx1"/>
                        </w14:solidFill>
                      </w14:textFill>
                    </w:rPr>
                    <w:t>2</w:t>
                  </w:r>
                  <w:r>
                    <w:rPr>
                      <w:rFonts w:hint="eastAsia" w:cs="Times New Roman"/>
                      <w:b w:val="0"/>
                      <w:bCs/>
                      <w:color w:val="000000" w:themeColor="text1"/>
                      <w:sz w:val="21"/>
                      <w:szCs w:val="21"/>
                      <w:lang w:val="en-US" w:eastAsia="zh-CN"/>
                      <w14:textFill>
                        <w14:solidFill>
                          <w14:schemeClr w14:val="tx1"/>
                        </w14:solidFill>
                      </w14:textFill>
                    </w:rPr>
                    <w:t>的贮存</w:t>
                  </w:r>
                </w:p>
              </w:tc>
            </w:tr>
            <w:tr w14:paraId="7BD1B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vMerge w:val="restart"/>
                  <w:noWrap w:val="0"/>
                  <w:vAlign w:val="center"/>
                </w:tcPr>
                <w:p w14:paraId="095E1870">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560" w:type="pct"/>
                  <w:noWrap w:val="0"/>
                  <w:vAlign w:val="center"/>
                </w:tcPr>
                <w:p w14:paraId="1FBA1180">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液化石油</w:t>
                  </w:r>
                  <w:r>
                    <w:rPr>
                      <w:rFonts w:hint="eastAsia" w:cs="Times New Roman"/>
                      <w:b w:val="0"/>
                      <w:bCs/>
                      <w:color w:val="000000" w:themeColor="text1"/>
                      <w:sz w:val="21"/>
                      <w:szCs w:val="21"/>
                      <w:highlight w:val="none"/>
                      <w:lang w:val="en-US" w:eastAsia="zh-CN"/>
                      <w14:textFill>
                        <w14:solidFill>
                          <w14:schemeClr w14:val="tx1"/>
                        </w14:solidFill>
                      </w14:textFill>
                    </w:rPr>
                    <w:t>气（丙烷）充装站</w:t>
                  </w:r>
                </w:p>
              </w:tc>
              <w:tc>
                <w:tcPr>
                  <w:tcW w:w="400" w:type="pct"/>
                  <w:noWrap w:val="0"/>
                  <w:vAlign w:val="center"/>
                </w:tcPr>
                <w:p w14:paraId="376D9CFB">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w:t>
                  </w:r>
                </w:p>
              </w:tc>
              <w:tc>
                <w:tcPr>
                  <w:tcW w:w="476" w:type="pct"/>
                  <w:noWrap w:val="0"/>
                  <w:vAlign w:val="center"/>
                </w:tcPr>
                <w:p w14:paraId="79AF88B2">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6.2</w:t>
                  </w:r>
                </w:p>
              </w:tc>
              <w:tc>
                <w:tcPr>
                  <w:tcW w:w="367" w:type="pct"/>
                  <w:noWrap w:val="0"/>
                  <w:vAlign w:val="center"/>
                </w:tcPr>
                <w:p w14:paraId="078600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1F</w:t>
                  </w:r>
                </w:p>
              </w:tc>
              <w:tc>
                <w:tcPr>
                  <w:tcW w:w="481" w:type="pct"/>
                  <w:noWrap w:val="0"/>
                  <w:vAlign w:val="center"/>
                </w:tcPr>
                <w:p w14:paraId="2EC23273">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368.00</w:t>
                  </w:r>
                </w:p>
              </w:tc>
              <w:tc>
                <w:tcPr>
                  <w:tcW w:w="548" w:type="pct"/>
                  <w:noWrap w:val="0"/>
                  <w:vAlign w:val="center"/>
                </w:tcPr>
                <w:p w14:paraId="5B593875">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368.00</w:t>
                  </w:r>
                </w:p>
              </w:tc>
              <w:tc>
                <w:tcPr>
                  <w:tcW w:w="837" w:type="pct"/>
                  <w:noWrap w:val="0"/>
                  <w:vAlign w:val="center"/>
                </w:tcPr>
                <w:p w14:paraId="165C9A4A">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甲类，二级耐火等级</w:t>
                  </w:r>
                </w:p>
              </w:tc>
              <w:tc>
                <w:tcPr>
                  <w:tcW w:w="928" w:type="pct"/>
                  <w:noWrap w:val="0"/>
                  <w:vAlign w:val="center"/>
                </w:tcPr>
                <w:p w14:paraId="1A0DC828">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用于</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液化石油</w:t>
                  </w:r>
                  <w:r>
                    <w:rPr>
                      <w:rFonts w:hint="eastAsia" w:cs="Times New Roman"/>
                      <w:b w:val="0"/>
                      <w:bCs/>
                      <w:color w:val="000000" w:themeColor="text1"/>
                      <w:sz w:val="21"/>
                      <w:szCs w:val="21"/>
                      <w:highlight w:val="none"/>
                      <w:lang w:val="en-US" w:eastAsia="zh-CN"/>
                      <w14:textFill>
                        <w14:solidFill>
                          <w14:schemeClr w14:val="tx1"/>
                        </w14:solidFill>
                      </w14:textFill>
                    </w:rPr>
                    <w:t>气（丙烷）</w:t>
                  </w:r>
                  <w:r>
                    <w:rPr>
                      <w:rFonts w:hint="eastAsia" w:cs="Times New Roman"/>
                      <w:b w:val="0"/>
                      <w:bCs/>
                      <w:color w:val="000000" w:themeColor="text1"/>
                      <w:sz w:val="21"/>
                      <w:szCs w:val="21"/>
                      <w:lang w:val="en-US" w:eastAsia="zh-CN"/>
                      <w14:textFill>
                        <w14:solidFill>
                          <w14:schemeClr w14:val="tx1"/>
                        </w14:solidFill>
                      </w14:textFill>
                    </w:rPr>
                    <w:t>气瓶充装</w:t>
                  </w:r>
                </w:p>
              </w:tc>
            </w:tr>
            <w:tr w14:paraId="1310C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vMerge w:val="continue"/>
                  <w:noWrap w:val="0"/>
                  <w:vAlign w:val="center"/>
                </w:tcPr>
                <w:p w14:paraId="2F640B0E">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560" w:type="pct"/>
                  <w:noWrap w:val="0"/>
                  <w:vAlign w:val="center"/>
                </w:tcPr>
                <w:p w14:paraId="2DF8A699">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地埋罐区罩棚</w:t>
                  </w:r>
                </w:p>
              </w:tc>
              <w:tc>
                <w:tcPr>
                  <w:tcW w:w="400" w:type="pct"/>
                  <w:noWrap w:val="0"/>
                  <w:vAlign w:val="center"/>
                </w:tcPr>
                <w:p w14:paraId="28372355">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w:t>
                  </w:r>
                </w:p>
              </w:tc>
              <w:tc>
                <w:tcPr>
                  <w:tcW w:w="476" w:type="pct"/>
                  <w:noWrap w:val="0"/>
                  <w:vAlign w:val="center"/>
                </w:tcPr>
                <w:p w14:paraId="40FDDEE0">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5.05</w:t>
                  </w:r>
                </w:p>
              </w:tc>
              <w:tc>
                <w:tcPr>
                  <w:tcW w:w="367" w:type="pct"/>
                  <w:noWrap w:val="0"/>
                  <w:vAlign w:val="center"/>
                </w:tcPr>
                <w:p w14:paraId="6B0B87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481" w:type="pct"/>
                  <w:noWrap w:val="0"/>
                  <w:vAlign w:val="center"/>
                </w:tcPr>
                <w:p w14:paraId="49B43C0B">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354.84</w:t>
                  </w:r>
                </w:p>
              </w:tc>
              <w:tc>
                <w:tcPr>
                  <w:tcW w:w="548" w:type="pct"/>
                  <w:noWrap w:val="0"/>
                  <w:vAlign w:val="center"/>
                </w:tcPr>
                <w:p w14:paraId="482AEED9">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177.42</w:t>
                  </w:r>
                </w:p>
              </w:tc>
              <w:tc>
                <w:tcPr>
                  <w:tcW w:w="837" w:type="pct"/>
                  <w:noWrap w:val="0"/>
                  <w:vAlign w:val="center"/>
                </w:tcPr>
                <w:p w14:paraId="56F1959D">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甲类，二级耐火等级</w:t>
                  </w:r>
                </w:p>
              </w:tc>
              <w:tc>
                <w:tcPr>
                  <w:tcW w:w="928" w:type="pct"/>
                  <w:noWrap w:val="0"/>
                  <w:vAlign w:val="center"/>
                </w:tcPr>
                <w:p w14:paraId="63A426FA">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用于</w:t>
                  </w: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液化石油</w:t>
                  </w:r>
                  <w:r>
                    <w:rPr>
                      <w:rFonts w:hint="eastAsia" w:cs="Times New Roman"/>
                      <w:b w:val="0"/>
                      <w:bCs/>
                      <w:color w:val="000000" w:themeColor="text1"/>
                      <w:sz w:val="21"/>
                      <w:szCs w:val="21"/>
                      <w:highlight w:val="none"/>
                      <w:lang w:val="en-US" w:eastAsia="zh-CN"/>
                      <w14:textFill>
                        <w14:solidFill>
                          <w14:schemeClr w14:val="tx1"/>
                        </w14:solidFill>
                      </w14:textFill>
                    </w:rPr>
                    <w:t>气（丙烷）的贮存</w:t>
                  </w:r>
                </w:p>
              </w:tc>
            </w:tr>
            <w:tr w14:paraId="605EC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noWrap w:val="0"/>
                  <w:vAlign w:val="center"/>
                </w:tcPr>
                <w:p w14:paraId="4B8F5660">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w:t>
                  </w:r>
                </w:p>
              </w:tc>
              <w:tc>
                <w:tcPr>
                  <w:tcW w:w="560" w:type="pct"/>
                  <w:noWrap w:val="0"/>
                  <w:vAlign w:val="center"/>
                </w:tcPr>
                <w:p w14:paraId="2CADD24D">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甲类仓库</w:t>
                  </w:r>
                </w:p>
              </w:tc>
              <w:tc>
                <w:tcPr>
                  <w:tcW w:w="400" w:type="pct"/>
                  <w:noWrap w:val="0"/>
                  <w:vAlign w:val="center"/>
                </w:tcPr>
                <w:p w14:paraId="62DCAFA7">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w:t>
                  </w:r>
                </w:p>
              </w:tc>
              <w:tc>
                <w:tcPr>
                  <w:tcW w:w="476" w:type="pct"/>
                  <w:noWrap w:val="0"/>
                  <w:vAlign w:val="center"/>
                </w:tcPr>
                <w:p w14:paraId="4B7CBAA6">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6.0</w:t>
                  </w:r>
                </w:p>
              </w:tc>
              <w:tc>
                <w:tcPr>
                  <w:tcW w:w="367" w:type="pct"/>
                  <w:noWrap w:val="0"/>
                  <w:vAlign w:val="center"/>
                </w:tcPr>
                <w:p w14:paraId="141209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1F</w:t>
                  </w:r>
                </w:p>
              </w:tc>
              <w:tc>
                <w:tcPr>
                  <w:tcW w:w="481" w:type="pct"/>
                  <w:noWrap w:val="0"/>
                  <w:vAlign w:val="center"/>
                </w:tcPr>
                <w:p w14:paraId="0DF4C6EB">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728.00</w:t>
                  </w:r>
                </w:p>
              </w:tc>
              <w:tc>
                <w:tcPr>
                  <w:tcW w:w="548" w:type="pct"/>
                  <w:noWrap w:val="0"/>
                  <w:vAlign w:val="center"/>
                </w:tcPr>
                <w:p w14:paraId="060CD8D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728.00</w:t>
                  </w:r>
                </w:p>
              </w:tc>
              <w:tc>
                <w:tcPr>
                  <w:tcW w:w="837" w:type="pct"/>
                  <w:noWrap w:val="0"/>
                  <w:vAlign w:val="center"/>
                </w:tcPr>
                <w:p w14:paraId="1215E512">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甲类，二级耐火等级</w:t>
                  </w:r>
                </w:p>
              </w:tc>
              <w:tc>
                <w:tcPr>
                  <w:tcW w:w="928" w:type="pct"/>
                  <w:noWrap w:val="0"/>
                  <w:vAlign w:val="center"/>
                </w:tcPr>
                <w:p w14:paraId="06253364">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仓库，储存外购</w:t>
                  </w:r>
                </w:p>
                <w:p w14:paraId="04BAD638">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的乙炔，多余未</w:t>
                  </w:r>
                </w:p>
                <w:p w14:paraId="4F921CE8">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销售完的丙烷</w:t>
                  </w:r>
                  <w:r>
                    <w:rPr>
                      <w:rFonts w:hint="eastAsia" w:cs="Times New Roman"/>
                      <w:b w:val="0"/>
                      <w:bCs/>
                      <w:color w:val="000000" w:themeColor="text1"/>
                      <w:sz w:val="21"/>
                      <w:szCs w:val="21"/>
                      <w:highlight w:val="none"/>
                      <w:lang w:val="en-US" w:eastAsia="zh-CN"/>
                      <w14:textFill>
                        <w14:solidFill>
                          <w14:schemeClr w14:val="tx1"/>
                        </w14:solidFill>
                      </w14:textFill>
                    </w:rPr>
                    <w:t>及润滑油的贮存</w:t>
                  </w:r>
                </w:p>
              </w:tc>
            </w:tr>
            <w:tr w14:paraId="74D1E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02" w:hRule="atLeast"/>
              </w:trPr>
              <w:tc>
                <w:tcPr>
                  <w:tcW w:w="399" w:type="pct"/>
                  <w:noWrap w:val="0"/>
                  <w:vAlign w:val="center"/>
                </w:tcPr>
                <w:p w14:paraId="6DF9572D">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560" w:type="pct"/>
                  <w:noWrap w:val="0"/>
                  <w:vAlign w:val="center"/>
                </w:tcPr>
                <w:p w14:paraId="59BB9D0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丁类仓库</w:t>
                  </w:r>
                </w:p>
              </w:tc>
              <w:tc>
                <w:tcPr>
                  <w:tcW w:w="400" w:type="pct"/>
                  <w:noWrap w:val="0"/>
                  <w:vAlign w:val="center"/>
                </w:tcPr>
                <w:p w14:paraId="63D2B272">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w:t>
                  </w:r>
                </w:p>
              </w:tc>
              <w:tc>
                <w:tcPr>
                  <w:tcW w:w="476" w:type="pct"/>
                  <w:noWrap w:val="0"/>
                  <w:vAlign w:val="center"/>
                </w:tcPr>
                <w:p w14:paraId="2C8C453C">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6.75</w:t>
                  </w:r>
                </w:p>
              </w:tc>
              <w:tc>
                <w:tcPr>
                  <w:tcW w:w="367" w:type="pct"/>
                  <w:noWrap w:val="0"/>
                  <w:vAlign w:val="center"/>
                </w:tcPr>
                <w:p w14:paraId="588E74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1F</w:t>
                  </w:r>
                </w:p>
              </w:tc>
              <w:tc>
                <w:tcPr>
                  <w:tcW w:w="481" w:type="pct"/>
                  <w:noWrap w:val="0"/>
                  <w:vAlign w:val="center"/>
                </w:tcPr>
                <w:p w14:paraId="7499A4D7">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914.40</w:t>
                  </w:r>
                </w:p>
              </w:tc>
              <w:tc>
                <w:tcPr>
                  <w:tcW w:w="548" w:type="pct"/>
                  <w:noWrap w:val="0"/>
                  <w:vAlign w:val="center"/>
                </w:tcPr>
                <w:p w14:paraId="37B033F7">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914.40</w:t>
                  </w:r>
                </w:p>
              </w:tc>
              <w:tc>
                <w:tcPr>
                  <w:tcW w:w="837" w:type="pct"/>
                  <w:noWrap w:val="0"/>
                  <w:vAlign w:val="center"/>
                </w:tcPr>
                <w:p w14:paraId="422C9A10">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丁类，耐火等级为二级</w:t>
                  </w:r>
                </w:p>
              </w:tc>
              <w:tc>
                <w:tcPr>
                  <w:tcW w:w="928" w:type="pct"/>
                  <w:noWrap w:val="0"/>
                  <w:vAlign w:val="center"/>
                </w:tcPr>
                <w:p w14:paraId="7BC70B1B">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主要存放惰性气体的空钢瓶，金属备件等。</w:t>
                  </w:r>
                </w:p>
              </w:tc>
            </w:tr>
            <w:tr w14:paraId="2CAC2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vMerge w:val="restart"/>
                  <w:noWrap w:val="0"/>
                  <w:vAlign w:val="center"/>
                </w:tcPr>
                <w:p w14:paraId="2FDB7FFC">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11</w:t>
                  </w:r>
                </w:p>
              </w:tc>
              <w:tc>
                <w:tcPr>
                  <w:tcW w:w="560" w:type="pct"/>
                  <w:noWrap w:val="0"/>
                  <w:vAlign w:val="center"/>
                </w:tcPr>
                <w:p w14:paraId="02676B4D">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消防水池</w:t>
                  </w:r>
                </w:p>
              </w:tc>
              <w:tc>
                <w:tcPr>
                  <w:tcW w:w="400" w:type="pct"/>
                  <w:noWrap w:val="0"/>
                  <w:vAlign w:val="center"/>
                </w:tcPr>
                <w:p w14:paraId="660C7E92">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476" w:type="pct"/>
                  <w:noWrap w:val="0"/>
                  <w:vAlign w:val="center"/>
                </w:tcPr>
                <w:p w14:paraId="330B8461">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w:t>
                  </w:r>
                </w:p>
              </w:tc>
              <w:tc>
                <w:tcPr>
                  <w:tcW w:w="367" w:type="pct"/>
                  <w:noWrap w:val="0"/>
                  <w:vAlign w:val="center"/>
                </w:tcPr>
                <w:p w14:paraId="55685D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481" w:type="pct"/>
                  <w:noWrap w:val="0"/>
                  <w:vAlign w:val="center"/>
                </w:tcPr>
                <w:p w14:paraId="73488C0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373.50</w:t>
                  </w:r>
                </w:p>
              </w:tc>
              <w:tc>
                <w:tcPr>
                  <w:tcW w:w="548" w:type="pct"/>
                  <w:noWrap w:val="0"/>
                  <w:vAlign w:val="center"/>
                </w:tcPr>
                <w:p w14:paraId="1540758E">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w:t>
                  </w:r>
                </w:p>
              </w:tc>
              <w:tc>
                <w:tcPr>
                  <w:tcW w:w="837" w:type="pct"/>
                  <w:noWrap w:val="0"/>
                  <w:vAlign w:val="center"/>
                </w:tcPr>
                <w:p w14:paraId="0B10A99D">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戊类</w:t>
                  </w:r>
                </w:p>
              </w:tc>
              <w:tc>
                <w:tcPr>
                  <w:tcW w:w="928" w:type="pct"/>
                  <w:vMerge w:val="restart"/>
                  <w:noWrap w:val="0"/>
                  <w:vAlign w:val="center"/>
                </w:tcPr>
                <w:p w14:paraId="6818773D">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消防用水暂存</w:t>
                  </w:r>
                </w:p>
              </w:tc>
            </w:tr>
            <w:tr w14:paraId="2DDFD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vMerge w:val="continue"/>
                  <w:noWrap w:val="0"/>
                  <w:vAlign w:val="center"/>
                </w:tcPr>
                <w:p w14:paraId="3B308883">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560" w:type="pct"/>
                  <w:noWrap w:val="0"/>
                  <w:vAlign w:val="center"/>
                </w:tcPr>
                <w:p w14:paraId="11CA2B0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泵房</w:t>
                  </w:r>
                </w:p>
              </w:tc>
              <w:tc>
                <w:tcPr>
                  <w:tcW w:w="400" w:type="pct"/>
                  <w:noWrap w:val="0"/>
                  <w:vAlign w:val="center"/>
                </w:tcPr>
                <w:p w14:paraId="3720EF5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476" w:type="pct"/>
                  <w:noWrap w:val="0"/>
                  <w:vAlign w:val="center"/>
                </w:tcPr>
                <w:p w14:paraId="16500835">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3.15</w:t>
                  </w:r>
                </w:p>
              </w:tc>
              <w:tc>
                <w:tcPr>
                  <w:tcW w:w="367" w:type="pct"/>
                  <w:noWrap w:val="0"/>
                  <w:vAlign w:val="center"/>
                </w:tcPr>
                <w:p w14:paraId="335909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1F/-1D</w:t>
                  </w:r>
                </w:p>
              </w:tc>
              <w:tc>
                <w:tcPr>
                  <w:tcW w:w="481" w:type="pct"/>
                  <w:noWrap w:val="0"/>
                  <w:vAlign w:val="center"/>
                </w:tcPr>
                <w:p w14:paraId="23A470EE">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121.50</w:t>
                  </w:r>
                </w:p>
              </w:tc>
              <w:tc>
                <w:tcPr>
                  <w:tcW w:w="548" w:type="pct"/>
                  <w:noWrap w:val="0"/>
                  <w:vAlign w:val="center"/>
                </w:tcPr>
                <w:p w14:paraId="0163AEB6">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121.50</w:t>
                  </w:r>
                </w:p>
              </w:tc>
              <w:tc>
                <w:tcPr>
                  <w:tcW w:w="837" w:type="pct"/>
                  <w:noWrap w:val="0"/>
                  <w:vAlign w:val="center"/>
                </w:tcPr>
                <w:p w14:paraId="04A2F43E">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戊类</w:t>
                  </w:r>
                </w:p>
              </w:tc>
              <w:tc>
                <w:tcPr>
                  <w:tcW w:w="928" w:type="pct"/>
                  <w:vMerge w:val="continue"/>
                  <w:noWrap w:val="0"/>
                  <w:vAlign w:val="center"/>
                </w:tcPr>
                <w:p w14:paraId="54E449F6">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p>
              </w:tc>
            </w:tr>
            <w:tr w14:paraId="71914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noWrap w:val="0"/>
                  <w:vAlign w:val="center"/>
                </w:tcPr>
                <w:p w14:paraId="31369D66">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12</w:t>
                  </w:r>
                </w:p>
              </w:tc>
              <w:tc>
                <w:tcPr>
                  <w:tcW w:w="560" w:type="pct"/>
                  <w:noWrap w:val="0"/>
                  <w:vAlign w:val="center"/>
                </w:tcPr>
                <w:p w14:paraId="3AC5E3B2">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辅助用房一</w:t>
                  </w:r>
                </w:p>
              </w:tc>
              <w:tc>
                <w:tcPr>
                  <w:tcW w:w="400" w:type="pct"/>
                  <w:noWrap w:val="0"/>
                  <w:vAlign w:val="center"/>
                </w:tcPr>
                <w:p w14:paraId="5B3B607B">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476" w:type="pct"/>
                  <w:noWrap w:val="0"/>
                  <w:vAlign w:val="center"/>
                </w:tcPr>
                <w:p w14:paraId="73DA90CC">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6.80</w:t>
                  </w:r>
                </w:p>
              </w:tc>
              <w:tc>
                <w:tcPr>
                  <w:tcW w:w="367" w:type="pct"/>
                  <w:noWrap w:val="0"/>
                  <w:vAlign w:val="center"/>
                </w:tcPr>
                <w:p w14:paraId="2EF839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1F</w:t>
                  </w:r>
                </w:p>
              </w:tc>
              <w:tc>
                <w:tcPr>
                  <w:tcW w:w="481" w:type="pct"/>
                  <w:noWrap w:val="0"/>
                  <w:vAlign w:val="center"/>
                </w:tcPr>
                <w:p w14:paraId="578A8DAD">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390.00</w:t>
                  </w:r>
                </w:p>
              </w:tc>
              <w:tc>
                <w:tcPr>
                  <w:tcW w:w="548" w:type="pct"/>
                  <w:noWrap w:val="0"/>
                  <w:vAlign w:val="center"/>
                </w:tcPr>
                <w:p w14:paraId="17080D3F">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390.00</w:t>
                  </w:r>
                </w:p>
              </w:tc>
              <w:tc>
                <w:tcPr>
                  <w:tcW w:w="837" w:type="pct"/>
                  <w:noWrap w:val="0"/>
                  <w:vAlign w:val="center"/>
                </w:tcPr>
                <w:p w14:paraId="7429A54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丁类</w:t>
                  </w:r>
                </w:p>
              </w:tc>
              <w:tc>
                <w:tcPr>
                  <w:tcW w:w="928" w:type="pct"/>
                  <w:noWrap w:val="0"/>
                  <w:vAlign w:val="center"/>
                </w:tcPr>
                <w:p w14:paraId="4F040774">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设置卫生间、备品备件库、机柜间和工具间等</w:t>
                  </w:r>
                </w:p>
              </w:tc>
            </w:tr>
            <w:tr w14:paraId="6BCD9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noWrap w:val="0"/>
                  <w:vAlign w:val="center"/>
                </w:tcPr>
                <w:p w14:paraId="45B0C59F">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13</w:t>
                  </w:r>
                </w:p>
              </w:tc>
              <w:tc>
                <w:tcPr>
                  <w:tcW w:w="560" w:type="pct"/>
                  <w:noWrap w:val="0"/>
                  <w:vAlign w:val="center"/>
                </w:tcPr>
                <w:p w14:paraId="1BBAA2A4">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事故应急池兼初期雨水池</w:t>
                  </w:r>
                </w:p>
              </w:tc>
              <w:tc>
                <w:tcPr>
                  <w:tcW w:w="400" w:type="pct"/>
                  <w:noWrap w:val="0"/>
                  <w:vAlign w:val="center"/>
                </w:tcPr>
                <w:p w14:paraId="5E05F6A1">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476" w:type="pct"/>
                  <w:noWrap w:val="0"/>
                  <w:vAlign w:val="center"/>
                </w:tcPr>
                <w:p w14:paraId="2CD741DF">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w:t>
                  </w:r>
                </w:p>
              </w:tc>
              <w:tc>
                <w:tcPr>
                  <w:tcW w:w="367" w:type="pct"/>
                  <w:noWrap w:val="0"/>
                  <w:vAlign w:val="center"/>
                </w:tcPr>
                <w:p w14:paraId="32CDC1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w:t>
                  </w:r>
                </w:p>
              </w:tc>
              <w:tc>
                <w:tcPr>
                  <w:tcW w:w="481" w:type="pct"/>
                  <w:noWrap w:val="0"/>
                  <w:vAlign w:val="center"/>
                </w:tcPr>
                <w:p w14:paraId="3D0D3C8D">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458.49</w:t>
                  </w:r>
                </w:p>
              </w:tc>
              <w:tc>
                <w:tcPr>
                  <w:tcW w:w="548" w:type="pct"/>
                  <w:noWrap w:val="0"/>
                  <w:vAlign w:val="center"/>
                </w:tcPr>
                <w:p w14:paraId="7F777C2F">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w:t>
                  </w:r>
                </w:p>
              </w:tc>
              <w:tc>
                <w:tcPr>
                  <w:tcW w:w="837" w:type="pct"/>
                  <w:noWrap w:val="0"/>
                  <w:vAlign w:val="center"/>
                </w:tcPr>
                <w:p w14:paraId="270864C1">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丙类</w:t>
                  </w:r>
                </w:p>
              </w:tc>
              <w:tc>
                <w:tcPr>
                  <w:tcW w:w="928" w:type="pct"/>
                  <w:noWrap w:val="0"/>
                  <w:vAlign w:val="center"/>
                </w:tcPr>
                <w:p w14:paraId="24339240">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用于</w:t>
                  </w:r>
                  <w:r>
                    <w:rPr>
                      <w:rFonts w:hint="eastAsia" w:cs="Times New Roman"/>
                      <w:color w:val="000000" w:themeColor="text1"/>
                      <w:sz w:val="21"/>
                      <w:szCs w:val="21"/>
                      <w:highlight w:val="none"/>
                      <w:lang w:val="en-US" w:eastAsia="zh-CN"/>
                      <w14:textFill>
                        <w14:solidFill>
                          <w14:schemeClr w14:val="tx1"/>
                        </w14:solidFill>
                      </w14:textFill>
                    </w:rPr>
                    <w:t>事故废水及初期雨水池收集</w:t>
                  </w:r>
                </w:p>
              </w:tc>
            </w:tr>
            <w:tr w14:paraId="0B2CA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noWrap w:val="0"/>
                  <w:vAlign w:val="center"/>
                </w:tcPr>
                <w:p w14:paraId="4190B3DF">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14</w:t>
                  </w:r>
                </w:p>
              </w:tc>
              <w:tc>
                <w:tcPr>
                  <w:tcW w:w="560" w:type="pct"/>
                  <w:noWrap w:val="0"/>
                  <w:vAlign w:val="center"/>
                </w:tcPr>
                <w:p w14:paraId="747839B4">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综合楼</w:t>
                  </w:r>
                </w:p>
              </w:tc>
              <w:tc>
                <w:tcPr>
                  <w:tcW w:w="400" w:type="pct"/>
                  <w:noWrap w:val="0"/>
                  <w:vAlign w:val="center"/>
                </w:tcPr>
                <w:p w14:paraId="363E73BE">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476" w:type="pct"/>
                  <w:noWrap w:val="0"/>
                  <w:vAlign w:val="center"/>
                </w:tcPr>
                <w:p w14:paraId="033AF302">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11.10</w:t>
                  </w:r>
                </w:p>
              </w:tc>
              <w:tc>
                <w:tcPr>
                  <w:tcW w:w="367" w:type="pct"/>
                  <w:noWrap w:val="0"/>
                  <w:vAlign w:val="center"/>
                </w:tcPr>
                <w:p w14:paraId="03ED2F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3F</w:t>
                  </w:r>
                </w:p>
              </w:tc>
              <w:tc>
                <w:tcPr>
                  <w:tcW w:w="481" w:type="pct"/>
                  <w:noWrap w:val="0"/>
                  <w:vAlign w:val="center"/>
                </w:tcPr>
                <w:p w14:paraId="39E69350">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372.90</w:t>
                  </w:r>
                </w:p>
              </w:tc>
              <w:tc>
                <w:tcPr>
                  <w:tcW w:w="548" w:type="pct"/>
                  <w:noWrap w:val="0"/>
                  <w:vAlign w:val="center"/>
                </w:tcPr>
                <w:p w14:paraId="05B1E647">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1051.17</w:t>
                  </w:r>
                </w:p>
              </w:tc>
              <w:tc>
                <w:tcPr>
                  <w:tcW w:w="837" w:type="pct"/>
                  <w:noWrap w:val="0"/>
                  <w:vAlign w:val="center"/>
                </w:tcPr>
                <w:p w14:paraId="49BC0A85">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民建</w:t>
                  </w:r>
                </w:p>
              </w:tc>
              <w:tc>
                <w:tcPr>
                  <w:tcW w:w="928" w:type="pct"/>
                  <w:noWrap w:val="0"/>
                  <w:vAlign w:val="center"/>
                </w:tcPr>
                <w:p w14:paraId="5BB94D5B">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布置卫生间、厨房、餐厅、控制室、办公室等</w:t>
                  </w:r>
                </w:p>
              </w:tc>
            </w:tr>
            <w:tr w14:paraId="143F9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399" w:type="pct"/>
                  <w:noWrap w:val="0"/>
                  <w:vAlign w:val="center"/>
                </w:tcPr>
                <w:p w14:paraId="629EDA71">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w:t>
                  </w:r>
                </w:p>
              </w:tc>
              <w:tc>
                <w:tcPr>
                  <w:tcW w:w="560" w:type="pct"/>
                  <w:noWrap w:val="0"/>
                  <w:vAlign w:val="center"/>
                </w:tcPr>
                <w:p w14:paraId="5B8A5D39">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辅助用房二</w:t>
                  </w:r>
                </w:p>
              </w:tc>
              <w:tc>
                <w:tcPr>
                  <w:tcW w:w="400" w:type="pct"/>
                  <w:noWrap w:val="0"/>
                  <w:vAlign w:val="center"/>
                </w:tcPr>
                <w:p w14:paraId="2106E87D">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476" w:type="pct"/>
                  <w:noWrap w:val="0"/>
                  <w:vAlign w:val="center"/>
                </w:tcPr>
                <w:p w14:paraId="67018FD9">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3.15</w:t>
                  </w:r>
                </w:p>
              </w:tc>
              <w:tc>
                <w:tcPr>
                  <w:tcW w:w="367" w:type="pct"/>
                  <w:noWrap w:val="0"/>
                  <w:vAlign w:val="center"/>
                </w:tcPr>
                <w:p w14:paraId="7D4258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1F</w:t>
                  </w:r>
                </w:p>
              </w:tc>
              <w:tc>
                <w:tcPr>
                  <w:tcW w:w="481" w:type="pct"/>
                  <w:noWrap w:val="0"/>
                  <w:vAlign w:val="center"/>
                </w:tcPr>
                <w:p w14:paraId="304B89FE">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232.70</w:t>
                  </w:r>
                </w:p>
              </w:tc>
              <w:tc>
                <w:tcPr>
                  <w:tcW w:w="548" w:type="pct"/>
                  <w:noWrap w:val="0"/>
                  <w:vAlign w:val="center"/>
                </w:tcPr>
                <w:p w14:paraId="61496785">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232.70</w:t>
                  </w:r>
                </w:p>
              </w:tc>
              <w:tc>
                <w:tcPr>
                  <w:tcW w:w="837" w:type="pct"/>
                  <w:noWrap w:val="0"/>
                  <w:vAlign w:val="center"/>
                </w:tcPr>
                <w:p w14:paraId="513BF9F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民建</w:t>
                  </w:r>
                </w:p>
              </w:tc>
              <w:tc>
                <w:tcPr>
                  <w:tcW w:w="928" w:type="pct"/>
                  <w:noWrap w:val="0"/>
                  <w:vAlign w:val="center"/>
                </w:tcPr>
                <w:p w14:paraId="5EF11D63">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设置工具间、会议室、司机休息室等</w:t>
                  </w:r>
                  <w:r>
                    <w:rPr>
                      <w:rFonts w:hint="eastAsia" w:cs="Times New Roman"/>
                      <w:b w:val="0"/>
                      <w:bCs/>
                      <w:color w:val="000000" w:themeColor="text1"/>
                      <w:sz w:val="21"/>
                      <w:szCs w:val="21"/>
                      <w:highlight w:val="none"/>
                      <w:lang w:val="en-US" w:eastAsia="zh-CN"/>
                      <w14:textFill>
                        <w14:solidFill>
                          <w14:schemeClr w14:val="tx1"/>
                        </w14:solidFill>
                      </w14:textFill>
                    </w:rPr>
                    <w:t>。</w:t>
                  </w:r>
                </w:p>
              </w:tc>
            </w:tr>
          </w:tbl>
          <w:p w14:paraId="16EFB4E4">
            <w:pPr>
              <w:pStyle w:val="85"/>
              <w:bidi w:val="0"/>
              <w:rPr>
                <w:rFonts w:hint="default" w:ascii="Times New Roman" w:hAnsi="Times New Roman" w:eastAsia="宋体" w:cs="Times New Roman"/>
                <w:color w:val="auto"/>
                <w:sz w:val="21"/>
                <w:szCs w:val="21"/>
                <w:lang w:val="en-US" w:eastAsia="zh-CN"/>
              </w:rPr>
            </w:pPr>
          </w:p>
          <w:p w14:paraId="13185A50">
            <w:pPr>
              <w:pStyle w:val="85"/>
              <w:bidi w:val="0"/>
              <w:rPr>
                <w:rFonts w:hint="default"/>
                <w:b/>
                <w:bCs/>
                <w:color w:val="auto"/>
                <w:lang w:val="en-US" w:eastAsia="zh-CN"/>
              </w:rPr>
            </w:pPr>
            <w:r>
              <w:rPr>
                <w:rFonts w:hint="default" w:ascii="Times New Roman" w:hAnsi="Times New Roman" w:eastAsia="宋体" w:cs="Times New Roman"/>
                <w:color w:val="auto"/>
                <w:sz w:val="21"/>
                <w:szCs w:val="21"/>
                <w:lang w:val="en-US" w:eastAsia="zh-CN"/>
              </w:rPr>
              <w:t>表2-</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储罐区存储设备规格</w:t>
            </w:r>
          </w:p>
          <w:tbl>
            <w:tblPr>
              <w:tblStyle w:val="30"/>
              <w:tblW w:w="853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1297"/>
              <w:gridCol w:w="460"/>
              <w:gridCol w:w="567"/>
              <w:gridCol w:w="813"/>
              <w:gridCol w:w="628"/>
              <w:gridCol w:w="823"/>
              <w:gridCol w:w="936"/>
              <w:gridCol w:w="1321"/>
              <w:gridCol w:w="1694"/>
            </w:tblGrid>
            <w:tr w14:paraId="726F1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759" w:type="pct"/>
                  <w:noWrap w:val="0"/>
                  <w:vAlign w:val="center"/>
                </w:tcPr>
                <w:p w14:paraId="58F1104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构筑物名称</w:t>
                  </w:r>
                </w:p>
              </w:tc>
              <w:tc>
                <w:tcPr>
                  <w:tcW w:w="269" w:type="pct"/>
                  <w:noWrap w:val="0"/>
                  <w:vAlign w:val="center"/>
                </w:tcPr>
                <w:p w14:paraId="3F288229">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数量</w:t>
                  </w:r>
                </w:p>
              </w:tc>
              <w:tc>
                <w:tcPr>
                  <w:tcW w:w="332" w:type="pct"/>
                  <w:noWrap w:val="0"/>
                  <w:vAlign w:val="center"/>
                </w:tcPr>
                <w:p w14:paraId="11BCF3A4">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结构</w:t>
                  </w:r>
                </w:p>
                <w:p w14:paraId="1D4C453D">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形式</w:t>
                  </w:r>
                </w:p>
              </w:tc>
              <w:tc>
                <w:tcPr>
                  <w:tcW w:w="476" w:type="pct"/>
                  <w:noWrap w:val="0"/>
                  <w:vAlign w:val="center"/>
                </w:tcPr>
                <w:p w14:paraId="258DA112">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占地面积</w:t>
                  </w:r>
                  <w:r>
                    <w:rPr>
                      <w:rFonts w:hint="eastAsia" w:cs="Times New Roman"/>
                      <w:b/>
                      <w:bCs w:val="0"/>
                      <w:color w:val="000000" w:themeColor="text1"/>
                      <w:sz w:val="21"/>
                      <w:szCs w:val="21"/>
                      <w:lang w:val="en-US" w:eastAsia="zh-CN"/>
                      <w14:textFill>
                        <w14:solidFill>
                          <w14:schemeClr w14:val="tx1"/>
                        </w14:solidFill>
                      </w14:textFill>
                    </w:rPr>
                    <w:t>（m</w:t>
                  </w:r>
                  <w:r>
                    <w:rPr>
                      <w:rFonts w:hint="eastAsia" w:cs="Times New Roman"/>
                      <w:b/>
                      <w:bCs w:val="0"/>
                      <w:color w:val="000000" w:themeColor="text1"/>
                      <w:sz w:val="21"/>
                      <w:szCs w:val="21"/>
                      <w:vertAlign w:val="superscript"/>
                      <w:lang w:val="en-US" w:eastAsia="zh-CN"/>
                      <w14:textFill>
                        <w14:solidFill>
                          <w14:schemeClr w14:val="tx1"/>
                        </w14:solidFill>
                      </w14:textFill>
                    </w:rPr>
                    <w:t>2</w:t>
                  </w:r>
                  <w:r>
                    <w:rPr>
                      <w:rFonts w:hint="eastAsia" w:cs="Times New Roman"/>
                      <w:b/>
                      <w:bCs w:val="0"/>
                      <w:color w:val="000000" w:themeColor="text1"/>
                      <w:sz w:val="21"/>
                      <w:szCs w:val="21"/>
                      <w:lang w:val="en-US" w:eastAsia="zh-CN"/>
                      <w14:textFill>
                        <w14:solidFill>
                          <w14:schemeClr w14:val="tx1"/>
                        </w14:solidFill>
                      </w14:textFill>
                    </w:rPr>
                    <w:t>）</w:t>
                  </w:r>
                </w:p>
              </w:tc>
              <w:tc>
                <w:tcPr>
                  <w:tcW w:w="367" w:type="pct"/>
                  <w:noWrap w:val="0"/>
                  <w:vAlign w:val="center"/>
                </w:tcPr>
                <w:p w14:paraId="0A222D5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火险类别</w:t>
                  </w:r>
                </w:p>
              </w:tc>
              <w:tc>
                <w:tcPr>
                  <w:tcW w:w="481" w:type="pct"/>
                  <w:noWrap w:val="0"/>
                  <w:vAlign w:val="center"/>
                </w:tcPr>
                <w:p w14:paraId="762821FF">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储量/容积（m</w:t>
                  </w:r>
                  <w:r>
                    <w:rPr>
                      <w:rFonts w:hint="default" w:ascii="Times New Roman" w:hAnsi="Times New Roman" w:cs="Times New Roman"/>
                      <w:b/>
                      <w:bCs w:val="0"/>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w:t>
                  </w:r>
                </w:p>
              </w:tc>
              <w:tc>
                <w:tcPr>
                  <w:tcW w:w="548" w:type="pct"/>
                  <w:noWrap w:val="0"/>
                  <w:vAlign w:val="center"/>
                </w:tcPr>
                <w:p w14:paraId="091CC737">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规格</w:t>
                  </w:r>
                </w:p>
              </w:tc>
              <w:tc>
                <w:tcPr>
                  <w:tcW w:w="773" w:type="pct"/>
                  <w:noWrap w:val="0"/>
                  <w:vAlign w:val="center"/>
                </w:tcPr>
                <w:p w14:paraId="1805ACA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材质</w:t>
                  </w:r>
                </w:p>
              </w:tc>
              <w:tc>
                <w:tcPr>
                  <w:tcW w:w="991" w:type="pct"/>
                  <w:noWrap w:val="0"/>
                  <w:vAlign w:val="center"/>
                </w:tcPr>
                <w:p w14:paraId="75B27649">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kern w:val="0"/>
                      <w:sz w:val="21"/>
                      <w:szCs w:val="21"/>
                      <w:lang w:val="en-US" w:eastAsia="zh-CN" w:bidi="ar-SA"/>
                      <w14:textFill>
                        <w14:solidFill>
                          <w14:schemeClr w14:val="tx1"/>
                        </w14:solidFill>
                      </w14:textFill>
                    </w:rPr>
                  </w:pPr>
                  <w:r>
                    <w:rPr>
                      <w:rFonts w:hint="eastAsia" w:cs="Times New Roman"/>
                      <w:b/>
                      <w:bCs w:val="0"/>
                      <w:color w:val="000000" w:themeColor="text1"/>
                      <w:sz w:val="21"/>
                      <w:szCs w:val="21"/>
                      <w:lang w:val="en-US" w:eastAsia="zh-CN"/>
                      <w14:textFill>
                        <w14:solidFill>
                          <w14:schemeClr w14:val="tx1"/>
                        </w14:solidFill>
                      </w14:textFill>
                    </w:rPr>
                    <w:t>设计压力、温度</w:t>
                  </w:r>
                </w:p>
              </w:tc>
            </w:tr>
            <w:tr w14:paraId="276D07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759" w:type="pct"/>
                  <w:noWrap w:val="0"/>
                  <w:vAlign w:val="center"/>
                </w:tcPr>
                <w:p w14:paraId="2A0ACB93">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低温液体工业氧气储罐</w:t>
                  </w:r>
                </w:p>
              </w:tc>
              <w:tc>
                <w:tcPr>
                  <w:tcW w:w="269" w:type="pct"/>
                  <w:noWrap w:val="0"/>
                  <w:vAlign w:val="center"/>
                </w:tcPr>
                <w:p w14:paraId="68B944E5">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p>
              </w:tc>
              <w:tc>
                <w:tcPr>
                  <w:tcW w:w="332" w:type="pct"/>
                  <w:noWrap w:val="0"/>
                  <w:vAlign w:val="center"/>
                </w:tcPr>
                <w:p w14:paraId="206BE673">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立式</w:t>
                  </w:r>
                </w:p>
              </w:tc>
              <w:tc>
                <w:tcPr>
                  <w:tcW w:w="476" w:type="pct"/>
                  <w:noWrap w:val="0"/>
                  <w:vAlign w:val="center"/>
                </w:tcPr>
                <w:p w14:paraId="6FC76BB0">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20</w:t>
                  </w:r>
                </w:p>
              </w:tc>
              <w:tc>
                <w:tcPr>
                  <w:tcW w:w="367" w:type="pct"/>
                  <w:noWrap w:val="0"/>
                  <w:vAlign w:val="center"/>
                </w:tcPr>
                <w:p w14:paraId="320BB5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乙类</w:t>
                  </w:r>
                </w:p>
              </w:tc>
              <w:tc>
                <w:tcPr>
                  <w:tcW w:w="481" w:type="pct"/>
                  <w:noWrap w:val="0"/>
                  <w:vAlign w:val="center"/>
                </w:tcPr>
                <w:p w14:paraId="2F77ECF2">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50</w:t>
                  </w:r>
                </w:p>
              </w:tc>
              <w:tc>
                <w:tcPr>
                  <w:tcW w:w="548" w:type="pct"/>
                  <w:noWrap w:val="0"/>
                  <w:vAlign w:val="center"/>
                </w:tcPr>
                <w:p w14:paraId="31765C9C">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Φ3.</w:t>
                  </w:r>
                  <w:r>
                    <w:rPr>
                      <w:rFonts w:hint="eastAsia"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cs="Times New Roman"/>
                      <w:b w:val="0"/>
                      <w:bCs/>
                      <w:color w:val="000000" w:themeColor="text1"/>
                      <w:sz w:val="21"/>
                      <w:szCs w:val="21"/>
                      <w14:textFill>
                        <w14:solidFill>
                          <w14:schemeClr w14:val="tx1"/>
                        </w14:solidFill>
                      </w14:textFill>
                    </w:rPr>
                    <w:t>m×12.</w:t>
                  </w:r>
                  <w:r>
                    <w:rPr>
                      <w:rFonts w:hint="eastAsia"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cs="Times New Roman"/>
                      <w:b w:val="0"/>
                      <w:bCs/>
                      <w:color w:val="000000" w:themeColor="text1"/>
                      <w:sz w:val="21"/>
                      <w:szCs w:val="21"/>
                      <w14:textFill>
                        <w14:solidFill>
                          <w14:schemeClr w14:val="tx1"/>
                        </w14:solidFill>
                      </w14:textFill>
                    </w:rPr>
                    <w:t>m</w:t>
                  </w:r>
                </w:p>
              </w:tc>
              <w:tc>
                <w:tcPr>
                  <w:tcW w:w="773" w:type="pct"/>
                  <w:noWrap w:val="0"/>
                  <w:vAlign w:val="center"/>
                </w:tcPr>
                <w:p w14:paraId="3643AB53">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S304</w:t>
                  </w:r>
                  <w:r>
                    <w:rPr>
                      <w:rFonts w:hint="eastAsia" w:cs="Times New Roman"/>
                      <w:b w:val="0"/>
                      <w:bCs/>
                      <w:color w:val="000000" w:themeColor="text1"/>
                      <w:sz w:val="21"/>
                      <w:szCs w:val="21"/>
                      <w:lang w:val="en-US" w:eastAsia="zh-CN"/>
                      <w14:textFill>
                        <w14:solidFill>
                          <w14:schemeClr w14:val="tx1"/>
                        </w14:solidFill>
                      </w14:textFill>
                    </w:rPr>
                    <w:t>08</w:t>
                  </w:r>
                  <w:r>
                    <w:rPr>
                      <w:rFonts w:hint="default" w:ascii="Times New Roman" w:hAnsi="Times New Roman" w:cs="Times New Roman"/>
                      <w:b w:val="0"/>
                      <w:bCs/>
                      <w:color w:val="000000" w:themeColor="text1"/>
                      <w:sz w:val="21"/>
                      <w:szCs w:val="21"/>
                      <w14:textFill>
                        <w14:solidFill>
                          <w14:schemeClr w14:val="tx1"/>
                        </w14:solidFill>
                      </w14:textFill>
                    </w:rPr>
                    <w:t>内胆Q</w:t>
                  </w:r>
                  <w:r>
                    <w:rPr>
                      <w:rFonts w:hint="eastAsia" w:cs="Times New Roman"/>
                      <w:b w:val="0"/>
                      <w:bCs/>
                      <w:color w:val="000000" w:themeColor="text1"/>
                      <w:sz w:val="21"/>
                      <w:szCs w:val="21"/>
                      <w:lang w:val="en-US" w:eastAsia="zh-CN"/>
                      <w14:textFill>
                        <w14:solidFill>
                          <w14:schemeClr w14:val="tx1"/>
                        </w14:solidFill>
                      </w14:textFill>
                    </w:rPr>
                    <w:t>34</w:t>
                  </w:r>
                  <w:r>
                    <w:rPr>
                      <w:rFonts w:hint="default" w:ascii="Times New Roman" w:hAnsi="Times New Roman" w:cs="Times New Roman"/>
                      <w:b w:val="0"/>
                      <w:bCs/>
                      <w:color w:val="000000" w:themeColor="text1"/>
                      <w:sz w:val="21"/>
                      <w:szCs w:val="21"/>
                      <w14:textFill>
                        <w14:solidFill>
                          <w14:schemeClr w14:val="tx1"/>
                        </w14:solidFill>
                      </w14:textFill>
                    </w:rPr>
                    <w:t>5</w:t>
                  </w:r>
                  <w:r>
                    <w:rPr>
                      <w:rFonts w:hint="eastAsia" w:cs="Times New Roman"/>
                      <w:b w:val="0"/>
                      <w:bCs/>
                      <w:color w:val="000000" w:themeColor="text1"/>
                      <w:sz w:val="21"/>
                      <w:szCs w:val="21"/>
                      <w:lang w:val="en-US" w:eastAsia="zh-CN"/>
                      <w14:textFill>
                        <w14:solidFill>
                          <w14:schemeClr w14:val="tx1"/>
                        </w14:solidFill>
                      </w14:textFill>
                    </w:rPr>
                    <w:t>R</w:t>
                  </w:r>
                  <w:r>
                    <w:rPr>
                      <w:rFonts w:hint="eastAsia" w:cs="Times New Roman"/>
                      <w:b w:val="0"/>
                      <w:bCs/>
                      <w:color w:val="000000" w:themeColor="text1"/>
                      <w:sz w:val="21"/>
                      <w:szCs w:val="21"/>
                      <w:lang w:eastAsia="zh-CN"/>
                      <w14:textFill>
                        <w14:solidFill>
                          <w14:schemeClr w14:val="tx1"/>
                        </w14:solidFill>
                      </w14:textFill>
                    </w:rPr>
                    <w:t>外壳</w:t>
                  </w:r>
                </w:p>
              </w:tc>
              <w:tc>
                <w:tcPr>
                  <w:tcW w:w="991" w:type="pct"/>
                  <w:noWrap w:val="0"/>
                  <w:vAlign w:val="center"/>
                </w:tcPr>
                <w:p w14:paraId="4D5CBC1B">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设计压力0.8MPa</w:t>
                  </w:r>
                </w:p>
                <w:p w14:paraId="1775A675">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设计温度-1</w:t>
                  </w:r>
                  <w:r>
                    <w:rPr>
                      <w:rFonts w:hint="eastAsia" w:cs="Times New Roman"/>
                      <w:b w:val="0"/>
                      <w:bCs/>
                      <w:color w:val="000000" w:themeColor="text1"/>
                      <w:sz w:val="21"/>
                      <w:szCs w:val="21"/>
                      <w:lang w:val="en-US" w:eastAsia="zh-CN"/>
                      <w14:textFill>
                        <w14:solidFill>
                          <w14:schemeClr w14:val="tx1"/>
                        </w14:solidFill>
                      </w14:textFill>
                    </w:rPr>
                    <w:t>83</w:t>
                  </w:r>
                  <w:r>
                    <w:rPr>
                      <w:rFonts w:hint="default" w:ascii="Times New Roman" w:hAnsi="Times New Roman" w:cs="Times New Roman"/>
                      <w:b w:val="0"/>
                      <w:bCs/>
                      <w:color w:val="000000" w:themeColor="text1"/>
                      <w:sz w:val="21"/>
                      <w:szCs w:val="21"/>
                      <w14:textFill>
                        <w14:solidFill>
                          <w14:schemeClr w14:val="tx1"/>
                        </w14:solidFill>
                      </w14:textFill>
                    </w:rPr>
                    <w:t>℃</w:t>
                  </w:r>
                </w:p>
              </w:tc>
            </w:tr>
            <w:tr w14:paraId="51E92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759" w:type="pct"/>
                  <w:noWrap w:val="0"/>
                  <w:vAlign w:val="center"/>
                </w:tcPr>
                <w:p w14:paraId="1D61235B">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低温液体医用氧气储罐</w:t>
                  </w:r>
                </w:p>
              </w:tc>
              <w:tc>
                <w:tcPr>
                  <w:tcW w:w="269" w:type="pct"/>
                  <w:noWrap w:val="0"/>
                  <w:vAlign w:val="center"/>
                </w:tcPr>
                <w:p w14:paraId="3CA398A0">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p>
              </w:tc>
              <w:tc>
                <w:tcPr>
                  <w:tcW w:w="332" w:type="pct"/>
                  <w:noWrap w:val="0"/>
                  <w:vAlign w:val="center"/>
                </w:tcPr>
                <w:p w14:paraId="77C9DCF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立式</w:t>
                  </w:r>
                </w:p>
              </w:tc>
              <w:tc>
                <w:tcPr>
                  <w:tcW w:w="476" w:type="pct"/>
                  <w:noWrap w:val="0"/>
                  <w:vAlign w:val="center"/>
                </w:tcPr>
                <w:p w14:paraId="5790EB78">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20</w:t>
                  </w:r>
                </w:p>
              </w:tc>
              <w:tc>
                <w:tcPr>
                  <w:tcW w:w="367" w:type="pct"/>
                  <w:noWrap w:val="0"/>
                  <w:vAlign w:val="center"/>
                </w:tcPr>
                <w:p w14:paraId="0D160B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乙类</w:t>
                  </w:r>
                </w:p>
              </w:tc>
              <w:tc>
                <w:tcPr>
                  <w:tcW w:w="481" w:type="pct"/>
                  <w:noWrap w:val="0"/>
                  <w:vAlign w:val="center"/>
                </w:tcPr>
                <w:p w14:paraId="3211D4B0">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30</w:t>
                  </w:r>
                </w:p>
              </w:tc>
              <w:tc>
                <w:tcPr>
                  <w:tcW w:w="548" w:type="pct"/>
                  <w:noWrap w:val="0"/>
                  <w:vAlign w:val="center"/>
                </w:tcPr>
                <w:p w14:paraId="6D87FD85">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Φ</w:t>
                  </w:r>
                  <w:r>
                    <w:rPr>
                      <w:rFonts w:hint="eastAsia" w:cs="Times New Roman"/>
                      <w:b w:val="0"/>
                      <w:bCs/>
                      <w:color w:val="000000" w:themeColor="text1"/>
                      <w:sz w:val="21"/>
                      <w:szCs w:val="21"/>
                      <w:lang w:val="en-US" w:eastAsia="zh-CN"/>
                      <w14:textFill>
                        <w14:solidFill>
                          <w14:schemeClr w14:val="tx1"/>
                        </w14:solidFill>
                      </w14:textFill>
                    </w:rPr>
                    <w:t>2.5</w:t>
                  </w:r>
                  <w:r>
                    <w:rPr>
                      <w:rFonts w:hint="default" w:ascii="Times New Roman" w:hAnsi="Times New Roman" w:cs="Times New Roman"/>
                      <w:b w:val="0"/>
                      <w:bCs/>
                      <w:color w:val="000000" w:themeColor="text1"/>
                      <w:sz w:val="21"/>
                      <w:szCs w:val="21"/>
                      <w14:textFill>
                        <w14:solidFill>
                          <w14:schemeClr w14:val="tx1"/>
                        </w14:solidFill>
                      </w14:textFill>
                    </w:rPr>
                    <w:t>m×1</w:t>
                  </w:r>
                  <w:r>
                    <w:rPr>
                      <w:rFonts w:hint="eastAsia"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cs="Times New Roman"/>
                      <w:b w:val="0"/>
                      <w:bCs/>
                      <w:color w:val="000000" w:themeColor="text1"/>
                      <w:sz w:val="21"/>
                      <w:szCs w:val="21"/>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8</w:t>
                  </w:r>
                  <w:r>
                    <w:rPr>
                      <w:rFonts w:hint="default" w:ascii="Times New Roman" w:hAnsi="Times New Roman" w:cs="Times New Roman"/>
                      <w:b w:val="0"/>
                      <w:bCs/>
                      <w:color w:val="000000" w:themeColor="text1"/>
                      <w:sz w:val="21"/>
                      <w:szCs w:val="21"/>
                      <w14:textFill>
                        <w14:solidFill>
                          <w14:schemeClr w14:val="tx1"/>
                        </w14:solidFill>
                      </w14:textFill>
                    </w:rPr>
                    <w:t>m</w:t>
                  </w:r>
                </w:p>
              </w:tc>
              <w:tc>
                <w:tcPr>
                  <w:tcW w:w="773" w:type="pct"/>
                  <w:noWrap w:val="0"/>
                  <w:vAlign w:val="center"/>
                </w:tcPr>
                <w:p w14:paraId="07E578CD">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S304</w:t>
                  </w:r>
                  <w:r>
                    <w:rPr>
                      <w:rFonts w:hint="eastAsia" w:cs="Times New Roman"/>
                      <w:b w:val="0"/>
                      <w:bCs/>
                      <w:color w:val="000000" w:themeColor="text1"/>
                      <w:sz w:val="21"/>
                      <w:szCs w:val="21"/>
                      <w:lang w:val="en-US" w:eastAsia="zh-CN"/>
                      <w14:textFill>
                        <w14:solidFill>
                          <w14:schemeClr w14:val="tx1"/>
                        </w14:solidFill>
                      </w14:textFill>
                    </w:rPr>
                    <w:t>08</w:t>
                  </w:r>
                  <w:r>
                    <w:rPr>
                      <w:rFonts w:hint="default" w:ascii="Times New Roman" w:hAnsi="Times New Roman" w:cs="Times New Roman"/>
                      <w:b w:val="0"/>
                      <w:bCs/>
                      <w:color w:val="000000" w:themeColor="text1"/>
                      <w:sz w:val="21"/>
                      <w:szCs w:val="21"/>
                      <w14:textFill>
                        <w14:solidFill>
                          <w14:schemeClr w14:val="tx1"/>
                        </w14:solidFill>
                      </w14:textFill>
                    </w:rPr>
                    <w:t>内胆Q</w:t>
                  </w:r>
                  <w:r>
                    <w:rPr>
                      <w:rFonts w:hint="eastAsia" w:cs="Times New Roman"/>
                      <w:b w:val="0"/>
                      <w:bCs/>
                      <w:color w:val="000000" w:themeColor="text1"/>
                      <w:sz w:val="21"/>
                      <w:szCs w:val="21"/>
                      <w:lang w:val="en-US" w:eastAsia="zh-CN"/>
                      <w14:textFill>
                        <w14:solidFill>
                          <w14:schemeClr w14:val="tx1"/>
                        </w14:solidFill>
                      </w14:textFill>
                    </w:rPr>
                    <w:t>34</w:t>
                  </w:r>
                  <w:r>
                    <w:rPr>
                      <w:rFonts w:hint="default" w:ascii="Times New Roman" w:hAnsi="Times New Roman" w:cs="Times New Roman"/>
                      <w:b w:val="0"/>
                      <w:bCs/>
                      <w:color w:val="000000" w:themeColor="text1"/>
                      <w:sz w:val="21"/>
                      <w:szCs w:val="21"/>
                      <w14:textFill>
                        <w14:solidFill>
                          <w14:schemeClr w14:val="tx1"/>
                        </w14:solidFill>
                      </w14:textFill>
                    </w:rPr>
                    <w:t>5</w:t>
                  </w:r>
                  <w:r>
                    <w:rPr>
                      <w:rFonts w:hint="eastAsia" w:cs="Times New Roman"/>
                      <w:b w:val="0"/>
                      <w:bCs/>
                      <w:color w:val="000000" w:themeColor="text1"/>
                      <w:sz w:val="21"/>
                      <w:szCs w:val="21"/>
                      <w:lang w:val="en-US" w:eastAsia="zh-CN"/>
                      <w14:textFill>
                        <w14:solidFill>
                          <w14:schemeClr w14:val="tx1"/>
                        </w14:solidFill>
                      </w14:textFill>
                    </w:rPr>
                    <w:t>R</w:t>
                  </w:r>
                  <w:r>
                    <w:rPr>
                      <w:rFonts w:hint="eastAsia" w:cs="Times New Roman"/>
                      <w:b w:val="0"/>
                      <w:bCs/>
                      <w:color w:val="000000" w:themeColor="text1"/>
                      <w:sz w:val="21"/>
                      <w:szCs w:val="21"/>
                      <w:lang w:eastAsia="zh-CN"/>
                      <w14:textFill>
                        <w14:solidFill>
                          <w14:schemeClr w14:val="tx1"/>
                        </w14:solidFill>
                      </w14:textFill>
                    </w:rPr>
                    <w:t>外壳</w:t>
                  </w:r>
                </w:p>
              </w:tc>
              <w:tc>
                <w:tcPr>
                  <w:tcW w:w="991" w:type="pct"/>
                  <w:noWrap w:val="0"/>
                  <w:vAlign w:val="center"/>
                </w:tcPr>
                <w:p w14:paraId="7B13A51C">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1.64</w:t>
                  </w:r>
                  <w:r>
                    <w:rPr>
                      <w:rFonts w:hint="default" w:ascii="Times New Roman" w:hAnsi="Times New Roman" w:cs="Times New Roman"/>
                      <w:b w:val="0"/>
                      <w:bCs/>
                      <w:color w:val="000000" w:themeColor="text1"/>
                      <w:sz w:val="21"/>
                      <w:szCs w:val="21"/>
                      <w14:textFill>
                        <w14:solidFill>
                          <w14:schemeClr w14:val="tx1"/>
                        </w14:solidFill>
                      </w14:textFill>
                    </w:rPr>
                    <w:t>MPa</w:t>
                  </w:r>
                </w:p>
                <w:p w14:paraId="14202E5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设计温度-1</w:t>
                  </w:r>
                  <w:r>
                    <w:rPr>
                      <w:rFonts w:hint="eastAsia" w:cs="Times New Roman"/>
                      <w:b w:val="0"/>
                      <w:bCs/>
                      <w:color w:val="000000" w:themeColor="text1"/>
                      <w:sz w:val="21"/>
                      <w:szCs w:val="21"/>
                      <w:lang w:val="en-US" w:eastAsia="zh-CN"/>
                      <w14:textFill>
                        <w14:solidFill>
                          <w14:schemeClr w14:val="tx1"/>
                        </w14:solidFill>
                      </w14:textFill>
                    </w:rPr>
                    <w:t>83</w:t>
                  </w:r>
                  <w:r>
                    <w:rPr>
                      <w:rFonts w:hint="default" w:ascii="Times New Roman" w:hAnsi="Times New Roman" w:cs="Times New Roman"/>
                      <w:b w:val="0"/>
                      <w:bCs/>
                      <w:color w:val="000000" w:themeColor="text1"/>
                      <w:sz w:val="21"/>
                      <w:szCs w:val="21"/>
                      <w14:textFill>
                        <w14:solidFill>
                          <w14:schemeClr w14:val="tx1"/>
                        </w14:solidFill>
                      </w14:textFill>
                    </w:rPr>
                    <w:t>℃</w:t>
                  </w:r>
                </w:p>
              </w:tc>
            </w:tr>
            <w:tr w14:paraId="67DB0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759" w:type="pct"/>
                  <w:noWrap w:val="0"/>
                  <w:vAlign w:val="center"/>
                </w:tcPr>
                <w:p w14:paraId="5EF12FDF">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低温液体氧气储罐</w:t>
                  </w:r>
                </w:p>
              </w:tc>
              <w:tc>
                <w:tcPr>
                  <w:tcW w:w="269" w:type="pct"/>
                  <w:noWrap w:val="0"/>
                  <w:vAlign w:val="center"/>
                </w:tcPr>
                <w:p w14:paraId="18E58F42">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p>
              </w:tc>
              <w:tc>
                <w:tcPr>
                  <w:tcW w:w="332" w:type="pct"/>
                  <w:noWrap w:val="0"/>
                  <w:vAlign w:val="center"/>
                </w:tcPr>
                <w:p w14:paraId="692768DF">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立式</w:t>
                  </w:r>
                </w:p>
              </w:tc>
              <w:tc>
                <w:tcPr>
                  <w:tcW w:w="476" w:type="pct"/>
                  <w:noWrap w:val="0"/>
                  <w:vAlign w:val="center"/>
                </w:tcPr>
                <w:p w14:paraId="37B1AFC3">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530</w:t>
                  </w:r>
                </w:p>
              </w:tc>
              <w:tc>
                <w:tcPr>
                  <w:tcW w:w="367" w:type="pct"/>
                  <w:noWrap w:val="0"/>
                  <w:vAlign w:val="center"/>
                </w:tcPr>
                <w:p w14:paraId="647294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乙类</w:t>
                  </w:r>
                </w:p>
              </w:tc>
              <w:tc>
                <w:tcPr>
                  <w:tcW w:w="481" w:type="pct"/>
                  <w:noWrap w:val="0"/>
                  <w:vAlign w:val="center"/>
                </w:tcPr>
                <w:p w14:paraId="4F4AE3BA">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3000</w:t>
                  </w:r>
                </w:p>
              </w:tc>
              <w:tc>
                <w:tcPr>
                  <w:tcW w:w="548" w:type="pct"/>
                  <w:noWrap w:val="0"/>
                  <w:vAlign w:val="center"/>
                </w:tcPr>
                <w:p w14:paraId="1061499C">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Φ</w:t>
                  </w:r>
                  <w:r>
                    <w:rPr>
                      <w:rFonts w:hint="eastAsia" w:cs="Times New Roman"/>
                      <w:b w:val="0"/>
                      <w:bCs/>
                      <w:color w:val="000000" w:themeColor="text1"/>
                      <w:sz w:val="21"/>
                      <w:szCs w:val="21"/>
                      <w:lang w:val="en-US" w:eastAsia="zh-CN"/>
                      <w14:textFill>
                        <w14:solidFill>
                          <w14:schemeClr w14:val="tx1"/>
                        </w14:solidFill>
                      </w14:textFill>
                    </w:rPr>
                    <w:t>18</w:t>
                  </w:r>
                  <w:r>
                    <w:rPr>
                      <w:rFonts w:hint="default" w:ascii="Times New Roman" w:hAnsi="Times New Roman" w:cs="Times New Roman"/>
                      <w:b w:val="0"/>
                      <w:bCs/>
                      <w:color w:val="000000" w:themeColor="text1"/>
                      <w:sz w:val="21"/>
                      <w:szCs w:val="21"/>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14:textFill>
                        <w14:solidFill>
                          <w14:schemeClr w14:val="tx1"/>
                        </w14:solidFill>
                      </w14:textFill>
                    </w:rPr>
                    <w:t>m×</w:t>
                  </w:r>
                  <w:r>
                    <w:rPr>
                      <w:rFonts w:hint="eastAsia" w:cs="Times New Roman"/>
                      <w:b w:val="0"/>
                      <w:bCs/>
                      <w:color w:val="000000" w:themeColor="text1"/>
                      <w:sz w:val="21"/>
                      <w:szCs w:val="21"/>
                      <w:lang w:val="en-US" w:eastAsia="zh-CN"/>
                      <w14:textFill>
                        <w14:solidFill>
                          <w14:schemeClr w14:val="tx1"/>
                        </w14:solidFill>
                      </w14:textFill>
                    </w:rPr>
                    <w:t>21</w:t>
                  </w:r>
                  <w:r>
                    <w:rPr>
                      <w:rFonts w:hint="default" w:ascii="Times New Roman" w:hAnsi="Times New Roman" w:cs="Times New Roman"/>
                      <w:b w:val="0"/>
                      <w:bCs/>
                      <w:color w:val="000000" w:themeColor="text1"/>
                      <w:sz w:val="21"/>
                      <w:szCs w:val="21"/>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cs="Times New Roman"/>
                      <w:b w:val="0"/>
                      <w:bCs/>
                      <w:color w:val="000000" w:themeColor="text1"/>
                      <w:sz w:val="21"/>
                      <w:szCs w:val="21"/>
                      <w14:textFill>
                        <w14:solidFill>
                          <w14:schemeClr w14:val="tx1"/>
                        </w14:solidFill>
                      </w14:textFill>
                    </w:rPr>
                    <w:t>m</w:t>
                  </w:r>
                </w:p>
              </w:tc>
              <w:tc>
                <w:tcPr>
                  <w:tcW w:w="773" w:type="pct"/>
                  <w:noWrap w:val="0"/>
                  <w:vAlign w:val="center"/>
                </w:tcPr>
                <w:p w14:paraId="0B665D8F">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S304</w:t>
                  </w:r>
                  <w:r>
                    <w:rPr>
                      <w:rFonts w:hint="eastAsia" w:cs="Times New Roman"/>
                      <w:b w:val="0"/>
                      <w:bCs/>
                      <w:color w:val="000000" w:themeColor="text1"/>
                      <w:sz w:val="21"/>
                      <w:szCs w:val="21"/>
                      <w:lang w:val="en-US" w:eastAsia="zh-CN"/>
                      <w14:textFill>
                        <w14:solidFill>
                          <w14:schemeClr w14:val="tx1"/>
                        </w14:solidFill>
                      </w14:textFill>
                    </w:rPr>
                    <w:t>08</w:t>
                  </w:r>
                  <w:r>
                    <w:rPr>
                      <w:rFonts w:hint="default" w:ascii="Times New Roman" w:hAnsi="Times New Roman" w:cs="Times New Roman"/>
                      <w:b w:val="0"/>
                      <w:bCs/>
                      <w:color w:val="000000" w:themeColor="text1"/>
                      <w:sz w:val="21"/>
                      <w:szCs w:val="21"/>
                      <w14:textFill>
                        <w14:solidFill>
                          <w14:schemeClr w14:val="tx1"/>
                        </w14:solidFill>
                      </w14:textFill>
                    </w:rPr>
                    <w:t>内胆Q</w:t>
                  </w:r>
                  <w:r>
                    <w:rPr>
                      <w:rFonts w:hint="eastAsia" w:cs="Times New Roman"/>
                      <w:b w:val="0"/>
                      <w:bCs/>
                      <w:color w:val="000000" w:themeColor="text1"/>
                      <w:sz w:val="21"/>
                      <w:szCs w:val="21"/>
                      <w:lang w:val="en-US" w:eastAsia="zh-CN"/>
                      <w14:textFill>
                        <w14:solidFill>
                          <w14:schemeClr w14:val="tx1"/>
                        </w14:solidFill>
                      </w14:textFill>
                    </w:rPr>
                    <w:t>34</w:t>
                  </w:r>
                  <w:r>
                    <w:rPr>
                      <w:rFonts w:hint="default" w:ascii="Times New Roman" w:hAnsi="Times New Roman" w:cs="Times New Roman"/>
                      <w:b w:val="0"/>
                      <w:bCs/>
                      <w:color w:val="000000" w:themeColor="text1"/>
                      <w:sz w:val="21"/>
                      <w:szCs w:val="21"/>
                      <w14:textFill>
                        <w14:solidFill>
                          <w14:schemeClr w14:val="tx1"/>
                        </w14:solidFill>
                      </w14:textFill>
                    </w:rPr>
                    <w:t>5</w:t>
                  </w:r>
                  <w:r>
                    <w:rPr>
                      <w:rFonts w:hint="eastAsia" w:cs="Times New Roman"/>
                      <w:b w:val="0"/>
                      <w:bCs/>
                      <w:color w:val="000000" w:themeColor="text1"/>
                      <w:sz w:val="21"/>
                      <w:szCs w:val="21"/>
                      <w:lang w:val="en-US" w:eastAsia="zh-CN"/>
                      <w14:textFill>
                        <w14:solidFill>
                          <w14:schemeClr w14:val="tx1"/>
                        </w14:solidFill>
                      </w14:textFill>
                    </w:rPr>
                    <w:t>R</w:t>
                  </w:r>
                  <w:r>
                    <w:rPr>
                      <w:rFonts w:hint="eastAsia" w:cs="Times New Roman"/>
                      <w:b w:val="0"/>
                      <w:bCs/>
                      <w:color w:val="000000" w:themeColor="text1"/>
                      <w:sz w:val="21"/>
                      <w:szCs w:val="21"/>
                      <w:lang w:eastAsia="zh-CN"/>
                      <w14:textFill>
                        <w14:solidFill>
                          <w14:schemeClr w14:val="tx1"/>
                        </w14:solidFill>
                      </w14:textFill>
                    </w:rPr>
                    <w:t>外壳</w:t>
                  </w:r>
                </w:p>
              </w:tc>
              <w:tc>
                <w:tcPr>
                  <w:tcW w:w="991" w:type="pct"/>
                  <w:noWrap w:val="0"/>
                  <w:vAlign w:val="center"/>
                </w:tcPr>
                <w:p w14:paraId="6DE27D7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25K</w:t>
                  </w:r>
                  <w:r>
                    <w:rPr>
                      <w:rFonts w:hint="default" w:ascii="Times New Roman" w:hAnsi="Times New Roman" w:cs="Times New Roman"/>
                      <w:b w:val="0"/>
                      <w:bCs/>
                      <w:color w:val="000000" w:themeColor="text1"/>
                      <w:sz w:val="21"/>
                      <w:szCs w:val="21"/>
                      <w14:textFill>
                        <w14:solidFill>
                          <w14:schemeClr w14:val="tx1"/>
                        </w14:solidFill>
                      </w14:textFill>
                    </w:rPr>
                    <w:t>Pa</w:t>
                  </w:r>
                </w:p>
                <w:p w14:paraId="03430EA9">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设计温度-1</w:t>
                  </w:r>
                  <w:r>
                    <w:rPr>
                      <w:rFonts w:hint="eastAsia" w:cs="Times New Roman"/>
                      <w:b w:val="0"/>
                      <w:bCs/>
                      <w:color w:val="000000" w:themeColor="text1"/>
                      <w:sz w:val="21"/>
                      <w:szCs w:val="21"/>
                      <w:lang w:val="en-US" w:eastAsia="zh-CN"/>
                      <w14:textFill>
                        <w14:solidFill>
                          <w14:schemeClr w14:val="tx1"/>
                        </w14:solidFill>
                      </w14:textFill>
                    </w:rPr>
                    <w:t>83</w:t>
                  </w:r>
                  <w:r>
                    <w:rPr>
                      <w:rFonts w:hint="default" w:ascii="Times New Roman" w:hAnsi="Times New Roman" w:cs="Times New Roman"/>
                      <w:b w:val="0"/>
                      <w:bCs/>
                      <w:color w:val="000000" w:themeColor="text1"/>
                      <w:sz w:val="21"/>
                      <w:szCs w:val="21"/>
                      <w14:textFill>
                        <w14:solidFill>
                          <w14:schemeClr w14:val="tx1"/>
                        </w14:solidFill>
                      </w14:textFill>
                    </w:rPr>
                    <w:t>℃</w:t>
                  </w:r>
                </w:p>
              </w:tc>
            </w:tr>
            <w:tr w14:paraId="58A97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759" w:type="pct"/>
                  <w:noWrap w:val="0"/>
                  <w:vAlign w:val="center"/>
                </w:tcPr>
                <w:p w14:paraId="142DE610">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低温液体</w:t>
                  </w:r>
                  <w:r>
                    <w:rPr>
                      <w:rFonts w:hint="eastAsia" w:ascii="Times New Roman" w:hAnsi="Times New Roman" w:cs="Times New Roman"/>
                      <w:color w:val="000000" w:themeColor="text1"/>
                      <w:sz w:val="21"/>
                      <w:szCs w:val="21"/>
                      <w:lang w:val="en-US" w:eastAsia="zh-CN"/>
                      <w14:textFill>
                        <w14:solidFill>
                          <w14:schemeClr w14:val="tx1"/>
                        </w14:solidFill>
                      </w14:textFill>
                    </w:rPr>
                    <w:t>高纯氧气</w:t>
                  </w:r>
                  <w:r>
                    <w:rPr>
                      <w:rFonts w:hint="default" w:ascii="Times New Roman" w:hAnsi="Times New Roman" w:cs="Times New Roman"/>
                      <w:color w:val="000000" w:themeColor="text1"/>
                      <w:sz w:val="21"/>
                      <w:szCs w:val="21"/>
                      <w14:textFill>
                        <w14:solidFill>
                          <w14:schemeClr w14:val="tx1"/>
                        </w14:solidFill>
                      </w14:textFill>
                    </w:rPr>
                    <w:t>储罐</w:t>
                  </w:r>
                </w:p>
              </w:tc>
              <w:tc>
                <w:tcPr>
                  <w:tcW w:w="269" w:type="pct"/>
                  <w:noWrap w:val="0"/>
                  <w:vAlign w:val="center"/>
                </w:tcPr>
                <w:p w14:paraId="6EFC6F3C">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p>
              </w:tc>
              <w:tc>
                <w:tcPr>
                  <w:tcW w:w="332" w:type="pct"/>
                  <w:noWrap w:val="0"/>
                  <w:vAlign w:val="center"/>
                </w:tcPr>
                <w:p w14:paraId="26A55BD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立式</w:t>
                  </w:r>
                </w:p>
              </w:tc>
              <w:tc>
                <w:tcPr>
                  <w:tcW w:w="476" w:type="pct"/>
                  <w:noWrap w:val="0"/>
                  <w:vAlign w:val="center"/>
                </w:tcPr>
                <w:p w14:paraId="1ACE50A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20</w:t>
                  </w:r>
                </w:p>
              </w:tc>
              <w:tc>
                <w:tcPr>
                  <w:tcW w:w="367" w:type="pct"/>
                  <w:noWrap w:val="0"/>
                  <w:vAlign w:val="center"/>
                </w:tcPr>
                <w:p w14:paraId="6046EC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乙类</w:t>
                  </w:r>
                </w:p>
              </w:tc>
              <w:tc>
                <w:tcPr>
                  <w:tcW w:w="481" w:type="pct"/>
                  <w:noWrap w:val="0"/>
                  <w:vAlign w:val="center"/>
                </w:tcPr>
                <w:p w14:paraId="1CE6A9D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30</w:t>
                  </w:r>
                </w:p>
              </w:tc>
              <w:tc>
                <w:tcPr>
                  <w:tcW w:w="548" w:type="pct"/>
                  <w:noWrap w:val="0"/>
                  <w:vAlign w:val="center"/>
                </w:tcPr>
                <w:p w14:paraId="38E25ED1">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Φ</w:t>
                  </w:r>
                  <w:r>
                    <w:rPr>
                      <w:rFonts w:hint="eastAsia" w:cs="Times New Roman"/>
                      <w:b w:val="0"/>
                      <w:bCs/>
                      <w:color w:val="000000" w:themeColor="text1"/>
                      <w:sz w:val="21"/>
                      <w:szCs w:val="21"/>
                      <w:lang w:val="en-US" w:eastAsia="zh-CN"/>
                      <w14:textFill>
                        <w14:solidFill>
                          <w14:schemeClr w14:val="tx1"/>
                        </w14:solidFill>
                      </w14:textFill>
                    </w:rPr>
                    <w:t>2.5</w:t>
                  </w:r>
                  <w:r>
                    <w:rPr>
                      <w:rFonts w:hint="default" w:ascii="Times New Roman" w:hAnsi="Times New Roman" w:cs="Times New Roman"/>
                      <w:b w:val="0"/>
                      <w:bCs/>
                      <w:color w:val="000000" w:themeColor="text1"/>
                      <w:sz w:val="21"/>
                      <w:szCs w:val="21"/>
                      <w14:textFill>
                        <w14:solidFill>
                          <w14:schemeClr w14:val="tx1"/>
                        </w14:solidFill>
                      </w14:textFill>
                    </w:rPr>
                    <w:t>m×1</w:t>
                  </w:r>
                  <w:r>
                    <w:rPr>
                      <w:rFonts w:hint="eastAsia"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cs="Times New Roman"/>
                      <w:b w:val="0"/>
                      <w:bCs/>
                      <w:color w:val="000000" w:themeColor="text1"/>
                      <w:sz w:val="21"/>
                      <w:szCs w:val="21"/>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8</w:t>
                  </w:r>
                  <w:r>
                    <w:rPr>
                      <w:rFonts w:hint="default" w:ascii="Times New Roman" w:hAnsi="Times New Roman" w:cs="Times New Roman"/>
                      <w:b w:val="0"/>
                      <w:bCs/>
                      <w:color w:val="000000" w:themeColor="text1"/>
                      <w:sz w:val="21"/>
                      <w:szCs w:val="21"/>
                      <w14:textFill>
                        <w14:solidFill>
                          <w14:schemeClr w14:val="tx1"/>
                        </w14:solidFill>
                      </w14:textFill>
                    </w:rPr>
                    <w:t>m</w:t>
                  </w:r>
                </w:p>
              </w:tc>
              <w:tc>
                <w:tcPr>
                  <w:tcW w:w="773" w:type="pct"/>
                  <w:noWrap w:val="0"/>
                  <w:vAlign w:val="center"/>
                </w:tcPr>
                <w:p w14:paraId="6AFBD8B9">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S304</w:t>
                  </w:r>
                  <w:r>
                    <w:rPr>
                      <w:rFonts w:hint="eastAsia" w:cs="Times New Roman"/>
                      <w:b w:val="0"/>
                      <w:bCs/>
                      <w:color w:val="000000" w:themeColor="text1"/>
                      <w:sz w:val="21"/>
                      <w:szCs w:val="21"/>
                      <w:lang w:val="en-US" w:eastAsia="zh-CN"/>
                      <w14:textFill>
                        <w14:solidFill>
                          <w14:schemeClr w14:val="tx1"/>
                        </w14:solidFill>
                      </w14:textFill>
                    </w:rPr>
                    <w:t>08</w:t>
                  </w:r>
                  <w:r>
                    <w:rPr>
                      <w:rFonts w:hint="default" w:ascii="Times New Roman" w:hAnsi="Times New Roman" w:cs="Times New Roman"/>
                      <w:b w:val="0"/>
                      <w:bCs/>
                      <w:color w:val="000000" w:themeColor="text1"/>
                      <w:sz w:val="21"/>
                      <w:szCs w:val="21"/>
                      <w14:textFill>
                        <w14:solidFill>
                          <w14:schemeClr w14:val="tx1"/>
                        </w14:solidFill>
                      </w14:textFill>
                    </w:rPr>
                    <w:t>内胆Q</w:t>
                  </w:r>
                  <w:r>
                    <w:rPr>
                      <w:rFonts w:hint="eastAsia" w:cs="Times New Roman"/>
                      <w:b w:val="0"/>
                      <w:bCs/>
                      <w:color w:val="000000" w:themeColor="text1"/>
                      <w:sz w:val="21"/>
                      <w:szCs w:val="21"/>
                      <w:lang w:val="en-US" w:eastAsia="zh-CN"/>
                      <w14:textFill>
                        <w14:solidFill>
                          <w14:schemeClr w14:val="tx1"/>
                        </w14:solidFill>
                      </w14:textFill>
                    </w:rPr>
                    <w:t>34</w:t>
                  </w:r>
                  <w:r>
                    <w:rPr>
                      <w:rFonts w:hint="default" w:ascii="Times New Roman" w:hAnsi="Times New Roman" w:cs="Times New Roman"/>
                      <w:b w:val="0"/>
                      <w:bCs/>
                      <w:color w:val="000000" w:themeColor="text1"/>
                      <w:sz w:val="21"/>
                      <w:szCs w:val="21"/>
                      <w14:textFill>
                        <w14:solidFill>
                          <w14:schemeClr w14:val="tx1"/>
                        </w14:solidFill>
                      </w14:textFill>
                    </w:rPr>
                    <w:t>5</w:t>
                  </w:r>
                  <w:r>
                    <w:rPr>
                      <w:rFonts w:hint="eastAsia" w:cs="Times New Roman"/>
                      <w:b w:val="0"/>
                      <w:bCs/>
                      <w:color w:val="000000" w:themeColor="text1"/>
                      <w:sz w:val="21"/>
                      <w:szCs w:val="21"/>
                      <w:lang w:val="en-US" w:eastAsia="zh-CN"/>
                      <w14:textFill>
                        <w14:solidFill>
                          <w14:schemeClr w14:val="tx1"/>
                        </w14:solidFill>
                      </w14:textFill>
                    </w:rPr>
                    <w:t>R</w:t>
                  </w:r>
                  <w:r>
                    <w:rPr>
                      <w:rFonts w:hint="eastAsia" w:cs="Times New Roman"/>
                      <w:b w:val="0"/>
                      <w:bCs/>
                      <w:color w:val="000000" w:themeColor="text1"/>
                      <w:sz w:val="21"/>
                      <w:szCs w:val="21"/>
                      <w:lang w:eastAsia="zh-CN"/>
                      <w14:textFill>
                        <w14:solidFill>
                          <w14:schemeClr w14:val="tx1"/>
                        </w14:solidFill>
                      </w14:textFill>
                    </w:rPr>
                    <w:t>外壳</w:t>
                  </w:r>
                </w:p>
              </w:tc>
              <w:tc>
                <w:tcPr>
                  <w:tcW w:w="991" w:type="pct"/>
                  <w:noWrap w:val="0"/>
                  <w:vAlign w:val="center"/>
                </w:tcPr>
                <w:p w14:paraId="677D7D2F">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设计压力0.8MPa</w:t>
                  </w:r>
                </w:p>
                <w:p w14:paraId="50C775F4">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设计温度-1</w:t>
                  </w:r>
                  <w:r>
                    <w:rPr>
                      <w:rFonts w:hint="eastAsia" w:cs="Times New Roman"/>
                      <w:b w:val="0"/>
                      <w:bCs/>
                      <w:color w:val="000000" w:themeColor="text1"/>
                      <w:sz w:val="21"/>
                      <w:szCs w:val="21"/>
                      <w:lang w:val="en-US" w:eastAsia="zh-CN"/>
                      <w14:textFill>
                        <w14:solidFill>
                          <w14:schemeClr w14:val="tx1"/>
                        </w14:solidFill>
                      </w14:textFill>
                    </w:rPr>
                    <w:t>83</w:t>
                  </w:r>
                  <w:r>
                    <w:rPr>
                      <w:rFonts w:hint="default" w:ascii="Times New Roman" w:hAnsi="Times New Roman" w:cs="Times New Roman"/>
                      <w:b w:val="0"/>
                      <w:bCs/>
                      <w:color w:val="000000" w:themeColor="text1"/>
                      <w:sz w:val="21"/>
                      <w:szCs w:val="21"/>
                      <w14:textFill>
                        <w14:solidFill>
                          <w14:schemeClr w14:val="tx1"/>
                        </w14:solidFill>
                      </w14:textFill>
                    </w:rPr>
                    <w:t>℃</w:t>
                  </w:r>
                </w:p>
              </w:tc>
            </w:tr>
            <w:tr w14:paraId="16BC7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759" w:type="pct"/>
                  <w:vMerge w:val="restart"/>
                  <w:noWrap w:val="0"/>
                  <w:vAlign w:val="center"/>
                </w:tcPr>
                <w:p w14:paraId="7B35FC48">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低温液体氮气储罐</w:t>
                  </w:r>
                </w:p>
              </w:tc>
              <w:tc>
                <w:tcPr>
                  <w:tcW w:w="269" w:type="pct"/>
                  <w:noWrap w:val="0"/>
                  <w:vAlign w:val="center"/>
                </w:tcPr>
                <w:p w14:paraId="07F081F4">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w:t>
                  </w:r>
                </w:p>
              </w:tc>
              <w:tc>
                <w:tcPr>
                  <w:tcW w:w="332" w:type="pct"/>
                  <w:noWrap w:val="0"/>
                  <w:vAlign w:val="center"/>
                </w:tcPr>
                <w:p w14:paraId="1A9F8FF3">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立式</w:t>
                  </w:r>
                </w:p>
              </w:tc>
              <w:tc>
                <w:tcPr>
                  <w:tcW w:w="476" w:type="pct"/>
                  <w:noWrap w:val="0"/>
                  <w:vAlign w:val="center"/>
                </w:tcPr>
                <w:p w14:paraId="29D691C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530</w:t>
                  </w:r>
                </w:p>
              </w:tc>
              <w:tc>
                <w:tcPr>
                  <w:tcW w:w="367" w:type="pct"/>
                  <w:noWrap w:val="0"/>
                  <w:vAlign w:val="center"/>
                </w:tcPr>
                <w:p w14:paraId="04A7E4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戊类</w:t>
                  </w:r>
                </w:p>
              </w:tc>
              <w:tc>
                <w:tcPr>
                  <w:tcW w:w="481" w:type="pct"/>
                  <w:noWrap w:val="0"/>
                  <w:vAlign w:val="center"/>
                </w:tcPr>
                <w:p w14:paraId="1842419D">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3000</w:t>
                  </w:r>
                </w:p>
              </w:tc>
              <w:tc>
                <w:tcPr>
                  <w:tcW w:w="548" w:type="pct"/>
                  <w:noWrap w:val="0"/>
                  <w:vAlign w:val="center"/>
                </w:tcPr>
                <w:p w14:paraId="737610C9">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Φ</w:t>
                  </w:r>
                  <w:r>
                    <w:rPr>
                      <w:rFonts w:hint="eastAsia" w:cs="Times New Roman"/>
                      <w:b w:val="0"/>
                      <w:bCs/>
                      <w:color w:val="000000" w:themeColor="text1"/>
                      <w:sz w:val="21"/>
                      <w:szCs w:val="21"/>
                      <w:lang w:val="en-US" w:eastAsia="zh-CN"/>
                      <w14:textFill>
                        <w14:solidFill>
                          <w14:schemeClr w14:val="tx1"/>
                        </w14:solidFill>
                      </w14:textFill>
                    </w:rPr>
                    <w:t>18</w:t>
                  </w:r>
                  <w:r>
                    <w:rPr>
                      <w:rFonts w:hint="default" w:ascii="Times New Roman" w:hAnsi="Times New Roman" w:cs="Times New Roman"/>
                      <w:b w:val="0"/>
                      <w:bCs/>
                      <w:color w:val="000000" w:themeColor="text1"/>
                      <w:sz w:val="21"/>
                      <w:szCs w:val="21"/>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3</w:t>
                  </w:r>
                  <w:r>
                    <w:rPr>
                      <w:rFonts w:hint="default" w:ascii="Times New Roman" w:hAnsi="Times New Roman" w:cs="Times New Roman"/>
                      <w:b w:val="0"/>
                      <w:bCs/>
                      <w:color w:val="000000" w:themeColor="text1"/>
                      <w:sz w:val="21"/>
                      <w:szCs w:val="21"/>
                      <w14:textFill>
                        <w14:solidFill>
                          <w14:schemeClr w14:val="tx1"/>
                        </w14:solidFill>
                      </w14:textFill>
                    </w:rPr>
                    <w:t>m×</w:t>
                  </w:r>
                  <w:r>
                    <w:rPr>
                      <w:rFonts w:hint="eastAsia" w:cs="Times New Roman"/>
                      <w:b w:val="0"/>
                      <w:bCs/>
                      <w:color w:val="000000" w:themeColor="text1"/>
                      <w:sz w:val="21"/>
                      <w:szCs w:val="21"/>
                      <w:lang w:val="en-US" w:eastAsia="zh-CN"/>
                      <w14:textFill>
                        <w14:solidFill>
                          <w14:schemeClr w14:val="tx1"/>
                        </w14:solidFill>
                      </w14:textFill>
                    </w:rPr>
                    <w:t>21</w:t>
                  </w:r>
                  <w:r>
                    <w:rPr>
                      <w:rFonts w:hint="default" w:ascii="Times New Roman" w:hAnsi="Times New Roman" w:cs="Times New Roman"/>
                      <w:b w:val="0"/>
                      <w:bCs/>
                      <w:color w:val="000000" w:themeColor="text1"/>
                      <w:sz w:val="21"/>
                      <w:szCs w:val="21"/>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cs="Times New Roman"/>
                      <w:b w:val="0"/>
                      <w:bCs/>
                      <w:color w:val="000000" w:themeColor="text1"/>
                      <w:sz w:val="21"/>
                      <w:szCs w:val="21"/>
                      <w14:textFill>
                        <w14:solidFill>
                          <w14:schemeClr w14:val="tx1"/>
                        </w14:solidFill>
                      </w14:textFill>
                    </w:rPr>
                    <w:t>m</w:t>
                  </w:r>
                </w:p>
              </w:tc>
              <w:tc>
                <w:tcPr>
                  <w:tcW w:w="773" w:type="pct"/>
                  <w:noWrap w:val="0"/>
                  <w:vAlign w:val="center"/>
                </w:tcPr>
                <w:p w14:paraId="448AB904">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S304</w:t>
                  </w:r>
                  <w:r>
                    <w:rPr>
                      <w:rFonts w:hint="eastAsia" w:cs="Times New Roman"/>
                      <w:b w:val="0"/>
                      <w:bCs/>
                      <w:color w:val="000000" w:themeColor="text1"/>
                      <w:sz w:val="21"/>
                      <w:szCs w:val="21"/>
                      <w:lang w:val="en-US" w:eastAsia="zh-CN"/>
                      <w14:textFill>
                        <w14:solidFill>
                          <w14:schemeClr w14:val="tx1"/>
                        </w14:solidFill>
                      </w14:textFill>
                    </w:rPr>
                    <w:t>08</w:t>
                  </w:r>
                  <w:r>
                    <w:rPr>
                      <w:rFonts w:hint="default" w:ascii="Times New Roman" w:hAnsi="Times New Roman" w:cs="Times New Roman"/>
                      <w:b w:val="0"/>
                      <w:bCs/>
                      <w:color w:val="000000" w:themeColor="text1"/>
                      <w:sz w:val="21"/>
                      <w:szCs w:val="21"/>
                      <w14:textFill>
                        <w14:solidFill>
                          <w14:schemeClr w14:val="tx1"/>
                        </w14:solidFill>
                      </w14:textFill>
                    </w:rPr>
                    <w:t>内胆Q</w:t>
                  </w:r>
                  <w:r>
                    <w:rPr>
                      <w:rFonts w:hint="eastAsia" w:cs="Times New Roman"/>
                      <w:b w:val="0"/>
                      <w:bCs/>
                      <w:color w:val="000000" w:themeColor="text1"/>
                      <w:sz w:val="21"/>
                      <w:szCs w:val="21"/>
                      <w:lang w:val="en-US" w:eastAsia="zh-CN"/>
                      <w14:textFill>
                        <w14:solidFill>
                          <w14:schemeClr w14:val="tx1"/>
                        </w14:solidFill>
                      </w14:textFill>
                    </w:rPr>
                    <w:t>34</w:t>
                  </w:r>
                  <w:r>
                    <w:rPr>
                      <w:rFonts w:hint="default" w:ascii="Times New Roman" w:hAnsi="Times New Roman" w:cs="Times New Roman"/>
                      <w:b w:val="0"/>
                      <w:bCs/>
                      <w:color w:val="000000" w:themeColor="text1"/>
                      <w:sz w:val="21"/>
                      <w:szCs w:val="21"/>
                      <w14:textFill>
                        <w14:solidFill>
                          <w14:schemeClr w14:val="tx1"/>
                        </w14:solidFill>
                      </w14:textFill>
                    </w:rPr>
                    <w:t>5</w:t>
                  </w:r>
                  <w:r>
                    <w:rPr>
                      <w:rFonts w:hint="eastAsia" w:cs="Times New Roman"/>
                      <w:b w:val="0"/>
                      <w:bCs/>
                      <w:color w:val="000000" w:themeColor="text1"/>
                      <w:sz w:val="21"/>
                      <w:szCs w:val="21"/>
                      <w:lang w:val="en-US" w:eastAsia="zh-CN"/>
                      <w14:textFill>
                        <w14:solidFill>
                          <w14:schemeClr w14:val="tx1"/>
                        </w14:solidFill>
                      </w14:textFill>
                    </w:rPr>
                    <w:t>R</w:t>
                  </w:r>
                  <w:r>
                    <w:rPr>
                      <w:rFonts w:hint="eastAsia" w:cs="Times New Roman"/>
                      <w:b w:val="0"/>
                      <w:bCs/>
                      <w:color w:val="000000" w:themeColor="text1"/>
                      <w:sz w:val="21"/>
                      <w:szCs w:val="21"/>
                      <w:lang w:eastAsia="zh-CN"/>
                      <w14:textFill>
                        <w14:solidFill>
                          <w14:schemeClr w14:val="tx1"/>
                        </w14:solidFill>
                      </w14:textFill>
                    </w:rPr>
                    <w:t>外壳</w:t>
                  </w:r>
                </w:p>
              </w:tc>
              <w:tc>
                <w:tcPr>
                  <w:tcW w:w="991" w:type="pct"/>
                  <w:noWrap w:val="0"/>
                  <w:vAlign w:val="center"/>
                </w:tcPr>
                <w:p w14:paraId="7E6DB79D">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25K</w:t>
                  </w:r>
                  <w:r>
                    <w:rPr>
                      <w:rFonts w:hint="default" w:ascii="Times New Roman" w:hAnsi="Times New Roman" w:cs="Times New Roman"/>
                      <w:b w:val="0"/>
                      <w:bCs/>
                      <w:color w:val="000000" w:themeColor="text1"/>
                      <w:sz w:val="21"/>
                      <w:szCs w:val="21"/>
                      <w14:textFill>
                        <w14:solidFill>
                          <w14:schemeClr w14:val="tx1"/>
                        </w14:solidFill>
                      </w14:textFill>
                    </w:rPr>
                    <w:t>Pa</w:t>
                  </w:r>
                </w:p>
                <w:p w14:paraId="08DCA30C">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设计温度-196℃</w:t>
                  </w:r>
                </w:p>
              </w:tc>
            </w:tr>
            <w:tr w14:paraId="46140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759" w:type="pct"/>
                  <w:vMerge w:val="continue"/>
                  <w:noWrap w:val="0"/>
                  <w:vAlign w:val="center"/>
                </w:tcPr>
                <w:p w14:paraId="62C3852D">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kern w:val="0"/>
                      <w:sz w:val="21"/>
                      <w:szCs w:val="21"/>
                      <w:highlight w:val="none"/>
                      <w:lang w:val="en-US" w:eastAsia="zh-CN" w:bidi="ar-SA"/>
                      <w14:textFill>
                        <w14:solidFill>
                          <w14:schemeClr w14:val="tx1"/>
                        </w14:solidFill>
                      </w14:textFill>
                    </w:rPr>
                  </w:pPr>
                </w:p>
              </w:tc>
              <w:tc>
                <w:tcPr>
                  <w:tcW w:w="269" w:type="pct"/>
                  <w:noWrap w:val="0"/>
                  <w:vAlign w:val="center"/>
                </w:tcPr>
                <w:p w14:paraId="3DED86E4">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eastAsia="宋体" w:cs="Times New Roman"/>
                      <w:b w:val="0"/>
                      <w:bCs/>
                      <w:color w:val="000000" w:themeColor="text1"/>
                      <w:kern w:val="0"/>
                      <w:sz w:val="21"/>
                      <w:szCs w:val="21"/>
                      <w:highlight w:val="none"/>
                      <w:lang w:val="en-US" w:eastAsia="zh-CN" w:bidi="ar-SA"/>
                      <w14:textFill>
                        <w14:solidFill>
                          <w14:schemeClr w14:val="tx1"/>
                        </w14:solidFill>
                      </w14:textFill>
                    </w:rPr>
                    <w:t>1</w:t>
                  </w:r>
                </w:p>
              </w:tc>
              <w:tc>
                <w:tcPr>
                  <w:tcW w:w="332" w:type="pct"/>
                  <w:noWrap w:val="0"/>
                  <w:vAlign w:val="center"/>
                </w:tcPr>
                <w:p w14:paraId="45079E8B">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立式</w:t>
                  </w:r>
                </w:p>
              </w:tc>
              <w:tc>
                <w:tcPr>
                  <w:tcW w:w="476" w:type="pct"/>
                  <w:noWrap w:val="0"/>
                  <w:vAlign w:val="center"/>
                </w:tcPr>
                <w:p w14:paraId="1F0A44B5">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22</w:t>
                  </w:r>
                </w:p>
              </w:tc>
              <w:tc>
                <w:tcPr>
                  <w:tcW w:w="367" w:type="pct"/>
                  <w:noWrap w:val="0"/>
                  <w:vAlign w:val="center"/>
                </w:tcPr>
                <w:p w14:paraId="7BF694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戊类</w:t>
                  </w:r>
                </w:p>
              </w:tc>
              <w:tc>
                <w:tcPr>
                  <w:tcW w:w="481" w:type="pct"/>
                  <w:noWrap w:val="0"/>
                  <w:vAlign w:val="center"/>
                </w:tcPr>
                <w:p w14:paraId="4D65E6D1">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50</w:t>
                  </w:r>
                </w:p>
              </w:tc>
              <w:tc>
                <w:tcPr>
                  <w:tcW w:w="548" w:type="pct"/>
                  <w:noWrap w:val="0"/>
                  <w:vAlign w:val="center"/>
                </w:tcPr>
                <w:p w14:paraId="2DFFF4B3">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Φ3.</w:t>
                  </w:r>
                  <w:r>
                    <w:rPr>
                      <w:rFonts w:hint="eastAsia"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cs="Times New Roman"/>
                      <w:b w:val="0"/>
                      <w:bCs/>
                      <w:color w:val="000000" w:themeColor="text1"/>
                      <w:sz w:val="21"/>
                      <w:szCs w:val="21"/>
                      <w14:textFill>
                        <w14:solidFill>
                          <w14:schemeClr w14:val="tx1"/>
                        </w14:solidFill>
                      </w14:textFill>
                    </w:rPr>
                    <w:t>m×1</w:t>
                  </w:r>
                  <w:r>
                    <w:rPr>
                      <w:rFonts w:hint="eastAsia" w:cs="Times New Roman"/>
                      <w:b w:val="0"/>
                      <w:bCs/>
                      <w:color w:val="000000" w:themeColor="text1"/>
                      <w:sz w:val="21"/>
                      <w:szCs w:val="21"/>
                      <w:lang w:val="en-US" w:eastAsia="zh-CN"/>
                      <w14:textFill>
                        <w14:solidFill>
                          <w14:schemeClr w14:val="tx1"/>
                        </w14:solidFill>
                      </w14:textFill>
                    </w:rPr>
                    <w:t>1</w:t>
                  </w:r>
                  <w:r>
                    <w:rPr>
                      <w:rFonts w:hint="default" w:ascii="Times New Roman" w:hAnsi="Times New Roman" w:cs="Times New Roman"/>
                      <w:b w:val="0"/>
                      <w:bCs/>
                      <w:color w:val="000000" w:themeColor="text1"/>
                      <w:sz w:val="21"/>
                      <w:szCs w:val="21"/>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cs="Times New Roman"/>
                      <w:b w:val="0"/>
                      <w:bCs/>
                      <w:color w:val="000000" w:themeColor="text1"/>
                      <w:sz w:val="21"/>
                      <w:szCs w:val="21"/>
                      <w14:textFill>
                        <w14:solidFill>
                          <w14:schemeClr w14:val="tx1"/>
                        </w14:solidFill>
                      </w14:textFill>
                    </w:rPr>
                    <w:t>m</w:t>
                  </w:r>
                </w:p>
              </w:tc>
              <w:tc>
                <w:tcPr>
                  <w:tcW w:w="773" w:type="pct"/>
                  <w:noWrap w:val="0"/>
                  <w:vAlign w:val="center"/>
                </w:tcPr>
                <w:p w14:paraId="2543DFC2">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S304</w:t>
                  </w:r>
                  <w:r>
                    <w:rPr>
                      <w:rFonts w:hint="eastAsia" w:cs="Times New Roman"/>
                      <w:b w:val="0"/>
                      <w:bCs/>
                      <w:color w:val="000000" w:themeColor="text1"/>
                      <w:sz w:val="21"/>
                      <w:szCs w:val="21"/>
                      <w:lang w:val="en-US" w:eastAsia="zh-CN"/>
                      <w14:textFill>
                        <w14:solidFill>
                          <w14:schemeClr w14:val="tx1"/>
                        </w14:solidFill>
                      </w14:textFill>
                    </w:rPr>
                    <w:t>08</w:t>
                  </w:r>
                  <w:r>
                    <w:rPr>
                      <w:rFonts w:hint="default" w:ascii="Times New Roman" w:hAnsi="Times New Roman" w:cs="Times New Roman"/>
                      <w:b w:val="0"/>
                      <w:bCs/>
                      <w:color w:val="000000" w:themeColor="text1"/>
                      <w:sz w:val="21"/>
                      <w:szCs w:val="21"/>
                      <w14:textFill>
                        <w14:solidFill>
                          <w14:schemeClr w14:val="tx1"/>
                        </w14:solidFill>
                      </w14:textFill>
                    </w:rPr>
                    <w:t>内胆Q</w:t>
                  </w:r>
                  <w:r>
                    <w:rPr>
                      <w:rFonts w:hint="eastAsia" w:cs="Times New Roman"/>
                      <w:b w:val="0"/>
                      <w:bCs/>
                      <w:color w:val="000000" w:themeColor="text1"/>
                      <w:sz w:val="21"/>
                      <w:szCs w:val="21"/>
                      <w:lang w:val="en-US" w:eastAsia="zh-CN"/>
                      <w14:textFill>
                        <w14:solidFill>
                          <w14:schemeClr w14:val="tx1"/>
                        </w14:solidFill>
                      </w14:textFill>
                    </w:rPr>
                    <w:t>34</w:t>
                  </w:r>
                  <w:r>
                    <w:rPr>
                      <w:rFonts w:hint="default" w:ascii="Times New Roman" w:hAnsi="Times New Roman" w:cs="Times New Roman"/>
                      <w:b w:val="0"/>
                      <w:bCs/>
                      <w:color w:val="000000" w:themeColor="text1"/>
                      <w:sz w:val="21"/>
                      <w:szCs w:val="21"/>
                      <w14:textFill>
                        <w14:solidFill>
                          <w14:schemeClr w14:val="tx1"/>
                        </w14:solidFill>
                      </w14:textFill>
                    </w:rPr>
                    <w:t>5</w:t>
                  </w:r>
                  <w:r>
                    <w:rPr>
                      <w:rFonts w:hint="eastAsia" w:cs="Times New Roman"/>
                      <w:b w:val="0"/>
                      <w:bCs/>
                      <w:color w:val="000000" w:themeColor="text1"/>
                      <w:sz w:val="21"/>
                      <w:szCs w:val="21"/>
                      <w:lang w:val="en-US" w:eastAsia="zh-CN"/>
                      <w14:textFill>
                        <w14:solidFill>
                          <w14:schemeClr w14:val="tx1"/>
                        </w14:solidFill>
                      </w14:textFill>
                    </w:rPr>
                    <w:t>R</w:t>
                  </w:r>
                  <w:r>
                    <w:rPr>
                      <w:rFonts w:hint="eastAsia" w:cs="Times New Roman"/>
                      <w:b w:val="0"/>
                      <w:bCs/>
                      <w:color w:val="000000" w:themeColor="text1"/>
                      <w:sz w:val="21"/>
                      <w:szCs w:val="21"/>
                      <w:lang w:eastAsia="zh-CN"/>
                      <w14:textFill>
                        <w14:solidFill>
                          <w14:schemeClr w14:val="tx1"/>
                        </w14:solidFill>
                      </w14:textFill>
                    </w:rPr>
                    <w:t>外壳</w:t>
                  </w:r>
                </w:p>
              </w:tc>
              <w:tc>
                <w:tcPr>
                  <w:tcW w:w="991" w:type="pct"/>
                  <w:noWrap w:val="0"/>
                  <w:vAlign w:val="center"/>
                </w:tcPr>
                <w:p w14:paraId="49B49068">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1.64</w:t>
                  </w:r>
                  <w:r>
                    <w:rPr>
                      <w:rFonts w:hint="default" w:ascii="Times New Roman" w:hAnsi="Times New Roman" w:cs="Times New Roman"/>
                      <w:b w:val="0"/>
                      <w:bCs/>
                      <w:color w:val="000000" w:themeColor="text1"/>
                      <w:sz w:val="21"/>
                      <w:szCs w:val="21"/>
                      <w14:textFill>
                        <w14:solidFill>
                          <w14:schemeClr w14:val="tx1"/>
                        </w14:solidFill>
                      </w14:textFill>
                    </w:rPr>
                    <w:t>MPa</w:t>
                  </w:r>
                </w:p>
                <w:p w14:paraId="12E10E8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设计温度-196℃</w:t>
                  </w:r>
                </w:p>
              </w:tc>
            </w:tr>
            <w:tr w14:paraId="6A69C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759" w:type="pct"/>
                  <w:noWrap w:val="0"/>
                  <w:vAlign w:val="center"/>
                </w:tcPr>
                <w:p w14:paraId="0A26C733">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低温液体氩气储罐</w:t>
                  </w:r>
                </w:p>
              </w:tc>
              <w:tc>
                <w:tcPr>
                  <w:tcW w:w="269" w:type="pct"/>
                  <w:noWrap w:val="0"/>
                  <w:vAlign w:val="center"/>
                </w:tcPr>
                <w:p w14:paraId="41D5299F">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3</w:t>
                  </w:r>
                </w:p>
              </w:tc>
              <w:tc>
                <w:tcPr>
                  <w:tcW w:w="332" w:type="pct"/>
                  <w:noWrap w:val="0"/>
                  <w:vAlign w:val="center"/>
                </w:tcPr>
                <w:p w14:paraId="049852FA">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立式</w:t>
                  </w:r>
                </w:p>
              </w:tc>
              <w:tc>
                <w:tcPr>
                  <w:tcW w:w="476" w:type="pct"/>
                  <w:noWrap w:val="0"/>
                  <w:vAlign w:val="center"/>
                </w:tcPr>
                <w:p w14:paraId="3429E01B">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cs="Times New Roman"/>
                      <w:b w:val="0"/>
                      <w:bCs/>
                      <w:color w:val="000000" w:themeColor="text1"/>
                      <w:kern w:val="0"/>
                      <w:sz w:val="21"/>
                      <w:szCs w:val="21"/>
                      <w:highlight w:val="none"/>
                      <w:lang w:val="en-US" w:eastAsia="zh-CN" w:bidi="ar-SA"/>
                      <w14:textFill>
                        <w14:solidFill>
                          <w14:schemeClr w14:val="tx1"/>
                        </w14:solidFill>
                      </w14:textFill>
                    </w:rPr>
                    <w:t>60</w:t>
                  </w:r>
                </w:p>
              </w:tc>
              <w:tc>
                <w:tcPr>
                  <w:tcW w:w="367" w:type="pct"/>
                  <w:noWrap w:val="0"/>
                  <w:vAlign w:val="center"/>
                </w:tcPr>
                <w:p w14:paraId="28B7B6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戊类</w:t>
                  </w:r>
                </w:p>
              </w:tc>
              <w:tc>
                <w:tcPr>
                  <w:tcW w:w="481" w:type="pct"/>
                  <w:noWrap w:val="0"/>
                  <w:vAlign w:val="center"/>
                </w:tcPr>
                <w:p w14:paraId="01FA2D42">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cs="Times New Roman"/>
                      <w:b w:val="0"/>
                      <w:bCs/>
                      <w:color w:val="000000" w:themeColor="text1"/>
                      <w:sz w:val="21"/>
                      <w:szCs w:val="21"/>
                      <w14:textFill>
                        <w14:solidFill>
                          <w14:schemeClr w14:val="tx1"/>
                        </w14:solidFill>
                      </w14:textFill>
                    </w:rPr>
                    <w:t>0</w:t>
                  </w:r>
                </w:p>
              </w:tc>
              <w:tc>
                <w:tcPr>
                  <w:tcW w:w="548" w:type="pct"/>
                  <w:noWrap w:val="0"/>
                  <w:vAlign w:val="center"/>
                </w:tcPr>
                <w:p w14:paraId="4761220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Φ3.</w:t>
                  </w:r>
                  <w:r>
                    <w:rPr>
                      <w:rFonts w:hint="eastAsia"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cs="Times New Roman"/>
                      <w:b w:val="0"/>
                      <w:bCs/>
                      <w:color w:val="000000" w:themeColor="text1"/>
                      <w:sz w:val="21"/>
                      <w:szCs w:val="21"/>
                      <w14:textFill>
                        <w14:solidFill>
                          <w14:schemeClr w14:val="tx1"/>
                        </w14:solidFill>
                      </w14:textFill>
                    </w:rPr>
                    <w:t>m×1</w:t>
                  </w:r>
                  <w:r>
                    <w:rPr>
                      <w:rFonts w:hint="eastAsia" w:cs="Times New Roman"/>
                      <w:b w:val="0"/>
                      <w:bCs/>
                      <w:color w:val="000000" w:themeColor="text1"/>
                      <w:sz w:val="21"/>
                      <w:szCs w:val="21"/>
                      <w:lang w:val="en-US" w:eastAsia="zh-CN"/>
                      <w14:textFill>
                        <w14:solidFill>
                          <w14:schemeClr w14:val="tx1"/>
                        </w14:solidFill>
                      </w14:textFill>
                    </w:rPr>
                    <w:t>1</w:t>
                  </w:r>
                  <w:r>
                    <w:rPr>
                      <w:rFonts w:hint="default" w:ascii="Times New Roman" w:hAnsi="Times New Roman" w:cs="Times New Roman"/>
                      <w:b w:val="0"/>
                      <w:bCs/>
                      <w:color w:val="000000" w:themeColor="text1"/>
                      <w:sz w:val="21"/>
                      <w:szCs w:val="21"/>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cs="Times New Roman"/>
                      <w:b w:val="0"/>
                      <w:bCs/>
                      <w:color w:val="000000" w:themeColor="text1"/>
                      <w:sz w:val="21"/>
                      <w:szCs w:val="21"/>
                      <w14:textFill>
                        <w14:solidFill>
                          <w14:schemeClr w14:val="tx1"/>
                        </w14:solidFill>
                      </w14:textFill>
                    </w:rPr>
                    <w:t>m</w:t>
                  </w:r>
                </w:p>
              </w:tc>
              <w:tc>
                <w:tcPr>
                  <w:tcW w:w="773" w:type="pct"/>
                  <w:noWrap w:val="0"/>
                  <w:vAlign w:val="center"/>
                </w:tcPr>
                <w:p w14:paraId="2AF09FBC">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S304</w:t>
                  </w:r>
                  <w:r>
                    <w:rPr>
                      <w:rFonts w:hint="eastAsia" w:cs="Times New Roman"/>
                      <w:b w:val="0"/>
                      <w:bCs/>
                      <w:color w:val="000000" w:themeColor="text1"/>
                      <w:sz w:val="21"/>
                      <w:szCs w:val="21"/>
                      <w:lang w:val="en-US" w:eastAsia="zh-CN"/>
                      <w14:textFill>
                        <w14:solidFill>
                          <w14:schemeClr w14:val="tx1"/>
                        </w14:solidFill>
                      </w14:textFill>
                    </w:rPr>
                    <w:t>08</w:t>
                  </w:r>
                  <w:r>
                    <w:rPr>
                      <w:rFonts w:hint="default" w:ascii="Times New Roman" w:hAnsi="Times New Roman" w:cs="Times New Roman"/>
                      <w:b w:val="0"/>
                      <w:bCs/>
                      <w:color w:val="000000" w:themeColor="text1"/>
                      <w:sz w:val="21"/>
                      <w:szCs w:val="21"/>
                      <w14:textFill>
                        <w14:solidFill>
                          <w14:schemeClr w14:val="tx1"/>
                        </w14:solidFill>
                      </w14:textFill>
                    </w:rPr>
                    <w:t>内胆Q</w:t>
                  </w:r>
                  <w:r>
                    <w:rPr>
                      <w:rFonts w:hint="eastAsia" w:cs="Times New Roman"/>
                      <w:b w:val="0"/>
                      <w:bCs/>
                      <w:color w:val="000000" w:themeColor="text1"/>
                      <w:sz w:val="21"/>
                      <w:szCs w:val="21"/>
                      <w:lang w:val="en-US" w:eastAsia="zh-CN"/>
                      <w14:textFill>
                        <w14:solidFill>
                          <w14:schemeClr w14:val="tx1"/>
                        </w14:solidFill>
                      </w14:textFill>
                    </w:rPr>
                    <w:t>34</w:t>
                  </w:r>
                  <w:r>
                    <w:rPr>
                      <w:rFonts w:hint="default" w:ascii="Times New Roman" w:hAnsi="Times New Roman" w:cs="Times New Roman"/>
                      <w:b w:val="0"/>
                      <w:bCs/>
                      <w:color w:val="000000" w:themeColor="text1"/>
                      <w:sz w:val="21"/>
                      <w:szCs w:val="21"/>
                      <w14:textFill>
                        <w14:solidFill>
                          <w14:schemeClr w14:val="tx1"/>
                        </w14:solidFill>
                      </w14:textFill>
                    </w:rPr>
                    <w:t>5</w:t>
                  </w:r>
                  <w:r>
                    <w:rPr>
                      <w:rFonts w:hint="eastAsia" w:cs="Times New Roman"/>
                      <w:b w:val="0"/>
                      <w:bCs/>
                      <w:color w:val="000000" w:themeColor="text1"/>
                      <w:sz w:val="21"/>
                      <w:szCs w:val="21"/>
                      <w:lang w:val="en-US" w:eastAsia="zh-CN"/>
                      <w14:textFill>
                        <w14:solidFill>
                          <w14:schemeClr w14:val="tx1"/>
                        </w14:solidFill>
                      </w14:textFill>
                    </w:rPr>
                    <w:t>R</w:t>
                  </w:r>
                  <w:r>
                    <w:rPr>
                      <w:rFonts w:hint="eastAsia" w:cs="Times New Roman"/>
                      <w:b w:val="0"/>
                      <w:bCs/>
                      <w:color w:val="000000" w:themeColor="text1"/>
                      <w:sz w:val="21"/>
                      <w:szCs w:val="21"/>
                      <w:lang w:eastAsia="zh-CN"/>
                      <w14:textFill>
                        <w14:solidFill>
                          <w14:schemeClr w14:val="tx1"/>
                        </w14:solidFill>
                      </w14:textFill>
                    </w:rPr>
                    <w:t>外壳</w:t>
                  </w:r>
                </w:p>
              </w:tc>
              <w:tc>
                <w:tcPr>
                  <w:tcW w:w="991" w:type="pct"/>
                  <w:noWrap w:val="0"/>
                  <w:vAlign w:val="center"/>
                </w:tcPr>
                <w:p w14:paraId="329479C1">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1.64</w:t>
                  </w:r>
                  <w:r>
                    <w:rPr>
                      <w:rFonts w:hint="default" w:ascii="Times New Roman" w:hAnsi="Times New Roman" w:cs="Times New Roman"/>
                      <w:b w:val="0"/>
                      <w:bCs/>
                      <w:color w:val="000000" w:themeColor="text1"/>
                      <w:sz w:val="21"/>
                      <w:szCs w:val="21"/>
                      <w14:textFill>
                        <w14:solidFill>
                          <w14:schemeClr w14:val="tx1"/>
                        </w14:solidFill>
                      </w14:textFill>
                    </w:rPr>
                    <w:t>MPa</w:t>
                  </w:r>
                </w:p>
                <w:p w14:paraId="667B4341">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设计温度-1</w:t>
                  </w:r>
                  <w:r>
                    <w:rPr>
                      <w:rFonts w:hint="eastAsia" w:cs="Times New Roman"/>
                      <w:b w:val="0"/>
                      <w:bCs/>
                      <w:color w:val="000000" w:themeColor="text1"/>
                      <w:sz w:val="21"/>
                      <w:szCs w:val="21"/>
                      <w:lang w:val="en-US" w:eastAsia="zh-CN"/>
                      <w14:textFill>
                        <w14:solidFill>
                          <w14:schemeClr w14:val="tx1"/>
                        </w14:solidFill>
                      </w14:textFill>
                    </w:rPr>
                    <w:t>86</w:t>
                  </w:r>
                  <w:r>
                    <w:rPr>
                      <w:rFonts w:hint="default" w:ascii="Times New Roman" w:hAnsi="Times New Roman" w:cs="Times New Roman"/>
                      <w:b w:val="0"/>
                      <w:bCs/>
                      <w:color w:val="000000" w:themeColor="text1"/>
                      <w:sz w:val="21"/>
                      <w:szCs w:val="21"/>
                      <w14:textFill>
                        <w14:solidFill>
                          <w14:schemeClr w14:val="tx1"/>
                        </w14:solidFill>
                      </w14:textFill>
                    </w:rPr>
                    <w:t>℃</w:t>
                  </w:r>
                </w:p>
              </w:tc>
            </w:tr>
            <w:tr w14:paraId="76EFF5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759" w:type="pct"/>
                  <w:noWrap w:val="0"/>
                  <w:vAlign w:val="center"/>
                </w:tcPr>
                <w:p w14:paraId="5CEAD951">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低温液体二氧化碳储罐</w:t>
                  </w:r>
                </w:p>
              </w:tc>
              <w:tc>
                <w:tcPr>
                  <w:tcW w:w="269" w:type="pct"/>
                  <w:noWrap w:val="0"/>
                  <w:vAlign w:val="center"/>
                </w:tcPr>
                <w:p w14:paraId="1D4E491E">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w:t>
                  </w:r>
                </w:p>
              </w:tc>
              <w:tc>
                <w:tcPr>
                  <w:tcW w:w="332" w:type="pct"/>
                  <w:noWrap w:val="0"/>
                  <w:vAlign w:val="center"/>
                </w:tcPr>
                <w:p w14:paraId="23B4B875">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立式</w:t>
                  </w:r>
                </w:p>
              </w:tc>
              <w:tc>
                <w:tcPr>
                  <w:tcW w:w="476" w:type="pct"/>
                  <w:noWrap w:val="0"/>
                  <w:vAlign w:val="center"/>
                </w:tcPr>
                <w:p w14:paraId="2FB69291">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kern w:val="2"/>
                      <w:sz w:val="21"/>
                      <w:szCs w:val="21"/>
                      <w:lang w:val="en-US" w:eastAsia="zh-CN" w:bidi="ar-SA"/>
                      <w14:textFill>
                        <w14:solidFill>
                          <w14:schemeClr w14:val="tx1"/>
                        </w14:solidFill>
                      </w14:textFill>
                    </w:rPr>
                    <w:t>22</w:t>
                  </w:r>
                </w:p>
              </w:tc>
              <w:tc>
                <w:tcPr>
                  <w:tcW w:w="367" w:type="pct"/>
                  <w:noWrap w:val="0"/>
                  <w:vAlign w:val="center"/>
                </w:tcPr>
                <w:p w14:paraId="2D0FC6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乙类</w:t>
                  </w:r>
                </w:p>
              </w:tc>
              <w:tc>
                <w:tcPr>
                  <w:tcW w:w="481" w:type="pct"/>
                  <w:noWrap w:val="0"/>
                  <w:vAlign w:val="center"/>
                </w:tcPr>
                <w:p w14:paraId="10E2CE6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cs="Times New Roman"/>
                      <w:b w:val="0"/>
                      <w:bCs/>
                      <w:color w:val="000000" w:themeColor="text1"/>
                      <w:sz w:val="21"/>
                      <w:szCs w:val="21"/>
                      <w14:textFill>
                        <w14:solidFill>
                          <w14:schemeClr w14:val="tx1"/>
                        </w14:solidFill>
                      </w14:textFill>
                    </w:rPr>
                    <w:t>0</w:t>
                  </w:r>
                </w:p>
              </w:tc>
              <w:tc>
                <w:tcPr>
                  <w:tcW w:w="548" w:type="pct"/>
                  <w:noWrap w:val="0"/>
                  <w:vAlign w:val="center"/>
                </w:tcPr>
                <w:p w14:paraId="0A0B0E84">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Φ3.</w:t>
                  </w:r>
                  <w:r>
                    <w:rPr>
                      <w:rFonts w:hint="eastAsia"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cs="Times New Roman"/>
                      <w:b w:val="0"/>
                      <w:bCs/>
                      <w:color w:val="000000" w:themeColor="text1"/>
                      <w:sz w:val="21"/>
                      <w:szCs w:val="21"/>
                      <w14:textFill>
                        <w14:solidFill>
                          <w14:schemeClr w14:val="tx1"/>
                        </w14:solidFill>
                      </w14:textFill>
                    </w:rPr>
                    <w:t>m*1</w:t>
                  </w:r>
                  <w:r>
                    <w:rPr>
                      <w:rFonts w:hint="eastAsia" w:cs="Times New Roman"/>
                      <w:b w:val="0"/>
                      <w:bCs/>
                      <w:color w:val="000000" w:themeColor="text1"/>
                      <w:sz w:val="21"/>
                      <w:szCs w:val="21"/>
                      <w:lang w:val="en-US" w:eastAsia="zh-CN"/>
                      <w14:textFill>
                        <w14:solidFill>
                          <w14:schemeClr w14:val="tx1"/>
                        </w14:solidFill>
                      </w14:textFill>
                    </w:rPr>
                    <w:t>2.0</w:t>
                  </w:r>
                  <w:r>
                    <w:rPr>
                      <w:rFonts w:hint="default" w:ascii="Times New Roman" w:hAnsi="Times New Roman" w:cs="Times New Roman"/>
                      <w:b w:val="0"/>
                      <w:bCs/>
                      <w:color w:val="000000" w:themeColor="text1"/>
                      <w:sz w:val="21"/>
                      <w:szCs w:val="21"/>
                      <w14:textFill>
                        <w14:solidFill>
                          <w14:schemeClr w14:val="tx1"/>
                        </w14:solidFill>
                      </w14:textFill>
                    </w:rPr>
                    <w:t>m</w:t>
                  </w:r>
                </w:p>
              </w:tc>
              <w:tc>
                <w:tcPr>
                  <w:tcW w:w="773" w:type="pct"/>
                  <w:noWrap w:val="0"/>
                  <w:vAlign w:val="center"/>
                </w:tcPr>
                <w:p w14:paraId="5C45358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16MnDR</w:t>
                  </w:r>
                  <w:r>
                    <w:rPr>
                      <w:rFonts w:hint="default" w:ascii="Times New Roman" w:hAnsi="Times New Roman" w:cs="Times New Roman"/>
                      <w:b w:val="0"/>
                      <w:bCs/>
                      <w:color w:val="000000" w:themeColor="text1"/>
                      <w:sz w:val="21"/>
                      <w:szCs w:val="21"/>
                      <w14:textFill>
                        <w14:solidFill>
                          <w14:schemeClr w14:val="tx1"/>
                        </w14:solidFill>
                      </w14:textFill>
                    </w:rPr>
                    <w:t>内胆Q</w:t>
                  </w:r>
                  <w:r>
                    <w:rPr>
                      <w:rFonts w:hint="eastAsia" w:cs="Times New Roman"/>
                      <w:b w:val="0"/>
                      <w:bCs/>
                      <w:color w:val="000000" w:themeColor="text1"/>
                      <w:sz w:val="21"/>
                      <w:szCs w:val="21"/>
                      <w:lang w:val="en-US" w:eastAsia="zh-CN"/>
                      <w14:textFill>
                        <w14:solidFill>
                          <w14:schemeClr w14:val="tx1"/>
                        </w14:solidFill>
                      </w14:textFill>
                    </w:rPr>
                    <w:t>34</w:t>
                  </w:r>
                  <w:r>
                    <w:rPr>
                      <w:rFonts w:hint="default" w:ascii="Times New Roman" w:hAnsi="Times New Roman" w:cs="Times New Roman"/>
                      <w:b w:val="0"/>
                      <w:bCs/>
                      <w:color w:val="000000" w:themeColor="text1"/>
                      <w:sz w:val="21"/>
                      <w:szCs w:val="21"/>
                      <w14:textFill>
                        <w14:solidFill>
                          <w14:schemeClr w14:val="tx1"/>
                        </w14:solidFill>
                      </w14:textFill>
                    </w:rPr>
                    <w:t>5</w:t>
                  </w:r>
                  <w:r>
                    <w:rPr>
                      <w:rFonts w:hint="eastAsia" w:cs="Times New Roman"/>
                      <w:b w:val="0"/>
                      <w:bCs/>
                      <w:color w:val="000000" w:themeColor="text1"/>
                      <w:sz w:val="21"/>
                      <w:szCs w:val="21"/>
                      <w:lang w:val="en-US" w:eastAsia="zh-CN"/>
                      <w14:textFill>
                        <w14:solidFill>
                          <w14:schemeClr w14:val="tx1"/>
                        </w14:solidFill>
                      </w14:textFill>
                    </w:rPr>
                    <w:t>R</w:t>
                  </w:r>
                  <w:r>
                    <w:rPr>
                      <w:rFonts w:hint="eastAsia" w:cs="Times New Roman"/>
                      <w:b w:val="0"/>
                      <w:bCs/>
                      <w:color w:val="000000" w:themeColor="text1"/>
                      <w:sz w:val="21"/>
                      <w:szCs w:val="21"/>
                      <w:lang w:eastAsia="zh-CN"/>
                      <w14:textFill>
                        <w14:solidFill>
                          <w14:schemeClr w14:val="tx1"/>
                        </w14:solidFill>
                      </w14:textFill>
                    </w:rPr>
                    <w:t>外壳</w:t>
                  </w:r>
                </w:p>
              </w:tc>
              <w:tc>
                <w:tcPr>
                  <w:tcW w:w="991" w:type="pct"/>
                  <w:noWrap w:val="0"/>
                  <w:vAlign w:val="center"/>
                </w:tcPr>
                <w:p w14:paraId="5A2FC2D6">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2.2</w:t>
                  </w:r>
                  <w:r>
                    <w:rPr>
                      <w:rFonts w:hint="default" w:ascii="Times New Roman" w:hAnsi="Times New Roman" w:cs="Times New Roman"/>
                      <w:b w:val="0"/>
                      <w:bCs/>
                      <w:color w:val="000000" w:themeColor="text1"/>
                      <w:sz w:val="21"/>
                      <w:szCs w:val="21"/>
                      <w14:textFill>
                        <w14:solidFill>
                          <w14:schemeClr w14:val="tx1"/>
                        </w14:solidFill>
                      </w14:textFill>
                    </w:rPr>
                    <w:t>MPa</w:t>
                  </w:r>
                </w:p>
                <w:p w14:paraId="6DA46C91">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设计温度-</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40</w:t>
                  </w:r>
                  <w:r>
                    <w:rPr>
                      <w:rFonts w:hint="default" w:ascii="Times New Roman" w:hAnsi="Times New Roman" w:cs="Times New Roman"/>
                      <w:b w:val="0"/>
                      <w:bCs/>
                      <w:color w:val="000000" w:themeColor="text1"/>
                      <w:sz w:val="21"/>
                      <w:szCs w:val="21"/>
                      <w14:textFill>
                        <w14:solidFill>
                          <w14:schemeClr w14:val="tx1"/>
                        </w14:solidFill>
                      </w14:textFill>
                    </w:rPr>
                    <w:t>℃</w:t>
                  </w:r>
                </w:p>
              </w:tc>
            </w:tr>
            <w:tr w14:paraId="03291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759" w:type="pct"/>
                  <w:noWrap w:val="0"/>
                  <w:vAlign w:val="center"/>
                </w:tcPr>
                <w:p w14:paraId="5470E8FE">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全压力式埋地丙烷储罐</w:t>
                  </w:r>
                </w:p>
              </w:tc>
              <w:tc>
                <w:tcPr>
                  <w:tcW w:w="269" w:type="pct"/>
                  <w:noWrap w:val="0"/>
                  <w:vAlign w:val="center"/>
                </w:tcPr>
                <w:p w14:paraId="7FCA5C88">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w:t>
                  </w:r>
                </w:p>
              </w:tc>
              <w:tc>
                <w:tcPr>
                  <w:tcW w:w="332" w:type="pct"/>
                  <w:noWrap w:val="0"/>
                  <w:vAlign w:val="center"/>
                </w:tcPr>
                <w:p w14:paraId="3E3EE271">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卧式</w:t>
                  </w:r>
                </w:p>
              </w:tc>
              <w:tc>
                <w:tcPr>
                  <w:tcW w:w="476" w:type="pct"/>
                  <w:noWrap w:val="0"/>
                  <w:vAlign w:val="center"/>
                </w:tcPr>
                <w:p w14:paraId="1AE5E78B">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125</w:t>
                  </w:r>
                </w:p>
              </w:tc>
              <w:tc>
                <w:tcPr>
                  <w:tcW w:w="367" w:type="pct"/>
                  <w:noWrap w:val="0"/>
                  <w:vAlign w:val="center"/>
                </w:tcPr>
                <w:p w14:paraId="781AC2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甲类</w:t>
                  </w:r>
                </w:p>
              </w:tc>
              <w:tc>
                <w:tcPr>
                  <w:tcW w:w="481" w:type="pct"/>
                  <w:noWrap w:val="0"/>
                  <w:vAlign w:val="center"/>
                </w:tcPr>
                <w:p w14:paraId="24C8E3EE">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50</w:t>
                  </w:r>
                </w:p>
              </w:tc>
              <w:tc>
                <w:tcPr>
                  <w:tcW w:w="548" w:type="pct"/>
                  <w:noWrap w:val="0"/>
                  <w:vAlign w:val="center"/>
                </w:tcPr>
                <w:p w14:paraId="2EA17C5D">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Φ</w:t>
                  </w:r>
                  <w:r>
                    <w:rPr>
                      <w:rFonts w:hint="eastAsia"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cs="Times New Roman"/>
                      <w:b w:val="0"/>
                      <w:bCs/>
                      <w:color w:val="000000" w:themeColor="text1"/>
                      <w:sz w:val="21"/>
                      <w:szCs w:val="21"/>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6</w:t>
                  </w:r>
                  <w:r>
                    <w:rPr>
                      <w:rFonts w:hint="default" w:ascii="Times New Roman" w:hAnsi="Times New Roman" w:cs="Times New Roman"/>
                      <w:b w:val="0"/>
                      <w:bCs/>
                      <w:color w:val="000000" w:themeColor="text1"/>
                      <w:sz w:val="21"/>
                      <w:szCs w:val="21"/>
                      <w14:textFill>
                        <w14:solidFill>
                          <w14:schemeClr w14:val="tx1"/>
                        </w14:solidFill>
                      </w14:textFill>
                    </w:rPr>
                    <w:t>m×</w:t>
                  </w:r>
                  <w:r>
                    <w:rPr>
                      <w:rFonts w:hint="eastAsia" w:cs="Times New Roman"/>
                      <w:b w:val="0"/>
                      <w:bCs/>
                      <w:color w:val="000000" w:themeColor="text1"/>
                      <w:sz w:val="21"/>
                      <w:szCs w:val="21"/>
                      <w:lang w:val="en-US" w:eastAsia="zh-CN"/>
                      <w14:textFill>
                        <w14:solidFill>
                          <w14:schemeClr w14:val="tx1"/>
                        </w14:solidFill>
                      </w14:textFill>
                    </w:rPr>
                    <w:t>10.0</w:t>
                  </w:r>
                  <w:r>
                    <w:rPr>
                      <w:rFonts w:hint="default" w:ascii="Times New Roman" w:hAnsi="Times New Roman" w:cs="Times New Roman"/>
                      <w:b w:val="0"/>
                      <w:bCs/>
                      <w:color w:val="000000" w:themeColor="text1"/>
                      <w:sz w:val="21"/>
                      <w:szCs w:val="21"/>
                      <w14:textFill>
                        <w14:solidFill>
                          <w14:schemeClr w14:val="tx1"/>
                        </w14:solidFill>
                      </w14:textFill>
                    </w:rPr>
                    <w:t>m</w:t>
                  </w:r>
                </w:p>
              </w:tc>
              <w:tc>
                <w:tcPr>
                  <w:tcW w:w="773" w:type="pct"/>
                  <w:noWrap w:val="0"/>
                  <w:vAlign w:val="center"/>
                </w:tcPr>
                <w:p w14:paraId="358EB55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Q</w:t>
                  </w:r>
                  <w:r>
                    <w:rPr>
                      <w:rFonts w:hint="eastAsia" w:cs="Times New Roman"/>
                      <w:b w:val="0"/>
                      <w:bCs/>
                      <w:color w:val="000000" w:themeColor="text1"/>
                      <w:sz w:val="21"/>
                      <w:szCs w:val="21"/>
                      <w:lang w:val="en-US" w:eastAsia="zh-CN"/>
                      <w14:textFill>
                        <w14:solidFill>
                          <w14:schemeClr w14:val="tx1"/>
                        </w14:solidFill>
                      </w14:textFill>
                    </w:rPr>
                    <w:t>34</w:t>
                  </w:r>
                  <w:r>
                    <w:rPr>
                      <w:rFonts w:hint="default" w:ascii="Times New Roman" w:hAnsi="Times New Roman" w:cs="Times New Roman"/>
                      <w:b w:val="0"/>
                      <w:bCs/>
                      <w:color w:val="000000" w:themeColor="text1"/>
                      <w:sz w:val="21"/>
                      <w:szCs w:val="21"/>
                      <w14:textFill>
                        <w14:solidFill>
                          <w14:schemeClr w14:val="tx1"/>
                        </w14:solidFill>
                      </w14:textFill>
                    </w:rPr>
                    <w:t>5</w:t>
                  </w:r>
                  <w:r>
                    <w:rPr>
                      <w:rFonts w:hint="eastAsia" w:cs="Times New Roman"/>
                      <w:b w:val="0"/>
                      <w:bCs/>
                      <w:color w:val="000000" w:themeColor="text1"/>
                      <w:sz w:val="21"/>
                      <w:szCs w:val="21"/>
                      <w:lang w:val="en-US" w:eastAsia="zh-CN"/>
                      <w14:textFill>
                        <w14:solidFill>
                          <w14:schemeClr w14:val="tx1"/>
                        </w14:solidFill>
                      </w14:textFill>
                    </w:rPr>
                    <w:t>R</w:t>
                  </w:r>
                </w:p>
              </w:tc>
              <w:tc>
                <w:tcPr>
                  <w:tcW w:w="991" w:type="pct"/>
                  <w:noWrap w:val="0"/>
                  <w:vAlign w:val="center"/>
                </w:tcPr>
                <w:p w14:paraId="67E26A8F">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1.77</w:t>
                  </w:r>
                  <w:r>
                    <w:rPr>
                      <w:rFonts w:hint="default" w:ascii="Times New Roman" w:hAnsi="Times New Roman" w:cs="Times New Roman"/>
                      <w:b w:val="0"/>
                      <w:bCs/>
                      <w:color w:val="000000" w:themeColor="text1"/>
                      <w:sz w:val="21"/>
                      <w:szCs w:val="21"/>
                      <w14:textFill>
                        <w14:solidFill>
                          <w14:schemeClr w14:val="tx1"/>
                        </w14:solidFill>
                      </w14:textFill>
                    </w:rPr>
                    <w:t>MPa</w:t>
                  </w:r>
                </w:p>
                <w:p w14:paraId="43E38391">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设计温度</w:t>
                  </w:r>
                  <w:r>
                    <w:rPr>
                      <w:rFonts w:hint="eastAsia" w:cs="Times New Roman"/>
                      <w:b w:val="0"/>
                      <w:bCs/>
                      <w:color w:val="000000" w:themeColor="text1"/>
                      <w:sz w:val="21"/>
                      <w:szCs w:val="21"/>
                      <w:lang w:val="en-US" w:eastAsia="zh-CN"/>
                      <w14:textFill>
                        <w14:solidFill>
                          <w14:schemeClr w14:val="tx1"/>
                        </w14:solidFill>
                      </w14:textFill>
                    </w:rPr>
                    <w:t>54</w:t>
                  </w:r>
                  <w:r>
                    <w:rPr>
                      <w:rFonts w:hint="default" w:ascii="Times New Roman" w:hAnsi="Times New Roman" w:cs="Times New Roman"/>
                      <w:b w:val="0"/>
                      <w:bCs/>
                      <w:color w:val="000000" w:themeColor="text1"/>
                      <w:sz w:val="21"/>
                      <w:szCs w:val="21"/>
                      <w14:textFill>
                        <w14:solidFill>
                          <w14:schemeClr w14:val="tx1"/>
                        </w14:solidFill>
                      </w14:textFill>
                    </w:rPr>
                    <w:t>℃</w:t>
                  </w:r>
                </w:p>
              </w:tc>
            </w:tr>
            <w:tr w14:paraId="3E8C5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02" w:hRule="atLeast"/>
              </w:trPr>
              <w:tc>
                <w:tcPr>
                  <w:tcW w:w="759" w:type="pct"/>
                  <w:noWrap w:val="0"/>
                  <w:vAlign w:val="center"/>
                </w:tcPr>
                <w:p w14:paraId="2EA3FABB">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全压力式埋地液化石油气储罐</w:t>
                  </w:r>
                </w:p>
              </w:tc>
              <w:tc>
                <w:tcPr>
                  <w:tcW w:w="269" w:type="pct"/>
                  <w:noWrap w:val="0"/>
                  <w:vAlign w:val="center"/>
                </w:tcPr>
                <w:p w14:paraId="1B2826E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2</w:t>
                  </w:r>
                </w:p>
              </w:tc>
              <w:tc>
                <w:tcPr>
                  <w:tcW w:w="332" w:type="pct"/>
                  <w:noWrap w:val="0"/>
                  <w:vAlign w:val="center"/>
                </w:tcPr>
                <w:p w14:paraId="6398BB6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t>卧式</w:t>
                  </w:r>
                </w:p>
              </w:tc>
              <w:tc>
                <w:tcPr>
                  <w:tcW w:w="476" w:type="pct"/>
                  <w:noWrap w:val="0"/>
                  <w:vAlign w:val="center"/>
                </w:tcPr>
                <w:p w14:paraId="53341C84">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125</w:t>
                  </w:r>
                </w:p>
              </w:tc>
              <w:tc>
                <w:tcPr>
                  <w:tcW w:w="367" w:type="pct"/>
                  <w:noWrap w:val="0"/>
                  <w:vAlign w:val="center"/>
                </w:tcPr>
                <w:p w14:paraId="3F86E9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甲类</w:t>
                  </w:r>
                </w:p>
              </w:tc>
              <w:tc>
                <w:tcPr>
                  <w:tcW w:w="481" w:type="pct"/>
                  <w:noWrap w:val="0"/>
                  <w:vAlign w:val="center"/>
                </w:tcPr>
                <w:p w14:paraId="4DA4A1E2">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50</w:t>
                  </w:r>
                </w:p>
              </w:tc>
              <w:tc>
                <w:tcPr>
                  <w:tcW w:w="548" w:type="pct"/>
                  <w:noWrap w:val="0"/>
                  <w:vAlign w:val="center"/>
                </w:tcPr>
                <w:p w14:paraId="0E655139">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Φ</w:t>
                  </w:r>
                  <w:r>
                    <w:rPr>
                      <w:rFonts w:hint="eastAsia"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cs="Times New Roman"/>
                      <w:b w:val="0"/>
                      <w:bCs/>
                      <w:color w:val="000000" w:themeColor="text1"/>
                      <w:sz w:val="21"/>
                      <w:szCs w:val="21"/>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6</w:t>
                  </w:r>
                  <w:r>
                    <w:rPr>
                      <w:rFonts w:hint="default" w:ascii="Times New Roman" w:hAnsi="Times New Roman" w:cs="Times New Roman"/>
                      <w:b w:val="0"/>
                      <w:bCs/>
                      <w:color w:val="000000" w:themeColor="text1"/>
                      <w:sz w:val="21"/>
                      <w:szCs w:val="21"/>
                      <w14:textFill>
                        <w14:solidFill>
                          <w14:schemeClr w14:val="tx1"/>
                        </w14:solidFill>
                      </w14:textFill>
                    </w:rPr>
                    <w:t>m×</w:t>
                  </w:r>
                  <w:r>
                    <w:rPr>
                      <w:rFonts w:hint="eastAsia" w:cs="Times New Roman"/>
                      <w:b w:val="0"/>
                      <w:bCs/>
                      <w:color w:val="000000" w:themeColor="text1"/>
                      <w:sz w:val="21"/>
                      <w:szCs w:val="21"/>
                      <w:lang w:val="en-US" w:eastAsia="zh-CN"/>
                      <w14:textFill>
                        <w14:solidFill>
                          <w14:schemeClr w14:val="tx1"/>
                        </w14:solidFill>
                      </w14:textFill>
                    </w:rPr>
                    <w:t>10.0</w:t>
                  </w:r>
                  <w:r>
                    <w:rPr>
                      <w:rFonts w:hint="default" w:ascii="Times New Roman" w:hAnsi="Times New Roman" w:cs="Times New Roman"/>
                      <w:b w:val="0"/>
                      <w:bCs/>
                      <w:color w:val="000000" w:themeColor="text1"/>
                      <w:sz w:val="21"/>
                      <w:szCs w:val="21"/>
                      <w14:textFill>
                        <w14:solidFill>
                          <w14:schemeClr w14:val="tx1"/>
                        </w14:solidFill>
                      </w14:textFill>
                    </w:rPr>
                    <w:t>m</w:t>
                  </w:r>
                </w:p>
              </w:tc>
              <w:tc>
                <w:tcPr>
                  <w:tcW w:w="773" w:type="pct"/>
                  <w:noWrap w:val="0"/>
                  <w:vAlign w:val="center"/>
                </w:tcPr>
                <w:p w14:paraId="7BA024F1">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Q</w:t>
                  </w:r>
                  <w:r>
                    <w:rPr>
                      <w:rFonts w:hint="eastAsia" w:cs="Times New Roman"/>
                      <w:b w:val="0"/>
                      <w:bCs/>
                      <w:color w:val="000000" w:themeColor="text1"/>
                      <w:sz w:val="21"/>
                      <w:szCs w:val="21"/>
                      <w:lang w:val="en-US" w:eastAsia="zh-CN"/>
                      <w14:textFill>
                        <w14:solidFill>
                          <w14:schemeClr w14:val="tx1"/>
                        </w14:solidFill>
                      </w14:textFill>
                    </w:rPr>
                    <w:t>34</w:t>
                  </w:r>
                  <w:r>
                    <w:rPr>
                      <w:rFonts w:hint="default" w:ascii="Times New Roman" w:hAnsi="Times New Roman" w:cs="Times New Roman"/>
                      <w:b w:val="0"/>
                      <w:bCs/>
                      <w:color w:val="000000" w:themeColor="text1"/>
                      <w:sz w:val="21"/>
                      <w:szCs w:val="21"/>
                      <w14:textFill>
                        <w14:solidFill>
                          <w14:schemeClr w14:val="tx1"/>
                        </w14:solidFill>
                      </w14:textFill>
                    </w:rPr>
                    <w:t>5</w:t>
                  </w:r>
                  <w:r>
                    <w:rPr>
                      <w:rFonts w:hint="eastAsia" w:cs="Times New Roman"/>
                      <w:b w:val="0"/>
                      <w:bCs/>
                      <w:color w:val="000000" w:themeColor="text1"/>
                      <w:sz w:val="21"/>
                      <w:szCs w:val="21"/>
                      <w:lang w:val="en-US" w:eastAsia="zh-CN"/>
                      <w14:textFill>
                        <w14:solidFill>
                          <w14:schemeClr w14:val="tx1"/>
                        </w14:solidFill>
                      </w14:textFill>
                    </w:rPr>
                    <w:t>R</w:t>
                  </w:r>
                </w:p>
              </w:tc>
              <w:tc>
                <w:tcPr>
                  <w:tcW w:w="991" w:type="pct"/>
                  <w:noWrap w:val="0"/>
                  <w:vAlign w:val="center"/>
                </w:tcPr>
                <w:p w14:paraId="027BFC27">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1.77</w:t>
                  </w:r>
                  <w:r>
                    <w:rPr>
                      <w:rFonts w:hint="default" w:ascii="Times New Roman" w:hAnsi="Times New Roman" w:cs="Times New Roman"/>
                      <w:b w:val="0"/>
                      <w:bCs/>
                      <w:color w:val="000000" w:themeColor="text1"/>
                      <w:sz w:val="21"/>
                      <w:szCs w:val="21"/>
                      <w14:textFill>
                        <w14:solidFill>
                          <w14:schemeClr w14:val="tx1"/>
                        </w14:solidFill>
                      </w14:textFill>
                    </w:rPr>
                    <w:t>MPa</w:t>
                  </w:r>
                </w:p>
                <w:p w14:paraId="19335A29">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设计温度</w:t>
                  </w:r>
                  <w:r>
                    <w:rPr>
                      <w:rFonts w:hint="eastAsia" w:cs="Times New Roman"/>
                      <w:b w:val="0"/>
                      <w:bCs/>
                      <w:color w:val="000000" w:themeColor="text1"/>
                      <w:sz w:val="21"/>
                      <w:szCs w:val="21"/>
                      <w:lang w:val="en-US" w:eastAsia="zh-CN"/>
                      <w14:textFill>
                        <w14:solidFill>
                          <w14:schemeClr w14:val="tx1"/>
                        </w14:solidFill>
                      </w14:textFill>
                    </w:rPr>
                    <w:t>54</w:t>
                  </w:r>
                  <w:r>
                    <w:rPr>
                      <w:rFonts w:hint="default" w:ascii="Times New Roman" w:hAnsi="Times New Roman" w:cs="Times New Roman"/>
                      <w:b w:val="0"/>
                      <w:bCs/>
                      <w:color w:val="000000" w:themeColor="text1"/>
                      <w:sz w:val="21"/>
                      <w:szCs w:val="21"/>
                      <w14:textFill>
                        <w14:solidFill>
                          <w14:schemeClr w14:val="tx1"/>
                        </w14:solidFill>
                      </w14:textFill>
                    </w:rPr>
                    <w:t>℃</w:t>
                  </w:r>
                </w:p>
              </w:tc>
            </w:tr>
            <w:tr w14:paraId="48680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759" w:type="pct"/>
                  <w:noWrap w:val="0"/>
                  <w:vAlign w:val="center"/>
                </w:tcPr>
                <w:p w14:paraId="353CE0CD">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全压力式埋地液化石油气残液罐</w:t>
                  </w:r>
                </w:p>
              </w:tc>
              <w:tc>
                <w:tcPr>
                  <w:tcW w:w="269" w:type="pct"/>
                  <w:noWrap w:val="0"/>
                  <w:vAlign w:val="center"/>
                </w:tcPr>
                <w:p w14:paraId="5B4CA54A">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p>
              </w:tc>
              <w:tc>
                <w:tcPr>
                  <w:tcW w:w="332" w:type="pct"/>
                  <w:noWrap w:val="0"/>
                  <w:vAlign w:val="center"/>
                </w:tcPr>
                <w:p w14:paraId="5530C8D9">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卧式</w:t>
                  </w:r>
                </w:p>
              </w:tc>
              <w:tc>
                <w:tcPr>
                  <w:tcW w:w="476" w:type="pct"/>
                  <w:noWrap w:val="0"/>
                  <w:vAlign w:val="center"/>
                </w:tcPr>
                <w:p w14:paraId="18638787">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62.5</w:t>
                  </w:r>
                </w:p>
              </w:tc>
              <w:tc>
                <w:tcPr>
                  <w:tcW w:w="367" w:type="pct"/>
                  <w:noWrap w:val="0"/>
                  <w:vAlign w:val="center"/>
                </w:tcPr>
                <w:p w14:paraId="5575DA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甲类</w:t>
                  </w:r>
                </w:p>
              </w:tc>
              <w:tc>
                <w:tcPr>
                  <w:tcW w:w="481" w:type="pct"/>
                  <w:noWrap w:val="0"/>
                  <w:vAlign w:val="center"/>
                </w:tcPr>
                <w:p w14:paraId="20E7E31E">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cs="Times New Roman"/>
                      <w:b w:val="0"/>
                      <w:bCs/>
                      <w:color w:val="000000" w:themeColor="text1"/>
                      <w:sz w:val="21"/>
                      <w:szCs w:val="21"/>
                      <w:highlight w:val="none"/>
                      <w:lang w:val="en-US" w:eastAsia="zh-CN"/>
                      <w14:textFill>
                        <w14:solidFill>
                          <w14:schemeClr w14:val="tx1"/>
                        </w14:solidFill>
                      </w14:textFill>
                    </w:rPr>
                    <w:t>50</w:t>
                  </w:r>
                </w:p>
              </w:tc>
              <w:tc>
                <w:tcPr>
                  <w:tcW w:w="548" w:type="pct"/>
                  <w:noWrap w:val="0"/>
                  <w:vAlign w:val="center"/>
                </w:tcPr>
                <w:p w14:paraId="30541D16">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Φ</w:t>
                  </w:r>
                  <w:r>
                    <w:rPr>
                      <w:rFonts w:hint="eastAsia" w:cs="Times New Roman"/>
                      <w:b w:val="0"/>
                      <w:bCs/>
                      <w:color w:val="000000" w:themeColor="text1"/>
                      <w:sz w:val="21"/>
                      <w:szCs w:val="21"/>
                      <w:lang w:val="en-US" w:eastAsia="zh-CN"/>
                      <w14:textFill>
                        <w14:solidFill>
                          <w14:schemeClr w14:val="tx1"/>
                        </w14:solidFill>
                      </w14:textFill>
                    </w:rPr>
                    <w:t>2</w:t>
                  </w:r>
                  <w:r>
                    <w:rPr>
                      <w:rFonts w:hint="default" w:ascii="Times New Roman" w:hAnsi="Times New Roman" w:cs="Times New Roman"/>
                      <w:b w:val="0"/>
                      <w:bCs/>
                      <w:color w:val="000000" w:themeColor="text1"/>
                      <w:sz w:val="21"/>
                      <w:szCs w:val="21"/>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6</w:t>
                  </w:r>
                  <w:r>
                    <w:rPr>
                      <w:rFonts w:hint="default" w:ascii="Times New Roman" w:hAnsi="Times New Roman" w:cs="Times New Roman"/>
                      <w:b w:val="0"/>
                      <w:bCs/>
                      <w:color w:val="000000" w:themeColor="text1"/>
                      <w:sz w:val="21"/>
                      <w:szCs w:val="21"/>
                      <w14:textFill>
                        <w14:solidFill>
                          <w14:schemeClr w14:val="tx1"/>
                        </w14:solidFill>
                      </w14:textFill>
                    </w:rPr>
                    <w:t>m×</w:t>
                  </w:r>
                  <w:r>
                    <w:rPr>
                      <w:rFonts w:hint="eastAsia" w:cs="Times New Roman"/>
                      <w:b w:val="0"/>
                      <w:bCs/>
                      <w:color w:val="000000" w:themeColor="text1"/>
                      <w:sz w:val="21"/>
                      <w:szCs w:val="21"/>
                      <w:lang w:val="en-US" w:eastAsia="zh-CN"/>
                      <w14:textFill>
                        <w14:solidFill>
                          <w14:schemeClr w14:val="tx1"/>
                        </w14:solidFill>
                      </w14:textFill>
                    </w:rPr>
                    <w:t>10.0</w:t>
                  </w:r>
                  <w:r>
                    <w:rPr>
                      <w:rFonts w:hint="default" w:ascii="Times New Roman" w:hAnsi="Times New Roman" w:cs="Times New Roman"/>
                      <w:b w:val="0"/>
                      <w:bCs/>
                      <w:color w:val="000000" w:themeColor="text1"/>
                      <w:sz w:val="21"/>
                      <w:szCs w:val="21"/>
                      <w14:textFill>
                        <w14:solidFill>
                          <w14:schemeClr w14:val="tx1"/>
                        </w14:solidFill>
                      </w14:textFill>
                    </w:rPr>
                    <w:t>m</w:t>
                  </w:r>
                </w:p>
              </w:tc>
              <w:tc>
                <w:tcPr>
                  <w:tcW w:w="773" w:type="pct"/>
                  <w:noWrap w:val="0"/>
                  <w:vAlign w:val="center"/>
                </w:tcPr>
                <w:p w14:paraId="27BFE377">
                  <w:pPr>
                    <w:pStyle w:val="52"/>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Q</w:t>
                  </w:r>
                  <w:r>
                    <w:rPr>
                      <w:rFonts w:hint="eastAsia" w:cs="Times New Roman"/>
                      <w:b w:val="0"/>
                      <w:bCs/>
                      <w:color w:val="000000" w:themeColor="text1"/>
                      <w:sz w:val="21"/>
                      <w:szCs w:val="21"/>
                      <w:lang w:val="en-US" w:eastAsia="zh-CN"/>
                      <w14:textFill>
                        <w14:solidFill>
                          <w14:schemeClr w14:val="tx1"/>
                        </w14:solidFill>
                      </w14:textFill>
                    </w:rPr>
                    <w:t>34</w:t>
                  </w:r>
                  <w:r>
                    <w:rPr>
                      <w:rFonts w:hint="default" w:ascii="Times New Roman" w:hAnsi="Times New Roman" w:cs="Times New Roman"/>
                      <w:b w:val="0"/>
                      <w:bCs/>
                      <w:color w:val="000000" w:themeColor="text1"/>
                      <w:sz w:val="21"/>
                      <w:szCs w:val="21"/>
                      <w14:textFill>
                        <w14:solidFill>
                          <w14:schemeClr w14:val="tx1"/>
                        </w14:solidFill>
                      </w14:textFill>
                    </w:rPr>
                    <w:t>5</w:t>
                  </w:r>
                  <w:r>
                    <w:rPr>
                      <w:rFonts w:hint="eastAsia" w:cs="Times New Roman"/>
                      <w:b w:val="0"/>
                      <w:bCs/>
                      <w:color w:val="000000" w:themeColor="text1"/>
                      <w:sz w:val="21"/>
                      <w:szCs w:val="21"/>
                      <w:lang w:val="en-US" w:eastAsia="zh-CN"/>
                      <w14:textFill>
                        <w14:solidFill>
                          <w14:schemeClr w14:val="tx1"/>
                        </w14:solidFill>
                      </w14:textFill>
                    </w:rPr>
                    <w:t>R</w:t>
                  </w:r>
                </w:p>
              </w:tc>
              <w:tc>
                <w:tcPr>
                  <w:tcW w:w="991" w:type="pct"/>
                  <w:noWrap w:val="0"/>
                  <w:vAlign w:val="center"/>
                </w:tcPr>
                <w:p w14:paraId="717F121A">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设计压力</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1.77</w:t>
                  </w:r>
                  <w:r>
                    <w:rPr>
                      <w:rFonts w:hint="default" w:ascii="Times New Roman" w:hAnsi="Times New Roman" w:cs="Times New Roman"/>
                      <w:b w:val="0"/>
                      <w:bCs/>
                      <w:color w:val="000000" w:themeColor="text1"/>
                      <w:sz w:val="21"/>
                      <w:szCs w:val="21"/>
                      <w14:textFill>
                        <w14:solidFill>
                          <w14:schemeClr w14:val="tx1"/>
                        </w14:solidFill>
                      </w14:textFill>
                    </w:rPr>
                    <w:t>MPa</w:t>
                  </w:r>
                </w:p>
                <w:p w14:paraId="0F9EA61E">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14:textFill>
                        <w14:solidFill>
                          <w14:schemeClr w14:val="tx1"/>
                        </w14:solidFill>
                      </w14:textFill>
                    </w:rPr>
                    <w:t>设计温度</w:t>
                  </w:r>
                  <w:r>
                    <w:rPr>
                      <w:rFonts w:hint="eastAsia" w:cs="Times New Roman"/>
                      <w:b w:val="0"/>
                      <w:bCs/>
                      <w:color w:val="000000" w:themeColor="text1"/>
                      <w:sz w:val="21"/>
                      <w:szCs w:val="21"/>
                      <w:lang w:val="en-US" w:eastAsia="zh-CN"/>
                      <w14:textFill>
                        <w14:solidFill>
                          <w14:schemeClr w14:val="tx1"/>
                        </w14:solidFill>
                      </w14:textFill>
                    </w:rPr>
                    <w:t>54</w:t>
                  </w:r>
                  <w:r>
                    <w:rPr>
                      <w:rFonts w:hint="default" w:ascii="Times New Roman" w:hAnsi="Times New Roman" w:cs="Times New Roman"/>
                      <w:b w:val="0"/>
                      <w:bCs/>
                      <w:color w:val="000000" w:themeColor="text1"/>
                      <w:sz w:val="21"/>
                      <w:szCs w:val="21"/>
                      <w14:textFill>
                        <w14:solidFill>
                          <w14:schemeClr w14:val="tx1"/>
                        </w14:solidFill>
                      </w14:textFill>
                    </w:rPr>
                    <w:t>℃</w:t>
                  </w:r>
                </w:p>
              </w:tc>
            </w:tr>
          </w:tbl>
          <w:p w14:paraId="6DA3100C">
            <w:pPr>
              <w:bidi w:val="0"/>
              <w:rPr>
                <w:rFonts w:hint="default"/>
                <w:b/>
                <w:bCs/>
                <w:color w:val="auto"/>
                <w:lang w:eastAsia="zh-CN"/>
              </w:rPr>
            </w:pPr>
            <w:r>
              <w:rPr>
                <w:rFonts w:hint="default"/>
                <w:b/>
                <w:bCs/>
                <w:color w:val="auto"/>
                <w:lang w:val="en-US" w:eastAsia="zh-CN"/>
              </w:rPr>
              <w:t>三</w:t>
            </w:r>
            <w:r>
              <w:rPr>
                <w:rFonts w:hint="default"/>
                <w:b/>
                <w:bCs/>
                <w:color w:val="auto"/>
                <w:lang w:eastAsia="zh-CN"/>
              </w:rPr>
              <w:t>、主要产品及产能</w:t>
            </w:r>
          </w:p>
          <w:p w14:paraId="7018A4D2">
            <w:pPr>
              <w:bidi w:val="0"/>
              <w:rPr>
                <w:rFonts w:hint="eastAsia"/>
                <w:color w:val="auto"/>
                <w:lang w:eastAsia="zh-CN"/>
              </w:rPr>
            </w:pPr>
            <w:r>
              <w:rPr>
                <w:rFonts w:hint="default"/>
                <w:color w:val="auto"/>
              </w:rPr>
              <w:t>本项目主要从事液氧</w:t>
            </w:r>
            <w:r>
              <w:rPr>
                <w:rFonts w:hint="eastAsia"/>
                <w:color w:val="auto"/>
                <w:lang w:eastAsia="zh-CN"/>
              </w:rPr>
              <w:t>、</w:t>
            </w:r>
            <w:r>
              <w:rPr>
                <w:rFonts w:hint="default"/>
                <w:color w:val="auto"/>
              </w:rPr>
              <w:t>液氮</w:t>
            </w:r>
            <w:r>
              <w:rPr>
                <w:rFonts w:hint="eastAsia"/>
                <w:color w:val="auto"/>
                <w:lang w:eastAsia="zh-CN"/>
              </w:rPr>
              <w:t>、</w:t>
            </w:r>
            <w:r>
              <w:rPr>
                <w:rFonts w:hint="default"/>
                <w:color w:val="auto"/>
              </w:rPr>
              <w:t>液氩</w:t>
            </w:r>
            <w:r>
              <w:rPr>
                <w:rFonts w:hint="eastAsia"/>
                <w:color w:val="auto"/>
                <w:lang w:val="en-US" w:eastAsia="zh-CN"/>
              </w:rPr>
              <w:t>和</w:t>
            </w:r>
            <w:r>
              <w:rPr>
                <w:rFonts w:hint="default"/>
                <w:color w:val="auto"/>
              </w:rPr>
              <w:t>高纯液氧</w:t>
            </w:r>
            <w:r>
              <w:rPr>
                <w:rFonts w:hint="eastAsia"/>
                <w:color w:val="auto"/>
                <w:lang w:val="en-US" w:eastAsia="zh-CN"/>
              </w:rPr>
              <w:t>的生产，</w:t>
            </w:r>
            <w:r>
              <w:rPr>
                <w:rFonts w:hint="default"/>
                <w:color w:val="auto"/>
              </w:rPr>
              <w:t>工业气体、医用氧气储存</w:t>
            </w:r>
            <w:r>
              <w:rPr>
                <w:rFonts w:hint="eastAsia"/>
                <w:color w:val="auto"/>
                <w:lang w:eastAsia="zh-CN"/>
              </w:rPr>
              <w:t>、</w:t>
            </w:r>
            <w:r>
              <w:rPr>
                <w:rFonts w:hint="default"/>
                <w:color w:val="auto"/>
              </w:rPr>
              <w:t>充装销售</w:t>
            </w:r>
            <w:r>
              <w:rPr>
                <w:rFonts w:hint="eastAsia"/>
                <w:color w:val="auto"/>
                <w:lang w:eastAsia="zh-CN"/>
              </w:rPr>
              <w:t>。</w:t>
            </w:r>
            <w:r>
              <w:rPr>
                <w:rFonts w:hint="default"/>
                <w:color w:val="auto"/>
              </w:rPr>
              <w:t>工业气体可用于金属切割或焊接，医用氧气可用于医疗。根据业主提供资料可知，本项目不涉及二氧化碳</w:t>
            </w:r>
            <w:r>
              <w:rPr>
                <w:rFonts w:hint="eastAsia"/>
                <w:color w:val="auto"/>
                <w:lang w:eastAsia="zh-CN"/>
              </w:rPr>
              <w:t>、</w:t>
            </w:r>
            <w:r>
              <w:rPr>
                <w:rFonts w:hint="eastAsia"/>
                <w:color w:val="auto"/>
                <w:lang w:val="en-US" w:eastAsia="zh-CN"/>
              </w:rPr>
              <w:t>乙炔、丙烷、</w:t>
            </w:r>
            <w:r>
              <w:rPr>
                <w:rFonts w:hint="default"/>
                <w:color w:val="auto"/>
              </w:rPr>
              <w:t>液化石油气的生产，仅对依法购进的二氧化碳</w:t>
            </w:r>
            <w:r>
              <w:rPr>
                <w:rFonts w:hint="eastAsia"/>
                <w:color w:val="auto"/>
                <w:lang w:eastAsia="zh-CN"/>
              </w:rPr>
              <w:t>、</w:t>
            </w:r>
            <w:r>
              <w:rPr>
                <w:rFonts w:hint="eastAsia"/>
                <w:color w:val="auto"/>
                <w:lang w:val="en-US" w:eastAsia="zh-CN"/>
              </w:rPr>
              <w:t>乙炔、丙烷、</w:t>
            </w:r>
            <w:r>
              <w:rPr>
                <w:rFonts w:hint="default"/>
                <w:color w:val="auto"/>
              </w:rPr>
              <w:t>液化石油气（购买途径必须正规合法，且生产商必须是严格遵守国家质量标准合法生产）进行充装销售。由生产企业配备低温液体槽车</w:t>
            </w:r>
            <w:r>
              <w:rPr>
                <w:rFonts w:hint="eastAsia"/>
                <w:color w:val="auto"/>
                <w:lang w:val="en-US" w:eastAsia="zh-CN"/>
              </w:rPr>
              <w:t>输</w:t>
            </w:r>
            <w:r>
              <w:rPr>
                <w:rFonts w:hint="default"/>
                <w:color w:val="auto"/>
              </w:rPr>
              <w:t>送运输，卸入</w:t>
            </w:r>
            <w:r>
              <w:rPr>
                <w:rFonts w:hint="eastAsia"/>
                <w:color w:val="auto"/>
                <w:lang w:val="en-US" w:eastAsia="zh-CN"/>
              </w:rPr>
              <w:t>厂区</w:t>
            </w:r>
            <w:r>
              <w:rPr>
                <w:rFonts w:hint="default"/>
                <w:color w:val="auto"/>
              </w:rPr>
              <w:t>液体</w:t>
            </w:r>
            <w:r>
              <w:rPr>
                <w:rFonts w:hint="eastAsia"/>
                <w:color w:val="auto"/>
                <w:lang w:val="en-US" w:eastAsia="zh-CN"/>
              </w:rPr>
              <w:t>储</w:t>
            </w:r>
            <w:r>
              <w:rPr>
                <w:rFonts w:hint="default"/>
                <w:color w:val="auto"/>
              </w:rPr>
              <w:t>罐，能够保证供货。本项目乙炔和气态丙烷来源为外购成品，使用40L气瓶储存，乙炔最大储存量为160</w:t>
            </w:r>
            <w:r>
              <w:rPr>
                <w:rFonts w:hint="eastAsia"/>
                <w:color w:val="auto"/>
                <w:lang w:eastAsia="zh-CN"/>
              </w:rPr>
              <w:t>瓶</w:t>
            </w:r>
            <w:r>
              <w:rPr>
                <w:rFonts w:hint="default"/>
                <w:color w:val="auto"/>
              </w:rPr>
              <w:t>，气态丙烷最大储存量为100瓶，均存于甲类仓库，不进行分装</w:t>
            </w:r>
            <w:r>
              <w:rPr>
                <w:rFonts w:hint="eastAsia"/>
                <w:color w:val="auto"/>
                <w:lang w:eastAsia="zh-CN"/>
              </w:rPr>
              <w:t>。</w:t>
            </w:r>
            <w:r>
              <w:rPr>
                <w:rFonts w:hint="default"/>
                <w:color w:val="auto"/>
              </w:rPr>
              <w:t>外购的丙烷液体</w:t>
            </w:r>
            <w:r>
              <w:rPr>
                <w:rFonts w:hint="eastAsia"/>
                <w:color w:val="auto"/>
                <w:lang w:val="en-US" w:eastAsia="zh-CN"/>
              </w:rPr>
              <w:t>和液化石油气</w:t>
            </w:r>
            <w:r>
              <w:rPr>
                <w:rFonts w:hint="default"/>
                <w:color w:val="auto"/>
              </w:rPr>
              <w:t>储存于丙烷</w:t>
            </w:r>
            <w:r>
              <w:rPr>
                <w:rFonts w:hint="eastAsia"/>
                <w:color w:val="auto"/>
                <w:lang w:val="en-US" w:eastAsia="zh-CN"/>
              </w:rPr>
              <w:t>及液化石油气</w:t>
            </w:r>
            <w:r>
              <w:rPr>
                <w:rFonts w:hint="default"/>
                <w:color w:val="auto"/>
              </w:rPr>
              <w:t>埋地罐区，通过</w:t>
            </w:r>
            <w:r>
              <w:rPr>
                <w:rFonts w:hint="eastAsia"/>
                <w:color w:val="auto"/>
                <w:lang w:val="en-US" w:eastAsia="zh-CN"/>
              </w:rPr>
              <w:t>液体泵加压将</w:t>
            </w:r>
            <w:r>
              <w:rPr>
                <w:rFonts w:hint="default"/>
                <w:color w:val="auto"/>
              </w:rPr>
              <w:t>丙烷</w:t>
            </w:r>
            <w:r>
              <w:rPr>
                <w:rFonts w:hint="eastAsia"/>
                <w:color w:val="auto"/>
                <w:lang w:val="en-US" w:eastAsia="zh-CN"/>
              </w:rPr>
              <w:t>液体和液化石油气</w:t>
            </w:r>
            <w:r>
              <w:rPr>
                <w:rFonts w:hint="default"/>
                <w:color w:val="auto"/>
              </w:rPr>
              <w:t>灌装到气瓶中销售</w:t>
            </w:r>
            <w:r>
              <w:rPr>
                <w:rFonts w:hint="eastAsia"/>
                <w:color w:val="auto"/>
                <w:lang w:eastAsia="zh-CN"/>
              </w:rPr>
              <w:t>；多余未销售完的丙烷则储存于甲类仓库。</w:t>
            </w:r>
            <w:r>
              <w:rPr>
                <w:rFonts w:hint="default"/>
                <w:color w:val="auto"/>
              </w:rPr>
              <w:t>氮气、氩气和氧气来源为</w:t>
            </w:r>
            <w:r>
              <w:rPr>
                <w:rFonts w:hint="eastAsia"/>
                <w:color w:val="auto"/>
                <w:lang w:val="en-US" w:eastAsia="zh-CN"/>
              </w:rPr>
              <w:t>厂内</w:t>
            </w:r>
            <w:r>
              <w:rPr>
                <w:rFonts w:hint="default"/>
                <w:color w:val="auto"/>
              </w:rPr>
              <w:t>空气分离设备给空气降温过程中根据不同沸点分离出来的氧、氮、氩等液态气体，使用低温液体储罐储存，最大储存量为各储罐容积量，根据订单需求分装入40L气瓶</w:t>
            </w:r>
            <w:r>
              <w:rPr>
                <w:rFonts w:hint="eastAsia"/>
                <w:color w:val="auto"/>
                <w:lang w:val="en-US" w:eastAsia="zh-CN"/>
              </w:rPr>
              <w:t>或175L杜瓦罐</w:t>
            </w:r>
            <w:r>
              <w:rPr>
                <w:rFonts w:hint="default"/>
                <w:color w:val="auto"/>
              </w:rPr>
              <w:t>后直接拉运到客户处</w:t>
            </w:r>
            <w:r>
              <w:rPr>
                <w:rFonts w:hint="eastAsia"/>
                <w:color w:val="auto"/>
                <w:lang w:eastAsia="zh-CN"/>
              </w:rPr>
              <w:t>。</w:t>
            </w:r>
            <w:r>
              <w:rPr>
                <w:rFonts w:hint="default"/>
                <w:color w:val="auto"/>
              </w:rPr>
              <w:t>预计建成后充装气体约</w:t>
            </w:r>
            <w:r>
              <w:rPr>
                <w:rFonts w:hint="eastAsia"/>
                <w:color w:val="auto"/>
                <w:lang w:val="en-US" w:eastAsia="zh-CN"/>
              </w:rPr>
              <w:t>420</w:t>
            </w:r>
            <w:r>
              <w:rPr>
                <w:rFonts w:hint="default"/>
                <w:color w:val="auto"/>
              </w:rPr>
              <w:t>万瓶/年，折合</w:t>
            </w:r>
            <w:r>
              <w:rPr>
                <w:rFonts w:hint="eastAsia"/>
                <w:color w:val="auto"/>
                <w:lang w:val="en-US" w:eastAsia="zh-CN"/>
              </w:rPr>
              <w:t>48750</w:t>
            </w:r>
            <w:r>
              <w:rPr>
                <w:rFonts w:hint="default"/>
                <w:color w:val="auto"/>
              </w:rPr>
              <w:t>吨/年</w:t>
            </w:r>
            <w:r>
              <w:rPr>
                <w:rFonts w:hint="eastAsia"/>
                <w:color w:val="auto"/>
                <w:lang w:eastAsia="zh-CN"/>
              </w:rPr>
              <w:t>，</w:t>
            </w:r>
            <w:r>
              <w:rPr>
                <w:rFonts w:hint="eastAsia"/>
                <w:color w:val="auto"/>
                <w:lang w:val="en-US" w:eastAsia="zh-CN"/>
              </w:rPr>
              <w:t>充装液体约5160罐，</w:t>
            </w:r>
            <w:r>
              <w:rPr>
                <w:rFonts w:hint="default"/>
                <w:color w:val="auto"/>
              </w:rPr>
              <w:t>折合</w:t>
            </w:r>
            <w:r>
              <w:rPr>
                <w:rFonts w:hint="eastAsia"/>
                <w:color w:val="auto"/>
                <w:lang w:val="en-US" w:eastAsia="zh-CN"/>
              </w:rPr>
              <w:t>823.2</w:t>
            </w:r>
            <w:r>
              <w:rPr>
                <w:rFonts w:hint="default"/>
                <w:color w:val="auto"/>
              </w:rPr>
              <w:t>吨/年。</w:t>
            </w:r>
          </w:p>
          <w:p w14:paraId="16FE6FDB">
            <w:pPr>
              <w:bidi w:val="0"/>
              <w:rPr>
                <w:rFonts w:hint="default"/>
                <w:color w:val="auto"/>
              </w:rPr>
            </w:pPr>
            <w:r>
              <w:rPr>
                <w:rFonts w:hint="eastAsia"/>
                <w:color w:val="auto"/>
                <w:lang w:val="en-US" w:eastAsia="zh-CN"/>
              </w:rPr>
              <w:t>本项目建成后，预计</w:t>
            </w:r>
            <w:r>
              <w:rPr>
                <w:rFonts w:hint="default"/>
                <w:color w:val="auto"/>
              </w:rPr>
              <w:t>可达年经营各类气体</w:t>
            </w:r>
            <w:r>
              <w:rPr>
                <w:rFonts w:hint="eastAsia"/>
                <w:color w:val="auto"/>
                <w:highlight w:val="none"/>
                <w:lang w:val="en-US" w:eastAsia="zh-CN"/>
              </w:rPr>
              <w:t>214528.00</w:t>
            </w:r>
            <w:r>
              <w:rPr>
                <w:rFonts w:hint="default"/>
                <w:color w:val="auto"/>
              </w:rPr>
              <w:t>吨产能</w:t>
            </w:r>
            <w:r>
              <w:rPr>
                <w:rFonts w:hint="eastAsia"/>
                <w:color w:val="auto"/>
                <w:lang w:eastAsia="zh-CN"/>
              </w:rPr>
              <w:t>。</w:t>
            </w:r>
            <w:r>
              <w:rPr>
                <w:rFonts w:hint="default"/>
                <w:color w:val="auto"/>
              </w:rPr>
              <w:t>本项目设计工况产品方案详见下表</w:t>
            </w:r>
            <w:r>
              <w:rPr>
                <w:rFonts w:hint="default"/>
                <w:color w:val="auto"/>
                <w:lang w:val="en-US" w:eastAsia="zh-CN"/>
              </w:rPr>
              <w:t>2-</w:t>
            </w:r>
            <w:r>
              <w:rPr>
                <w:rFonts w:hint="eastAsia"/>
                <w:color w:val="auto"/>
                <w:lang w:val="en-US" w:eastAsia="zh-CN"/>
              </w:rPr>
              <w:t>6</w:t>
            </w:r>
            <w:r>
              <w:rPr>
                <w:rFonts w:hint="default"/>
                <w:color w:val="auto"/>
              </w:rPr>
              <w:t>：</w:t>
            </w:r>
          </w:p>
          <w:p w14:paraId="4936FEBF">
            <w:pPr>
              <w:pStyle w:val="85"/>
              <w:bidi w:val="0"/>
              <w:rPr>
                <w:rFonts w:hint="default"/>
                <w:color w:val="auto"/>
              </w:rPr>
            </w:pPr>
            <w:r>
              <w:rPr>
                <w:rFonts w:hint="default"/>
                <w:color w:val="auto"/>
                <w:sz w:val="21"/>
                <w:szCs w:val="21"/>
              </w:rPr>
              <w:t>表</w:t>
            </w:r>
            <w:r>
              <w:rPr>
                <w:rFonts w:hint="default"/>
                <w:color w:val="auto"/>
                <w:sz w:val="21"/>
                <w:szCs w:val="21"/>
                <w:lang w:val="en-US" w:eastAsia="zh-CN"/>
              </w:rPr>
              <w:t>2-</w:t>
            </w:r>
            <w:r>
              <w:rPr>
                <w:rFonts w:hint="eastAsia"/>
                <w:color w:val="auto"/>
                <w:sz w:val="21"/>
                <w:szCs w:val="21"/>
                <w:lang w:val="en-US" w:eastAsia="zh-CN"/>
              </w:rPr>
              <w:t>6</w:t>
            </w:r>
            <w:r>
              <w:rPr>
                <w:rFonts w:hint="default"/>
                <w:color w:val="auto"/>
                <w:sz w:val="21"/>
                <w:szCs w:val="21"/>
              </w:rPr>
              <w:t xml:space="preserve">   项目产品方案一览表</w:t>
            </w:r>
          </w:p>
          <w:tbl>
            <w:tblPr>
              <w:tblStyle w:val="30"/>
              <w:tblW w:w="86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935"/>
              <w:gridCol w:w="132"/>
              <w:gridCol w:w="1151"/>
              <w:gridCol w:w="1073"/>
              <w:gridCol w:w="476"/>
              <w:gridCol w:w="786"/>
              <w:gridCol w:w="256"/>
              <w:gridCol w:w="670"/>
              <w:gridCol w:w="542"/>
              <w:gridCol w:w="1144"/>
              <w:gridCol w:w="1012"/>
            </w:tblGrid>
            <w:tr w14:paraId="119D8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8606" w:type="dxa"/>
                  <w:gridSpan w:val="12"/>
                  <w:tcBorders>
                    <w:tl2br w:val="nil"/>
                    <w:tr2bl w:val="nil"/>
                  </w:tcBorders>
                  <w:noWrap w:val="0"/>
                  <w:vAlign w:val="center"/>
                </w:tcPr>
                <w:p w14:paraId="71038C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空气分离装置线</w:t>
                  </w:r>
                </w:p>
              </w:tc>
            </w:tr>
            <w:tr w14:paraId="20C18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1496" w:type="dxa"/>
                  <w:gridSpan w:val="3"/>
                  <w:vMerge w:val="restart"/>
                  <w:tcBorders>
                    <w:tl2br w:val="nil"/>
                    <w:tr2bl w:val="nil"/>
                  </w:tcBorders>
                  <w:noWrap w:val="0"/>
                  <w:vAlign w:val="center"/>
                </w:tcPr>
                <w:p w14:paraId="0A6A9C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产品名称</w:t>
                  </w:r>
                </w:p>
              </w:tc>
              <w:tc>
                <w:tcPr>
                  <w:tcW w:w="1151" w:type="dxa"/>
                  <w:vMerge w:val="restart"/>
                  <w:tcBorders>
                    <w:tl2br w:val="nil"/>
                    <w:tr2bl w:val="nil"/>
                  </w:tcBorders>
                  <w:noWrap w:val="0"/>
                  <w:vAlign w:val="center"/>
                </w:tcPr>
                <w:p w14:paraId="21FC48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年</w:t>
                  </w:r>
                  <w:r>
                    <w:rPr>
                      <w:rFonts w:hint="default" w:ascii="Times New Roman" w:hAnsi="Times New Roman" w:cs="Times New Roman"/>
                      <w:b/>
                      <w:bCs/>
                      <w:color w:val="auto"/>
                      <w:sz w:val="21"/>
                      <w:szCs w:val="21"/>
                      <w:highlight w:val="none"/>
                    </w:rPr>
                    <w:t>产量</w:t>
                  </w:r>
                </w:p>
              </w:tc>
              <w:tc>
                <w:tcPr>
                  <w:tcW w:w="1549" w:type="dxa"/>
                  <w:gridSpan w:val="2"/>
                  <w:vMerge w:val="restart"/>
                  <w:tcBorders>
                    <w:tl2br w:val="nil"/>
                    <w:tr2bl w:val="nil"/>
                  </w:tcBorders>
                  <w:noWrap w:val="0"/>
                  <w:vAlign w:val="center"/>
                </w:tcPr>
                <w:p w14:paraId="69B187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纯度</w:t>
                  </w:r>
                  <w:r>
                    <w:rPr>
                      <w:rFonts w:hint="eastAsia" w:cs="Times New Roman"/>
                      <w:b/>
                      <w:bCs/>
                      <w:color w:val="auto"/>
                      <w:sz w:val="21"/>
                      <w:szCs w:val="21"/>
                      <w:lang w:val="en-US" w:eastAsia="zh-CN"/>
                    </w:rPr>
                    <w:t>/规格</w:t>
                  </w:r>
                </w:p>
              </w:tc>
              <w:tc>
                <w:tcPr>
                  <w:tcW w:w="1712" w:type="dxa"/>
                  <w:gridSpan w:val="3"/>
                  <w:tcBorders>
                    <w:tl2br w:val="nil"/>
                    <w:tr2bl w:val="nil"/>
                  </w:tcBorders>
                  <w:noWrap w:val="0"/>
                  <w:vAlign w:val="center"/>
                </w:tcPr>
                <w:p w14:paraId="5EE8AE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产品出冷箱条件</w:t>
                  </w:r>
                </w:p>
              </w:tc>
              <w:tc>
                <w:tcPr>
                  <w:tcW w:w="2698" w:type="dxa"/>
                  <w:gridSpan w:val="3"/>
                  <w:vMerge w:val="restart"/>
                  <w:tcBorders>
                    <w:tl2br w:val="nil"/>
                    <w:tr2bl w:val="nil"/>
                  </w:tcBorders>
                  <w:noWrap w:val="0"/>
                  <w:vAlign w:val="center"/>
                </w:tcPr>
                <w:p w14:paraId="500BF9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w:t>
                  </w:r>
                  <w:r>
                    <w:rPr>
                      <w:rFonts w:hint="eastAsia" w:cs="Times New Roman"/>
                      <w:b/>
                      <w:bCs/>
                      <w:color w:val="auto"/>
                      <w:sz w:val="21"/>
                      <w:szCs w:val="21"/>
                      <w:lang w:val="en-US" w:eastAsia="zh-CN"/>
                    </w:rPr>
                    <w:t xml:space="preserve"> </w:t>
                  </w:r>
                  <w:r>
                    <w:rPr>
                      <w:rFonts w:hint="default" w:ascii="Times New Roman" w:hAnsi="Times New Roman" w:cs="Times New Roman"/>
                      <w:b/>
                      <w:bCs/>
                      <w:color w:val="auto"/>
                      <w:sz w:val="21"/>
                      <w:szCs w:val="21"/>
                    </w:rPr>
                    <w:t>注</w:t>
                  </w:r>
                </w:p>
              </w:tc>
            </w:tr>
            <w:tr w14:paraId="299BA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6" w:type="dxa"/>
                  <w:gridSpan w:val="3"/>
                  <w:vMerge w:val="continue"/>
                  <w:tcBorders>
                    <w:tl2br w:val="nil"/>
                    <w:tr2bl w:val="nil"/>
                  </w:tcBorders>
                  <w:noWrap w:val="0"/>
                  <w:vAlign w:val="center"/>
                </w:tcPr>
                <w:p w14:paraId="1FB07D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p>
              </w:tc>
              <w:tc>
                <w:tcPr>
                  <w:tcW w:w="1151" w:type="dxa"/>
                  <w:vMerge w:val="continue"/>
                  <w:tcBorders>
                    <w:tl2br w:val="nil"/>
                    <w:tr2bl w:val="nil"/>
                  </w:tcBorders>
                  <w:noWrap w:val="0"/>
                  <w:vAlign w:val="center"/>
                </w:tcPr>
                <w:p w14:paraId="7FC032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p>
              </w:tc>
              <w:tc>
                <w:tcPr>
                  <w:tcW w:w="1549" w:type="dxa"/>
                  <w:gridSpan w:val="2"/>
                  <w:vMerge w:val="continue"/>
                  <w:tcBorders>
                    <w:tl2br w:val="nil"/>
                    <w:tr2bl w:val="nil"/>
                  </w:tcBorders>
                  <w:noWrap w:val="0"/>
                  <w:vAlign w:val="center"/>
                </w:tcPr>
                <w:p w14:paraId="20C00E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p>
              </w:tc>
              <w:tc>
                <w:tcPr>
                  <w:tcW w:w="1042" w:type="dxa"/>
                  <w:gridSpan w:val="2"/>
                  <w:tcBorders>
                    <w:tl2br w:val="nil"/>
                    <w:tr2bl w:val="nil"/>
                  </w:tcBorders>
                  <w:noWrap w:val="0"/>
                  <w:vAlign w:val="center"/>
                </w:tcPr>
                <w:p w14:paraId="2190B3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color w:val="auto"/>
                      <w:sz w:val="21"/>
                      <w:szCs w:val="21"/>
                    </w:rPr>
                    <w:t>压力MPa</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G</w:t>
                  </w:r>
                  <w:r>
                    <w:rPr>
                      <w:rFonts w:hint="default" w:ascii="Times New Roman" w:hAnsi="Times New Roman" w:cs="Times New Roman"/>
                      <w:b/>
                      <w:bCs/>
                      <w:color w:val="auto"/>
                      <w:sz w:val="21"/>
                      <w:szCs w:val="21"/>
                      <w:lang w:eastAsia="zh-CN"/>
                    </w:rPr>
                    <w:t>）</w:t>
                  </w:r>
                </w:p>
              </w:tc>
              <w:tc>
                <w:tcPr>
                  <w:tcW w:w="670" w:type="dxa"/>
                  <w:tcBorders>
                    <w:tl2br w:val="nil"/>
                    <w:tr2bl w:val="nil"/>
                  </w:tcBorders>
                  <w:noWrap w:val="0"/>
                  <w:vAlign w:val="center"/>
                </w:tcPr>
                <w:p w14:paraId="185B67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b/>
                      <w:bCs/>
                      <w:sz w:val="21"/>
                      <w:szCs w:val="21"/>
                      <w:lang w:val="en-US" w:eastAsia="zh-CN"/>
                    </w:rPr>
                    <w:t>温度℃</w:t>
                  </w:r>
                </w:p>
              </w:tc>
              <w:tc>
                <w:tcPr>
                  <w:tcW w:w="2698" w:type="dxa"/>
                  <w:gridSpan w:val="3"/>
                  <w:vMerge w:val="continue"/>
                  <w:tcBorders>
                    <w:tl2br w:val="nil"/>
                    <w:tr2bl w:val="nil"/>
                  </w:tcBorders>
                  <w:noWrap w:val="0"/>
                  <w:vAlign w:val="center"/>
                </w:tcPr>
                <w:p w14:paraId="2562AD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rPr>
                  </w:pPr>
                </w:p>
              </w:tc>
            </w:tr>
            <w:tr w14:paraId="765BB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Merge w:val="restart"/>
                  <w:tcBorders>
                    <w:tl2br w:val="nil"/>
                    <w:tr2bl w:val="nil"/>
                  </w:tcBorders>
                  <w:noWrap w:val="0"/>
                  <w:vAlign w:val="center"/>
                </w:tcPr>
                <w:p w14:paraId="42DDCC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空气分离装置线</w:t>
                  </w:r>
                </w:p>
              </w:tc>
              <w:tc>
                <w:tcPr>
                  <w:tcW w:w="1067" w:type="dxa"/>
                  <w:gridSpan w:val="2"/>
                  <w:tcBorders>
                    <w:tl2br w:val="nil"/>
                    <w:tr2bl w:val="nil"/>
                  </w:tcBorders>
                  <w:noWrap w:val="0"/>
                  <w:vAlign w:val="center"/>
                </w:tcPr>
                <w:p w14:paraId="69945F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液氧</w:t>
                  </w:r>
                </w:p>
              </w:tc>
              <w:tc>
                <w:tcPr>
                  <w:tcW w:w="1151" w:type="dxa"/>
                  <w:tcBorders>
                    <w:tl2br w:val="nil"/>
                    <w:tr2bl w:val="nil"/>
                  </w:tcBorders>
                  <w:noWrap w:val="0"/>
                  <w:vAlign w:val="center"/>
                </w:tcPr>
                <w:p w14:paraId="4DDB0F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8100</w:t>
                  </w:r>
                  <w:r>
                    <w:rPr>
                      <w:rFonts w:hint="default" w:ascii="Times New Roman" w:hAnsi="Times New Roman" w:cs="Times New Roman"/>
                      <w:b w:val="0"/>
                      <w:bCs w:val="0"/>
                      <w:i w:val="0"/>
                      <w:iCs/>
                      <w:color w:val="auto"/>
                      <w:sz w:val="21"/>
                      <w:szCs w:val="21"/>
                      <w:highlight w:val="none"/>
                    </w:rPr>
                    <w:t>N</w:t>
                  </w:r>
                  <w:r>
                    <w:rPr>
                      <w:rFonts w:hint="default" w:ascii="Times New Roman" w:hAnsi="Times New Roman" w:cs="Times New Roman"/>
                      <w:b w:val="0"/>
                      <w:bCs w:val="0"/>
                      <w:color w:val="auto"/>
                      <w:sz w:val="21"/>
                      <w:szCs w:val="21"/>
                      <w:highlight w:val="none"/>
                    </w:rPr>
                    <w:t>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/h</w:t>
                  </w:r>
                  <w:r>
                    <w:rPr>
                      <w:rFonts w:hint="eastAsia" w:ascii="Times New Roman" w:hAnsi="Times New Roman" w:cs="Times New Roman"/>
                      <w:b w:val="0"/>
                      <w:bCs w:val="0"/>
                      <w:color w:val="auto"/>
                      <w:sz w:val="21"/>
                      <w:szCs w:val="21"/>
                      <w:highlight w:val="none"/>
                      <w:lang w:eastAsia="zh-CN"/>
                    </w:rPr>
                    <w:t>、</w:t>
                  </w:r>
                  <w:r>
                    <w:rPr>
                      <w:rFonts w:hint="eastAsia" w:ascii="Times New Roman" w:hAnsi="Times New Roman" w:eastAsia="宋体" w:cs="Times New Roman"/>
                      <w:color w:val="000000"/>
                      <w:kern w:val="0"/>
                      <w:sz w:val="21"/>
                      <w:szCs w:val="21"/>
                      <w:highlight w:val="none"/>
                      <w:lang w:val="en-US" w:eastAsia="zh-CN" w:bidi="ar-SA"/>
                    </w:rPr>
                    <w:t>91396.8t/a</w:t>
                  </w:r>
                </w:p>
              </w:tc>
              <w:tc>
                <w:tcPr>
                  <w:tcW w:w="1549" w:type="dxa"/>
                  <w:gridSpan w:val="2"/>
                  <w:tcBorders>
                    <w:tl2br w:val="nil"/>
                    <w:tr2bl w:val="nil"/>
                  </w:tcBorders>
                  <w:noWrap w:val="0"/>
                  <w:vAlign w:val="center"/>
                </w:tcPr>
                <w:p w14:paraId="7FF8D0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99.</w:t>
                  </w:r>
                  <w:r>
                    <w:rPr>
                      <w:rFonts w:hint="default" w:ascii="Times New Roman" w:hAnsi="Times New Roman" w:cs="Times New Roman"/>
                      <w:color w:val="auto"/>
                      <w:sz w:val="21"/>
                      <w:szCs w:val="21"/>
                      <w:lang w:val="en-US" w:eastAsia="zh-CN"/>
                    </w:rPr>
                    <w:t>6%</w:t>
                  </w:r>
                </w:p>
              </w:tc>
              <w:tc>
                <w:tcPr>
                  <w:tcW w:w="1042" w:type="dxa"/>
                  <w:gridSpan w:val="2"/>
                  <w:tcBorders>
                    <w:tl2br w:val="nil"/>
                    <w:tr2bl w:val="nil"/>
                  </w:tcBorders>
                  <w:noWrap w:val="0"/>
                  <w:vAlign w:val="center"/>
                </w:tcPr>
                <w:p w14:paraId="3A2EFD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0.15</w:t>
                  </w:r>
                </w:p>
              </w:tc>
              <w:tc>
                <w:tcPr>
                  <w:tcW w:w="670" w:type="dxa"/>
                  <w:tcBorders>
                    <w:tl2br w:val="nil"/>
                    <w:tr2bl w:val="nil"/>
                  </w:tcBorders>
                  <w:noWrap w:val="0"/>
                  <w:vAlign w:val="center"/>
                </w:tcPr>
                <w:p w14:paraId="111D4D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-183</w:t>
                  </w:r>
                </w:p>
              </w:tc>
              <w:tc>
                <w:tcPr>
                  <w:tcW w:w="2698" w:type="dxa"/>
                  <w:gridSpan w:val="3"/>
                  <w:tcBorders>
                    <w:tl2br w:val="nil"/>
                    <w:tr2bl w:val="nil"/>
                  </w:tcBorders>
                  <w:noWrap w:val="0"/>
                  <w:vAlign w:val="center"/>
                </w:tcPr>
                <w:p w14:paraId="25561E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进</w:t>
                  </w:r>
                  <w:r>
                    <w:rPr>
                      <w:rFonts w:hint="eastAsia" w:cs="Times New Roman"/>
                      <w:color w:val="auto"/>
                      <w:sz w:val="21"/>
                      <w:szCs w:val="21"/>
                      <w:lang w:val="en-US" w:eastAsia="zh-CN"/>
                    </w:rPr>
                    <w:t>储</w:t>
                  </w:r>
                  <w:r>
                    <w:rPr>
                      <w:rFonts w:hint="default" w:ascii="Times New Roman" w:hAnsi="Times New Roman" w:cs="Times New Roman"/>
                      <w:color w:val="auto"/>
                      <w:sz w:val="21"/>
                      <w:szCs w:val="21"/>
                    </w:rPr>
                    <w:t>槽</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8784t用于</w:t>
                  </w:r>
                  <w:r>
                    <w:rPr>
                      <w:rFonts w:hint="default" w:ascii="Times New Roman" w:hAnsi="Times New Roman" w:cs="Times New Roman"/>
                      <w:color w:val="auto"/>
                      <w:sz w:val="21"/>
                      <w:szCs w:val="21"/>
                      <w:lang w:val="en-US" w:eastAsia="zh-CN"/>
                    </w:rPr>
                    <w:t>氧气充装站</w:t>
                  </w:r>
                  <w:r>
                    <w:rPr>
                      <w:rFonts w:hint="eastAsia" w:ascii="Times New Roman" w:hAnsi="Times New Roman" w:cs="Times New Roman"/>
                      <w:color w:val="auto"/>
                      <w:sz w:val="21"/>
                      <w:szCs w:val="21"/>
                      <w:lang w:val="en-US" w:eastAsia="zh-CN"/>
                    </w:rPr>
                    <w:t>气体充装、剩余82612.8t直接外售</w:t>
                  </w:r>
                </w:p>
              </w:tc>
            </w:tr>
            <w:tr w14:paraId="656B84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Merge w:val="continue"/>
                  <w:tcBorders>
                    <w:tl2br w:val="nil"/>
                    <w:tr2bl w:val="nil"/>
                  </w:tcBorders>
                  <w:noWrap w:val="0"/>
                  <w:vAlign w:val="center"/>
                </w:tcPr>
                <w:p w14:paraId="597864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p>
              </w:tc>
              <w:tc>
                <w:tcPr>
                  <w:tcW w:w="1067" w:type="dxa"/>
                  <w:gridSpan w:val="2"/>
                  <w:tcBorders>
                    <w:tl2br w:val="nil"/>
                    <w:tr2bl w:val="nil"/>
                  </w:tcBorders>
                  <w:noWrap w:val="0"/>
                  <w:vAlign w:val="center"/>
                </w:tcPr>
                <w:p w14:paraId="698F43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液</w:t>
                  </w:r>
                  <w:r>
                    <w:rPr>
                      <w:rFonts w:hint="default" w:ascii="Times New Roman" w:hAnsi="Times New Roman" w:cs="Times New Roman"/>
                      <w:color w:val="auto"/>
                      <w:sz w:val="21"/>
                      <w:szCs w:val="21"/>
                    </w:rPr>
                    <w:t>氮</w:t>
                  </w:r>
                </w:p>
              </w:tc>
              <w:tc>
                <w:tcPr>
                  <w:tcW w:w="1151" w:type="dxa"/>
                  <w:tcBorders>
                    <w:tl2br w:val="nil"/>
                    <w:tr2bl w:val="nil"/>
                  </w:tcBorders>
                  <w:noWrap w:val="0"/>
                  <w:vAlign w:val="center"/>
                </w:tcPr>
                <w:p w14:paraId="20D32E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8400</w:t>
                  </w:r>
                  <w:r>
                    <w:rPr>
                      <w:rFonts w:hint="default" w:ascii="Times New Roman" w:hAnsi="Times New Roman" w:cs="Times New Roman"/>
                      <w:b w:val="0"/>
                      <w:bCs w:val="0"/>
                      <w:i w:val="0"/>
                      <w:iCs/>
                      <w:color w:val="auto"/>
                      <w:sz w:val="21"/>
                      <w:szCs w:val="21"/>
                      <w:highlight w:val="none"/>
                    </w:rPr>
                    <w:t>N</w:t>
                  </w:r>
                  <w:r>
                    <w:rPr>
                      <w:rFonts w:hint="default" w:ascii="Times New Roman" w:hAnsi="Times New Roman" w:cs="Times New Roman"/>
                      <w:b w:val="0"/>
                      <w:bCs w:val="0"/>
                      <w:color w:val="auto"/>
                      <w:sz w:val="21"/>
                      <w:szCs w:val="21"/>
                      <w:highlight w:val="none"/>
                    </w:rPr>
                    <w:t>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/h</w:t>
                  </w:r>
                  <w:r>
                    <w:rPr>
                      <w:rFonts w:hint="eastAsia" w:ascii="Times New Roman" w:hAnsi="Times New Roman" w:cs="Times New Roman"/>
                      <w:b w:val="0"/>
                      <w:bCs w:val="0"/>
                      <w:color w:val="auto"/>
                      <w:sz w:val="21"/>
                      <w:szCs w:val="21"/>
                      <w:highlight w:val="none"/>
                      <w:lang w:eastAsia="zh-CN"/>
                    </w:rPr>
                    <w:t>、</w:t>
                  </w:r>
                  <w:r>
                    <w:rPr>
                      <w:rFonts w:hint="eastAsia" w:ascii="Times New Roman" w:hAnsi="Times New Roman" w:eastAsia="宋体" w:cs="Times New Roman"/>
                      <w:color w:val="000000"/>
                      <w:kern w:val="0"/>
                      <w:sz w:val="21"/>
                      <w:szCs w:val="21"/>
                      <w:highlight w:val="none"/>
                      <w:lang w:val="en-US" w:eastAsia="zh-CN" w:bidi="ar-SA"/>
                    </w:rPr>
                    <w:t>83160t</w:t>
                  </w:r>
                  <w:r>
                    <w:rPr>
                      <w:rFonts w:hint="eastAsia" w:cs="Times New Roman"/>
                      <w:color w:val="000000"/>
                      <w:kern w:val="0"/>
                      <w:sz w:val="21"/>
                      <w:szCs w:val="21"/>
                      <w:highlight w:val="none"/>
                      <w:lang w:val="en-US" w:eastAsia="zh-CN" w:bidi="ar-SA"/>
                    </w:rPr>
                    <w:t>/a</w:t>
                  </w:r>
                </w:p>
              </w:tc>
              <w:tc>
                <w:tcPr>
                  <w:tcW w:w="1549" w:type="dxa"/>
                  <w:gridSpan w:val="2"/>
                  <w:tcBorders>
                    <w:tl2br w:val="nil"/>
                    <w:tr2bl w:val="nil"/>
                  </w:tcBorders>
                  <w:noWrap w:val="0"/>
                  <w:vAlign w:val="center"/>
                </w:tcPr>
                <w:p w14:paraId="5A82B7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≤1.0ppm O</w:t>
                  </w:r>
                  <w:r>
                    <w:rPr>
                      <w:rFonts w:hint="default" w:ascii="Times New Roman" w:hAnsi="Times New Roman" w:cs="Times New Roman"/>
                      <w:color w:val="auto"/>
                      <w:sz w:val="21"/>
                      <w:szCs w:val="21"/>
                      <w:vertAlign w:val="subscript"/>
                      <w:lang w:val="en-US" w:eastAsia="zh-CN"/>
                    </w:rPr>
                    <w:t>2</w:t>
                  </w:r>
                </w:p>
              </w:tc>
              <w:tc>
                <w:tcPr>
                  <w:tcW w:w="1042" w:type="dxa"/>
                  <w:gridSpan w:val="2"/>
                  <w:tcBorders>
                    <w:tl2br w:val="nil"/>
                    <w:tr2bl w:val="nil"/>
                  </w:tcBorders>
                  <w:noWrap w:val="0"/>
                  <w:vAlign w:val="center"/>
                </w:tcPr>
                <w:p w14:paraId="7121ED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0.15</w:t>
                  </w:r>
                </w:p>
              </w:tc>
              <w:tc>
                <w:tcPr>
                  <w:tcW w:w="670" w:type="dxa"/>
                  <w:tcBorders>
                    <w:tl2br w:val="nil"/>
                    <w:tr2bl w:val="nil"/>
                  </w:tcBorders>
                  <w:noWrap w:val="0"/>
                  <w:vAlign w:val="center"/>
                </w:tcPr>
                <w:p w14:paraId="41B775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-193</w:t>
                  </w:r>
                </w:p>
              </w:tc>
              <w:tc>
                <w:tcPr>
                  <w:tcW w:w="2698" w:type="dxa"/>
                  <w:gridSpan w:val="3"/>
                  <w:tcBorders>
                    <w:tl2br w:val="nil"/>
                    <w:tr2bl w:val="nil"/>
                  </w:tcBorders>
                  <w:noWrap w:val="0"/>
                  <w:vAlign w:val="center"/>
                </w:tcPr>
                <w:p w14:paraId="27789E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进</w:t>
                  </w:r>
                  <w:r>
                    <w:rPr>
                      <w:rFonts w:hint="eastAsia" w:cs="Times New Roman"/>
                      <w:color w:val="auto"/>
                      <w:sz w:val="21"/>
                      <w:szCs w:val="21"/>
                      <w:lang w:val="en-US" w:eastAsia="zh-CN"/>
                    </w:rPr>
                    <w:t>储</w:t>
                  </w:r>
                  <w:r>
                    <w:rPr>
                      <w:rFonts w:hint="default" w:ascii="Times New Roman" w:hAnsi="Times New Roman" w:cs="Times New Roman"/>
                      <w:color w:val="auto"/>
                      <w:sz w:val="21"/>
                      <w:szCs w:val="21"/>
                    </w:rPr>
                    <w:t>槽</w:t>
                  </w:r>
                  <w:r>
                    <w:rPr>
                      <w:rFonts w:hint="eastAsia" w:cs="Times New Roman"/>
                      <w:color w:val="auto"/>
                      <w:sz w:val="21"/>
                      <w:szCs w:val="21"/>
                      <w:lang w:eastAsia="zh-CN"/>
                    </w:rPr>
                    <w:t>，</w:t>
                  </w:r>
                  <w:r>
                    <w:rPr>
                      <w:rFonts w:hint="eastAsia" w:cs="Times New Roman"/>
                      <w:color w:val="auto"/>
                      <w:sz w:val="21"/>
                      <w:szCs w:val="21"/>
                      <w:lang w:val="en-US" w:eastAsia="zh-CN"/>
                    </w:rPr>
                    <w:t>3465.2t用于</w:t>
                  </w:r>
                  <w:r>
                    <w:rPr>
                      <w:rFonts w:hint="default" w:ascii="Times New Roman" w:hAnsi="Times New Roman" w:cs="Times New Roman"/>
                      <w:color w:val="auto"/>
                      <w:sz w:val="21"/>
                      <w:szCs w:val="21"/>
                      <w:lang w:val="en-US" w:eastAsia="zh-CN"/>
                    </w:rPr>
                    <w:t>惰性气体充装站</w:t>
                  </w:r>
                  <w:r>
                    <w:rPr>
                      <w:rFonts w:hint="eastAsia" w:ascii="Times New Roman" w:hAnsi="Times New Roman" w:cs="Times New Roman"/>
                      <w:color w:val="auto"/>
                      <w:sz w:val="21"/>
                      <w:szCs w:val="21"/>
                      <w:lang w:val="en-US" w:eastAsia="zh-CN"/>
                    </w:rPr>
                    <w:t>氮气/液氮充装、剩余79694.8t直接外售</w:t>
                  </w:r>
                </w:p>
              </w:tc>
            </w:tr>
            <w:tr w14:paraId="48CE6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Merge w:val="continue"/>
                  <w:tcBorders>
                    <w:tl2br w:val="nil"/>
                    <w:tr2bl w:val="nil"/>
                  </w:tcBorders>
                  <w:noWrap w:val="0"/>
                  <w:vAlign w:val="center"/>
                </w:tcPr>
                <w:p w14:paraId="36508F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p>
              </w:tc>
              <w:tc>
                <w:tcPr>
                  <w:tcW w:w="1067" w:type="dxa"/>
                  <w:gridSpan w:val="2"/>
                  <w:tcBorders>
                    <w:tl2br w:val="nil"/>
                    <w:tr2bl w:val="nil"/>
                  </w:tcBorders>
                  <w:noWrap w:val="0"/>
                  <w:vAlign w:val="center"/>
                </w:tcPr>
                <w:p w14:paraId="154B59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液氩</w:t>
                  </w:r>
                </w:p>
              </w:tc>
              <w:tc>
                <w:tcPr>
                  <w:tcW w:w="1151" w:type="dxa"/>
                  <w:tcBorders>
                    <w:tl2br w:val="nil"/>
                    <w:tr2bl w:val="nil"/>
                  </w:tcBorders>
                  <w:noWrap w:val="0"/>
                  <w:vAlign w:val="center"/>
                </w:tcPr>
                <w:p w14:paraId="20DB8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280</w:t>
                  </w:r>
                  <w:r>
                    <w:rPr>
                      <w:rFonts w:hint="default" w:ascii="Times New Roman" w:hAnsi="Times New Roman" w:cs="Times New Roman"/>
                      <w:b w:val="0"/>
                      <w:bCs w:val="0"/>
                      <w:i w:val="0"/>
                      <w:iCs/>
                      <w:color w:val="auto"/>
                      <w:sz w:val="21"/>
                      <w:szCs w:val="21"/>
                      <w:highlight w:val="none"/>
                    </w:rPr>
                    <w:t>N</w:t>
                  </w:r>
                  <w:r>
                    <w:rPr>
                      <w:rFonts w:hint="default" w:ascii="Times New Roman" w:hAnsi="Times New Roman" w:cs="Times New Roman"/>
                      <w:b w:val="0"/>
                      <w:bCs w:val="0"/>
                      <w:color w:val="auto"/>
                      <w:sz w:val="21"/>
                      <w:szCs w:val="21"/>
                      <w:highlight w:val="none"/>
                    </w:rPr>
                    <w:t>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/h</w:t>
                  </w:r>
                  <w:r>
                    <w:rPr>
                      <w:rFonts w:hint="eastAsia" w:ascii="Times New Roman" w:hAnsi="Times New Roman" w:cs="Times New Roman"/>
                      <w:b w:val="0"/>
                      <w:bCs w:val="0"/>
                      <w:color w:val="auto"/>
                      <w:sz w:val="21"/>
                      <w:szCs w:val="21"/>
                      <w:highlight w:val="none"/>
                      <w:lang w:eastAsia="zh-CN"/>
                    </w:rPr>
                    <w:t>、</w:t>
                  </w:r>
                  <w:r>
                    <w:rPr>
                      <w:rFonts w:hint="eastAsia" w:ascii="Times New Roman" w:hAnsi="Times New Roman" w:eastAsia="宋体" w:cs="Times New Roman"/>
                      <w:color w:val="000000"/>
                      <w:kern w:val="0"/>
                      <w:sz w:val="21"/>
                      <w:szCs w:val="21"/>
                      <w:highlight w:val="none"/>
                      <w:lang w:val="en-US" w:eastAsia="zh-CN" w:bidi="ar-SA"/>
                    </w:rPr>
                    <w:t>3927t/a</w:t>
                  </w:r>
                </w:p>
              </w:tc>
              <w:tc>
                <w:tcPr>
                  <w:tcW w:w="1549" w:type="dxa"/>
                  <w:gridSpan w:val="2"/>
                  <w:tcBorders>
                    <w:tl2br w:val="nil"/>
                    <w:tr2bl w:val="nil"/>
                  </w:tcBorders>
                  <w:noWrap w:val="0"/>
                  <w:vAlign w:val="center"/>
                </w:tcPr>
                <w:p w14:paraId="2598C1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≤1.5ppm O</w:t>
                  </w:r>
                  <w:r>
                    <w:rPr>
                      <w:rFonts w:hint="default" w:ascii="Times New Roman" w:hAnsi="Times New Roman" w:cs="Times New Roman"/>
                      <w:color w:val="auto"/>
                      <w:sz w:val="21"/>
                      <w:szCs w:val="21"/>
                      <w:vertAlign w:val="subscript"/>
                      <w:lang w:val="en-US" w:eastAsia="zh-CN"/>
                    </w:rPr>
                    <w:t>2</w:t>
                  </w:r>
                </w:p>
                <w:p w14:paraId="323A4C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≤4ppm N</w:t>
                  </w:r>
                  <w:r>
                    <w:rPr>
                      <w:rFonts w:hint="default" w:ascii="Times New Roman" w:hAnsi="Times New Roman" w:cs="Times New Roman"/>
                      <w:color w:val="auto"/>
                      <w:sz w:val="21"/>
                      <w:szCs w:val="21"/>
                      <w:vertAlign w:val="subscript"/>
                      <w:lang w:val="en-US" w:eastAsia="zh-CN"/>
                    </w:rPr>
                    <w:t>2</w:t>
                  </w:r>
                </w:p>
              </w:tc>
              <w:tc>
                <w:tcPr>
                  <w:tcW w:w="1042" w:type="dxa"/>
                  <w:gridSpan w:val="2"/>
                  <w:tcBorders>
                    <w:tl2br w:val="nil"/>
                    <w:tr2bl w:val="nil"/>
                  </w:tcBorders>
                  <w:noWrap w:val="0"/>
                  <w:vAlign w:val="center"/>
                </w:tcPr>
                <w:p w14:paraId="7A8E9C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0.15</w:t>
                  </w:r>
                </w:p>
              </w:tc>
              <w:tc>
                <w:tcPr>
                  <w:tcW w:w="670" w:type="dxa"/>
                  <w:tcBorders>
                    <w:tl2br w:val="nil"/>
                    <w:tr2bl w:val="nil"/>
                  </w:tcBorders>
                  <w:noWrap w:val="0"/>
                  <w:vAlign w:val="center"/>
                </w:tcPr>
                <w:p w14:paraId="12529A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-183</w:t>
                  </w:r>
                </w:p>
              </w:tc>
              <w:tc>
                <w:tcPr>
                  <w:tcW w:w="2698" w:type="dxa"/>
                  <w:gridSpan w:val="3"/>
                  <w:tcBorders>
                    <w:tl2br w:val="nil"/>
                    <w:tr2bl w:val="nil"/>
                  </w:tcBorders>
                  <w:noWrap w:val="0"/>
                  <w:vAlign w:val="center"/>
                </w:tcPr>
                <w:p w14:paraId="2A15A1B6">
                  <w:pPr>
                    <w:pStyle w:val="15"/>
                    <w:keepNext w:val="0"/>
                    <w:keepLines w:val="0"/>
                    <w:pageBreakBefore w:val="0"/>
                    <w:widowControl w:val="0"/>
                    <w:kinsoku/>
                    <w:wordWrap/>
                    <w:overflowPunct/>
                    <w:topLinePunct w:val="0"/>
                    <w:bidi w:val="0"/>
                    <w:snapToGrid/>
                    <w:spacing w:line="240" w:lineRule="auto"/>
                    <w:ind w:firstLine="0" w:firstLineChars="0"/>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rPr>
                    <w:t>进储罐</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全部</w:t>
                  </w:r>
                  <w:r>
                    <w:rPr>
                      <w:rFonts w:hint="eastAsia" w:cs="Times New Roman"/>
                      <w:color w:val="auto"/>
                      <w:sz w:val="21"/>
                      <w:szCs w:val="21"/>
                      <w:lang w:val="en-US" w:eastAsia="zh-CN"/>
                    </w:rPr>
                    <w:t>用于</w:t>
                  </w:r>
                  <w:r>
                    <w:rPr>
                      <w:rFonts w:hint="default" w:ascii="Times New Roman" w:hAnsi="Times New Roman" w:cs="Times New Roman"/>
                      <w:color w:val="auto"/>
                      <w:sz w:val="21"/>
                      <w:szCs w:val="21"/>
                      <w:lang w:val="en-US" w:eastAsia="zh-CN"/>
                    </w:rPr>
                    <w:t>惰性气体充装站</w:t>
                  </w:r>
                  <w:r>
                    <w:rPr>
                      <w:rFonts w:hint="eastAsia" w:ascii="Times New Roman" w:hAnsi="Times New Roman" w:cs="Times New Roman"/>
                      <w:color w:val="auto"/>
                      <w:sz w:val="21"/>
                      <w:szCs w:val="21"/>
                      <w:lang w:val="en-US" w:eastAsia="zh-CN"/>
                    </w:rPr>
                    <w:t>气体充装</w:t>
                  </w:r>
                </w:p>
              </w:tc>
            </w:tr>
            <w:tr w14:paraId="160E5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vMerge w:val="continue"/>
                  <w:tcBorders>
                    <w:tl2br w:val="nil"/>
                    <w:tr2bl w:val="nil"/>
                  </w:tcBorders>
                  <w:noWrap w:val="0"/>
                  <w:vAlign w:val="center"/>
                </w:tcPr>
                <w:p w14:paraId="29E687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p>
              </w:tc>
              <w:tc>
                <w:tcPr>
                  <w:tcW w:w="1067" w:type="dxa"/>
                  <w:gridSpan w:val="2"/>
                  <w:tcBorders>
                    <w:tl2br w:val="nil"/>
                    <w:tr2bl w:val="nil"/>
                  </w:tcBorders>
                  <w:noWrap w:val="0"/>
                  <w:vAlign w:val="center"/>
                </w:tcPr>
                <w:p w14:paraId="2EB78D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高纯液氧</w:t>
                  </w:r>
                </w:p>
              </w:tc>
              <w:tc>
                <w:tcPr>
                  <w:tcW w:w="1151" w:type="dxa"/>
                  <w:tcBorders>
                    <w:tl2br w:val="nil"/>
                    <w:tr2bl w:val="nil"/>
                  </w:tcBorders>
                  <w:noWrap w:val="0"/>
                  <w:vAlign w:val="center"/>
                </w:tcPr>
                <w:p w14:paraId="3EDBA5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0</w:t>
                  </w:r>
                  <w:r>
                    <w:rPr>
                      <w:rFonts w:hint="default" w:ascii="Times New Roman" w:hAnsi="Times New Roman" w:cs="Times New Roman"/>
                      <w:b w:val="0"/>
                      <w:bCs w:val="0"/>
                      <w:i w:val="0"/>
                      <w:iCs/>
                      <w:color w:val="auto"/>
                      <w:sz w:val="21"/>
                      <w:szCs w:val="21"/>
                      <w:highlight w:val="none"/>
                    </w:rPr>
                    <w:t>N</w:t>
                  </w:r>
                  <w:r>
                    <w:rPr>
                      <w:rFonts w:hint="default" w:ascii="Times New Roman" w:hAnsi="Times New Roman" w:cs="Times New Roman"/>
                      <w:b w:val="0"/>
                      <w:bCs w:val="0"/>
                      <w:color w:val="auto"/>
                      <w:sz w:val="21"/>
                      <w:szCs w:val="21"/>
                      <w:highlight w:val="none"/>
                    </w:rPr>
                    <w:t>m</w:t>
                  </w:r>
                  <w:r>
                    <w:rPr>
                      <w:rFonts w:hint="default" w:ascii="Times New Roman" w:hAnsi="Times New Roman" w:cs="Times New Roman"/>
                      <w:b w:val="0"/>
                      <w:bCs w:val="0"/>
                      <w:color w:val="auto"/>
                      <w:sz w:val="21"/>
                      <w:szCs w:val="21"/>
                      <w:highlight w:val="none"/>
                      <w:vertAlign w:val="superscript"/>
                    </w:rPr>
                    <w:t>3</w:t>
                  </w:r>
                  <w:r>
                    <w:rPr>
                      <w:rFonts w:hint="default" w:ascii="Times New Roman" w:hAnsi="Times New Roman" w:cs="Times New Roman"/>
                      <w:b w:val="0"/>
                      <w:bCs w:val="0"/>
                      <w:color w:val="auto"/>
                      <w:sz w:val="21"/>
                      <w:szCs w:val="21"/>
                      <w:highlight w:val="none"/>
                    </w:rPr>
                    <w:t>/h</w:t>
                  </w:r>
                  <w:r>
                    <w:rPr>
                      <w:rFonts w:hint="eastAsia" w:ascii="Times New Roman" w:hAnsi="Times New Roman" w:cs="Times New Roman"/>
                      <w:b w:val="0"/>
                      <w:bCs w:val="0"/>
                      <w:color w:val="auto"/>
                      <w:sz w:val="21"/>
                      <w:szCs w:val="21"/>
                      <w:highlight w:val="none"/>
                      <w:lang w:eastAsia="zh-CN"/>
                    </w:rPr>
                    <w:t>、</w:t>
                  </w:r>
                  <w:r>
                    <w:rPr>
                      <w:rFonts w:hint="eastAsia" w:ascii="Times New Roman" w:hAnsi="Times New Roman" w:eastAsia="宋体" w:cs="Times New Roman"/>
                      <w:color w:val="000000"/>
                      <w:kern w:val="0"/>
                      <w:sz w:val="21"/>
                      <w:szCs w:val="21"/>
                      <w:highlight w:val="none"/>
                      <w:lang w:val="en-US" w:eastAsia="zh-CN" w:bidi="ar-SA"/>
                    </w:rPr>
                    <w:t>2257.2t/a</w:t>
                  </w:r>
                </w:p>
              </w:tc>
              <w:tc>
                <w:tcPr>
                  <w:tcW w:w="1549" w:type="dxa"/>
                  <w:gridSpan w:val="2"/>
                  <w:tcBorders>
                    <w:tl2br w:val="nil"/>
                    <w:tr2bl w:val="nil"/>
                  </w:tcBorders>
                  <w:noWrap w:val="0"/>
                  <w:vAlign w:val="center"/>
                </w:tcPr>
                <w:p w14:paraId="184124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99.999%</w:t>
                  </w:r>
                  <w:r>
                    <w:rPr>
                      <w:rFonts w:hint="default" w:ascii="Times New Roman" w:hAnsi="Times New Roman" w:cs="Times New Roman"/>
                      <w:color w:val="auto"/>
                      <w:sz w:val="21"/>
                      <w:szCs w:val="21"/>
                      <w:lang w:val="en-US" w:eastAsia="zh-CN"/>
                    </w:rPr>
                    <w:t xml:space="preserve"> O</w:t>
                  </w:r>
                  <w:r>
                    <w:rPr>
                      <w:rFonts w:hint="default" w:ascii="Times New Roman" w:hAnsi="Times New Roman" w:cs="Times New Roman"/>
                      <w:color w:val="auto"/>
                      <w:sz w:val="21"/>
                      <w:szCs w:val="21"/>
                      <w:vertAlign w:val="subscript"/>
                      <w:lang w:val="en-US" w:eastAsia="zh-CN"/>
                    </w:rPr>
                    <w:t>2</w:t>
                  </w:r>
                </w:p>
              </w:tc>
              <w:tc>
                <w:tcPr>
                  <w:tcW w:w="1042" w:type="dxa"/>
                  <w:gridSpan w:val="2"/>
                  <w:tcBorders>
                    <w:tl2br w:val="nil"/>
                    <w:tr2bl w:val="nil"/>
                  </w:tcBorders>
                  <w:noWrap w:val="0"/>
                  <w:vAlign w:val="center"/>
                </w:tcPr>
                <w:p w14:paraId="2D1581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0.15</w:t>
                  </w:r>
                </w:p>
              </w:tc>
              <w:tc>
                <w:tcPr>
                  <w:tcW w:w="670" w:type="dxa"/>
                  <w:tcBorders>
                    <w:tl2br w:val="nil"/>
                    <w:tr2bl w:val="nil"/>
                  </w:tcBorders>
                  <w:noWrap w:val="0"/>
                  <w:vAlign w:val="center"/>
                </w:tcPr>
                <w:p w14:paraId="74650D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-180</w:t>
                  </w:r>
                </w:p>
              </w:tc>
              <w:tc>
                <w:tcPr>
                  <w:tcW w:w="2698" w:type="dxa"/>
                  <w:gridSpan w:val="3"/>
                  <w:tcBorders>
                    <w:tl2br w:val="nil"/>
                    <w:tr2bl w:val="nil"/>
                  </w:tcBorders>
                  <w:noWrap w:val="0"/>
                  <w:vAlign w:val="center"/>
                </w:tcPr>
                <w:p w14:paraId="5EB83FD8">
                  <w:pPr>
                    <w:pStyle w:val="15"/>
                    <w:keepNext w:val="0"/>
                    <w:keepLines w:val="0"/>
                    <w:pageBreakBefore w:val="0"/>
                    <w:widowControl w:val="0"/>
                    <w:kinsoku/>
                    <w:wordWrap/>
                    <w:overflowPunct/>
                    <w:topLinePunct w:val="0"/>
                    <w:bidi w:val="0"/>
                    <w:snapToGrid/>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rPr>
                    <w:t>进储罐</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直接外售</w:t>
                  </w:r>
                </w:p>
              </w:tc>
            </w:tr>
            <w:tr w14:paraId="62D29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6" w:type="dxa"/>
                  <w:gridSpan w:val="12"/>
                  <w:tcBorders>
                    <w:tl2br w:val="nil"/>
                    <w:tr2bl w:val="nil"/>
                  </w:tcBorders>
                  <w:noWrap w:val="0"/>
                  <w:vAlign w:val="center"/>
                </w:tcPr>
                <w:p w14:paraId="5092BAE9">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气体</w:t>
                  </w:r>
                  <w:r>
                    <w:rPr>
                      <w:rFonts w:hint="default" w:ascii="Times New Roman" w:hAnsi="Times New Roman" w:eastAsia="宋体" w:cs="Times New Roman"/>
                      <w:sz w:val="21"/>
                      <w:szCs w:val="21"/>
                    </w:rPr>
                    <w:t>充装</w:t>
                  </w:r>
                  <w:r>
                    <w:rPr>
                      <w:rFonts w:hint="eastAsia" w:ascii="Times New Roman" w:hAnsi="Times New Roman" w:eastAsia="宋体" w:cs="Times New Roman"/>
                      <w:sz w:val="21"/>
                      <w:szCs w:val="21"/>
                      <w:lang w:val="en-US" w:eastAsia="zh-CN"/>
                    </w:rPr>
                    <w:t>线</w:t>
                  </w:r>
                </w:p>
              </w:tc>
            </w:tr>
            <w:tr w14:paraId="4561D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gridSpan w:val="2"/>
                  <w:tcBorders>
                    <w:tl2br w:val="nil"/>
                    <w:tr2bl w:val="nil"/>
                  </w:tcBorders>
                  <w:noWrap w:val="0"/>
                  <w:vAlign w:val="center"/>
                </w:tcPr>
                <w:p w14:paraId="06B34309">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序号</w:t>
                  </w:r>
                </w:p>
              </w:tc>
              <w:tc>
                <w:tcPr>
                  <w:tcW w:w="1283" w:type="dxa"/>
                  <w:gridSpan w:val="2"/>
                  <w:tcBorders>
                    <w:tl2br w:val="nil"/>
                    <w:tr2bl w:val="nil"/>
                  </w:tcBorders>
                  <w:noWrap w:val="0"/>
                  <w:vAlign w:val="center"/>
                </w:tcPr>
                <w:p w14:paraId="1F6B784A">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产品</w:t>
                  </w:r>
                </w:p>
              </w:tc>
              <w:tc>
                <w:tcPr>
                  <w:tcW w:w="1073" w:type="dxa"/>
                  <w:tcBorders>
                    <w:tl2br w:val="nil"/>
                    <w:tr2bl w:val="nil"/>
                  </w:tcBorders>
                  <w:noWrap w:val="0"/>
                  <w:vAlign w:val="center"/>
                </w:tcPr>
                <w:p w14:paraId="3655AD53">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最大储存量（t）</w:t>
                  </w:r>
                </w:p>
              </w:tc>
              <w:tc>
                <w:tcPr>
                  <w:tcW w:w="1262" w:type="dxa"/>
                  <w:gridSpan w:val="2"/>
                  <w:tcBorders>
                    <w:tl2br w:val="nil"/>
                    <w:tr2bl w:val="nil"/>
                  </w:tcBorders>
                  <w:noWrap w:val="0"/>
                  <w:vAlign w:val="center"/>
                </w:tcPr>
                <w:p w14:paraId="6D712ED3">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储运形式</w:t>
                  </w:r>
                </w:p>
              </w:tc>
              <w:tc>
                <w:tcPr>
                  <w:tcW w:w="1468" w:type="dxa"/>
                  <w:gridSpan w:val="3"/>
                  <w:tcBorders>
                    <w:tl2br w:val="nil"/>
                    <w:tr2bl w:val="nil"/>
                  </w:tcBorders>
                  <w:noWrap w:val="0"/>
                  <w:vAlign w:val="center"/>
                </w:tcPr>
                <w:p w14:paraId="34C40342">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年分装量</w:t>
                  </w:r>
                </w:p>
              </w:tc>
              <w:tc>
                <w:tcPr>
                  <w:tcW w:w="1144" w:type="dxa"/>
                  <w:tcBorders>
                    <w:tl2br w:val="nil"/>
                    <w:tr2bl w:val="nil"/>
                  </w:tcBorders>
                  <w:noWrap w:val="0"/>
                  <w:vAlign w:val="center"/>
                </w:tcPr>
                <w:p w14:paraId="27D3F136">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年周转</w:t>
                  </w:r>
                </w:p>
                <w:p w14:paraId="6FB3D527">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数量</w:t>
                  </w:r>
                </w:p>
              </w:tc>
              <w:tc>
                <w:tcPr>
                  <w:tcW w:w="1012" w:type="dxa"/>
                  <w:tcBorders>
                    <w:tl2br w:val="nil"/>
                    <w:tr2bl w:val="nil"/>
                  </w:tcBorders>
                  <w:noWrap w:val="0"/>
                  <w:vAlign w:val="center"/>
                </w:tcPr>
                <w:p w14:paraId="6B522026">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年周转量（t/a）</w:t>
                  </w:r>
                </w:p>
              </w:tc>
            </w:tr>
            <w:tr w14:paraId="25483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47FF3DEA">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935" w:type="dxa"/>
                  <w:vMerge w:val="restart"/>
                  <w:tcBorders>
                    <w:tl2br w:val="nil"/>
                    <w:tr2bl w:val="nil"/>
                  </w:tcBorders>
                  <w:noWrap w:val="0"/>
                  <w:vAlign w:val="center"/>
                </w:tcPr>
                <w:p w14:paraId="22FD3840">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氧气充装站</w:t>
                  </w:r>
                </w:p>
              </w:tc>
              <w:tc>
                <w:tcPr>
                  <w:tcW w:w="1283" w:type="dxa"/>
                  <w:gridSpan w:val="2"/>
                  <w:tcBorders>
                    <w:tl2br w:val="nil"/>
                    <w:tr2bl w:val="nil"/>
                  </w:tcBorders>
                  <w:noWrap w:val="0"/>
                  <w:vAlign w:val="center"/>
                </w:tcPr>
                <w:p w14:paraId="382247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工业氧气</w:t>
                  </w:r>
                </w:p>
              </w:tc>
              <w:tc>
                <w:tcPr>
                  <w:tcW w:w="1073" w:type="dxa"/>
                  <w:vMerge w:val="restart"/>
                  <w:tcBorders>
                    <w:tl2br w:val="nil"/>
                    <w:tr2bl w:val="nil"/>
                  </w:tcBorders>
                  <w:noWrap w:val="0"/>
                  <w:vAlign w:val="center"/>
                </w:tcPr>
                <w:p w14:paraId="754AD176">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3545.4</w:t>
                  </w:r>
                </w:p>
              </w:tc>
              <w:tc>
                <w:tcPr>
                  <w:tcW w:w="1262" w:type="dxa"/>
                  <w:gridSpan w:val="2"/>
                  <w:vMerge w:val="restart"/>
                  <w:tcBorders>
                    <w:tl2br w:val="nil"/>
                    <w:tr2bl w:val="nil"/>
                  </w:tcBorders>
                  <w:noWrap w:val="0"/>
                  <w:vAlign w:val="center"/>
                </w:tcPr>
                <w:p w14:paraId="2C1EF5F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sz w:val="21"/>
                      <w:szCs w:val="21"/>
                      <w:lang w:val="en-US" w:eastAsia="zh-CN"/>
                    </w:rPr>
                    <w:t>地上储罐储存、充装</w:t>
                  </w:r>
                  <w:r>
                    <w:rPr>
                      <w:rFonts w:hint="eastAsia"/>
                      <w:sz w:val="21"/>
                      <w:szCs w:val="21"/>
                    </w:rPr>
                    <w:t>销售</w:t>
                  </w:r>
                </w:p>
              </w:tc>
              <w:tc>
                <w:tcPr>
                  <w:tcW w:w="1468" w:type="dxa"/>
                  <w:gridSpan w:val="3"/>
                  <w:tcBorders>
                    <w:tl2br w:val="nil"/>
                    <w:tr2bl w:val="nil"/>
                  </w:tcBorders>
                  <w:noWrap w:val="0"/>
                  <w:vAlign w:val="center"/>
                </w:tcPr>
                <w:p w14:paraId="605570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100万瓶</w:t>
                  </w:r>
                </w:p>
              </w:tc>
              <w:tc>
                <w:tcPr>
                  <w:tcW w:w="1144" w:type="dxa"/>
                  <w:tcBorders>
                    <w:tl2br w:val="nil"/>
                    <w:tr2bl w:val="nil"/>
                  </w:tcBorders>
                  <w:noWrap w:val="0"/>
                  <w:vAlign w:val="center"/>
                </w:tcPr>
                <w:p w14:paraId="17B599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100万瓶</w:t>
                  </w:r>
                </w:p>
              </w:tc>
              <w:tc>
                <w:tcPr>
                  <w:tcW w:w="1012" w:type="dxa"/>
                  <w:tcBorders>
                    <w:tl2br w:val="nil"/>
                    <w:tr2bl w:val="nil"/>
                  </w:tcBorders>
                  <w:noWrap w:val="0"/>
                  <w:vAlign w:val="center"/>
                </w:tcPr>
                <w:p w14:paraId="0715CD6D">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7000</w:t>
                  </w:r>
                </w:p>
              </w:tc>
            </w:tr>
            <w:tr w14:paraId="46A45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1C187C4A">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935" w:type="dxa"/>
                  <w:vMerge w:val="continue"/>
                  <w:tcBorders>
                    <w:tl2br w:val="nil"/>
                    <w:tr2bl w:val="nil"/>
                  </w:tcBorders>
                  <w:noWrap w:val="0"/>
                  <w:vAlign w:val="center"/>
                </w:tcPr>
                <w:p w14:paraId="0D9500D7">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283" w:type="dxa"/>
                  <w:gridSpan w:val="2"/>
                  <w:tcBorders>
                    <w:tl2br w:val="nil"/>
                    <w:tr2bl w:val="nil"/>
                  </w:tcBorders>
                  <w:noWrap w:val="0"/>
                  <w:vAlign w:val="center"/>
                </w:tcPr>
                <w:p w14:paraId="79E141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医用氧气</w:t>
                  </w:r>
                </w:p>
              </w:tc>
              <w:tc>
                <w:tcPr>
                  <w:tcW w:w="1073" w:type="dxa"/>
                  <w:vMerge w:val="continue"/>
                  <w:tcBorders>
                    <w:tl2br w:val="nil"/>
                    <w:tr2bl w:val="nil"/>
                  </w:tcBorders>
                  <w:noWrap w:val="0"/>
                  <w:vAlign w:val="center"/>
                </w:tcPr>
                <w:p w14:paraId="074F3824">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262" w:type="dxa"/>
                  <w:gridSpan w:val="2"/>
                  <w:vMerge w:val="continue"/>
                  <w:tcBorders>
                    <w:tl2br w:val="nil"/>
                    <w:tr2bl w:val="nil"/>
                  </w:tcBorders>
                  <w:noWrap w:val="0"/>
                  <w:vAlign w:val="center"/>
                </w:tcPr>
                <w:p w14:paraId="33F9075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468" w:type="dxa"/>
                  <w:gridSpan w:val="3"/>
                  <w:tcBorders>
                    <w:tl2br w:val="nil"/>
                    <w:tr2bl w:val="nil"/>
                  </w:tcBorders>
                  <w:noWrap w:val="0"/>
                  <w:vAlign w:val="center"/>
                </w:tcPr>
                <w:p w14:paraId="7843DF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20万瓶</w:t>
                  </w:r>
                </w:p>
              </w:tc>
              <w:tc>
                <w:tcPr>
                  <w:tcW w:w="1144" w:type="dxa"/>
                  <w:tcBorders>
                    <w:tl2br w:val="nil"/>
                    <w:tr2bl w:val="nil"/>
                  </w:tcBorders>
                  <w:noWrap w:val="0"/>
                  <w:vAlign w:val="center"/>
                </w:tcPr>
                <w:p w14:paraId="5F0676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20万瓶</w:t>
                  </w:r>
                </w:p>
              </w:tc>
              <w:tc>
                <w:tcPr>
                  <w:tcW w:w="1012" w:type="dxa"/>
                  <w:tcBorders>
                    <w:tl2br w:val="nil"/>
                    <w:tr2bl w:val="nil"/>
                  </w:tcBorders>
                  <w:noWrap w:val="0"/>
                  <w:vAlign w:val="center"/>
                </w:tcPr>
                <w:p w14:paraId="5F7C4991">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1400</w:t>
                  </w:r>
                </w:p>
              </w:tc>
            </w:tr>
            <w:tr w14:paraId="6B82E3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29" w:type="dxa"/>
                  <w:tcBorders>
                    <w:tl2br w:val="nil"/>
                    <w:tr2bl w:val="nil"/>
                  </w:tcBorders>
                  <w:noWrap w:val="0"/>
                  <w:vAlign w:val="center"/>
                </w:tcPr>
                <w:p w14:paraId="6B089426">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935" w:type="dxa"/>
                  <w:vMerge w:val="continue"/>
                  <w:tcBorders>
                    <w:tl2br w:val="nil"/>
                    <w:tr2bl w:val="nil"/>
                  </w:tcBorders>
                  <w:noWrap w:val="0"/>
                  <w:vAlign w:val="center"/>
                </w:tcPr>
                <w:p w14:paraId="4FBF9C86">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283" w:type="dxa"/>
                  <w:gridSpan w:val="2"/>
                  <w:tcBorders>
                    <w:tl2br w:val="nil"/>
                    <w:tr2bl w:val="nil"/>
                  </w:tcBorders>
                  <w:noWrap w:val="0"/>
                  <w:vAlign w:val="center"/>
                </w:tcPr>
                <w:p w14:paraId="520756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液氧</w:t>
                  </w:r>
                </w:p>
              </w:tc>
              <w:tc>
                <w:tcPr>
                  <w:tcW w:w="1073" w:type="dxa"/>
                  <w:vMerge w:val="continue"/>
                  <w:tcBorders>
                    <w:tl2br w:val="nil"/>
                    <w:tr2bl w:val="nil"/>
                  </w:tcBorders>
                  <w:noWrap w:val="0"/>
                  <w:vAlign w:val="center"/>
                </w:tcPr>
                <w:p w14:paraId="7A72034C">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262" w:type="dxa"/>
                  <w:gridSpan w:val="2"/>
                  <w:vMerge w:val="continue"/>
                  <w:tcBorders>
                    <w:tl2br w:val="nil"/>
                    <w:tr2bl w:val="nil"/>
                  </w:tcBorders>
                  <w:noWrap w:val="0"/>
                  <w:vAlign w:val="center"/>
                </w:tcPr>
                <w:p w14:paraId="401E9BE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468" w:type="dxa"/>
                  <w:gridSpan w:val="3"/>
                  <w:tcBorders>
                    <w:tl2br w:val="nil"/>
                    <w:tr2bl w:val="nil"/>
                  </w:tcBorders>
                  <w:noWrap w:val="0"/>
                  <w:vAlign w:val="center"/>
                </w:tcPr>
                <w:p w14:paraId="327F26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2400罐</w:t>
                  </w:r>
                </w:p>
              </w:tc>
              <w:tc>
                <w:tcPr>
                  <w:tcW w:w="1144" w:type="dxa"/>
                  <w:tcBorders>
                    <w:tl2br w:val="nil"/>
                    <w:tr2bl w:val="nil"/>
                  </w:tcBorders>
                  <w:noWrap w:val="0"/>
                  <w:vAlign w:val="center"/>
                </w:tcPr>
                <w:p w14:paraId="64C05D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2400罐</w:t>
                  </w:r>
                </w:p>
              </w:tc>
              <w:tc>
                <w:tcPr>
                  <w:tcW w:w="1012" w:type="dxa"/>
                  <w:tcBorders>
                    <w:tl2br w:val="nil"/>
                    <w:tr2bl w:val="nil"/>
                  </w:tcBorders>
                  <w:noWrap w:val="0"/>
                  <w:vAlign w:val="center"/>
                </w:tcPr>
                <w:p w14:paraId="550FC7D9">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384</w:t>
                  </w:r>
                </w:p>
              </w:tc>
            </w:tr>
            <w:tr w14:paraId="295E9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3438D6C3">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935" w:type="dxa"/>
                  <w:vMerge w:val="restart"/>
                  <w:tcBorders>
                    <w:tl2br w:val="nil"/>
                    <w:tr2bl w:val="nil"/>
                  </w:tcBorders>
                  <w:noWrap w:val="0"/>
                  <w:vAlign w:val="center"/>
                </w:tcPr>
                <w:p w14:paraId="1B7225D1">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惰性气体充装站</w:t>
                  </w:r>
                </w:p>
              </w:tc>
              <w:tc>
                <w:tcPr>
                  <w:tcW w:w="1283" w:type="dxa"/>
                  <w:gridSpan w:val="2"/>
                  <w:tcBorders>
                    <w:tl2br w:val="nil"/>
                    <w:tr2bl w:val="nil"/>
                  </w:tcBorders>
                  <w:noWrap w:val="0"/>
                  <w:vAlign w:val="center"/>
                </w:tcPr>
                <w:p w14:paraId="44D08C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氮气</w:t>
                  </w:r>
                </w:p>
              </w:tc>
              <w:tc>
                <w:tcPr>
                  <w:tcW w:w="1073" w:type="dxa"/>
                  <w:vMerge w:val="restart"/>
                  <w:tcBorders>
                    <w:tl2br w:val="nil"/>
                    <w:tr2bl w:val="nil"/>
                  </w:tcBorders>
                  <w:noWrap w:val="0"/>
                  <w:vAlign w:val="center"/>
                </w:tcPr>
                <w:p w14:paraId="7E993365">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2470.5</w:t>
                  </w:r>
                </w:p>
              </w:tc>
              <w:tc>
                <w:tcPr>
                  <w:tcW w:w="1262" w:type="dxa"/>
                  <w:gridSpan w:val="2"/>
                  <w:vMerge w:val="restart"/>
                  <w:tcBorders>
                    <w:tl2br w:val="nil"/>
                    <w:tr2bl w:val="nil"/>
                  </w:tcBorders>
                  <w:noWrap w:val="0"/>
                  <w:vAlign w:val="center"/>
                </w:tcPr>
                <w:p w14:paraId="1870B82E">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sz w:val="21"/>
                      <w:szCs w:val="21"/>
                      <w:lang w:val="en-US" w:eastAsia="zh-CN"/>
                    </w:rPr>
                    <w:t>地上储罐储存、充装</w:t>
                  </w:r>
                  <w:r>
                    <w:rPr>
                      <w:rFonts w:hint="eastAsia"/>
                      <w:sz w:val="21"/>
                      <w:szCs w:val="21"/>
                    </w:rPr>
                    <w:t>销售</w:t>
                  </w:r>
                </w:p>
              </w:tc>
              <w:tc>
                <w:tcPr>
                  <w:tcW w:w="1468" w:type="dxa"/>
                  <w:gridSpan w:val="3"/>
                  <w:tcBorders>
                    <w:tl2br w:val="nil"/>
                    <w:tr2bl w:val="nil"/>
                  </w:tcBorders>
                  <w:noWrap w:val="0"/>
                  <w:vAlign w:val="center"/>
                </w:tcPr>
                <w:p w14:paraId="7BA8B2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50万瓶</w:t>
                  </w:r>
                </w:p>
              </w:tc>
              <w:tc>
                <w:tcPr>
                  <w:tcW w:w="1144" w:type="dxa"/>
                  <w:tcBorders>
                    <w:tl2br w:val="nil"/>
                    <w:tr2bl w:val="nil"/>
                  </w:tcBorders>
                  <w:noWrap w:val="0"/>
                  <w:vAlign w:val="center"/>
                </w:tcPr>
                <w:p w14:paraId="5C74B3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50万瓶</w:t>
                  </w:r>
                </w:p>
              </w:tc>
              <w:tc>
                <w:tcPr>
                  <w:tcW w:w="1012" w:type="dxa"/>
                  <w:tcBorders>
                    <w:tl2br w:val="nil"/>
                    <w:tr2bl w:val="nil"/>
                  </w:tcBorders>
                  <w:noWrap w:val="0"/>
                  <w:vAlign w:val="center"/>
                </w:tcPr>
                <w:p w14:paraId="0830D553">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3350</w:t>
                  </w:r>
                </w:p>
              </w:tc>
            </w:tr>
            <w:tr w14:paraId="34914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0A1E6CC6">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935" w:type="dxa"/>
                  <w:vMerge w:val="continue"/>
                  <w:tcBorders>
                    <w:tl2br w:val="nil"/>
                    <w:tr2bl w:val="nil"/>
                  </w:tcBorders>
                  <w:noWrap w:val="0"/>
                  <w:vAlign w:val="center"/>
                </w:tcPr>
                <w:p w14:paraId="46DA483D">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283" w:type="dxa"/>
                  <w:gridSpan w:val="2"/>
                  <w:tcBorders>
                    <w:tl2br w:val="nil"/>
                    <w:tr2bl w:val="nil"/>
                  </w:tcBorders>
                  <w:noWrap w:val="0"/>
                  <w:vAlign w:val="center"/>
                </w:tcPr>
                <w:p w14:paraId="49EBDC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液氮</w:t>
                  </w:r>
                </w:p>
              </w:tc>
              <w:tc>
                <w:tcPr>
                  <w:tcW w:w="1073" w:type="dxa"/>
                  <w:vMerge w:val="continue"/>
                  <w:tcBorders>
                    <w:tl2br w:val="nil"/>
                    <w:tr2bl w:val="nil"/>
                  </w:tcBorders>
                  <w:noWrap w:val="0"/>
                  <w:vAlign w:val="center"/>
                </w:tcPr>
                <w:p w14:paraId="1B6458E3">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262" w:type="dxa"/>
                  <w:gridSpan w:val="2"/>
                  <w:vMerge w:val="continue"/>
                  <w:tcBorders>
                    <w:tl2br w:val="nil"/>
                    <w:tr2bl w:val="nil"/>
                  </w:tcBorders>
                  <w:noWrap w:val="0"/>
                  <w:vAlign w:val="center"/>
                </w:tcPr>
                <w:p w14:paraId="03E9709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468" w:type="dxa"/>
                  <w:gridSpan w:val="3"/>
                  <w:tcBorders>
                    <w:tl2br w:val="nil"/>
                    <w:tr2bl w:val="nil"/>
                  </w:tcBorders>
                  <w:noWrap w:val="0"/>
                  <w:vAlign w:val="center"/>
                </w:tcPr>
                <w:p w14:paraId="1FCBA6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960罐</w:t>
                  </w:r>
                </w:p>
              </w:tc>
              <w:tc>
                <w:tcPr>
                  <w:tcW w:w="1144" w:type="dxa"/>
                  <w:tcBorders>
                    <w:tl2br w:val="nil"/>
                    <w:tr2bl w:val="nil"/>
                  </w:tcBorders>
                  <w:noWrap w:val="0"/>
                  <w:vAlign w:val="center"/>
                </w:tcPr>
                <w:p w14:paraId="0AF0BB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960罐</w:t>
                  </w:r>
                </w:p>
              </w:tc>
              <w:tc>
                <w:tcPr>
                  <w:tcW w:w="1012" w:type="dxa"/>
                  <w:tcBorders>
                    <w:tl2br w:val="nil"/>
                    <w:tr2bl w:val="nil"/>
                  </w:tcBorders>
                  <w:noWrap w:val="0"/>
                  <w:vAlign w:val="center"/>
                </w:tcPr>
                <w:p w14:paraId="578B341A">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115.2</w:t>
                  </w:r>
                </w:p>
              </w:tc>
            </w:tr>
            <w:tr w14:paraId="60D5E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6B5A04E3">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935" w:type="dxa"/>
                  <w:vMerge w:val="continue"/>
                  <w:tcBorders>
                    <w:tl2br w:val="nil"/>
                    <w:tr2bl w:val="nil"/>
                  </w:tcBorders>
                  <w:noWrap w:val="0"/>
                  <w:vAlign w:val="center"/>
                </w:tcPr>
                <w:p w14:paraId="6299ECD0">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283" w:type="dxa"/>
                  <w:gridSpan w:val="2"/>
                  <w:tcBorders>
                    <w:tl2br w:val="nil"/>
                    <w:tr2bl w:val="nil"/>
                  </w:tcBorders>
                  <w:noWrap w:val="0"/>
                  <w:vAlign w:val="center"/>
                </w:tcPr>
                <w:p w14:paraId="623F25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氩气</w:t>
                  </w:r>
                </w:p>
              </w:tc>
              <w:tc>
                <w:tcPr>
                  <w:tcW w:w="1073" w:type="dxa"/>
                  <w:vMerge w:val="restart"/>
                  <w:tcBorders>
                    <w:tl2br w:val="nil"/>
                    <w:tr2bl w:val="nil"/>
                  </w:tcBorders>
                  <w:noWrap w:val="0"/>
                  <w:vAlign w:val="center"/>
                </w:tcPr>
                <w:p w14:paraId="29B4359C">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211.5</w:t>
                  </w:r>
                </w:p>
              </w:tc>
              <w:tc>
                <w:tcPr>
                  <w:tcW w:w="1262" w:type="dxa"/>
                  <w:gridSpan w:val="2"/>
                  <w:vMerge w:val="continue"/>
                  <w:tcBorders>
                    <w:tl2br w:val="nil"/>
                    <w:tr2bl w:val="nil"/>
                  </w:tcBorders>
                  <w:noWrap w:val="0"/>
                  <w:vAlign w:val="center"/>
                </w:tcPr>
                <w:p w14:paraId="3859750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468" w:type="dxa"/>
                  <w:gridSpan w:val="3"/>
                  <w:tcBorders>
                    <w:tl2br w:val="nil"/>
                    <w:tr2bl w:val="nil"/>
                  </w:tcBorders>
                  <w:noWrap w:val="0"/>
                  <w:vAlign w:val="center"/>
                </w:tcPr>
                <w:p w14:paraId="043F60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50万瓶</w:t>
                  </w:r>
                </w:p>
              </w:tc>
              <w:tc>
                <w:tcPr>
                  <w:tcW w:w="1144" w:type="dxa"/>
                  <w:tcBorders>
                    <w:tl2br w:val="nil"/>
                    <w:tr2bl w:val="nil"/>
                  </w:tcBorders>
                  <w:noWrap w:val="0"/>
                  <w:vAlign w:val="center"/>
                </w:tcPr>
                <w:p w14:paraId="6F71D2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50万瓶</w:t>
                  </w:r>
                </w:p>
              </w:tc>
              <w:tc>
                <w:tcPr>
                  <w:tcW w:w="1012" w:type="dxa"/>
                  <w:tcBorders>
                    <w:tl2br w:val="nil"/>
                    <w:tr2bl w:val="nil"/>
                  </w:tcBorders>
                  <w:noWrap w:val="0"/>
                  <w:vAlign w:val="center"/>
                </w:tcPr>
                <w:p w14:paraId="3D7AD8FD">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5000</w:t>
                  </w:r>
                </w:p>
              </w:tc>
            </w:tr>
            <w:tr w14:paraId="66433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29" w:type="dxa"/>
                  <w:tcBorders>
                    <w:tl2br w:val="nil"/>
                    <w:tr2bl w:val="nil"/>
                  </w:tcBorders>
                  <w:noWrap w:val="0"/>
                  <w:vAlign w:val="center"/>
                </w:tcPr>
                <w:p w14:paraId="79BB64F7">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935" w:type="dxa"/>
                  <w:vMerge w:val="continue"/>
                  <w:tcBorders>
                    <w:tl2br w:val="nil"/>
                    <w:tr2bl w:val="nil"/>
                  </w:tcBorders>
                  <w:noWrap w:val="0"/>
                  <w:vAlign w:val="center"/>
                </w:tcPr>
                <w:p w14:paraId="624EFC8B">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283" w:type="dxa"/>
                  <w:gridSpan w:val="2"/>
                  <w:tcBorders>
                    <w:tl2br w:val="nil"/>
                    <w:tr2bl w:val="nil"/>
                  </w:tcBorders>
                  <w:noWrap w:val="0"/>
                  <w:vAlign w:val="center"/>
                </w:tcPr>
                <w:p w14:paraId="4F824E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液氩</w:t>
                  </w:r>
                </w:p>
              </w:tc>
              <w:tc>
                <w:tcPr>
                  <w:tcW w:w="1073" w:type="dxa"/>
                  <w:vMerge w:val="continue"/>
                  <w:tcBorders>
                    <w:tl2br w:val="nil"/>
                    <w:tr2bl w:val="nil"/>
                  </w:tcBorders>
                  <w:noWrap w:val="0"/>
                  <w:vAlign w:val="center"/>
                </w:tcPr>
                <w:p w14:paraId="6A4E8971">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262" w:type="dxa"/>
                  <w:gridSpan w:val="2"/>
                  <w:vMerge w:val="continue"/>
                  <w:tcBorders>
                    <w:tl2br w:val="nil"/>
                    <w:tr2bl w:val="nil"/>
                  </w:tcBorders>
                  <w:noWrap w:val="0"/>
                  <w:vAlign w:val="center"/>
                </w:tcPr>
                <w:p w14:paraId="18DE536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468" w:type="dxa"/>
                  <w:gridSpan w:val="3"/>
                  <w:tcBorders>
                    <w:tl2br w:val="nil"/>
                    <w:tr2bl w:val="nil"/>
                  </w:tcBorders>
                  <w:noWrap w:val="0"/>
                  <w:vAlign w:val="center"/>
                </w:tcPr>
                <w:p w14:paraId="0AB5BA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1800罐</w:t>
                  </w:r>
                </w:p>
              </w:tc>
              <w:tc>
                <w:tcPr>
                  <w:tcW w:w="1144" w:type="dxa"/>
                  <w:tcBorders>
                    <w:tl2br w:val="nil"/>
                    <w:tr2bl w:val="nil"/>
                  </w:tcBorders>
                  <w:noWrap w:val="0"/>
                  <w:vAlign w:val="center"/>
                </w:tcPr>
                <w:p w14:paraId="1DE61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1800罐</w:t>
                  </w:r>
                </w:p>
              </w:tc>
              <w:tc>
                <w:tcPr>
                  <w:tcW w:w="1012" w:type="dxa"/>
                  <w:tcBorders>
                    <w:tl2br w:val="nil"/>
                    <w:tr2bl w:val="nil"/>
                  </w:tcBorders>
                  <w:noWrap w:val="0"/>
                  <w:vAlign w:val="center"/>
                </w:tcPr>
                <w:p w14:paraId="1FDA2C83">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324</w:t>
                  </w:r>
                </w:p>
              </w:tc>
            </w:tr>
            <w:tr w14:paraId="6410E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4F10F9A6">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935" w:type="dxa"/>
                  <w:vMerge w:val="continue"/>
                  <w:tcBorders>
                    <w:tl2br w:val="nil"/>
                    <w:tr2bl w:val="nil"/>
                  </w:tcBorders>
                  <w:noWrap w:val="0"/>
                  <w:vAlign w:val="center"/>
                </w:tcPr>
                <w:p w14:paraId="061FB675">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283" w:type="dxa"/>
                  <w:gridSpan w:val="2"/>
                  <w:tcBorders>
                    <w:tl2br w:val="nil"/>
                    <w:tr2bl w:val="nil"/>
                  </w:tcBorders>
                  <w:noWrap w:val="0"/>
                  <w:vAlign w:val="center"/>
                </w:tcPr>
                <w:p w14:paraId="6186E1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二氧化碳</w:t>
                  </w:r>
                </w:p>
              </w:tc>
              <w:tc>
                <w:tcPr>
                  <w:tcW w:w="1073" w:type="dxa"/>
                  <w:tcBorders>
                    <w:tl2br w:val="nil"/>
                    <w:tr2bl w:val="nil"/>
                  </w:tcBorders>
                  <w:noWrap w:val="0"/>
                  <w:vAlign w:val="center"/>
                </w:tcPr>
                <w:p w14:paraId="279A4E0D">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55.1</w:t>
                  </w:r>
                </w:p>
              </w:tc>
              <w:tc>
                <w:tcPr>
                  <w:tcW w:w="1262" w:type="dxa"/>
                  <w:gridSpan w:val="2"/>
                  <w:vMerge w:val="continue"/>
                  <w:tcBorders>
                    <w:tl2br w:val="nil"/>
                    <w:tr2bl w:val="nil"/>
                  </w:tcBorders>
                  <w:noWrap w:val="0"/>
                  <w:vAlign w:val="center"/>
                </w:tcPr>
                <w:p w14:paraId="53505E0C">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468" w:type="dxa"/>
                  <w:gridSpan w:val="3"/>
                  <w:tcBorders>
                    <w:tl2br w:val="nil"/>
                    <w:tr2bl w:val="nil"/>
                  </w:tcBorders>
                  <w:noWrap w:val="0"/>
                  <w:vAlign w:val="center"/>
                </w:tcPr>
                <w:p w14:paraId="4DACB4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50万瓶</w:t>
                  </w:r>
                </w:p>
              </w:tc>
              <w:tc>
                <w:tcPr>
                  <w:tcW w:w="1144" w:type="dxa"/>
                  <w:tcBorders>
                    <w:tl2br w:val="nil"/>
                    <w:tr2bl w:val="nil"/>
                  </w:tcBorders>
                  <w:noWrap w:val="0"/>
                  <w:vAlign w:val="center"/>
                </w:tcPr>
                <w:p w14:paraId="4CC196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50万瓶</w:t>
                  </w:r>
                </w:p>
              </w:tc>
              <w:tc>
                <w:tcPr>
                  <w:tcW w:w="1012" w:type="dxa"/>
                  <w:tcBorders>
                    <w:tl2br w:val="nil"/>
                    <w:tr2bl w:val="nil"/>
                  </w:tcBorders>
                  <w:noWrap w:val="0"/>
                  <w:vAlign w:val="center"/>
                </w:tcPr>
                <w:p w14:paraId="41AD26F4">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12000</w:t>
                  </w:r>
                </w:p>
              </w:tc>
            </w:tr>
            <w:tr w14:paraId="473D9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6798B779">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935" w:type="dxa"/>
                  <w:vMerge w:val="continue"/>
                  <w:tcBorders>
                    <w:tl2br w:val="nil"/>
                    <w:tr2bl w:val="nil"/>
                  </w:tcBorders>
                  <w:noWrap w:val="0"/>
                  <w:vAlign w:val="center"/>
                </w:tcPr>
                <w:p w14:paraId="75FD6244">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283" w:type="dxa"/>
                  <w:gridSpan w:val="2"/>
                  <w:tcBorders>
                    <w:tl2br w:val="nil"/>
                    <w:tr2bl w:val="nil"/>
                  </w:tcBorders>
                  <w:noWrap w:val="0"/>
                  <w:vAlign w:val="center"/>
                </w:tcPr>
                <w:p w14:paraId="55EBE5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混合气体</w:t>
                  </w:r>
                </w:p>
              </w:tc>
              <w:tc>
                <w:tcPr>
                  <w:tcW w:w="1073" w:type="dxa"/>
                  <w:tcBorders>
                    <w:tl2br w:val="nil"/>
                    <w:tr2bl w:val="nil"/>
                  </w:tcBorders>
                  <w:noWrap w:val="0"/>
                  <w:vAlign w:val="center"/>
                </w:tcPr>
                <w:p w14:paraId="2DE35B18">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262" w:type="dxa"/>
                  <w:gridSpan w:val="2"/>
                  <w:vMerge w:val="continue"/>
                  <w:tcBorders>
                    <w:tl2br w:val="nil"/>
                    <w:tr2bl w:val="nil"/>
                  </w:tcBorders>
                  <w:noWrap w:val="0"/>
                  <w:vAlign w:val="center"/>
                </w:tcPr>
                <w:p w14:paraId="242AED22">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468" w:type="dxa"/>
                  <w:gridSpan w:val="3"/>
                  <w:tcBorders>
                    <w:tl2br w:val="nil"/>
                    <w:tr2bl w:val="nil"/>
                  </w:tcBorders>
                  <w:noWrap w:val="0"/>
                  <w:vAlign w:val="center"/>
                </w:tcPr>
                <w:p w14:paraId="345C97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50万瓶</w:t>
                  </w:r>
                </w:p>
              </w:tc>
              <w:tc>
                <w:tcPr>
                  <w:tcW w:w="1144" w:type="dxa"/>
                  <w:tcBorders>
                    <w:tl2br w:val="nil"/>
                    <w:tr2bl w:val="nil"/>
                  </w:tcBorders>
                  <w:noWrap w:val="0"/>
                  <w:vAlign w:val="center"/>
                </w:tcPr>
                <w:p w14:paraId="4DF268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50万瓶</w:t>
                  </w:r>
                </w:p>
              </w:tc>
              <w:tc>
                <w:tcPr>
                  <w:tcW w:w="1012" w:type="dxa"/>
                  <w:tcBorders>
                    <w:tl2br w:val="nil"/>
                    <w:tr2bl w:val="nil"/>
                  </w:tcBorders>
                  <w:noWrap w:val="0"/>
                  <w:vAlign w:val="center"/>
                </w:tcPr>
                <w:p w14:paraId="12D46D23">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5000</w:t>
                  </w:r>
                </w:p>
              </w:tc>
            </w:tr>
            <w:tr w14:paraId="11FDC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20531322">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935" w:type="dxa"/>
                  <w:vMerge w:val="restart"/>
                  <w:tcBorders>
                    <w:tl2br w:val="nil"/>
                    <w:tr2bl w:val="nil"/>
                  </w:tcBorders>
                  <w:noWrap w:val="0"/>
                  <w:vAlign w:val="center"/>
                </w:tcPr>
                <w:p w14:paraId="1157F2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丙烷、液化石油气充装站</w:t>
                  </w:r>
                </w:p>
              </w:tc>
              <w:tc>
                <w:tcPr>
                  <w:tcW w:w="1283" w:type="dxa"/>
                  <w:gridSpan w:val="2"/>
                  <w:tcBorders>
                    <w:tl2br w:val="nil"/>
                    <w:tr2bl w:val="nil"/>
                  </w:tcBorders>
                  <w:noWrap w:val="0"/>
                  <w:vAlign w:val="center"/>
                </w:tcPr>
                <w:p w14:paraId="50A9BE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rPr>
                    <w:t>丙烷</w:t>
                  </w:r>
                </w:p>
              </w:tc>
              <w:tc>
                <w:tcPr>
                  <w:tcW w:w="1073" w:type="dxa"/>
                  <w:tcBorders>
                    <w:tl2br w:val="nil"/>
                    <w:tr2bl w:val="nil"/>
                  </w:tcBorders>
                  <w:noWrap w:val="0"/>
                  <w:vAlign w:val="center"/>
                </w:tcPr>
                <w:p w14:paraId="29E9F8BB">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58</w:t>
                  </w:r>
                </w:p>
              </w:tc>
              <w:tc>
                <w:tcPr>
                  <w:tcW w:w="1262" w:type="dxa"/>
                  <w:gridSpan w:val="2"/>
                  <w:vMerge w:val="restart"/>
                  <w:tcBorders>
                    <w:tl2br w:val="nil"/>
                    <w:tr2bl w:val="nil"/>
                  </w:tcBorders>
                  <w:noWrap w:val="0"/>
                  <w:vAlign w:val="center"/>
                </w:tcPr>
                <w:p w14:paraId="6B525A3A">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sz w:val="21"/>
                      <w:szCs w:val="21"/>
                    </w:rPr>
                    <w:t>埋地罐区储存</w:t>
                  </w:r>
                  <w:r>
                    <w:rPr>
                      <w:rFonts w:hint="eastAsia"/>
                      <w:sz w:val="21"/>
                      <w:szCs w:val="21"/>
                      <w:lang w:eastAsia="zh-CN"/>
                    </w:rPr>
                    <w:t>、</w:t>
                  </w:r>
                  <w:r>
                    <w:rPr>
                      <w:rFonts w:hint="eastAsia"/>
                      <w:sz w:val="21"/>
                      <w:szCs w:val="21"/>
                      <w:lang w:val="en-US" w:eastAsia="zh-CN"/>
                    </w:rPr>
                    <w:t>充</w:t>
                  </w:r>
                  <w:r>
                    <w:rPr>
                      <w:rFonts w:hint="eastAsia"/>
                      <w:sz w:val="21"/>
                      <w:szCs w:val="21"/>
                    </w:rPr>
                    <w:t>装销售</w:t>
                  </w:r>
                </w:p>
              </w:tc>
              <w:tc>
                <w:tcPr>
                  <w:tcW w:w="1468" w:type="dxa"/>
                  <w:gridSpan w:val="3"/>
                  <w:tcBorders>
                    <w:tl2br w:val="nil"/>
                    <w:tr2bl w:val="nil"/>
                  </w:tcBorders>
                  <w:noWrap w:val="0"/>
                  <w:vAlign w:val="center"/>
                </w:tcPr>
                <w:p w14:paraId="1A0FCB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50万瓶</w:t>
                  </w:r>
                </w:p>
              </w:tc>
              <w:tc>
                <w:tcPr>
                  <w:tcW w:w="1144" w:type="dxa"/>
                  <w:tcBorders>
                    <w:tl2br w:val="nil"/>
                    <w:tr2bl w:val="nil"/>
                  </w:tcBorders>
                  <w:noWrap w:val="0"/>
                  <w:vAlign w:val="center"/>
                </w:tcPr>
                <w:p w14:paraId="2C8B7F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50万瓶</w:t>
                  </w:r>
                </w:p>
              </w:tc>
              <w:tc>
                <w:tcPr>
                  <w:tcW w:w="1012" w:type="dxa"/>
                  <w:tcBorders>
                    <w:tl2br w:val="nil"/>
                    <w:tr2bl w:val="nil"/>
                  </w:tcBorders>
                  <w:noWrap w:val="0"/>
                  <w:vAlign w:val="center"/>
                </w:tcPr>
                <w:p w14:paraId="133AE720">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7500</w:t>
                  </w:r>
                </w:p>
              </w:tc>
            </w:tr>
            <w:tr w14:paraId="76E2C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5BC7DFB8">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935" w:type="dxa"/>
                  <w:vMerge w:val="continue"/>
                  <w:tcBorders>
                    <w:tl2br w:val="nil"/>
                    <w:tr2bl w:val="nil"/>
                  </w:tcBorders>
                  <w:noWrap w:val="0"/>
                  <w:vAlign w:val="center"/>
                </w:tcPr>
                <w:p w14:paraId="1C9BEA90">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283" w:type="dxa"/>
                  <w:gridSpan w:val="2"/>
                  <w:tcBorders>
                    <w:tl2br w:val="nil"/>
                    <w:tr2bl w:val="nil"/>
                  </w:tcBorders>
                  <w:noWrap w:val="0"/>
                  <w:vAlign w:val="center"/>
                </w:tcPr>
                <w:p w14:paraId="5B0E86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液化石油气</w:t>
                  </w:r>
                </w:p>
              </w:tc>
              <w:tc>
                <w:tcPr>
                  <w:tcW w:w="1073" w:type="dxa"/>
                  <w:tcBorders>
                    <w:tl2br w:val="nil"/>
                    <w:tr2bl w:val="nil"/>
                  </w:tcBorders>
                  <w:noWrap w:val="0"/>
                  <w:vAlign w:val="center"/>
                </w:tcPr>
                <w:p w14:paraId="4975E1C8">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58</w:t>
                  </w:r>
                </w:p>
              </w:tc>
              <w:tc>
                <w:tcPr>
                  <w:tcW w:w="1262" w:type="dxa"/>
                  <w:gridSpan w:val="2"/>
                  <w:vMerge w:val="continue"/>
                  <w:tcBorders>
                    <w:tl2br w:val="nil"/>
                    <w:tr2bl w:val="nil"/>
                  </w:tcBorders>
                  <w:noWrap w:val="0"/>
                  <w:vAlign w:val="center"/>
                </w:tcPr>
                <w:p w14:paraId="501C3BE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468" w:type="dxa"/>
                  <w:gridSpan w:val="3"/>
                  <w:tcBorders>
                    <w:tl2br w:val="nil"/>
                    <w:tr2bl w:val="nil"/>
                  </w:tcBorders>
                  <w:noWrap w:val="0"/>
                  <w:vAlign w:val="center"/>
                </w:tcPr>
                <w:p w14:paraId="02040D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50万瓶</w:t>
                  </w:r>
                </w:p>
              </w:tc>
              <w:tc>
                <w:tcPr>
                  <w:tcW w:w="1144" w:type="dxa"/>
                  <w:tcBorders>
                    <w:tl2br w:val="nil"/>
                    <w:tr2bl w:val="nil"/>
                  </w:tcBorders>
                  <w:noWrap w:val="0"/>
                  <w:vAlign w:val="center"/>
                </w:tcPr>
                <w:p w14:paraId="08848784">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50万瓶</w:t>
                  </w:r>
                </w:p>
              </w:tc>
              <w:tc>
                <w:tcPr>
                  <w:tcW w:w="1012" w:type="dxa"/>
                  <w:tcBorders>
                    <w:tl2br w:val="nil"/>
                    <w:tr2bl w:val="nil"/>
                  </w:tcBorders>
                  <w:noWrap w:val="0"/>
                  <w:vAlign w:val="center"/>
                </w:tcPr>
                <w:p w14:paraId="6184F9F1">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color w:val="auto"/>
                      <w:sz w:val="21"/>
                      <w:szCs w:val="21"/>
                      <w:lang w:val="en-US" w:eastAsia="zh-CN"/>
                    </w:rPr>
                    <w:t>7500</w:t>
                  </w:r>
                </w:p>
              </w:tc>
            </w:tr>
            <w:tr w14:paraId="0E6CB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0" w:type="dxa"/>
                  <w:gridSpan w:val="5"/>
                  <w:tcBorders>
                    <w:tl2br w:val="nil"/>
                    <w:tr2bl w:val="nil"/>
                  </w:tcBorders>
                  <w:noWrap w:val="0"/>
                  <w:vAlign w:val="center"/>
                </w:tcPr>
                <w:p w14:paraId="1C70F81C">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合计</w:t>
                  </w:r>
                </w:p>
              </w:tc>
              <w:tc>
                <w:tcPr>
                  <w:tcW w:w="2730" w:type="dxa"/>
                  <w:gridSpan w:val="5"/>
                  <w:tcBorders>
                    <w:tl2br w:val="nil"/>
                    <w:tr2bl w:val="nil"/>
                  </w:tcBorders>
                  <w:noWrap w:val="0"/>
                  <w:vAlign w:val="center"/>
                </w:tcPr>
                <w:p w14:paraId="77485A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420万瓶、5160罐</w:t>
                  </w:r>
                </w:p>
              </w:tc>
              <w:tc>
                <w:tcPr>
                  <w:tcW w:w="1144" w:type="dxa"/>
                  <w:tcBorders>
                    <w:tl2br w:val="nil"/>
                    <w:tr2bl w:val="nil"/>
                  </w:tcBorders>
                  <w:noWrap w:val="0"/>
                  <w:vAlign w:val="center"/>
                </w:tcPr>
                <w:p w14:paraId="5B7AFBBE">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cs="Times New Roman"/>
                      <w:color w:val="auto"/>
                      <w:sz w:val="21"/>
                      <w:szCs w:val="21"/>
                      <w:lang w:val="en-US" w:eastAsia="zh-CN"/>
                    </w:rPr>
                    <w:t>420万瓶、5160罐</w:t>
                  </w:r>
                </w:p>
              </w:tc>
              <w:tc>
                <w:tcPr>
                  <w:tcW w:w="1012" w:type="dxa"/>
                  <w:tcBorders>
                    <w:tl2br w:val="nil"/>
                    <w:tr2bl w:val="nil"/>
                  </w:tcBorders>
                  <w:noWrap w:val="0"/>
                  <w:vAlign w:val="center"/>
                </w:tcPr>
                <w:p w14:paraId="1C50A24E">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49573.2</w:t>
                  </w:r>
                </w:p>
              </w:tc>
            </w:tr>
            <w:tr w14:paraId="3ABB2D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06" w:type="dxa"/>
                  <w:gridSpan w:val="12"/>
                  <w:tcBorders>
                    <w:tl2br w:val="nil"/>
                    <w:tr2bl w:val="nil"/>
                  </w:tcBorders>
                  <w:noWrap w:val="0"/>
                  <w:vAlign w:val="center"/>
                </w:tcPr>
                <w:p w14:paraId="5ACFF8CE">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外购气瓶直接销售</w:t>
                  </w:r>
                </w:p>
              </w:tc>
            </w:tr>
            <w:tr w14:paraId="1842B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0D4B50E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12</w:t>
                  </w:r>
                </w:p>
              </w:tc>
              <w:tc>
                <w:tcPr>
                  <w:tcW w:w="935" w:type="dxa"/>
                  <w:vMerge w:val="restart"/>
                  <w:tcBorders>
                    <w:tl2br w:val="nil"/>
                    <w:tr2bl w:val="nil"/>
                  </w:tcBorders>
                  <w:noWrap w:val="0"/>
                  <w:vAlign w:val="center"/>
                </w:tcPr>
                <w:p w14:paraId="2BDD056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甲类仓库</w:t>
                  </w:r>
                </w:p>
              </w:tc>
              <w:tc>
                <w:tcPr>
                  <w:tcW w:w="1283" w:type="dxa"/>
                  <w:gridSpan w:val="2"/>
                  <w:tcBorders>
                    <w:tl2br w:val="nil"/>
                    <w:tr2bl w:val="nil"/>
                  </w:tcBorders>
                  <w:shd w:val="clear" w:color="auto" w:fill="auto"/>
                  <w:noWrap w:val="0"/>
                  <w:vAlign w:val="center"/>
                </w:tcPr>
                <w:p w14:paraId="20214BB1">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丙烷</w:t>
                  </w:r>
                </w:p>
              </w:tc>
              <w:tc>
                <w:tcPr>
                  <w:tcW w:w="1073" w:type="dxa"/>
                  <w:tcBorders>
                    <w:tl2br w:val="nil"/>
                    <w:tr2bl w:val="nil"/>
                  </w:tcBorders>
                  <w:noWrap w:val="0"/>
                  <w:vAlign w:val="center"/>
                </w:tcPr>
                <w:p w14:paraId="6CEA917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100瓶（1.2t）</w:t>
                  </w:r>
                </w:p>
              </w:tc>
              <w:tc>
                <w:tcPr>
                  <w:tcW w:w="1262" w:type="dxa"/>
                  <w:gridSpan w:val="2"/>
                  <w:tcBorders>
                    <w:tl2br w:val="nil"/>
                    <w:tr2bl w:val="nil"/>
                  </w:tcBorders>
                  <w:noWrap w:val="0"/>
                  <w:vAlign w:val="center"/>
                </w:tcPr>
                <w:p w14:paraId="42854A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气瓶储存</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直接销售</w:t>
                  </w:r>
                </w:p>
              </w:tc>
              <w:tc>
                <w:tcPr>
                  <w:tcW w:w="1468" w:type="dxa"/>
                  <w:gridSpan w:val="3"/>
                  <w:tcBorders>
                    <w:tl2br w:val="nil"/>
                    <w:tr2bl w:val="nil"/>
                  </w:tcBorders>
                  <w:noWrap w:val="0"/>
                  <w:vAlign w:val="center"/>
                </w:tcPr>
                <w:p w14:paraId="412EF7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144" w:type="dxa"/>
                  <w:tcBorders>
                    <w:tl2br w:val="nil"/>
                    <w:tr2bl w:val="nil"/>
                  </w:tcBorders>
                  <w:noWrap w:val="0"/>
                  <w:vAlign w:val="center"/>
                </w:tcPr>
                <w:p w14:paraId="055B079C">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万瓶</w:t>
                  </w:r>
                </w:p>
              </w:tc>
              <w:tc>
                <w:tcPr>
                  <w:tcW w:w="1012" w:type="dxa"/>
                  <w:tcBorders>
                    <w:tl2br w:val="nil"/>
                    <w:tr2bl w:val="nil"/>
                  </w:tcBorders>
                  <w:noWrap w:val="0"/>
                  <w:vAlign w:val="center"/>
                </w:tcPr>
                <w:p w14:paraId="362BFC67">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240</w:t>
                  </w:r>
                </w:p>
              </w:tc>
            </w:tr>
            <w:tr w14:paraId="6F0B0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3CC29A1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13</w:t>
                  </w:r>
                </w:p>
              </w:tc>
              <w:tc>
                <w:tcPr>
                  <w:tcW w:w="935" w:type="dxa"/>
                  <w:vMerge w:val="continue"/>
                  <w:tcBorders>
                    <w:tl2br w:val="nil"/>
                    <w:tr2bl w:val="nil"/>
                  </w:tcBorders>
                  <w:noWrap w:val="0"/>
                  <w:vAlign w:val="center"/>
                </w:tcPr>
                <w:p w14:paraId="7E4057B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cs="Times New Roman"/>
                      <w:sz w:val="21"/>
                      <w:szCs w:val="21"/>
                      <w:lang w:val="en-US" w:eastAsia="zh-CN"/>
                    </w:rPr>
                  </w:pPr>
                </w:p>
              </w:tc>
              <w:tc>
                <w:tcPr>
                  <w:tcW w:w="1283" w:type="dxa"/>
                  <w:gridSpan w:val="2"/>
                  <w:tcBorders>
                    <w:tl2br w:val="nil"/>
                    <w:tr2bl w:val="nil"/>
                  </w:tcBorders>
                  <w:shd w:val="clear" w:color="auto" w:fill="auto"/>
                  <w:noWrap w:val="0"/>
                  <w:vAlign w:val="center"/>
                </w:tcPr>
                <w:p w14:paraId="4B6680B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乙炔</w:t>
                  </w:r>
                </w:p>
              </w:tc>
              <w:tc>
                <w:tcPr>
                  <w:tcW w:w="1073" w:type="dxa"/>
                  <w:tcBorders>
                    <w:tl2br w:val="nil"/>
                    <w:tr2bl w:val="nil"/>
                  </w:tcBorders>
                  <w:noWrap w:val="0"/>
                  <w:vAlign w:val="center"/>
                </w:tcPr>
                <w:p w14:paraId="51E0591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160瓶</w:t>
                  </w:r>
                </w:p>
                <w:p w14:paraId="1399CB4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sz w:val="21"/>
                      <w:szCs w:val="21"/>
                      <w:lang w:val="en-US" w:eastAsia="zh-CN"/>
                    </w:rPr>
                  </w:pPr>
                  <w:r>
                    <w:rPr>
                      <w:rFonts w:hint="eastAsia" w:cs="Times New Roman"/>
                      <w:sz w:val="21"/>
                      <w:szCs w:val="21"/>
                      <w:lang w:val="en-US" w:eastAsia="zh-CN"/>
                    </w:rPr>
                    <w:t>（0.8t）</w:t>
                  </w:r>
                </w:p>
              </w:tc>
              <w:tc>
                <w:tcPr>
                  <w:tcW w:w="1262" w:type="dxa"/>
                  <w:gridSpan w:val="2"/>
                  <w:tcBorders>
                    <w:tl2br w:val="nil"/>
                    <w:tr2bl w:val="nil"/>
                  </w:tcBorders>
                  <w:noWrap w:val="0"/>
                  <w:vAlign w:val="center"/>
                </w:tcPr>
                <w:p w14:paraId="399166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气瓶储存</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直接销售</w:t>
                  </w:r>
                </w:p>
              </w:tc>
              <w:tc>
                <w:tcPr>
                  <w:tcW w:w="1468" w:type="dxa"/>
                  <w:gridSpan w:val="3"/>
                  <w:tcBorders>
                    <w:tl2br w:val="nil"/>
                    <w:tr2bl w:val="nil"/>
                  </w:tcBorders>
                  <w:noWrap w:val="0"/>
                  <w:vAlign w:val="center"/>
                </w:tcPr>
                <w:p w14:paraId="389834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1144" w:type="dxa"/>
                  <w:tcBorders>
                    <w:tl2br w:val="nil"/>
                    <w:tr2bl w:val="nil"/>
                  </w:tcBorders>
                  <w:noWrap w:val="0"/>
                  <w:vAlign w:val="center"/>
                </w:tcPr>
                <w:p w14:paraId="24D3A34E">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万瓶</w:t>
                  </w:r>
                </w:p>
              </w:tc>
              <w:tc>
                <w:tcPr>
                  <w:tcW w:w="1012" w:type="dxa"/>
                  <w:tcBorders>
                    <w:tl2br w:val="nil"/>
                    <w:tr2bl w:val="nil"/>
                  </w:tcBorders>
                  <w:noWrap w:val="0"/>
                  <w:vAlign w:val="center"/>
                </w:tcPr>
                <w:p w14:paraId="63A305DD">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150</w:t>
                  </w:r>
                </w:p>
              </w:tc>
            </w:tr>
            <w:tr w14:paraId="145A1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75F77A75">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序号</w:t>
                  </w:r>
                </w:p>
              </w:tc>
              <w:tc>
                <w:tcPr>
                  <w:tcW w:w="2218" w:type="dxa"/>
                  <w:gridSpan w:val="3"/>
                  <w:tcBorders>
                    <w:tl2br w:val="nil"/>
                    <w:tr2bl w:val="nil"/>
                  </w:tcBorders>
                  <w:noWrap w:val="0"/>
                  <w:vAlign w:val="center"/>
                </w:tcPr>
                <w:p w14:paraId="23CC55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sz w:val="21"/>
                      <w:szCs w:val="21"/>
                      <w:lang w:val="en-US" w:eastAsia="zh-CN"/>
                    </w:rPr>
                    <w:t>产品</w:t>
                  </w:r>
                </w:p>
              </w:tc>
              <w:tc>
                <w:tcPr>
                  <w:tcW w:w="2335" w:type="dxa"/>
                  <w:gridSpan w:val="3"/>
                  <w:tcBorders>
                    <w:tl2br w:val="nil"/>
                    <w:tr2bl w:val="nil"/>
                  </w:tcBorders>
                  <w:noWrap w:val="0"/>
                  <w:vAlign w:val="center"/>
                </w:tcPr>
                <w:p w14:paraId="58F5C5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充装气瓶规格</w:t>
                  </w:r>
                </w:p>
              </w:tc>
              <w:tc>
                <w:tcPr>
                  <w:tcW w:w="1468" w:type="dxa"/>
                  <w:gridSpan w:val="3"/>
                  <w:tcBorders>
                    <w:tl2br w:val="nil"/>
                    <w:tr2bl w:val="nil"/>
                  </w:tcBorders>
                  <w:noWrap w:val="0"/>
                  <w:vAlign w:val="center"/>
                </w:tcPr>
                <w:p w14:paraId="058B47FE">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color w:val="auto"/>
                      <w:sz w:val="21"/>
                      <w:szCs w:val="21"/>
                      <w:lang w:val="en-US" w:eastAsia="zh-CN"/>
                    </w:rPr>
                    <w:t>产品质量标准</w:t>
                  </w:r>
                </w:p>
              </w:tc>
              <w:tc>
                <w:tcPr>
                  <w:tcW w:w="1144" w:type="dxa"/>
                  <w:tcBorders>
                    <w:tl2br w:val="nil"/>
                    <w:tr2bl w:val="nil"/>
                  </w:tcBorders>
                  <w:noWrap w:val="0"/>
                  <w:vAlign w:val="center"/>
                </w:tcPr>
                <w:p w14:paraId="007C7E4D">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储存密度</w:t>
                  </w:r>
                </w:p>
              </w:tc>
              <w:tc>
                <w:tcPr>
                  <w:tcW w:w="1012" w:type="dxa"/>
                  <w:tcBorders>
                    <w:tl2br w:val="nil"/>
                    <w:tr2bl w:val="nil"/>
                  </w:tcBorders>
                  <w:noWrap w:val="0"/>
                  <w:vAlign w:val="center"/>
                </w:tcPr>
                <w:p w14:paraId="49E6FF88">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单瓶重量（kg）</w:t>
                  </w:r>
                </w:p>
              </w:tc>
            </w:tr>
            <w:tr w14:paraId="7FAF1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0EEDC29A">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1</w:t>
                  </w:r>
                </w:p>
              </w:tc>
              <w:tc>
                <w:tcPr>
                  <w:tcW w:w="935" w:type="dxa"/>
                  <w:vMerge w:val="restart"/>
                  <w:tcBorders>
                    <w:tl2br w:val="nil"/>
                    <w:tr2bl w:val="nil"/>
                  </w:tcBorders>
                  <w:noWrap w:val="0"/>
                  <w:vAlign w:val="center"/>
                </w:tcPr>
                <w:p w14:paraId="1D7AE6D1">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auto"/>
                      <w:sz w:val="21"/>
                      <w:szCs w:val="21"/>
                      <w:lang w:val="en-US" w:eastAsia="zh-CN"/>
                    </w:rPr>
                    <w:t>氧气充装站</w:t>
                  </w:r>
                </w:p>
              </w:tc>
              <w:tc>
                <w:tcPr>
                  <w:tcW w:w="1283" w:type="dxa"/>
                  <w:gridSpan w:val="2"/>
                  <w:tcBorders>
                    <w:tl2br w:val="nil"/>
                    <w:tr2bl w:val="nil"/>
                  </w:tcBorders>
                  <w:noWrap w:val="0"/>
                  <w:vAlign w:val="center"/>
                </w:tcPr>
                <w:p w14:paraId="4E65D8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val="en-US" w:eastAsia="zh-CN"/>
                    </w:rPr>
                    <w:t>工业氧气</w:t>
                  </w:r>
                </w:p>
              </w:tc>
              <w:tc>
                <w:tcPr>
                  <w:tcW w:w="2335" w:type="dxa"/>
                  <w:gridSpan w:val="3"/>
                  <w:tcBorders>
                    <w:tl2br w:val="nil"/>
                    <w:tr2bl w:val="nil"/>
                  </w:tcBorders>
                  <w:noWrap w:val="0"/>
                  <w:vAlign w:val="center"/>
                </w:tcPr>
                <w:p w14:paraId="68A44C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40L</w:t>
                  </w:r>
                  <w:r>
                    <w:rPr>
                      <w:rFonts w:hint="eastAsia" w:ascii="Times New Roman" w:hAnsi="Times New Roman" w:cs="Times New Roman"/>
                      <w:sz w:val="21"/>
                      <w:szCs w:val="21"/>
                      <w:lang w:val="en-US" w:eastAsia="zh-CN"/>
                    </w:rPr>
                    <w:t>标准钢</w:t>
                  </w:r>
                  <w:r>
                    <w:rPr>
                      <w:rFonts w:hint="default" w:ascii="Times New Roman" w:hAnsi="Times New Roman" w:cs="Times New Roman"/>
                      <w:sz w:val="21"/>
                      <w:szCs w:val="21"/>
                    </w:rPr>
                    <w:t>瓶、气态</w:t>
                  </w:r>
                </w:p>
              </w:tc>
              <w:tc>
                <w:tcPr>
                  <w:tcW w:w="1468" w:type="dxa"/>
                  <w:gridSpan w:val="3"/>
                  <w:vMerge w:val="restart"/>
                  <w:tcBorders>
                    <w:tl2br w:val="nil"/>
                    <w:tr2bl w:val="nil"/>
                  </w:tcBorders>
                  <w:noWrap w:val="0"/>
                  <w:vAlign w:val="center"/>
                </w:tcPr>
                <w:p w14:paraId="34B064F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sz w:val="21"/>
                      <w:szCs w:val="21"/>
                    </w:rPr>
                    <w:t>《工业氧》</w:t>
                  </w:r>
                  <w:r>
                    <w:rPr>
                      <w:rFonts w:hint="eastAsia"/>
                      <w:sz w:val="21"/>
                      <w:szCs w:val="21"/>
                      <w:lang w:val="en-US" w:eastAsia="zh-CN"/>
                    </w:rPr>
                    <w:t>（</w:t>
                  </w:r>
                  <w:r>
                    <w:rPr>
                      <w:rFonts w:hint="eastAsia"/>
                      <w:sz w:val="21"/>
                      <w:szCs w:val="21"/>
                    </w:rPr>
                    <w:t>GB/T3863-2008</w:t>
                  </w:r>
                  <w:r>
                    <w:rPr>
                      <w:rFonts w:hint="eastAsia"/>
                      <w:sz w:val="21"/>
                      <w:szCs w:val="21"/>
                      <w:lang w:val="en-US" w:eastAsia="zh-CN"/>
                    </w:rPr>
                    <w:t>）</w:t>
                  </w:r>
                </w:p>
              </w:tc>
              <w:tc>
                <w:tcPr>
                  <w:tcW w:w="1144" w:type="dxa"/>
                  <w:tcBorders>
                    <w:tl2br w:val="nil"/>
                    <w:tr2bl w:val="nil"/>
                  </w:tcBorders>
                  <w:noWrap w:val="0"/>
                  <w:vAlign w:val="center"/>
                </w:tcPr>
                <w:p w14:paraId="59E45DA3">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175g/L </w:t>
                  </w:r>
                </w:p>
              </w:tc>
              <w:tc>
                <w:tcPr>
                  <w:tcW w:w="1012" w:type="dxa"/>
                  <w:tcBorders>
                    <w:tl2br w:val="nil"/>
                    <w:tr2bl w:val="nil"/>
                  </w:tcBorders>
                  <w:noWrap w:val="0"/>
                  <w:vAlign w:val="center"/>
                </w:tcPr>
                <w:p w14:paraId="1948F961">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7</w:t>
                  </w:r>
                </w:p>
              </w:tc>
            </w:tr>
            <w:tr w14:paraId="700AF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47F5E934">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2</w:t>
                  </w:r>
                </w:p>
              </w:tc>
              <w:tc>
                <w:tcPr>
                  <w:tcW w:w="935" w:type="dxa"/>
                  <w:vMerge w:val="continue"/>
                  <w:tcBorders>
                    <w:tl2br w:val="nil"/>
                    <w:tr2bl w:val="nil"/>
                  </w:tcBorders>
                  <w:noWrap w:val="0"/>
                  <w:vAlign w:val="center"/>
                </w:tcPr>
                <w:p w14:paraId="477558A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sz w:val="21"/>
                      <w:szCs w:val="21"/>
                      <w:lang w:val="en-US" w:eastAsia="zh-CN"/>
                    </w:rPr>
                  </w:pPr>
                </w:p>
              </w:tc>
              <w:tc>
                <w:tcPr>
                  <w:tcW w:w="1283" w:type="dxa"/>
                  <w:gridSpan w:val="2"/>
                  <w:tcBorders>
                    <w:tl2br w:val="nil"/>
                    <w:tr2bl w:val="nil"/>
                  </w:tcBorders>
                  <w:noWrap w:val="0"/>
                  <w:vAlign w:val="center"/>
                </w:tcPr>
                <w:p w14:paraId="725D9F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val="en-US" w:eastAsia="zh-CN"/>
                    </w:rPr>
                    <w:t>医用氧气</w:t>
                  </w:r>
                </w:p>
              </w:tc>
              <w:tc>
                <w:tcPr>
                  <w:tcW w:w="2335" w:type="dxa"/>
                  <w:gridSpan w:val="3"/>
                  <w:tcBorders>
                    <w:tl2br w:val="nil"/>
                    <w:tr2bl w:val="nil"/>
                  </w:tcBorders>
                  <w:noWrap w:val="0"/>
                  <w:vAlign w:val="center"/>
                </w:tcPr>
                <w:p w14:paraId="33A652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40L</w:t>
                  </w:r>
                  <w:r>
                    <w:rPr>
                      <w:rFonts w:hint="eastAsia" w:ascii="Times New Roman" w:hAnsi="Times New Roman" w:cs="Times New Roman"/>
                      <w:sz w:val="21"/>
                      <w:szCs w:val="21"/>
                      <w:lang w:val="en-US" w:eastAsia="zh-CN"/>
                    </w:rPr>
                    <w:t>标准钢</w:t>
                  </w:r>
                  <w:r>
                    <w:rPr>
                      <w:rFonts w:hint="default" w:ascii="Times New Roman" w:hAnsi="Times New Roman" w:cs="Times New Roman"/>
                      <w:sz w:val="21"/>
                      <w:szCs w:val="21"/>
                    </w:rPr>
                    <w:t>瓶、气态</w:t>
                  </w:r>
                </w:p>
              </w:tc>
              <w:tc>
                <w:tcPr>
                  <w:tcW w:w="1468" w:type="dxa"/>
                  <w:gridSpan w:val="3"/>
                  <w:vMerge w:val="continue"/>
                  <w:tcBorders>
                    <w:tl2br w:val="nil"/>
                    <w:tr2bl w:val="nil"/>
                  </w:tcBorders>
                  <w:noWrap w:val="0"/>
                  <w:vAlign w:val="center"/>
                </w:tcPr>
                <w:p w14:paraId="0D2AC161">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144" w:type="dxa"/>
                  <w:tcBorders>
                    <w:tl2br w:val="nil"/>
                    <w:tr2bl w:val="nil"/>
                  </w:tcBorders>
                  <w:noWrap w:val="0"/>
                  <w:vAlign w:val="center"/>
                </w:tcPr>
                <w:p w14:paraId="2C29B8EB">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175g/L </w:t>
                  </w:r>
                </w:p>
              </w:tc>
              <w:tc>
                <w:tcPr>
                  <w:tcW w:w="1012" w:type="dxa"/>
                  <w:tcBorders>
                    <w:tl2br w:val="nil"/>
                    <w:tr2bl w:val="nil"/>
                  </w:tcBorders>
                  <w:noWrap w:val="0"/>
                  <w:vAlign w:val="center"/>
                </w:tcPr>
                <w:p w14:paraId="407B3484">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7</w:t>
                  </w:r>
                </w:p>
              </w:tc>
            </w:tr>
            <w:tr w14:paraId="147FF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51EDCFFF">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3</w:t>
                  </w:r>
                </w:p>
              </w:tc>
              <w:tc>
                <w:tcPr>
                  <w:tcW w:w="935" w:type="dxa"/>
                  <w:vMerge w:val="continue"/>
                  <w:tcBorders>
                    <w:tl2br w:val="nil"/>
                    <w:tr2bl w:val="nil"/>
                  </w:tcBorders>
                  <w:noWrap w:val="0"/>
                  <w:vAlign w:val="center"/>
                </w:tcPr>
                <w:p w14:paraId="595E6A4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sz w:val="21"/>
                      <w:szCs w:val="21"/>
                      <w:lang w:val="en-US" w:eastAsia="zh-CN"/>
                    </w:rPr>
                  </w:pPr>
                </w:p>
              </w:tc>
              <w:tc>
                <w:tcPr>
                  <w:tcW w:w="1283" w:type="dxa"/>
                  <w:gridSpan w:val="2"/>
                  <w:tcBorders>
                    <w:tl2br w:val="nil"/>
                    <w:tr2bl w:val="nil"/>
                  </w:tcBorders>
                  <w:noWrap w:val="0"/>
                  <w:vAlign w:val="center"/>
                </w:tcPr>
                <w:p w14:paraId="4A4AF2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val="en-US" w:eastAsia="zh-CN"/>
                    </w:rPr>
                    <w:t>液氧</w:t>
                  </w:r>
                </w:p>
              </w:tc>
              <w:tc>
                <w:tcPr>
                  <w:tcW w:w="2335" w:type="dxa"/>
                  <w:gridSpan w:val="3"/>
                  <w:tcBorders>
                    <w:tl2br w:val="nil"/>
                    <w:tr2bl w:val="nil"/>
                  </w:tcBorders>
                  <w:noWrap w:val="0"/>
                  <w:vAlign w:val="center"/>
                </w:tcPr>
                <w:p w14:paraId="0771F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175L杜瓦罐、液态</w:t>
                  </w:r>
                </w:p>
              </w:tc>
              <w:tc>
                <w:tcPr>
                  <w:tcW w:w="1468" w:type="dxa"/>
                  <w:gridSpan w:val="3"/>
                  <w:vMerge w:val="continue"/>
                  <w:tcBorders>
                    <w:tl2br w:val="nil"/>
                    <w:tr2bl w:val="nil"/>
                  </w:tcBorders>
                  <w:noWrap w:val="0"/>
                  <w:vAlign w:val="center"/>
                </w:tcPr>
                <w:p w14:paraId="66F07918">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144" w:type="dxa"/>
                  <w:tcBorders>
                    <w:tl2br w:val="nil"/>
                    <w:tr2bl w:val="nil"/>
                  </w:tcBorders>
                  <w:noWrap w:val="0"/>
                  <w:vAlign w:val="center"/>
                </w:tcPr>
                <w:p w14:paraId="3EB6C32D">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914.3</w:t>
                  </w:r>
                  <w:r>
                    <w:rPr>
                      <w:rFonts w:hint="default" w:ascii="Times New Roman" w:hAnsi="Times New Roman" w:eastAsia="宋体" w:cs="Times New Roman"/>
                      <w:sz w:val="21"/>
                      <w:szCs w:val="21"/>
                    </w:rPr>
                    <w:t>g/L</w:t>
                  </w:r>
                </w:p>
              </w:tc>
              <w:tc>
                <w:tcPr>
                  <w:tcW w:w="1012" w:type="dxa"/>
                  <w:tcBorders>
                    <w:tl2br w:val="nil"/>
                    <w:tr2bl w:val="nil"/>
                  </w:tcBorders>
                  <w:noWrap w:val="0"/>
                  <w:vAlign w:val="center"/>
                </w:tcPr>
                <w:p w14:paraId="0E30A8EA">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160</w:t>
                  </w:r>
                </w:p>
              </w:tc>
            </w:tr>
            <w:tr w14:paraId="6E104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6E85536A">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4</w:t>
                  </w:r>
                </w:p>
              </w:tc>
              <w:tc>
                <w:tcPr>
                  <w:tcW w:w="935" w:type="dxa"/>
                  <w:vMerge w:val="restart"/>
                  <w:tcBorders>
                    <w:tl2br w:val="nil"/>
                    <w:tr2bl w:val="nil"/>
                  </w:tcBorders>
                  <w:noWrap w:val="0"/>
                  <w:vAlign w:val="center"/>
                </w:tcPr>
                <w:p w14:paraId="2D2BE9F4">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auto"/>
                      <w:sz w:val="21"/>
                      <w:szCs w:val="21"/>
                      <w:lang w:val="en-US" w:eastAsia="zh-CN"/>
                    </w:rPr>
                    <w:t>惰性气体充装站</w:t>
                  </w:r>
                </w:p>
              </w:tc>
              <w:tc>
                <w:tcPr>
                  <w:tcW w:w="1283" w:type="dxa"/>
                  <w:gridSpan w:val="2"/>
                  <w:tcBorders>
                    <w:tl2br w:val="nil"/>
                    <w:tr2bl w:val="nil"/>
                  </w:tcBorders>
                  <w:noWrap w:val="0"/>
                  <w:vAlign w:val="center"/>
                </w:tcPr>
                <w:p w14:paraId="2D6C99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氮气</w:t>
                  </w:r>
                </w:p>
              </w:tc>
              <w:tc>
                <w:tcPr>
                  <w:tcW w:w="2335" w:type="dxa"/>
                  <w:gridSpan w:val="3"/>
                  <w:tcBorders>
                    <w:tl2br w:val="nil"/>
                    <w:tr2bl w:val="nil"/>
                  </w:tcBorders>
                  <w:noWrap w:val="0"/>
                  <w:vAlign w:val="center"/>
                </w:tcPr>
                <w:p w14:paraId="44E82F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40L</w:t>
                  </w:r>
                  <w:r>
                    <w:rPr>
                      <w:rFonts w:hint="eastAsia" w:ascii="Times New Roman" w:hAnsi="Times New Roman" w:cs="Times New Roman"/>
                      <w:sz w:val="21"/>
                      <w:szCs w:val="21"/>
                      <w:lang w:val="en-US" w:eastAsia="zh-CN"/>
                    </w:rPr>
                    <w:t>标准钢</w:t>
                  </w:r>
                  <w:r>
                    <w:rPr>
                      <w:rFonts w:hint="default" w:ascii="Times New Roman" w:hAnsi="Times New Roman" w:cs="Times New Roman"/>
                      <w:sz w:val="21"/>
                      <w:szCs w:val="21"/>
                    </w:rPr>
                    <w:t>瓶、气态</w:t>
                  </w:r>
                </w:p>
              </w:tc>
              <w:tc>
                <w:tcPr>
                  <w:tcW w:w="1468" w:type="dxa"/>
                  <w:gridSpan w:val="3"/>
                  <w:vMerge w:val="restart"/>
                  <w:tcBorders>
                    <w:tl2br w:val="nil"/>
                    <w:tr2bl w:val="nil"/>
                  </w:tcBorders>
                  <w:noWrap w:val="0"/>
                  <w:vAlign w:val="center"/>
                </w:tcPr>
                <w:p w14:paraId="45FA6B2A">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《工业氮》</w:t>
                  </w:r>
                  <w:r>
                    <w:rPr>
                      <w:rFonts w:hint="eastAsia" w:ascii="Times New Roman" w:eastAsia="宋体" w:cs="Times New Roman"/>
                      <w:sz w:val="21"/>
                      <w:szCs w:val="21"/>
                      <w:lang w:val="en-US" w:eastAsia="zh-CN"/>
                    </w:rPr>
                    <w:t>（</w:t>
                  </w:r>
                  <w:r>
                    <w:rPr>
                      <w:rFonts w:hint="default" w:ascii="Times New Roman" w:hAnsi="Times New Roman" w:eastAsia="宋体" w:cs="Times New Roman"/>
                      <w:sz w:val="21"/>
                      <w:szCs w:val="21"/>
                    </w:rPr>
                    <w:t>GB/T3864-2008</w:t>
                  </w:r>
                  <w:r>
                    <w:rPr>
                      <w:rFonts w:hint="eastAsia" w:ascii="Times New Roman" w:eastAsia="宋体" w:cs="Times New Roman"/>
                      <w:sz w:val="21"/>
                      <w:szCs w:val="21"/>
                      <w:lang w:val="en-US" w:eastAsia="zh-CN"/>
                    </w:rPr>
                    <w:t>）</w:t>
                  </w:r>
                </w:p>
              </w:tc>
              <w:tc>
                <w:tcPr>
                  <w:tcW w:w="1144" w:type="dxa"/>
                  <w:tcBorders>
                    <w:tl2br w:val="nil"/>
                    <w:tr2bl w:val="nil"/>
                  </w:tcBorders>
                  <w:noWrap w:val="0"/>
                  <w:vAlign w:val="center"/>
                </w:tcPr>
                <w:p w14:paraId="07CF6BA4">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167.5</w:t>
                  </w:r>
                  <w:r>
                    <w:rPr>
                      <w:rFonts w:hint="default" w:ascii="Times New Roman" w:hAnsi="Times New Roman" w:eastAsia="宋体" w:cs="Times New Roman"/>
                      <w:sz w:val="21"/>
                      <w:szCs w:val="21"/>
                    </w:rPr>
                    <w:t>g/L</w:t>
                  </w:r>
                </w:p>
              </w:tc>
              <w:tc>
                <w:tcPr>
                  <w:tcW w:w="1012" w:type="dxa"/>
                  <w:tcBorders>
                    <w:tl2br w:val="nil"/>
                    <w:tr2bl w:val="nil"/>
                  </w:tcBorders>
                  <w:noWrap w:val="0"/>
                  <w:vAlign w:val="center"/>
                </w:tcPr>
                <w:p w14:paraId="7D4A5E1C">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6.7</w:t>
                  </w:r>
                </w:p>
              </w:tc>
            </w:tr>
            <w:tr w14:paraId="211F8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3517506A">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5</w:t>
                  </w:r>
                </w:p>
              </w:tc>
              <w:tc>
                <w:tcPr>
                  <w:tcW w:w="935" w:type="dxa"/>
                  <w:vMerge w:val="continue"/>
                  <w:tcBorders>
                    <w:tl2br w:val="nil"/>
                    <w:tr2bl w:val="nil"/>
                  </w:tcBorders>
                  <w:noWrap w:val="0"/>
                  <w:vAlign w:val="center"/>
                </w:tcPr>
                <w:p w14:paraId="1A77D980">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sz w:val="21"/>
                      <w:szCs w:val="21"/>
                      <w:lang w:val="en-US" w:eastAsia="zh-CN"/>
                    </w:rPr>
                  </w:pPr>
                </w:p>
              </w:tc>
              <w:tc>
                <w:tcPr>
                  <w:tcW w:w="1283" w:type="dxa"/>
                  <w:gridSpan w:val="2"/>
                  <w:tcBorders>
                    <w:tl2br w:val="nil"/>
                    <w:tr2bl w:val="nil"/>
                  </w:tcBorders>
                  <w:noWrap w:val="0"/>
                  <w:vAlign w:val="center"/>
                </w:tcPr>
                <w:p w14:paraId="56DCE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液氮</w:t>
                  </w:r>
                </w:p>
              </w:tc>
              <w:tc>
                <w:tcPr>
                  <w:tcW w:w="2335" w:type="dxa"/>
                  <w:gridSpan w:val="3"/>
                  <w:tcBorders>
                    <w:tl2br w:val="nil"/>
                    <w:tr2bl w:val="nil"/>
                  </w:tcBorders>
                  <w:noWrap w:val="0"/>
                  <w:vAlign w:val="center"/>
                </w:tcPr>
                <w:p w14:paraId="4EC4B2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175L杜瓦罐、液态</w:t>
                  </w:r>
                </w:p>
              </w:tc>
              <w:tc>
                <w:tcPr>
                  <w:tcW w:w="1468" w:type="dxa"/>
                  <w:gridSpan w:val="3"/>
                  <w:vMerge w:val="continue"/>
                  <w:tcBorders>
                    <w:tl2br w:val="nil"/>
                    <w:tr2bl w:val="nil"/>
                  </w:tcBorders>
                  <w:noWrap w:val="0"/>
                  <w:vAlign w:val="center"/>
                </w:tcPr>
                <w:p w14:paraId="796C9228">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144" w:type="dxa"/>
                  <w:tcBorders>
                    <w:tl2br w:val="nil"/>
                    <w:tr2bl w:val="nil"/>
                  </w:tcBorders>
                  <w:noWrap w:val="0"/>
                  <w:vAlign w:val="center"/>
                </w:tcPr>
                <w:p w14:paraId="0804AFBF">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685.7</w:t>
                  </w:r>
                  <w:r>
                    <w:rPr>
                      <w:rFonts w:hint="default" w:ascii="Times New Roman" w:hAnsi="Times New Roman" w:eastAsia="宋体" w:cs="Times New Roman"/>
                      <w:sz w:val="21"/>
                      <w:szCs w:val="21"/>
                    </w:rPr>
                    <w:t>g/L</w:t>
                  </w:r>
                </w:p>
              </w:tc>
              <w:tc>
                <w:tcPr>
                  <w:tcW w:w="1012" w:type="dxa"/>
                  <w:tcBorders>
                    <w:tl2br w:val="nil"/>
                    <w:tr2bl w:val="nil"/>
                  </w:tcBorders>
                  <w:noWrap w:val="0"/>
                  <w:vAlign w:val="center"/>
                </w:tcPr>
                <w:p w14:paraId="5D626AB9">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120</w:t>
                  </w:r>
                </w:p>
              </w:tc>
            </w:tr>
            <w:tr w14:paraId="2EC48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1B2BAB0F">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6</w:t>
                  </w:r>
                </w:p>
              </w:tc>
              <w:tc>
                <w:tcPr>
                  <w:tcW w:w="935" w:type="dxa"/>
                  <w:vMerge w:val="continue"/>
                  <w:tcBorders>
                    <w:tl2br w:val="nil"/>
                    <w:tr2bl w:val="nil"/>
                  </w:tcBorders>
                  <w:noWrap w:val="0"/>
                  <w:vAlign w:val="center"/>
                </w:tcPr>
                <w:p w14:paraId="4580ABCF">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sz w:val="21"/>
                      <w:szCs w:val="21"/>
                      <w:lang w:val="en-US" w:eastAsia="zh-CN"/>
                    </w:rPr>
                  </w:pPr>
                </w:p>
              </w:tc>
              <w:tc>
                <w:tcPr>
                  <w:tcW w:w="1283" w:type="dxa"/>
                  <w:gridSpan w:val="2"/>
                  <w:tcBorders>
                    <w:tl2br w:val="nil"/>
                    <w:tr2bl w:val="nil"/>
                  </w:tcBorders>
                  <w:noWrap w:val="0"/>
                  <w:vAlign w:val="center"/>
                </w:tcPr>
                <w:p w14:paraId="394B01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氩气</w:t>
                  </w:r>
                </w:p>
              </w:tc>
              <w:tc>
                <w:tcPr>
                  <w:tcW w:w="2335" w:type="dxa"/>
                  <w:gridSpan w:val="3"/>
                  <w:tcBorders>
                    <w:tl2br w:val="nil"/>
                    <w:tr2bl w:val="nil"/>
                  </w:tcBorders>
                  <w:noWrap w:val="0"/>
                  <w:vAlign w:val="center"/>
                </w:tcPr>
                <w:p w14:paraId="256D01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40L</w:t>
                  </w:r>
                  <w:r>
                    <w:rPr>
                      <w:rFonts w:hint="eastAsia" w:ascii="Times New Roman" w:hAnsi="Times New Roman" w:cs="Times New Roman"/>
                      <w:sz w:val="21"/>
                      <w:szCs w:val="21"/>
                      <w:lang w:val="en-US" w:eastAsia="zh-CN"/>
                    </w:rPr>
                    <w:t>标准钢</w:t>
                  </w:r>
                  <w:r>
                    <w:rPr>
                      <w:rFonts w:hint="default" w:ascii="Times New Roman" w:hAnsi="Times New Roman" w:cs="Times New Roman"/>
                      <w:sz w:val="21"/>
                      <w:szCs w:val="21"/>
                    </w:rPr>
                    <w:t>瓶、气态</w:t>
                  </w:r>
                </w:p>
              </w:tc>
              <w:tc>
                <w:tcPr>
                  <w:tcW w:w="1468" w:type="dxa"/>
                  <w:gridSpan w:val="3"/>
                  <w:vMerge w:val="restart"/>
                  <w:tcBorders>
                    <w:tl2br w:val="nil"/>
                    <w:tr2bl w:val="nil"/>
                  </w:tcBorders>
                  <w:noWrap w:val="0"/>
                  <w:vAlign w:val="center"/>
                </w:tcPr>
                <w:p w14:paraId="626C7CFC">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《氩》</w:t>
                  </w:r>
                  <w:r>
                    <w:rPr>
                      <w:rFonts w:hint="eastAsia" w:ascii="Times New Roman" w:eastAsia="宋体" w:cs="Times New Roman"/>
                      <w:sz w:val="21"/>
                      <w:szCs w:val="21"/>
                      <w:lang w:val="en-US" w:eastAsia="zh-CN"/>
                    </w:rPr>
                    <w:t>（</w:t>
                  </w:r>
                  <w:r>
                    <w:rPr>
                      <w:rFonts w:hint="default" w:ascii="Times New Roman" w:hAnsi="Times New Roman" w:eastAsia="宋体" w:cs="Times New Roman"/>
                      <w:sz w:val="21"/>
                      <w:szCs w:val="21"/>
                    </w:rPr>
                    <w:t>GB/T4842-2017</w:t>
                  </w:r>
                  <w:r>
                    <w:rPr>
                      <w:rFonts w:hint="eastAsia" w:ascii="Times New Roman" w:eastAsia="宋体" w:cs="Times New Roman"/>
                      <w:sz w:val="21"/>
                      <w:szCs w:val="21"/>
                      <w:lang w:val="en-US" w:eastAsia="zh-CN"/>
                    </w:rPr>
                    <w:t>）</w:t>
                  </w:r>
                </w:p>
              </w:tc>
              <w:tc>
                <w:tcPr>
                  <w:tcW w:w="1144" w:type="dxa"/>
                  <w:tcBorders>
                    <w:tl2br w:val="nil"/>
                    <w:tr2bl w:val="nil"/>
                  </w:tcBorders>
                  <w:noWrap w:val="0"/>
                  <w:vAlign w:val="center"/>
                </w:tcPr>
                <w:p w14:paraId="0334DBA4">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w:t>
                  </w:r>
                  <w:r>
                    <w:rPr>
                      <w:rFonts w:hint="default" w:ascii="Times New Roman" w:hAnsi="Times New Roman" w:eastAsia="宋体" w:cs="Times New Roman"/>
                      <w:sz w:val="21"/>
                      <w:szCs w:val="21"/>
                    </w:rPr>
                    <w:t>g/L</w:t>
                  </w:r>
                </w:p>
              </w:tc>
              <w:tc>
                <w:tcPr>
                  <w:tcW w:w="1012" w:type="dxa"/>
                  <w:tcBorders>
                    <w:tl2br w:val="nil"/>
                    <w:tr2bl w:val="nil"/>
                  </w:tcBorders>
                  <w:noWrap w:val="0"/>
                  <w:vAlign w:val="center"/>
                </w:tcPr>
                <w:p w14:paraId="02583341">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10</w:t>
                  </w:r>
                </w:p>
              </w:tc>
            </w:tr>
            <w:tr w14:paraId="40C24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3F528709">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7</w:t>
                  </w:r>
                </w:p>
              </w:tc>
              <w:tc>
                <w:tcPr>
                  <w:tcW w:w="935" w:type="dxa"/>
                  <w:vMerge w:val="continue"/>
                  <w:tcBorders>
                    <w:tl2br w:val="nil"/>
                    <w:tr2bl w:val="nil"/>
                  </w:tcBorders>
                  <w:noWrap w:val="0"/>
                  <w:vAlign w:val="center"/>
                </w:tcPr>
                <w:p w14:paraId="21B7C914">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sz w:val="21"/>
                      <w:szCs w:val="21"/>
                      <w:lang w:val="en-US" w:eastAsia="zh-CN"/>
                    </w:rPr>
                  </w:pPr>
                </w:p>
              </w:tc>
              <w:tc>
                <w:tcPr>
                  <w:tcW w:w="1283" w:type="dxa"/>
                  <w:gridSpan w:val="2"/>
                  <w:tcBorders>
                    <w:tl2br w:val="nil"/>
                    <w:tr2bl w:val="nil"/>
                  </w:tcBorders>
                  <w:noWrap w:val="0"/>
                  <w:vAlign w:val="center"/>
                </w:tcPr>
                <w:p w14:paraId="3FB175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液氩</w:t>
                  </w:r>
                </w:p>
              </w:tc>
              <w:tc>
                <w:tcPr>
                  <w:tcW w:w="2335" w:type="dxa"/>
                  <w:gridSpan w:val="3"/>
                  <w:tcBorders>
                    <w:tl2br w:val="nil"/>
                    <w:tr2bl w:val="nil"/>
                  </w:tcBorders>
                  <w:noWrap w:val="0"/>
                  <w:vAlign w:val="center"/>
                </w:tcPr>
                <w:p w14:paraId="09829C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175L杜瓦罐、液态</w:t>
                  </w:r>
                </w:p>
              </w:tc>
              <w:tc>
                <w:tcPr>
                  <w:tcW w:w="1468" w:type="dxa"/>
                  <w:gridSpan w:val="3"/>
                  <w:vMerge w:val="continue"/>
                  <w:tcBorders>
                    <w:tl2br w:val="nil"/>
                    <w:tr2bl w:val="nil"/>
                  </w:tcBorders>
                  <w:noWrap w:val="0"/>
                  <w:vAlign w:val="center"/>
                </w:tcPr>
                <w:p w14:paraId="01D08599">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144" w:type="dxa"/>
                  <w:tcBorders>
                    <w:tl2br w:val="nil"/>
                    <w:tr2bl w:val="nil"/>
                  </w:tcBorders>
                  <w:noWrap w:val="0"/>
                  <w:vAlign w:val="center"/>
                </w:tcPr>
                <w:p w14:paraId="17A4971F">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1028.6</w:t>
                  </w:r>
                  <w:r>
                    <w:rPr>
                      <w:rFonts w:hint="default" w:ascii="Times New Roman" w:hAnsi="Times New Roman" w:eastAsia="宋体" w:cs="Times New Roman"/>
                      <w:sz w:val="21"/>
                      <w:szCs w:val="21"/>
                    </w:rPr>
                    <w:t>g/L</w:t>
                  </w:r>
                </w:p>
              </w:tc>
              <w:tc>
                <w:tcPr>
                  <w:tcW w:w="1012" w:type="dxa"/>
                  <w:tcBorders>
                    <w:tl2br w:val="nil"/>
                    <w:tr2bl w:val="nil"/>
                  </w:tcBorders>
                  <w:noWrap w:val="0"/>
                  <w:vAlign w:val="center"/>
                </w:tcPr>
                <w:p w14:paraId="0CFD8F43">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180</w:t>
                  </w:r>
                </w:p>
              </w:tc>
            </w:tr>
            <w:tr w14:paraId="46E19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247D84A3">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8</w:t>
                  </w:r>
                </w:p>
              </w:tc>
              <w:tc>
                <w:tcPr>
                  <w:tcW w:w="935" w:type="dxa"/>
                  <w:vMerge w:val="continue"/>
                  <w:tcBorders>
                    <w:tl2br w:val="nil"/>
                    <w:tr2bl w:val="nil"/>
                  </w:tcBorders>
                  <w:noWrap w:val="0"/>
                  <w:vAlign w:val="center"/>
                </w:tcPr>
                <w:p w14:paraId="364902D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sz w:val="21"/>
                      <w:szCs w:val="21"/>
                      <w:lang w:val="en-US" w:eastAsia="zh-CN"/>
                    </w:rPr>
                  </w:pPr>
                </w:p>
              </w:tc>
              <w:tc>
                <w:tcPr>
                  <w:tcW w:w="1283" w:type="dxa"/>
                  <w:gridSpan w:val="2"/>
                  <w:tcBorders>
                    <w:tl2br w:val="nil"/>
                    <w:tr2bl w:val="nil"/>
                  </w:tcBorders>
                  <w:noWrap w:val="0"/>
                  <w:vAlign w:val="center"/>
                </w:tcPr>
                <w:p w14:paraId="46FD0B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二氧化碳</w:t>
                  </w:r>
                </w:p>
              </w:tc>
              <w:tc>
                <w:tcPr>
                  <w:tcW w:w="2335" w:type="dxa"/>
                  <w:gridSpan w:val="3"/>
                  <w:tcBorders>
                    <w:tl2br w:val="nil"/>
                    <w:tr2bl w:val="nil"/>
                  </w:tcBorders>
                  <w:noWrap w:val="0"/>
                  <w:vAlign w:val="center"/>
                </w:tcPr>
                <w:p w14:paraId="0DD6F6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40L</w:t>
                  </w:r>
                  <w:r>
                    <w:rPr>
                      <w:rFonts w:hint="eastAsia" w:ascii="Times New Roman" w:hAnsi="Times New Roman" w:cs="Times New Roman"/>
                      <w:sz w:val="21"/>
                      <w:szCs w:val="21"/>
                      <w:lang w:val="en-US" w:eastAsia="zh-CN"/>
                    </w:rPr>
                    <w:t>标准钢</w:t>
                  </w:r>
                  <w:r>
                    <w:rPr>
                      <w:rFonts w:hint="default" w:ascii="Times New Roman" w:hAnsi="Times New Roman" w:cs="Times New Roman"/>
                      <w:sz w:val="21"/>
                      <w:szCs w:val="21"/>
                    </w:rPr>
                    <w:t>瓶、液态</w:t>
                  </w:r>
                </w:p>
              </w:tc>
              <w:tc>
                <w:tcPr>
                  <w:tcW w:w="1468" w:type="dxa"/>
                  <w:gridSpan w:val="3"/>
                  <w:tcBorders>
                    <w:tl2br w:val="nil"/>
                    <w:tr2bl w:val="nil"/>
                  </w:tcBorders>
                  <w:noWrap w:val="0"/>
                  <w:vAlign w:val="center"/>
                </w:tcPr>
                <w:p w14:paraId="39B3989E">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《工业液体二氧化碳》</w:t>
                  </w:r>
                  <w:r>
                    <w:rPr>
                      <w:rFonts w:hint="eastAsia" w:ascii="Times New Roman" w:eastAsia="宋体" w:cs="Times New Roman"/>
                      <w:sz w:val="21"/>
                      <w:szCs w:val="21"/>
                      <w:lang w:val="en-US" w:eastAsia="zh-CN"/>
                    </w:rPr>
                    <w:t>（</w:t>
                  </w:r>
                  <w:r>
                    <w:rPr>
                      <w:rFonts w:hint="default" w:ascii="Times New Roman" w:hAnsi="Times New Roman" w:eastAsia="宋体" w:cs="Times New Roman"/>
                      <w:sz w:val="21"/>
                      <w:szCs w:val="21"/>
                    </w:rPr>
                    <w:t>GB/T6052-2011</w:t>
                  </w:r>
                  <w:r>
                    <w:rPr>
                      <w:rFonts w:hint="eastAsia" w:ascii="Times New Roman" w:eastAsia="宋体" w:cs="Times New Roman"/>
                      <w:sz w:val="21"/>
                      <w:szCs w:val="21"/>
                      <w:lang w:val="en-US" w:eastAsia="zh-CN"/>
                    </w:rPr>
                    <w:t>）</w:t>
                  </w:r>
                </w:p>
              </w:tc>
              <w:tc>
                <w:tcPr>
                  <w:tcW w:w="1144" w:type="dxa"/>
                  <w:tcBorders>
                    <w:tl2br w:val="nil"/>
                    <w:tr2bl w:val="nil"/>
                  </w:tcBorders>
                  <w:noWrap w:val="0"/>
                  <w:vAlign w:val="center"/>
                </w:tcPr>
                <w:p w14:paraId="38EE5F7E">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600</w:t>
                  </w:r>
                  <w:r>
                    <w:rPr>
                      <w:rFonts w:hint="default" w:ascii="Times New Roman" w:hAnsi="Times New Roman" w:eastAsia="宋体" w:cs="Times New Roman"/>
                      <w:sz w:val="21"/>
                      <w:szCs w:val="21"/>
                    </w:rPr>
                    <w:t>g/L</w:t>
                  </w:r>
                </w:p>
              </w:tc>
              <w:tc>
                <w:tcPr>
                  <w:tcW w:w="1012" w:type="dxa"/>
                  <w:tcBorders>
                    <w:tl2br w:val="nil"/>
                    <w:tr2bl w:val="nil"/>
                  </w:tcBorders>
                  <w:noWrap w:val="0"/>
                  <w:vAlign w:val="center"/>
                </w:tcPr>
                <w:p w14:paraId="3D0BE71F">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24</w:t>
                  </w:r>
                </w:p>
              </w:tc>
            </w:tr>
            <w:tr w14:paraId="6BF4E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586E9BD4">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9</w:t>
                  </w:r>
                </w:p>
              </w:tc>
              <w:tc>
                <w:tcPr>
                  <w:tcW w:w="935" w:type="dxa"/>
                  <w:vMerge w:val="continue"/>
                  <w:tcBorders>
                    <w:tl2br w:val="nil"/>
                    <w:tr2bl w:val="nil"/>
                  </w:tcBorders>
                  <w:noWrap w:val="0"/>
                  <w:vAlign w:val="center"/>
                </w:tcPr>
                <w:p w14:paraId="21E65F5B">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sz w:val="21"/>
                      <w:szCs w:val="21"/>
                      <w:lang w:val="en-US" w:eastAsia="zh-CN"/>
                    </w:rPr>
                  </w:pPr>
                </w:p>
              </w:tc>
              <w:tc>
                <w:tcPr>
                  <w:tcW w:w="1283" w:type="dxa"/>
                  <w:gridSpan w:val="2"/>
                  <w:tcBorders>
                    <w:tl2br w:val="nil"/>
                    <w:tr2bl w:val="nil"/>
                  </w:tcBorders>
                  <w:noWrap w:val="0"/>
                  <w:vAlign w:val="center"/>
                </w:tcPr>
                <w:p w14:paraId="3C7734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混合气体</w:t>
                  </w:r>
                </w:p>
              </w:tc>
              <w:tc>
                <w:tcPr>
                  <w:tcW w:w="2335" w:type="dxa"/>
                  <w:gridSpan w:val="3"/>
                  <w:tcBorders>
                    <w:tl2br w:val="nil"/>
                    <w:tr2bl w:val="nil"/>
                  </w:tcBorders>
                  <w:noWrap w:val="0"/>
                  <w:vAlign w:val="center"/>
                </w:tcPr>
                <w:p w14:paraId="1E1061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z w:val="21"/>
                      <w:szCs w:val="21"/>
                    </w:rPr>
                    <w:t>40L</w:t>
                  </w:r>
                  <w:r>
                    <w:rPr>
                      <w:rFonts w:hint="eastAsia" w:ascii="Times New Roman" w:hAnsi="Times New Roman" w:cs="Times New Roman"/>
                      <w:sz w:val="21"/>
                      <w:szCs w:val="21"/>
                      <w:lang w:val="en-US" w:eastAsia="zh-CN"/>
                    </w:rPr>
                    <w:t>标准钢</w:t>
                  </w:r>
                  <w:r>
                    <w:rPr>
                      <w:rFonts w:hint="default" w:ascii="Times New Roman" w:hAnsi="Times New Roman" w:cs="Times New Roman"/>
                      <w:sz w:val="21"/>
                      <w:szCs w:val="21"/>
                    </w:rPr>
                    <w:t>瓶、气态，二氧化碳20%，氩气80%</w:t>
                  </w:r>
                </w:p>
              </w:tc>
              <w:tc>
                <w:tcPr>
                  <w:tcW w:w="1468" w:type="dxa"/>
                  <w:gridSpan w:val="3"/>
                  <w:tcBorders>
                    <w:tl2br w:val="nil"/>
                    <w:tr2bl w:val="nil"/>
                  </w:tcBorders>
                  <w:noWrap w:val="0"/>
                  <w:vAlign w:val="center"/>
                </w:tcPr>
                <w:p w14:paraId="78C386FB">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144" w:type="dxa"/>
                  <w:tcBorders>
                    <w:tl2br w:val="nil"/>
                    <w:tr2bl w:val="nil"/>
                  </w:tcBorders>
                  <w:noWrap w:val="0"/>
                  <w:vAlign w:val="center"/>
                </w:tcPr>
                <w:p w14:paraId="7E4ACE06">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w:t>
                  </w:r>
                  <w:r>
                    <w:rPr>
                      <w:rFonts w:hint="default" w:ascii="Times New Roman" w:hAnsi="Times New Roman" w:eastAsia="宋体" w:cs="Times New Roman"/>
                      <w:sz w:val="21"/>
                      <w:szCs w:val="21"/>
                    </w:rPr>
                    <w:t>g/L</w:t>
                  </w:r>
                </w:p>
              </w:tc>
              <w:tc>
                <w:tcPr>
                  <w:tcW w:w="1012" w:type="dxa"/>
                  <w:tcBorders>
                    <w:tl2br w:val="nil"/>
                    <w:tr2bl w:val="nil"/>
                  </w:tcBorders>
                  <w:noWrap w:val="0"/>
                  <w:vAlign w:val="center"/>
                </w:tcPr>
                <w:p w14:paraId="05AB909C">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10</w:t>
                  </w:r>
                </w:p>
              </w:tc>
            </w:tr>
            <w:tr w14:paraId="6C3FA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71E76032">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10</w:t>
                  </w:r>
                </w:p>
              </w:tc>
              <w:tc>
                <w:tcPr>
                  <w:tcW w:w="935" w:type="dxa"/>
                  <w:vMerge w:val="restart"/>
                  <w:tcBorders>
                    <w:tl2br w:val="nil"/>
                    <w:tr2bl w:val="nil"/>
                  </w:tcBorders>
                  <w:noWrap w:val="0"/>
                  <w:vAlign w:val="center"/>
                </w:tcPr>
                <w:p w14:paraId="697D34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工业丙烷、液化石油</w:t>
                  </w:r>
                </w:p>
                <w:p w14:paraId="0CD01926">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auto"/>
                      <w:sz w:val="21"/>
                      <w:szCs w:val="21"/>
                      <w:lang w:val="en-US" w:eastAsia="zh-CN"/>
                    </w:rPr>
                    <w:t>气充装站</w:t>
                  </w:r>
                </w:p>
              </w:tc>
              <w:tc>
                <w:tcPr>
                  <w:tcW w:w="1283" w:type="dxa"/>
                  <w:gridSpan w:val="2"/>
                  <w:tcBorders>
                    <w:tl2br w:val="nil"/>
                    <w:tr2bl w:val="nil"/>
                  </w:tcBorders>
                  <w:noWrap w:val="0"/>
                  <w:vAlign w:val="center"/>
                </w:tcPr>
                <w:p w14:paraId="278802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工业丙烷</w:t>
                  </w:r>
                </w:p>
              </w:tc>
              <w:tc>
                <w:tcPr>
                  <w:tcW w:w="2335" w:type="dxa"/>
                  <w:gridSpan w:val="3"/>
                  <w:tcBorders>
                    <w:tl2br w:val="nil"/>
                    <w:tr2bl w:val="nil"/>
                  </w:tcBorders>
                  <w:noWrap w:val="0"/>
                  <w:vAlign w:val="center"/>
                </w:tcPr>
                <w:p w14:paraId="2AC66A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40L</w:t>
                  </w:r>
                  <w:r>
                    <w:rPr>
                      <w:rFonts w:hint="eastAsia" w:ascii="Times New Roman" w:hAnsi="Times New Roman" w:cs="Times New Roman"/>
                      <w:sz w:val="21"/>
                      <w:szCs w:val="21"/>
                      <w:lang w:val="en-US" w:eastAsia="zh-CN"/>
                    </w:rPr>
                    <w:t>标准钢</w:t>
                  </w:r>
                  <w:r>
                    <w:rPr>
                      <w:rFonts w:hint="default" w:ascii="Times New Roman" w:hAnsi="Times New Roman" w:cs="Times New Roman"/>
                      <w:sz w:val="21"/>
                      <w:szCs w:val="21"/>
                    </w:rPr>
                    <w:t>瓶、</w:t>
                  </w:r>
                  <w:r>
                    <w:rPr>
                      <w:rFonts w:hint="default" w:ascii="Times New Roman" w:hAnsi="Times New Roman" w:eastAsia="宋体" w:cs="Times New Roman"/>
                      <w:color w:val="auto"/>
                      <w:kern w:val="2"/>
                      <w:sz w:val="21"/>
                      <w:szCs w:val="21"/>
                      <w:lang w:val="en-US" w:eastAsia="zh-CN" w:bidi="ar-SA"/>
                    </w:rPr>
                    <w:t>液态</w:t>
                  </w:r>
                </w:p>
              </w:tc>
              <w:tc>
                <w:tcPr>
                  <w:tcW w:w="1468" w:type="dxa"/>
                  <w:gridSpan w:val="3"/>
                  <w:tcBorders>
                    <w:tl2br w:val="nil"/>
                    <w:tr2bl w:val="nil"/>
                  </w:tcBorders>
                  <w:noWrap w:val="0"/>
                  <w:vAlign w:val="center"/>
                </w:tcPr>
                <w:p w14:paraId="746AC7B7">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c>
                <w:tcPr>
                  <w:tcW w:w="1144" w:type="dxa"/>
                  <w:tcBorders>
                    <w:tl2br w:val="nil"/>
                    <w:tr2bl w:val="nil"/>
                  </w:tcBorders>
                  <w:noWrap w:val="0"/>
                  <w:vAlign w:val="center"/>
                </w:tcPr>
                <w:p w14:paraId="106F142D">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375</w:t>
                  </w:r>
                  <w:r>
                    <w:rPr>
                      <w:rFonts w:hint="default" w:ascii="Times New Roman" w:hAnsi="Times New Roman" w:eastAsia="宋体" w:cs="Times New Roman"/>
                      <w:sz w:val="21"/>
                      <w:szCs w:val="21"/>
                    </w:rPr>
                    <w:t>g/L</w:t>
                  </w:r>
                </w:p>
              </w:tc>
              <w:tc>
                <w:tcPr>
                  <w:tcW w:w="1012" w:type="dxa"/>
                  <w:tcBorders>
                    <w:tl2br w:val="nil"/>
                    <w:tr2bl w:val="nil"/>
                  </w:tcBorders>
                  <w:noWrap w:val="0"/>
                  <w:vAlign w:val="center"/>
                </w:tcPr>
                <w:p w14:paraId="0B98FDDB">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15</w:t>
                  </w:r>
                </w:p>
              </w:tc>
            </w:tr>
            <w:tr w14:paraId="4645C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4CEF8295">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lang w:val="en-US" w:eastAsia="zh-CN"/>
                    </w:rPr>
                    <w:t>11</w:t>
                  </w:r>
                </w:p>
              </w:tc>
              <w:tc>
                <w:tcPr>
                  <w:tcW w:w="935" w:type="dxa"/>
                  <w:vMerge w:val="continue"/>
                  <w:tcBorders>
                    <w:tl2br w:val="nil"/>
                    <w:tr2bl w:val="nil"/>
                  </w:tcBorders>
                  <w:noWrap w:val="0"/>
                  <w:vAlign w:val="center"/>
                </w:tcPr>
                <w:p w14:paraId="571B180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sz w:val="21"/>
                      <w:szCs w:val="21"/>
                      <w:lang w:val="en-US" w:eastAsia="zh-CN"/>
                    </w:rPr>
                  </w:pPr>
                </w:p>
              </w:tc>
              <w:tc>
                <w:tcPr>
                  <w:tcW w:w="1283" w:type="dxa"/>
                  <w:gridSpan w:val="2"/>
                  <w:tcBorders>
                    <w:tl2br w:val="nil"/>
                    <w:tr2bl w:val="nil"/>
                  </w:tcBorders>
                  <w:noWrap w:val="0"/>
                  <w:vAlign w:val="center"/>
                </w:tcPr>
                <w:p w14:paraId="411152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液化石油气</w:t>
                  </w:r>
                </w:p>
              </w:tc>
              <w:tc>
                <w:tcPr>
                  <w:tcW w:w="2335" w:type="dxa"/>
                  <w:gridSpan w:val="3"/>
                  <w:tcBorders>
                    <w:tl2br w:val="nil"/>
                    <w:tr2bl w:val="nil"/>
                  </w:tcBorders>
                  <w:noWrap w:val="0"/>
                  <w:vAlign w:val="center"/>
                </w:tcPr>
                <w:p w14:paraId="786C98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40L</w:t>
                  </w:r>
                  <w:r>
                    <w:rPr>
                      <w:rFonts w:hint="eastAsia" w:ascii="Times New Roman" w:hAnsi="Times New Roman" w:cs="Times New Roman"/>
                      <w:sz w:val="21"/>
                      <w:szCs w:val="21"/>
                      <w:lang w:val="en-US" w:eastAsia="zh-CN"/>
                    </w:rPr>
                    <w:t>标准钢</w:t>
                  </w:r>
                  <w:r>
                    <w:rPr>
                      <w:rFonts w:hint="default" w:ascii="Times New Roman" w:hAnsi="Times New Roman" w:cs="Times New Roman"/>
                      <w:sz w:val="21"/>
                      <w:szCs w:val="21"/>
                    </w:rPr>
                    <w:t>瓶、</w:t>
                  </w:r>
                  <w:r>
                    <w:rPr>
                      <w:rFonts w:hint="default" w:ascii="Times New Roman" w:hAnsi="Times New Roman" w:cs="Times New Roman"/>
                      <w:color w:val="auto"/>
                      <w:sz w:val="21"/>
                      <w:szCs w:val="21"/>
                      <w:lang w:val="en-US" w:eastAsia="zh-CN"/>
                    </w:rPr>
                    <w:t>液态</w:t>
                  </w:r>
                </w:p>
              </w:tc>
              <w:tc>
                <w:tcPr>
                  <w:tcW w:w="1468" w:type="dxa"/>
                  <w:gridSpan w:val="3"/>
                  <w:tcBorders>
                    <w:tl2br w:val="nil"/>
                    <w:tr2bl w:val="nil"/>
                  </w:tcBorders>
                  <w:noWrap w:val="0"/>
                  <w:vAlign w:val="center"/>
                </w:tcPr>
                <w:p w14:paraId="1972D446">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c>
                <w:tcPr>
                  <w:tcW w:w="1144" w:type="dxa"/>
                  <w:tcBorders>
                    <w:tl2br w:val="nil"/>
                    <w:tr2bl w:val="nil"/>
                  </w:tcBorders>
                  <w:noWrap w:val="0"/>
                  <w:vAlign w:val="center"/>
                </w:tcPr>
                <w:p w14:paraId="4DAC7E25">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375</w:t>
                  </w:r>
                  <w:r>
                    <w:rPr>
                      <w:rFonts w:hint="default" w:ascii="Times New Roman" w:hAnsi="Times New Roman" w:eastAsia="宋体" w:cs="Times New Roman"/>
                      <w:sz w:val="21"/>
                      <w:szCs w:val="21"/>
                    </w:rPr>
                    <w:t>g/L</w:t>
                  </w:r>
                </w:p>
              </w:tc>
              <w:tc>
                <w:tcPr>
                  <w:tcW w:w="1012" w:type="dxa"/>
                  <w:tcBorders>
                    <w:tl2br w:val="nil"/>
                    <w:tr2bl w:val="nil"/>
                  </w:tcBorders>
                  <w:noWrap w:val="0"/>
                  <w:vAlign w:val="center"/>
                </w:tcPr>
                <w:p w14:paraId="6A2F8F4D">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r>
            <w:tr w14:paraId="41894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474A2218">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eastAsia="宋体" w:cs="Times New Roman"/>
                      <w:sz w:val="21"/>
                      <w:szCs w:val="21"/>
                      <w:lang w:val="en-US" w:eastAsia="zh-CN"/>
                    </w:rPr>
                    <w:t>12</w:t>
                  </w:r>
                </w:p>
              </w:tc>
              <w:tc>
                <w:tcPr>
                  <w:tcW w:w="935" w:type="dxa"/>
                  <w:vMerge w:val="restart"/>
                  <w:tcBorders>
                    <w:tl2br w:val="nil"/>
                    <w:tr2bl w:val="nil"/>
                  </w:tcBorders>
                  <w:noWrap w:val="0"/>
                  <w:vAlign w:val="center"/>
                </w:tcPr>
                <w:p w14:paraId="5FF497DD">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cs="Times New Roman"/>
                      <w:sz w:val="21"/>
                      <w:szCs w:val="21"/>
                      <w:lang w:val="en-US" w:eastAsia="zh-CN"/>
                    </w:rPr>
                  </w:pPr>
                  <w:r>
                    <w:rPr>
                      <w:rFonts w:hint="eastAsia" w:cs="Times New Roman"/>
                      <w:sz w:val="21"/>
                      <w:szCs w:val="21"/>
                      <w:lang w:val="en-US" w:eastAsia="zh-CN"/>
                    </w:rPr>
                    <w:t>甲类仓库</w:t>
                  </w:r>
                </w:p>
              </w:tc>
              <w:tc>
                <w:tcPr>
                  <w:tcW w:w="1283" w:type="dxa"/>
                  <w:gridSpan w:val="2"/>
                  <w:tcBorders>
                    <w:tl2br w:val="nil"/>
                    <w:tr2bl w:val="nil"/>
                  </w:tcBorders>
                  <w:shd w:val="clear" w:color="auto" w:fill="auto"/>
                  <w:noWrap w:val="0"/>
                  <w:vAlign w:val="center"/>
                </w:tcPr>
                <w:p w14:paraId="4098FCA9">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丙烷</w:t>
                  </w:r>
                </w:p>
              </w:tc>
              <w:tc>
                <w:tcPr>
                  <w:tcW w:w="2335" w:type="dxa"/>
                  <w:gridSpan w:val="3"/>
                  <w:tcBorders>
                    <w:tl2br w:val="nil"/>
                    <w:tr2bl w:val="nil"/>
                  </w:tcBorders>
                  <w:noWrap w:val="0"/>
                  <w:vAlign w:val="center"/>
                </w:tcPr>
                <w:p w14:paraId="214926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40L标准钢瓶</w:t>
                  </w:r>
                  <w:r>
                    <w:rPr>
                      <w:rFonts w:hint="eastAsia" w:cs="Times New Roman"/>
                      <w:color w:val="auto"/>
                      <w:sz w:val="21"/>
                      <w:szCs w:val="21"/>
                      <w:lang w:val="en-US" w:eastAsia="zh-CN"/>
                    </w:rPr>
                    <w:t>、气态</w:t>
                  </w:r>
                </w:p>
              </w:tc>
              <w:tc>
                <w:tcPr>
                  <w:tcW w:w="1468" w:type="dxa"/>
                  <w:gridSpan w:val="3"/>
                  <w:tcBorders>
                    <w:tl2br w:val="nil"/>
                    <w:tr2bl w:val="nil"/>
                  </w:tcBorders>
                  <w:noWrap w:val="0"/>
                  <w:vAlign w:val="center"/>
                </w:tcPr>
                <w:p w14:paraId="7E1A381A">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eastAsia="宋体" w:cs="Times New Roman"/>
                      <w:sz w:val="21"/>
                      <w:szCs w:val="21"/>
                      <w:lang w:val="en-US" w:eastAsia="zh-CN"/>
                    </w:rPr>
                    <w:t>/</w:t>
                  </w:r>
                </w:p>
              </w:tc>
              <w:tc>
                <w:tcPr>
                  <w:tcW w:w="1144" w:type="dxa"/>
                  <w:tcBorders>
                    <w:tl2br w:val="nil"/>
                    <w:tr2bl w:val="nil"/>
                  </w:tcBorders>
                  <w:noWrap w:val="0"/>
                  <w:vAlign w:val="center"/>
                </w:tcPr>
                <w:p w14:paraId="34CDD70B">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eastAsia="宋体" w:cs="Times New Roman"/>
                      <w:sz w:val="21"/>
                      <w:szCs w:val="21"/>
                      <w:lang w:val="en-US" w:eastAsia="zh-CN"/>
                    </w:rPr>
                    <w:t>300</w:t>
                  </w:r>
                  <w:r>
                    <w:rPr>
                      <w:rFonts w:hint="default" w:ascii="Times New Roman" w:hAnsi="Times New Roman" w:eastAsia="宋体" w:cs="Times New Roman"/>
                      <w:sz w:val="21"/>
                      <w:szCs w:val="21"/>
                    </w:rPr>
                    <w:t>g/L</w:t>
                  </w:r>
                </w:p>
              </w:tc>
              <w:tc>
                <w:tcPr>
                  <w:tcW w:w="1012" w:type="dxa"/>
                  <w:tcBorders>
                    <w:tl2br w:val="nil"/>
                    <w:tr2bl w:val="nil"/>
                  </w:tcBorders>
                  <w:noWrap w:val="0"/>
                  <w:vAlign w:val="center"/>
                </w:tcPr>
                <w:p w14:paraId="5D54E3AD">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12</w:t>
                  </w:r>
                </w:p>
              </w:tc>
            </w:tr>
            <w:tr w14:paraId="246A2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dxa"/>
                  <w:tcBorders>
                    <w:tl2br w:val="nil"/>
                    <w:tr2bl w:val="nil"/>
                  </w:tcBorders>
                  <w:noWrap w:val="0"/>
                  <w:vAlign w:val="center"/>
                </w:tcPr>
                <w:p w14:paraId="7E9F3390">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eastAsia="宋体" w:cs="Times New Roman"/>
                      <w:sz w:val="21"/>
                      <w:szCs w:val="21"/>
                      <w:lang w:val="en-US" w:eastAsia="zh-CN"/>
                    </w:rPr>
                    <w:t>13</w:t>
                  </w:r>
                </w:p>
              </w:tc>
              <w:tc>
                <w:tcPr>
                  <w:tcW w:w="935" w:type="dxa"/>
                  <w:vMerge w:val="continue"/>
                  <w:tcBorders>
                    <w:tl2br w:val="nil"/>
                    <w:tr2bl w:val="nil"/>
                  </w:tcBorders>
                  <w:noWrap w:val="0"/>
                  <w:vAlign w:val="center"/>
                </w:tcPr>
                <w:p w14:paraId="3CE256E7">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cs="Times New Roman"/>
                      <w:sz w:val="21"/>
                      <w:szCs w:val="21"/>
                      <w:lang w:val="en-US" w:eastAsia="zh-CN"/>
                    </w:rPr>
                  </w:pPr>
                </w:p>
              </w:tc>
              <w:tc>
                <w:tcPr>
                  <w:tcW w:w="1283" w:type="dxa"/>
                  <w:gridSpan w:val="2"/>
                  <w:tcBorders>
                    <w:tl2br w:val="nil"/>
                    <w:tr2bl w:val="nil"/>
                  </w:tcBorders>
                  <w:shd w:val="clear" w:color="auto" w:fill="auto"/>
                  <w:noWrap w:val="0"/>
                  <w:vAlign w:val="center"/>
                </w:tcPr>
                <w:p w14:paraId="09D57A52">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乙炔</w:t>
                  </w:r>
                </w:p>
              </w:tc>
              <w:tc>
                <w:tcPr>
                  <w:tcW w:w="2335" w:type="dxa"/>
                  <w:gridSpan w:val="3"/>
                  <w:tcBorders>
                    <w:tl2br w:val="nil"/>
                    <w:tr2bl w:val="nil"/>
                  </w:tcBorders>
                  <w:noWrap w:val="0"/>
                  <w:vAlign w:val="center"/>
                </w:tcPr>
                <w:p w14:paraId="7D0060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40L标准钢瓶</w:t>
                  </w:r>
                  <w:r>
                    <w:rPr>
                      <w:rFonts w:hint="eastAsia" w:cs="Times New Roman"/>
                      <w:color w:val="auto"/>
                      <w:sz w:val="21"/>
                      <w:szCs w:val="21"/>
                      <w:lang w:val="en-US" w:eastAsia="zh-CN"/>
                    </w:rPr>
                    <w:t>、气态</w:t>
                  </w:r>
                </w:p>
              </w:tc>
              <w:tc>
                <w:tcPr>
                  <w:tcW w:w="1468" w:type="dxa"/>
                  <w:gridSpan w:val="3"/>
                  <w:tcBorders>
                    <w:tl2br w:val="nil"/>
                    <w:tr2bl w:val="nil"/>
                  </w:tcBorders>
                  <w:noWrap w:val="0"/>
                  <w:vAlign w:val="center"/>
                </w:tcPr>
                <w:p w14:paraId="0F6774DC">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《溶解乙炔》（GB6819-2004）</w:t>
                  </w:r>
                </w:p>
              </w:tc>
              <w:tc>
                <w:tcPr>
                  <w:tcW w:w="1144" w:type="dxa"/>
                  <w:tcBorders>
                    <w:tl2br w:val="nil"/>
                    <w:tr2bl w:val="nil"/>
                  </w:tcBorders>
                  <w:noWrap w:val="0"/>
                  <w:vAlign w:val="center"/>
                </w:tcPr>
                <w:p w14:paraId="05934097">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eastAsia="宋体" w:cs="Times New Roman"/>
                      <w:sz w:val="21"/>
                      <w:szCs w:val="21"/>
                      <w:lang w:val="en-US" w:eastAsia="zh-CN"/>
                    </w:rPr>
                    <w:t>125</w:t>
                  </w:r>
                  <w:r>
                    <w:rPr>
                      <w:rFonts w:hint="default" w:ascii="Times New Roman" w:hAnsi="Times New Roman" w:eastAsia="宋体" w:cs="Times New Roman"/>
                      <w:sz w:val="21"/>
                      <w:szCs w:val="21"/>
                    </w:rPr>
                    <w:t>g/L</w:t>
                  </w:r>
                </w:p>
              </w:tc>
              <w:tc>
                <w:tcPr>
                  <w:tcW w:w="1012" w:type="dxa"/>
                  <w:tcBorders>
                    <w:tl2br w:val="nil"/>
                    <w:tr2bl w:val="nil"/>
                  </w:tcBorders>
                  <w:noWrap w:val="0"/>
                  <w:vAlign w:val="center"/>
                </w:tcPr>
                <w:p w14:paraId="662EDE9F">
                  <w:pPr>
                    <w:pStyle w:val="15"/>
                    <w:keepNext w:val="0"/>
                    <w:keepLines w:val="0"/>
                    <w:pageBreakBefore w:val="0"/>
                    <w:widowControl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5</w:t>
                  </w:r>
                </w:p>
              </w:tc>
            </w:tr>
          </w:tbl>
          <w:p w14:paraId="5E894F19">
            <w:pPr>
              <w:pStyle w:val="85"/>
              <w:bidi w:val="0"/>
              <w:jc w:val="both"/>
              <w:rPr>
                <w:rFonts w:hint="default"/>
                <w:b/>
                <w:bCs w:val="0"/>
                <w:color w:val="auto"/>
                <w:sz w:val="21"/>
                <w:szCs w:val="21"/>
                <w:lang w:val="en-US" w:eastAsia="zh-CN"/>
              </w:rPr>
            </w:pPr>
            <w:r>
              <w:rPr>
                <w:rFonts w:hint="default"/>
                <w:b/>
                <w:bCs w:val="0"/>
                <w:color w:val="auto"/>
                <w:sz w:val="21"/>
                <w:szCs w:val="21"/>
                <w:lang w:val="en-US" w:eastAsia="zh-CN"/>
              </w:rPr>
              <w:t>备注 ：根据业主提供的MSDS可知各液体密度，则储罐最大存储量计算：</w:t>
            </w:r>
          </w:p>
          <w:p w14:paraId="7D83200A">
            <w:pPr>
              <w:pStyle w:val="85"/>
              <w:numPr>
                <w:ilvl w:val="0"/>
                <w:numId w:val="3"/>
              </w:numPr>
              <w:bidi w:val="0"/>
              <w:jc w:val="both"/>
              <w:rPr>
                <w:rFonts w:hint="eastAsia"/>
                <w:b w:val="0"/>
                <w:bCs/>
                <w:color w:val="auto"/>
                <w:sz w:val="21"/>
                <w:szCs w:val="21"/>
                <w:lang w:val="en-US" w:eastAsia="zh-CN"/>
              </w:rPr>
            </w:pPr>
            <w:r>
              <w:rPr>
                <w:rFonts w:hint="default"/>
                <w:b w:val="0"/>
                <w:bCs/>
                <w:color w:val="auto"/>
                <w:sz w:val="21"/>
                <w:szCs w:val="21"/>
                <w:lang w:val="en-US" w:eastAsia="zh-CN"/>
              </w:rPr>
              <w:t>1个</w:t>
            </w:r>
            <w:r>
              <w:rPr>
                <w:rFonts w:hint="eastAsia"/>
                <w:b w:val="0"/>
                <w:bCs/>
                <w:color w:val="auto"/>
                <w:sz w:val="21"/>
                <w:szCs w:val="21"/>
                <w:lang w:val="en-US" w:eastAsia="zh-CN"/>
              </w:rPr>
              <w:t>3000</w:t>
            </w:r>
            <w:r>
              <w:rPr>
                <w:rFonts w:hint="default"/>
                <w:b w:val="0"/>
                <w:bCs/>
                <w:color w:val="auto"/>
                <w:sz w:val="21"/>
                <w:szCs w:val="21"/>
                <w:lang w:val="en-US" w:eastAsia="zh-CN"/>
              </w:rPr>
              <w:t>m³液态氧气储罐、1个30m³的医用氧储罐、1个30m³的</w:t>
            </w:r>
            <w:r>
              <w:rPr>
                <w:rFonts w:hint="eastAsia"/>
                <w:b w:val="0"/>
                <w:bCs/>
                <w:color w:val="auto"/>
                <w:sz w:val="21"/>
                <w:szCs w:val="21"/>
                <w:lang w:val="en-US" w:eastAsia="zh-CN"/>
              </w:rPr>
              <w:t>高纯氧</w:t>
            </w:r>
            <w:r>
              <w:rPr>
                <w:rFonts w:hint="default"/>
                <w:b w:val="0"/>
                <w:bCs/>
                <w:color w:val="auto"/>
                <w:sz w:val="21"/>
                <w:szCs w:val="21"/>
                <w:lang w:val="en-US" w:eastAsia="zh-CN"/>
              </w:rPr>
              <w:t>储罐、</w:t>
            </w:r>
            <w:r>
              <w:rPr>
                <w:rFonts w:hint="eastAsia"/>
                <w:b w:val="0"/>
                <w:bCs/>
                <w:color w:val="auto"/>
                <w:sz w:val="21"/>
                <w:szCs w:val="21"/>
                <w:lang w:val="en-US" w:eastAsia="zh-CN"/>
              </w:rPr>
              <w:t>1个</w:t>
            </w:r>
            <w:r>
              <w:rPr>
                <w:rFonts w:hint="default"/>
                <w:b w:val="0"/>
                <w:bCs/>
                <w:color w:val="auto"/>
                <w:sz w:val="21"/>
                <w:szCs w:val="21"/>
                <w:lang w:val="en-US" w:eastAsia="zh-CN"/>
              </w:rPr>
              <w:t>50m³工业氧气储罐</w:t>
            </w:r>
            <w:r>
              <w:rPr>
                <w:rFonts w:hint="eastAsia"/>
                <w:b w:val="0"/>
                <w:bCs/>
                <w:color w:val="auto"/>
                <w:sz w:val="21"/>
                <w:szCs w:val="21"/>
                <w:lang w:val="en-US" w:eastAsia="zh-CN"/>
              </w:rPr>
              <w:t>，储罐充装系数取0.85，则液氧的最大储存</w:t>
            </w:r>
            <w:r>
              <w:rPr>
                <w:rFonts w:hint="default"/>
                <w:b w:val="0"/>
                <w:bCs/>
                <w:color w:val="auto"/>
                <w:sz w:val="21"/>
                <w:szCs w:val="21"/>
                <w:lang w:val="en-US" w:eastAsia="zh-CN"/>
              </w:rPr>
              <w:t>重量：</w:t>
            </w:r>
            <w:r>
              <w:rPr>
                <w:rFonts w:hint="eastAsia"/>
                <w:b w:val="0"/>
                <w:bCs/>
                <w:color w:val="auto"/>
                <w:sz w:val="21"/>
                <w:szCs w:val="21"/>
                <w:lang w:val="en-US" w:eastAsia="zh-CN"/>
              </w:rPr>
              <w:t>3</w:t>
            </w:r>
            <w:r>
              <w:rPr>
                <w:rFonts w:hint="default"/>
                <w:b w:val="0"/>
                <w:bCs/>
                <w:color w:val="auto"/>
                <w:sz w:val="21"/>
                <w:szCs w:val="21"/>
                <w:lang w:val="en-US" w:eastAsia="zh-CN"/>
              </w:rPr>
              <w:t>110m³×1.14t/m³×</w:t>
            </w:r>
            <w:r>
              <w:rPr>
                <w:rFonts w:hint="eastAsia"/>
                <w:b w:val="0"/>
                <w:bCs/>
                <w:color w:val="auto"/>
                <w:sz w:val="21"/>
                <w:szCs w:val="21"/>
                <w:lang w:val="en-US" w:eastAsia="zh-CN"/>
              </w:rPr>
              <w:t xml:space="preserve">0.85 </w:t>
            </w:r>
            <w:r>
              <w:rPr>
                <w:rFonts w:hint="default"/>
                <w:b w:val="0"/>
                <w:bCs/>
                <w:color w:val="auto"/>
                <w:sz w:val="21"/>
                <w:szCs w:val="21"/>
                <w:lang w:val="en-US" w:eastAsia="zh-CN"/>
              </w:rPr>
              <w:t>=</w:t>
            </w:r>
            <w:r>
              <w:rPr>
                <w:rFonts w:hint="eastAsia"/>
                <w:b w:val="0"/>
                <w:bCs/>
                <w:color w:val="auto"/>
                <w:sz w:val="21"/>
                <w:szCs w:val="21"/>
                <w:lang w:val="en-US" w:eastAsia="zh-CN"/>
              </w:rPr>
              <w:t xml:space="preserve"> 3013.59</w:t>
            </w:r>
            <w:r>
              <w:rPr>
                <w:rFonts w:hint="default"/>
                <w:b w:val="0"/>
                <w:bCs/>
                <w:color w:val="auto"/>
                <w:sz w:val="21"/>
                <w:szCs w:val="21"/>
                <w:lang w:val="en-US" w:eastAsia="zh-CN"/>
              </w:rPr>
              <w:t>t</w:t>
            </w:r>
            <w:r>
              <w:rPr>
                <w:rFonts w:hint="eastAsia"/>
                <w:b w:val="0"/>
                <w:bCs/>
                <w:color w:val="auto"/>
                <w:sz w:val="21"/>
                <w:szCs w:val="21"/>
                <w:lang w:val="en-US" w:eastAsia="zh-CN"/>
              </w:rPr>
              <w:t>；</w:t>
            </w:r>
          </w:p>
          <w:p w14:paraId="2611657C">
            <w:pPr>
              <w:pStyle w:val="85"/>
              <w:numPr>
                <w:ilvl w:val="0"/>
                <w:numId w:val="3"/>
              </w:numPr>
              <w:bidi w:val="0"/>
              <w:jc w:val="both"/>
              <w:rPr>
                <w:rFonts w:hint="default"/>
                <w:b w:val="0"/>
                <w:bCs/>
                <w:color w:val="auto"/>
                <w:sz w:val="21"/>
                <w:szCs w:val="21"/>
                <w:lang w:val="en-US" w:eastAsia="zh-CN"/>
              </w:rPr>
            </w:pPr>
            <w:r>
              <w:rPr>
                <w:rFonts w:hint="default"/>
                <w:b w:val="0"/>
                <w:bCs/>
                <w:color w:val="auto"/>
                <w:sz w:val="21"/>
                <w:szCs w:val="21"/>
                <w:lang w:val="en-US" w:eastAsia="zh-CN"/>
              </w:rPr>
              <w:t>1个</w:t>
            </w:r>
            <w:r>
              <w:rPr>
                <w:rFonts w:hint="eastAsia"/>
                <w:b w:val="0"/>
                <w:bCs/>
                <w:color w:val="auto"/>
                <w:sz w:val="21"/>
                <w:szCs w:val="21"/>
                <w:lang w:val="en-US" w:eastAsia="zh-CN"/>
              </w:rPr>
              <w:t>300</w:t>
            </w:r>
            <w:r>
              <w:rPr>
                <w:rFonts w:hint="default"/>
                <w:b w:val="0"/>
                <w:bCs/>
                <w:color w:val="auto"/>
                <w:sz w:val="21"/>
                <w:szCs w:val="21"/>
                <w:lang w:val="en-US" w:eastAsia="zh-CN"/>
              </w:rPr>
              <w:t>0m³液态氮气储罐</w:t>
            </w:r>
            <w:r>
              <w:rPr>
                <w:rFonts w:hint="eastAsia"/>
                <w:b w:val="0"/>
                <w:bCs/>
                <w:color w:val="auto"/>
                <w:sz w:val="21"/>
                <w:szCs w:val="21"/>
                <w:lang w:val="en-US" w:eastAsia="zh-CN"/>
              </w:rPr>
              <w:t>、</w:t>
            </w:r>
            <w:r>
              <w:rPr>
                <w:rFonts w:hint="default"/>
                <w:b w:val="0"/>
                <w:bCs/>
                <w:color w:val="auto"/>
                <w:sz w:val="21"/>
                <w:szCs w:val="21"/>
                <w:lang w:val="en-US" w:eastAsia="zh-CN"/>
              </w:rPr>
              <w:t>1个50m³液态氮气储罐</w:t>
            </w:r>
            <w:r>
              <w:rPr>
                <w:rFonts w:hint="eastAsia"/>
                <w:b w:val="0"/>
                <w:bCs/>
                <w:color w:val="auto"/>
                <w:sz w:val="21"/>
                <w:szCs w:val="21"/>
                <w:lang w:val="en-US" w:eastAsia="zh-CN"/>
              </w:rPr>
              <w:t>，储罐充装系数取0.85，则液氮的最大储存</w:t>
            </w:r>
            <w:r>
              <w:rPr>
                <w:rFonts w:hint="default"/>
                <w:b w:val="0"/>
                <w:bCs/>
                <w:color w:val="auto"/>
                <w:sz w:val="21"/>
                <w:szCs w:val="21"/>
                <w:lang w:val="en-US" w:eastAsia="zh-CN"/>
              </w:rPr>
              <w:t>重量：</w:t>
            </w:r>
            <w:r>
              <w:rPr>
                <w:rFonts w:hint="eastAsia"/>
                <w:b w:val="0"/>
                <w:bCs/>
                <w:color w:val="auto"/>
                <w:sz w:val="21"/>
                <w:szCs w:val="21"/>
                <w:lang w:val="en-US" w:eastAsia="zh-CN"/>
              </w:rPr>
              <w:t>30</w:t>
            </w:r>
            <w:r>
              <w:rPr>
                <w:rFonts w:hint="default"/>
                <w:b w:val="0"/>
                <w:bCs/>
                <w:color w:val="auto"/>
                <w:sz w:val="21"/>
                <w:szCs w:val="21"/>
                <w:lang w:val="en-US" w:eastAsia="zh-CN"/>
              </w:rPr>
              <w:t>50m³×0.81t/m³×</w:t>
            </w:r>
            <w:r>
              <w:rPr>
                <w:rFonts w:hint="eastAsia"/>
                <w:b w:val="0"/>
                <w:bCs/>
                <w:color w:val="auto"/>
                <w:sz w:val="21"/>
                <w:szCs w:val="21"/>
                <w:lang w:val="en-US" w:eastAsia="zh-CN"/>
              </w:rPr>
              <w:t xml:space="preserve">0.85 </w:t>
            </w:r>
            <w:r>
              <w:rPr>
                <w:rFonts w:hint="default"/>
                <w:b w:val="0"/>
                <w:bCs/>
                <w:color w:val="auto"/>
                <w:sz w:val="21"/>
                <w:szCs w:val="21"/>
                <w:lang w:val="en-US" w:eastAsia="zh-CN"/>
              </w:rPr>
              <w:t>=</w:t>
            </w:r>
            <w:r>
              <w:rPr>
                <w:rFonts w:hint="eastAsia"/>
                <w:b w:val="0"/>
                <w:bCs/>
                <w:color w:val="auto"/>
                <w:sz w:val="21"/>
                <w:szCs w:val="21"/>
                <w:lang w:val="en-US" w:eastAsia="zh-CN"/>
              </w:rPr>
              <w:t xml:space="preserve"> 2099.925</w:t>
            </w:r>
            <w:r>
              <w:rPr>
                <w:rFonts w:hint="default"/>
                <w:b w:val="0"/>
                <w:bCs/>
                <w:color w:val="auto"/>
                <w:sz w:val="21"/>
                <w:szCs w:val="21"/>
                <w:lang w:val="en-US" w:eastAsia="zh-CN"/>
              </w:rPr>
              <w:t>t</w:t>
            </w:r>
            <w:r>
              <w:rPr>
                <w:rFonts w:hint="eastAsia"/>
                <w:b w:val="0"/>
                <w:bCs/>
                <w:color w:val="auto"/>
                <w:sz w:val="21"/>
                <w:szCs w:val="21"/>
                <w:lang w:val="en-US" w:eastAsia="zh-CN"/>
              </w:rPr>
              <w:t>；</w:t>
            </w:r>
          </w:p>
          <w:p w14:paraId="463834F0">
            <w:pPr>
              <w:pStyle w:val="85"/>
              <w:bidi w:val="0"/>
              <w:jc w:val="both"/>
              <w:rPr>
                <w:rFonts w:hint="default"/>
                <w:b w:val="0"/>
                <w:bCs/>
                <w:color w:val="auto"/>
                <w:sz w:val="21"/>
                <w:szCs w:val="21"/>
                <w:lang w:val="en-US" w:eastAsia="zh-CN"/>
              </w:rPr>
            </w:pPr>
            <w:r>
              <w:rPr>
                <w:rFonts w:hint="eastAsia"/>
                <w:b w:val="0"/>
                <w:bCs/>
                <w:color w:val="auto"/>
                <w:sz w:val="21"/>
                <w:szCs w:val="21"/>
                <w:lang w:val="en-US" w:eastAsia="zh-CN"/>
              </w:rPr>
              <w:t>③ 3</w:t>
            </w:r>
            <w:r>
              <w:rPr>
                <w:rFonts w:hint="default"/>
                <w:b w:val="0"/>
                <w:bCs/>
                <w:color w:val="auto"/>
                <w:sz w:val="21"/>
                <w:szCs w:val="21"/>
                <w:lang w:val="en-US" w:eastAsia="zh-CN"/>
              </w:rPr>
              <w:t>个50m³液态氩气储罐</w:t>
            </w:r>
            <w:r>
              <w:rPr>
                <w:rFonts w:hint="eastAsia"/>
                <w:b w:val="0"/>
                <w:bCs/>
                <w:color w:val="auto"/>
                <w:sz w:val="21"/>
                <w:szCs w:val="21"/>
                <w:lang w:val="en-US" w:eastAsia="zh-CN"/>
              </w:rPr>
              <w:t>，储罐充装系数取0.85，则液氩的最大储存</w:t>
            </w:r>
            <w:r>
              <w:rPr>
                <w:rFonts w:hint="default"/>
                <w:b w:val="0"/>
                <w:bCs/>
                <w:color w:val="auto"/>
                <w:sz w:val="21"/>
                <w:szCs w:val="21"/>
                <w:lang w:val="en-US" w:eastAsia="zh-CN"/>
              </w:rPr>
              <w:t>重量：1</w:t>
            </w:r>
            <w:r>
              <w:rPr>
                <w:rFonts w:hint="eastAsia"/>
                <w:b w:val="0"/>
                <w:bCs/>
                <w:color w:val="auto"/>
                <w:sz w:val="21"/>
                <w:szCs w:val="21"/>
                <w:lang w:val="en-US" w:eastAsia="zh-CN"/>
              </w:rPr>
              <w:t>5</w:t>
            </w:r>
            <w:r>
              <w:rPr>
                <w:rFonts w:hint="default"/>
                <w:b w:val="0"/>
                <w:bCs/>
                <w:color w:val="auto"/>
                <w:sz w:val="21"/>
                <w:szCs w:val="21"/>
                <w:lang w:val="en-US" w:eastAsia="zh-CN"/>
              </w:rPr>
              <w:t>0m³×1.41t/m³×</w:t>
            </w:r>
            <w:r>
              <w:rPr>
                <w:rFonts w:hint="eastAsia"/>
                <w:b w:val="0"/>
                <w:bCs/>
                <w:color w:val="auto"/>
                <w:sz w:val="21"/>
                <w:szCs w:val="21"/>
                <w:lang w:val="en-US" w:eastAsia="zh-CN"/>
              </w:rPr>
              <w:t xml:space="preserve">0.85 </w:t>
            </w:r>
            <w:r>
              <w:rPr>
                <w:rFonts w:hint="default"/>
                <w:b w:val="0"/>
                <w:bCs/>
                <w:color w:val="auto"/>
                <w:sz w:val="21"/>
                <w:szCs w:val="21"/>
                <w:lang w:val="en-US" w:eastAsia="zh-CN"/>
              </w:rPr>
              <w:t>=</w:t>
            </w:r>
            <w:r>
              <w:rPr>
                <w:rFonts w:hint="eastAsia"/>
                <w:b w:val="0"/>
                <w:bCs/>
                <w:color w:val="auto"/>
                <w:sz w:val="21"/>
                <w:szCs w:val="21"/>
                <w:lang w:val="en-US" w:eastAsia="zh-CN"/>
              </w:rPr>
              <w:t xml:space="preserve"> 179.775</w:t>
            </w:r>
            <w:r>
              <w:rPr>
                <w:rFonts w:hint="default"/>
                <w:b w:val="0"/>
                <w:bCs/>
                <w:color w:val="auto"/>
                <w:sz w:val="21"/>
                <w:szCs w:val="21"/>
                <w:lang w:val="en-US" w:eastAsia="zh-CN"/>
              </w:rPr>
              <w:t>t</w:t>
            </w:r>
            <w:r>
              <w:rPr>
                <w:rFonts w:hint="eastAsia"/>
                <w:b w:val="0"/>
                <w:bCs/>
                <w:color w:val="auto"/>
                <w:sz w:val="21"/>
                <w:szCs w:val="21"/>
                <w:lang w:val="en-US" w:eastAsia="zh-CN"/>
              </w:rPr>
              <w:t>；</w:t>
            </w:r>
          </w:p>
          <w:p w14:paraId="50BBE358">
            <w:pPr>
              <w:pStyle w:val="85"/>
              <w:bidi w:val="0"/>
              <w:jc w:val="both"/>
              <w:rPr>
                <w:rFonts w:hint="default"/>
                <w:b w:val="0"/>
                <w:bCs/>
                <w:color w:val="auto"/>
                <w:sz w:val="21"/>
                <w:szCs w:val="21"/>
                <w:lang w:val="en-US" w:eastAsia="zh-CN"/>
              </w:rPr>
            </w:pPr>
            <w:r>
              <w:rPr>
                <w:rFonts w:hint="eastAsia"/>
                <w:b w:val="0"/>
                <w:bCs/>
                <w:color w:val="auto"/>
                <w:sz w:val="21"/>
                <w:szCs w:val="21"/>
                <w:lang w:val="en-US" w:eastAsia="zh-CN"/>
              </w:rPr>
              <w:t xml:space="preserve">④ </w:t>
            </w:r>
            <w:r>
              <w:rPr>
                <w:rFonts w:hint="default"/>
                <w:b w:val="0"/>
                <w:bCs/>
                <w:color w:val="auto"/>
                <w:sz w:val="21"/>
                <w:szCs w:val="21"/>
                <w:lang w:val="en-US" w:eastAsia="zh-CN"/>
              </w:rPr>
              <w:t>1个50m³液态二氧化碳储罐</w:t>
            </w:r>
            <w:r>
              <w:rPr>
                <w:rFonts w:hint="eastAsia"/>
                <w:b w:val="0"/>
                <w:bCs/>
                <w:color w:val="auto"/>
                <w:sz w:val="21"/>
                <w:szCs w:val="21"/>
                <w:lang w:val="en-US" w:eastAsia="zh-CN"/>
              </w:rPr>
              <w:t>，储罐充装系数取0.85，则液</w:t>
            </w:r>
            <w:r>
              <w:rPr>
                <w:rFonts w:hint="default"/>
                <w:b w:val="0"/>
                <w:bCs/>
                <w:color w:val="auto"/>
                <w:sz w:val="21"/>
                <w:szCs w:val="21"/>
                <w:lang w:val="en-US" w:eastAsia="zh-CN"/>
              </w:rPr>
              <w:t>态二氧化碳</w:t>
            </w:r>
            <w:r>
              <w:rPr>
                <w:rFonts w:hint="eastAsia"/>
                <w:b w:val="0"/>
                <w:bCs/>
                <w:color w:val="auto"/>
                <w:sz w:val="21"/>
                <w:szCs w:val="21"/>
                <w:lang w:val="en-US" w:eastAsia="zh-CN"/>
              </w:rPr>
              <w:t>的最大储存量</w:t>
            </w:r>
            <w:r>
              <w:rPr>
                <w:rFonts w:hint="default"/>
                <w:b w:val="0"/>
                <w:bCs/>
                <w:color w:val="auto"/>
                <w:sz w:val="21"/>
                <w:szCs w:val="21"/>
                <w:lang w:val="en-US" w:eastAsia="zh-CN"/>
              </w:rPr>
              <w:t>：50m³×</w:t>
            </w:r>
            <w:r>
              <w:rPr>
                <w:rFonts w:hint="eastAsia"/>
                <w:b w:val="0"/>
                <w:bCs/>
                <w:color w:val="auto"/>
                <w:sz w:val="21"/>
                <w:szCs w:val="21"/>
                <w:lang w:val="en-US" w:eastAsia="zh-CN"/>
              </w:rPr>
              <w:t>1.102</w:t>
            </w:r>
            <w:r>
              <w:rPr>
                <w:rFonts w:hint="default"/>
                <w:b w:val="0"/>
                <w:bCs/>
                <w:color w:val="auto"/>
                <w:sz w:val="21"/>
                <w:szCs w:val="21"/>
                <w:lang w:val="en-US" w:eastAsia="zh-CN"/>
              </w:rPr>
              <w:t>t/m³×</w:t>
            </w:r>
            <w:r>
              <w:rPr>
                <w:rFonts w:hint="eastAsia"/>
                <w:b w:val="0"/>
                <w:bCs/>
                <w:color w:val="auto"/>
                <w:sz w:val="21"/>
                <w:szCs w:val="21"/>
                <w:lang w:val="en-US" w:eastAsia="zh-CN"/>
              </w:rPr>
              <w:t xml:space="preserve">0.85 </w:t>
            </w:r>
            <w:r>
              <w:rPr>
                <w:rFonts w:hint="default"/>
                <w:b w:val="0"/>
                <w:bCs/>
                <w:color w:val="auto"/>
                <w:sz w:val="21"/>
                <w:szCs w:val="21"/>
                <w:lang w:val="en-US" w:eastAsia="zh-CN"/>
              </w:rPr>
              <w:t>=</w:t>
            </w:r>
            <w:r>
              <w:rPr>
                <w:rFonts w:hint="eastAsia"/>
                <w:b w:val="0"/>
                <w:bCs/>
                <w:color w:val="auto"/>
                <w:sz w:val="21"/>
                <w:szCs w:val="21"/>
                <w:lang w:val="en-US" w:eastAsia="zh-CN"/>
              </w:rPr>
              <w:t xml:space="preserve"> 46.835</w:t>
            </w:r>
            <w:r>
              <w:rPr>
                <w:rFonts w:hint="default"/>
                <w:b w:val="0"/>
                <w:bCs/>
                <w:color w:val="auto"/>
                <w:sz w:val="21"/>
                <w:szCs w:val="21"/>
                <w:lang w:val="en-US" w:eastAsia="zh-CN"/>
              </w:rPr>
              <w:t>t</w:t>
            </w:r>
            <w:r>
              <w:rPr>
                <w:rFonts w:hint="eastAsia"/>
                <w:b w:val="0"/>
                <w:bCs/>
                <w:color w:val="auto"/>
                <w:sz w:val="21"/>
                <w:szCs w:val="21"/>
                <w:lang w:val="en-US" w:eastAsia="zh-CN"/>
              </w:rPr>
              <w:t>；</w:t>
            </w:r>
          </w:p>
          <w:p w14:paraId="40039F3C">
            <w:pPr>
              <w:pStyle w:val="85"/>
              <w:bidi w:val="0"/>
              <w:jc w:val="both"/>
              <w:rPr>
                <w:rFonts w:hint="default"/>
                <w:b w:val="0"/>
                <w:bCs/>
                <w:color w:val="auto"/>
                <w:sz w:val="21"/>
                <w:szCs w:val="21"/>
                <w:lang w:val="en-US" w:eastAsia="zh-CN"/>
              </w:rPr>
            </w:pPr>
            <w:r>
              <w:rPr>
                <w:rFonts w:hint="eastAsia"/>
                <w:b w:val="0"/>
                <w:bCs/>
                <w:color w:val="auto"/>
                <w:sz w:val="21"/>
                <w:szCs w:val="21"/>
                <w:lang w:val="en-US" w:eastAsia="zh-CN"/>
              </w:rPr>
              <w:t xml:space="preserve">⑤ </w:t>
            </w:r>
            <w:r>
              <w:rPr>
                <w:rFonts w:hint="default"/>
                <w:b w:val="0"/>
                <w:bCs/>
                <w:color w:val="auto"/>
                <w:sz w:val="21"/>
                <w:szCs w:val="21"/>
                <w:lang w:val="en-US" w:eastAsia="zh-CN"/>
              </w:rPr>
              <w:t>2个</w:t>
            </w:r>
            <w:r>
              <w:rPr>
                <w:rFonts w:hint="eastAsia"/>
                <w:b w:val="0"/>
                <w:bCs/>
                <w:color w:val="auto"/>
                <w:sz w:val="21"/>
                <w:szCs w:val="21"/>
                <w:lang w:val="en-US" w:eastAsia="zh-CN"/>
              </w:rPr>
              <w:t>50</w:t>
            </w:r>
            <w:r>
              <w:rPr>
                <w:rFonts w:hint="default"/>
                <w:b w:val="0"/>
                <w:bCs/>
                <w:color w:val="auto"/>
                <w:sz w:val="21"/>
                <w:szCs w:val="21"/>
                <w:lang w:val="en-US" w:eastAsia="zh-CN"/>
              </w:rPr>
              <w:t>m³液态丙烷储罐</w:t>
            </w:r>
            <w:r>
              <w:rPr>
                <w:rFonts w:hint="eastAsia"/>
                <w:b w:val="0"/>
                <w:bCs/>
                <w:color w:val="auto"/>
                <w:sz w:val="21"/>
                <w:szCs w:val="21"/>
                <w:lang w:val="en-US" w:eastAsia="zh-CN"/>
              </w:rPr>
              <w:t>，储罐充装系数取0.85，则液</w:t>
            </w:r>
            <w:r>
              <w:rPr>
                <w:rFonts w:hint="default"/>
                <w:b w:val="0"/>
                <w:bCs/>
                <w:color w:val="auto"/>
                <w:sz w:val="21"/>
                <w:szCs w:val="21"/>
                <w:lang w:val="en-US" w:eastAsia="zh-CN"/>
              </w:rPr>
              <w:t>态丙烷</w:t>
            </w:r>
            <w:r>
              <w:rPr>
                <w:rFonts w:hint="eastAsia"/>
                <w:b w:val="0"/>
                <w:bCs/>
                <w:color w:val="auto"/>
                <w:sz w:val="21"/>
                <w:szCs w:val="21"/>
                <w:lang w:val="en-US" w:eastAsia="zh-CN"/>
              </w:rPr>
              <w:t>的最大储存</w:t>
            </w:r>
            <w:r>
              <w:rPr>
                <w:rFonts w:hint="default"/>
                <w:b w:val="0"/>
                <w:bCs/>
                <w:color w:val="auto"/>
                <w:sz w:val="21"/>
                <w:szCs w:val="21"/>
                <w:lang w:val="en-US" w:eastAsia="zh-CN"/>
              </w:rPr>
              <w:t>量：</w:t>
            </w:r>
            <w:r>
              <w:rPr>
                <w:rFonts w:hint="eastAsia"/>
                <w:b w:val="0"/>
                <w:bCs/>
                <w:color w:val="auto"/>
                <w:sz w:val="21"/>
                <w:szCs w:val="21"/>
                <w:lang w:val="en-US" w:eastAsia="zh-CN"/>
              </w:rPr>
              <w:t>10</w:t>
            </w:r>
            <w:r>
              <w:rPr>
                <w:rFonts w:hint="default"/>
                <w:b w:val="0"/>
                <w:bCs/>
                <w:color w:val="auto"/>
                <w:sz w:val="21"/>
                <w:szCs w:val="21"/>
                <w:lang w:val="en-US" w:eastAsia="zh-CN"/>
              </w:rPr>
              <w:t>0m³×</w:t>
            </w:r>
            <w:r>
              <w:rPr>
                <w:rFonts w:hint="eastAsia"/>
                <w:b w:val="0"/>
                <w:bCs/>
                <w:color w:val="auto"/>
                <w:sz w:val="21"/>
                <w:szCs w:val="21"/>
                <w:lang w:val="en-US" w:eastAsia="zh-CN"/>
              </w:rPr>
              <w:t>0.58</w:t>
            </w:r>
            <w:r>
              <w:rPr>
                <w:rFonts w:hint="default"/>
                <w:b w:val="0"/>
                <w:bCs/>
                <w:color w:val="auto"/>
                <w:sz w:val="21"/>
                <w:szCs w:val="21"/>
                <w:lang w:val="en-US" w:eastAsia="zh-CN"/>
              </w:rPr>
              <w:t>t/m³×</w:t>
            </w:r>
            <w:r>
              <w:rPr>
                <w:rFonts w:hint="eastAsia"/>
                <w:b w:val="0"/>
                <w:bCs/>
                <w:color w:val="auto"/>
                <w:sz w:val="21"/>
                <w:szCs w:val="21"/>
                <w:lang w:val="en-US" w:eastAsia="zh-CN"/>
              </w:rPr>
              <w:t xml:space="preserve">0.85 </w:t>
            </w:r>
            <w:r>
              <w:rPr>
                <w:rFonts w:hint="default"/>
                <w:b w:val="0"/>
                <w:bCs/>
                <w:color w:val="auto"/>
                <w:sz w:val="21"/>
                <w:szCs w:val="21"/>
                <w:lang w:val="en-US" w:eastAsia="zh-CN"/>
              </w:rPr>
              <w:t>=</w:t>
            </w:r>
            <w:r>
              <w:rPr>
                <w:rFonts w:hint="eastAsia"/>
                <w:b w:val="0"/>
                <w:bCs/>
                <w:color w:val="auto"/>
                <w:sz w:val="21"/>
                <w:szCs w:val="21"/>
                <w:lang w:val="en-US" w:eastAsia="zh-CN"/>
              </w:rPr>
              <w:t xml:space="preserve"> 49.3</w:t>
            </w:r>
            <w:r>
              <w:rPr>
                <w:rFonts w:hint="default"/>
                <w:b w:val="0"/>
                <w:bCs/>
                <w:color w:val="auto"/>
                <w:sz w:val="21"/>
                <w:szCs w:val="21"/>
                <w:lang w:val="en-US" w:eastAsia="zh-CN"/>
              </w:rPr>
              <w:t>t</w:t>
            </w:r>
            <w:r>
              <w:rPr>
                <w:rFonts w:hint="eastAsia"/>
                <w:b w:val="0"/>
                <w:bCs/>
                <w:color w:val="auto"/>
                <w:sz w:val="21"/>
                <w:szCs w:val="21"/>
                <w:lang w:val="en-US" w:eastAsia="zh-CN"/>
              </w:rPr>
              <w:t>；</w:t>
            </w:r>
          </w:p>
          <w:p w14:paraId="2652B5B8">
            <w:pPr>
              <w:pStyle w:val="85"/>
              <w:bidi w:val="0"/>
              <w:jc w:val="both"/>
              <w:rPr>
                <w:rFonts w:hint="default"/>
                <w:b w:val="0"/>
                <w:bCs/>
                <w:color w:val="auto"/>
                <w:sz w:val="21"/>
                <w:szCs w:val="21"/>
                <w:lang w:val="en-US" w:eastAsia="zh-CN"/>
              </w:rPr>
            </w:pPr>
            <w:r>
              <w:rPr>
                <w:rFonts w:hint="eastAsia"/>
                <w:b w:val="0"/>
                <w:bCs/>
                <w:color w:val="auto"/>
                <w:sz w:val="21"/>
                <w:szCs w:val="21"/>
                <w:lang w:val="en-US" w:eastAsia="zh-CN"/>
              </w:rPr>
              <w:t xml:space="preserve">⑥ </w:t>
            </w:r>
            <w:r>
              <w:rPr>
                <w:rFonts w:hint="default"/>
                <w:b w:val="0"/>
                <w:bCs/>
                <w:color w:val="auto"/>
                <w:sz w:val="21"/>
                <w:szCs w:val="21"/>
                <w:lang w:val="en-US" w:eastAsia="zh-CN"/>
              </w:rPr>
              <w:t>2个</w:t>
            </w:r>
            <w:r>
              <w:rPr>
                <w:rFonts w:hint="eastAsia"/>
                <w:b w:val="0"/>
                <w:bCs/>
                <w:color w:val="auto"/>
                <w:sz w:val="21"/>
                <w:szCs w:val="21"/>
                <w:lang w:val="en-US" w:eastAsia="zh-CN"/>
              </w:rPr>
              <w:t>50</w:t>
            </w:r>
            <w:r>
              <w:rPr>
                <w:rFonts w:hint="default"/>
                <w:b w:val="0"/>
                <w:bCs/>
                <w:color w:val="auto"/>
                <w:sz w:val="21"/>
                <w:szCs w:val="21"/>
                <w:lang w:val="en-US" w:eastAsia="zh-CN"/>
              </w:rPr>
              <w:t>m³液</w:t>
            </w:r>
            <w:r>
              <w:rPr>
                <w:rFonts w:hint="eastAsia"/>
                <w:b w:val="0"/>
                <w:bCs/>
                <w:color w:val="auto"/>
                <w:sz w:val="21"/>
                <w:szCs w:val="21"/>
                <w:lang w:val="en-US" w:eastAsia="zh-CN"/>
              </w:rPr>
              <w:t>化石油气</w:t>
            </w:r>
            <w:r>
              <w:rPr>
                <w:rFonts w:hint="default"/>
                <w:b w:val="0"/>
                <w:bCs/>
                <w:color w:val="auto"/>
                <w:sz w:val="21"/>
                <w:szCs w:val="21"/>
                <w:lang w:val="en-US" w:eastAsia="zh-CN"/>
              </w:rPr>
              <w:t>储罐</w:t>
            </w:r>
            <w:r>
              <w:rPr>
                <w:rFonts w:hint="eastAsia"/>
                <w:b w:val="0"/>
                <w:bCs/>
                <w:color w:val="auto"/>
                <w:sz w:val="21"/>
                <w:szCs w:val="21"/>
                <w:lang w:val="en-US" w:eastAsia="zh-CN"/>
              </w:rPr>
              <w:t>，储罐充装系数取0.85，则液</w:t>
            </w:r>
            <w:r>
              <w:rPr>
                <w:rFonts w:hint="default"/>
                <w:b w:val="0"/>
                <w:bCs/>
                <w:color w:val="auto"/>
                <w:sz w:val="21"/>
                <w:szCs w:val="21"/>
                <w:lang w:val="en-US" w:eastAsia="zh-CN"/>
              </w:rPr>
              <w:t>态丙烷</w:t>
            </w:r>
            <w:r>
              <w:rPr>
                <w:rFonts w:hint="eastAsia"/>
                <w:b w:val="0"/>
                <w:bCs/>
                <w:color w:val="auto"/>
                <w:sz w:val="21"/>
                <w:szCs w:val="21"/>
                <w:lang w:val="en-US" w:eastAsia="zh-CN"/>
              </w:rPr>
              <w:t>的最大储存</w:t>
            </w:r>
            <w:r>
              <w:rPr>
                <w:rFonts w:hint="default"/>
                <w:b w:val="0"/>
                <w:bCs/>
                <w:color w:val="auto"/>
                <w:sz w:val="21"/>
                <w:szCs w:val="21"/>
                <w:lang w:val="en-US" w:eastAsia="zh-CN"/>
              </w:rPr>
              <w:t>量：</w:t>
            </w:r>
            <w:r>
              <w:rPr>
                <w:rFonts w:hint="eastAsia"/>
                <w:b w:val="0"/>
                <w:bCs/>
                <w:color w:val="auto"/>
                <w:sz w:val="21"/>
                <w:szCs w:val="21"/>
                <w:lang w:val="en-US" w:eastAsia="zh-CN"/>
              </w:rPr>
              <w:t>10</w:t>
            </w:r>
            <w:r>
              <w:rPr>
                <w:rFonts w:hint="default"/>
                <w:b w:val="0"/>
                <w:bCs/>
                <w:color w:val="auto"/>
                <w:sz w:val="21"/>
                <w:szCs w:val="21"/>
                <w:lang w:val="en-US" w:eastAsia="zh-CN"/>
              </w:rPr>
              <w:t>0m³×</w:t>
            </w:r>
            <w:r>
              <w:rPr>
                <w:rFonts w:hint="eastAsia"/>
                <w:b w:val="0"/>
                <w:bCs/>
                <w:color w:val="auto"/>
                <w:sz w:val="21"/>
                <w:szCs w:val="21"/>
                <w:lang w:val="en-US" w:eastAsia="zh-CN"/>
              </w:rPr>
              <w:t>0.58</w:t>
            </w:r>
            <w:r>
              <w:rPr>
                <w:rFonts w:hint="default"/>
                <w:b w:val="0"/>
                <w:bCs/>
                <w:color w:val="auto"/>
                <w:sz w:val="21"/>
                <w:szCs w:val="21"/>
                <w:lang w:val="en-US" w:eastAsia="zh-CN"/>
              </w:rPr>
              <w:t>t/m³×</w:t>
            </w:r>
            <w:r>
              <w:rPr>
                <w:rFonts w:hint="eastAsia"/>
                <w:b w:val="0"/>
                <w:bCs/>
                <w:color w:val="auto"/>
                <w:sz w:val="21"/>
                <w:szCs w:val="21"/>
                <w:lang w:val="en-US" w:eastAsia="zh-CN"/>
              </w:rPr>
              <w:t xml:space="preserve">0.85 </w:t>
            </w:r>
            <w:r>
              <w:rPr>
                <w:rFonts w:hint="default"/>
                <w:b w:val="0"/>
                <w:bCs/>
                <w:color w:val="auto"/>
                <w:sz w:val="21"/>
                <w:szCs w:val="21"/>
                <w:lang w:val="en-US" w:eastAsia="zh-CN"/>
              </w:rPr>
              <w:t>=</w:t>
            </w:r>
            <w:r>
              <w:rPr>
                <w:rFonts w:hint="eastAsia"/>
                <w:b w:val="0"/>
                <w:bCs/>
                <w:color w:val="auto"/>
                <w:sz w:val="21"/>
                <w:szCs w:val="21"/>
                <w:lang w:val="en-US" w:eastAsia="zh-CN"/>
              </w:rPr>
              <w:t xml:space="preserve"> 49.3</w:t>
            </w:r>
            <w:r>
              <w:rPr>
                <w:rFonts w:hint="default"/>
                <w:b w:val="0"/>
                <w:bCs/>
                <w:color w:val="auto"/>
                <w:sz w:val="21"/>
                <w:szCs w:val="21"/>
                <w:lang w:val="en-US" w:eastAsia="zh-CN"/>
              </w:rPr>
              <w:t>t</w:t>
            </w:r>
            <w:r>
              <w:rPr>
                <w:rFonts w:hint="eastAsia"/>
                <w:b w:val="0"/>
                <w:bCs/>
                <w:color w:val="auto"/>
                <w:sz w:val="21"/>
                <w:szCs w:val="21"/>
                <w:lang w:val="en-US" w:eastAsia="zh-CN"/>
              </w:rPr>
              <w:t>；</w:t>
            </w:r>
          </w:p>
          <w:p w14:paraId="38ECF845">
            <w:pPr>
              <w:pStyle w:val="85"/>
              <w:bidi w:val="0"/>
              <w:jc w:val="both"/>
              <w:rPr>
                <w:rFonts w:hint="eastAsia"/>
                <w:b w:val="0"/>
                <w:bCs/>
                <w:color w:val="auto"/>
                <w:sz w:val="21"/>
                <w:szCs w:val="21"/>
                <w:lang w:val="en-US" w:eastAsia="zh-CN"/>
              </w:rPr>
            </w:pPr>
            <w:r>
              <w:rPr>
                <w:rFonts w:hint="eastAsia"/>
                <w:b w:val="0"/>
                <w:bCs/>
                <w:color w:val="auto"/>
                <w:sz w:val="21"/>
                <w:szCs w:val="21"/>
                <w:lang w:val="en-US" w:eastAsia="zh-CN"/>
              </w:rPr>
              <w:t xml:space="preserve">⑦ </w:t>
            </w:r>
            <w:r>
              <w:rPr>
                <w:rFonts w:hint="default"/>
                <w:b w:val="0"/>
                <w:bCs/>
                <w:color w:val="auto"/>
                <w:sz w:val="21"/>
                <w:szCs w:val="21"/>
                <w:lang w:val="en-US" w:eastAsia="zh-CN"/>
              </w:rPr>
              <w:t>1个5</w:t>
            </w:r>
            <w:r>
              <w:rPr>
                <w:rFonts w:hint="eastAsia"/>
                <w:b w:val="0"/>
                <w:bCs/>
                <w:color w:val="auto"/>
                <w:sz w:val="21"/>
                <w:szCs w:val="21"/>
                <w:lang w:val="en-US" w:eastAsia="zh-CN"/>
              </w:rPr>
              <w:t>0</w:t>
            </w:r>
            <w:r>
              <w:rPr>
                <w:rFonts w:hint="default"/>
                <w:b w:val="0"/>
                <w:bCs/>
                <w:color w:val="auto"/>
                <w:sz w:val="21"/>
                <w:szCs w:val="21"/>
                <w:lang w:val="en-US" w:eastAsia="zh-CN"/>
              </w:rPr>
              <w:t>m³的液</w:t>
            </w:r>
            <w:r>
              <w:rPr>
                <w:rFonts w:hint="eastAsia"/>
                <w:b w:val="0"/>
                <w:bCs/>
                <w:color w:val="auto"/>
                <w:sz w:val="21"/>
                <w:szCs w:val="21"/>
                <w:lang w:val="en-US" w:eastAsia="zh-CN"/>
              </w:rPr>
              <w:t>化石油气</w:t>
            </w:r>
            <w:r>
              <w:rPr>
                <w:rFonts w:hint="default"/>
                <w:b w:val="0"/>
                <w:bCs/>
                <w:color w:val="auto"/>
                <w:sz w:val="21"/>
                <w:szCs w:val="21"/>
                <w:lang w:val="en-US" w:eastAsia="zh-CN"/>
              </w:rPr>
              <w:t>残液</w:t>
            </w:r>
            <w:r>
              <w:rPr>
                <w:rFonts w:hint="eastAsia"/>
                <w:b w:val="0"/>
                <w:bCs/>
                <w:color w:val="auto"/>
                <w:sz w:val="21"/>
                <w:szCs w:val="21"/>
                <w:lang w:val="en-US" w:eastAsia="zh-CN"/>
              </w:rPr>
              <w:t>储</w:t>
            </w:r>
            <w:r>
              <w:rPr>
                <w:rFonts w:hint="default"/>
                <w:b w:val="0"/>
                <w:bCs/>
                <w:color w:val="auto"/>
                <w:sz w:val="21"/>
                <w:szCs w:val="21"/>
                <w:lang w:val="en-US" w:eastAsia="zh-CN"/>
              </w:rPr>
              <w:t>罐</w:t>
            </w:r>
            <w:r>
              <w:rPr>
                <w:rFonts w:hint="eastAsia"/>
                <w:b w:val="0"/>
                <w:bCs/>
                <w:color w:val="auto"/>
                <w:sz w:val="21"/>
                <w:szCs w:val="21"/>
                <w:lang w:val="en-US" w:eastAsia="zh-CN"/>
              </w:rPr>
              <w:t>，储罐充装系数取0.85，则残液最大储存</w:t>
            </w:r>
            <w:r>
              <w:rPr>
                <w:rFonts w:hint="default"/>
                <w:b w:val="0"/>
                <w:bCs/>
                <w:color w:val="auto"/>
                <w:sz w:val="21"/>
                <w:szCs w:val="21"/>
                <w:lang w:val="en-US" w:eastAsia="zh-CN"/>
              </w:rPr>
              <w:t>量：</w:t>
            </w:r>
            <w:r>
              <w:rPr>
                <w:rFonts w:hint="eastAsia"/>
                <w:b w:val="0"/>
                <w:bCs/>
                <w:color w:val="auto"/>
                <w:sz w:val="21"/>
                <w:szCs w:val="21"/>
                <w:lang w:val="en-US" w:eastAsia="zh-CN"/>
              </w:rPr>
              <w:t>50</w:t>
            </w:r>
            <w:r>
              <w:rPr>
                <w:rFonts w:hint="default"/>
                <w:b w:val="0"/>
                <w:bCs/>
                <w:color w:val="auto"/>
                <w:sz w:val="21"/>
                <w:szCs w:val="21"/>
                <w:lang w:val="en-US" w:eastAsia="zh-CN"/>
              </w:rPr>
              <w:t>m³×0.</w:t>
            </w:r>
            <w:r>
              <w:rPr>
                <w:rFonts w:hint="eastAsia"/>
                <w:b w:val="0"/>
                <w:bCs/>
                <w:color w:val="auto"/>
                <w:sz w:val="21"/>
                <w:szCs w:val="21"/>
                <w:lang w:val="en-US" w:eastAsia="zh-CN"/>
              </w:rPr>
              <w:t>58</w:t>
            </w:r>
            <w:r>
              <w:rPr>
                <w:rFonts w:hint="default"/>
                <w:b w:val="0"/>
                <w:bCs/>
                <w:color w:val="auto"/>
                <w:sz w:val="21"/>
                <w:szCs w:val="21"/>
                <w:lang w:val="en-US" w:eastAsia="zh-CN"/>
              </w:rPr>
              <w:t>t/m³×</w:t>
            </w:r>
            <w:r>
              <w:rPr>
                <w:rFonts w:hint="eastAsia"/>
                <w:b w:val="0"/>
                <w:bCs/>
                <w:color w:val="auto"/>
                <w:sz w:val="21"/>
                <w:szCs w:val="21"/>
                <w:lang w:val="en-US" w:eastAsia="zh-CN"/>
              </w:rPr>
              <w:t xml:space="preserve">0.85 </w:t>
            </w:r>
            <w:r>
              <w:rPr>
                <w:rFonts w:hint="default"/>
                <w:b w:val="0"/>
                <w:bCs/>
                <w:color w:val="auto"/>
                <w:sz w:val="21"/>
                <w:szCs w:val="21"/>
                <w:lang w:val="en-US" w:eastAsia="zh-CN"/>
              </w:rPr>
              <w:t>=</w:t>
            </w:r>
            <w:r>
              <w:rPr>
                <w:rFonts w:hint="eastAsia"/>
                <w:b w:val="0"/>
                <w:bCs/>
                <w:color w:val="auto"/>
                <w:sz w:val="21"/>
                <w:szCs w:val="21"/>
                <w:lang w:val="en-US" w:eastAsia="zh-CN"/>
              </w:rPr>
              <w:t>24.65</w:t>
            </w:r>
            <w:r>
              <w:rPr>
                <w:rFonts w:hint="default"/>
                <w:b w:val="0"/>
                <w:bCs/>
                <w:color w:val="auto"/>
                <w:sz w:val="21"/>
                <w:szCs w:val="21"/>
                <w:lang w:val="en-US" w:eastAsia="zh-CN"/>
              </w:rPr>
              <w:t>t</w:t>
            </w:r>
            <w:r>
              <w:rPr>
                <w:rFonts w:hint="eastAsia"/>
                <w:b w:val="0"/>
                <w:bCs/>
                <w:color w:val="auto"/>
                <w:sz w:val="21"/>
                <w:szCs w:val="21"/>
                <w:lang w:val="en-US" w:eastAsia="zh-CN"/>
              </w:rPr>
              <w:t>；</w:t>
            </w:r>
          </w:p>
          <w:p w14:paraId="0B6FDBF2">
            <w:pPr>
              <w:pStyle w:val="85"/>
              <w:bidi w:val="0"/>
              <w:jc w:val="both"/>
              <w:rPr>
                <w:rFonts w:hint="default"/>
                <w:b w:val="0"/>
                <w:bCs/>
                <w:color w:val="auto"/>
                <w:sz w:val="21"/>
                <w:szCs w:val="21"/>
                <w:lang w:val="en-US" w:eastAsia="zh-CN"/>
              </w:rPr>
            </w:pPr>
            <w:r>
              <w:rPr>
                <w:rFonts w:hint="default"/>
                <w:b w:val="0"/>
                <w:bCs/>
                <w:color w:val="auto"/>
                <w:sz w:val="21"/>
                <w:szCs w:val="21"/>
                <w:lang w:val="en-US" w:eastAsia="zh-CN"/>
              </w:rPr>
              <w:t>钢瓶最大存储量计算：</w:t>
            </w:r>
          </w:p>
          <w:p w14:paraId="76068F98">
            <w:pPr>
              <w:pStyle w:val="85"/>
              <w:bidi w:val="0"/>
              <w:jc w:val="both"/>
              <w:rPr>
                <w:rFonts w:hint="default"/>
                <w:b w:val="0"/>
                <w:bCs/>
                <w:color w:val="auto"/>
                <w:sz w:val="21"/>
                <w:szCs w:val="21"/>
                <w:lang w:val="en-US" w:eastAsia="zh-CN"/>
              </w:rPr>
            </w:pPr>
            <w:r>
              <w:rPr>
                <w:rFonts w:hint="default"/>
                <w:b w:val="0"/>
                <w:bCs/>
                <w:color w:val="auto"/>
                <w:sz w:val="21"/>
                <w:szCs w:val="21"/>
                <w:lang w:val="en-US" w:eastAsia="zh-CN"/>
              </w:rPr>
              <w:t>丙烷：1</w:t>
            </w:r>
            <w:r>
              <w:rPr>
                <w:rFonts w:hint="eastAsia"/>
                <w:b w:val="0"/>
                <w:bCs/>
                <w:color w:val="auto"/>
                <w:sz w:val="21"/>
                <w:szCs w:val="21"/>
                <w:lang w:val="en-US" w:eastAsia="zh-CN"/>
              </w:rPr>
              <w:t>2</w:t>
            </w:r>
            <w:r>
              <w:rPr>
                <w:rFonts w:hint="default"/>
                <w:b w:val="0"/>
                <w:bCs/>
                <w:color w:val="auto"/>
                <w:sz w:val="21"/>
                <w:szCs w:val="21"/>
                <w:lang w:val="en-US" w:eastAsia="zh-CN"/>
              </w:rPr>
              <w:t>kg×100瓶=1.</w:t>
            </w:r>
            <w:r>
              <w:rPr>
                <w:rFonts w:hint="eastAsia"/>
                <w:b w:val="0"/>
                <w:bCs/>
                <w:color w:val="auto"/>
                <w:sz w:val="21"/>
                <w:szCs w:val="21"/>
                <w:lang w:val="en-US" w:eastAsia="zh-CN"/>
              </w:rPr>
              <w:t>2</w:t>
            </w:r>
            <w:r>
              <w:rPr>
                <w:rFonts w:hint="default"/>
                <w:b w:val="0"/>
                <w:bCs/>
                <w:color w:val="auto"/>
                <w:sz w:val="21"/>
                <w:szCs w:val="21"/>
                <w:lang w:val="en-US" w:eastAsia="zh-CN"/>
              </w:rPr>
              <w:t>t</w:t>
            </w:r>
          </w:p>
          <w:p w14:paraId="723A084C">
            <w:pPr>
              <w:pStyle w:val="85"/>
              <w:bidi w:val="0"/>
              <w:jc w:val="both"/>
              <w:rPr>
                <w:rFonts w:hint="default"/>
                <w:b w:val="0"/>
                <w:bCs/>
                <w:color w:val="auto"/>
                <w:sz w:val="21"/>
                <w:szCs w:val="21"/>
                <w:lang w:val="en-US" w:eastAsia="zh-CN"/>
              </w:rPr>
            </w:pPr>
            <w:r>
              <w:rPr>
                <w:rFonts w:hint="default"/>
                <w:b w:val="0"/>
                <w:bCs/>
                <w:color w:val="auto"/>
                <w:sz w:val="21"/>
                <w:szCs w:val="21"/>
                <w:lang w:val="en-US" w:eastAsia="zh-CN"/>
              </w:rPr>
              <w:t>乙炔：5kg×160瓶=0.8t</w:t>
            </w:r>
          </w:p>
          <w:p w14:paraId="7CC02A07">
            <w:pPr>
              <w:pStyle w:val="85"/>
              <w:bidi w:val="0"/>
              <w:spacing w:line="240" w:lineRule="auto"/>
              <w:jc w:val="both"/>
              <w:rPr>
                <w:rFonts w:hint="default"/>
                <w:b w:val="0"/>
                <w:bCs/>
                <w:color w:val="FF0000"/>
                <w:sz w:val="21"/>
                <w:szCs w:val="21"/>
                <w:lang w:val="en-US" w:eastAsia="zh-CN"/>
              </w:rPr>
            </w:pPr>
            <w:r>
              <w:rPr>
                <w:rFonts w:hint="default"/>
                <w:b w:val="0"/>
                <w:bCs/>
                <w:color w:val="auto"/>
                <w:sz w:val="21"/>
                <w:szCs w:val="21"/>
                <w:lang w:val="en-US" w:eastAsia="zh-CN"/>
              </w:rPr>
              <w:t>则</w:t>
            </w:r>
            <w:r>
              <w:rPr>
                <w:rFonts w:hint="default"/>
                <w:b w:val="0"/>
                <w:bCs/>
                <w:color w:val="000000" w:themeColor="text1"/>
                <w:sz w:val="21"/>
                <w:szCs w:val="21"/>
                <w:lang w:val="en-US" w:eastAsia="zh-CN"/>
                <w14:textFill>
                  <w14:solidFill>
                    <w14:schemeClr w14:val="tx1"/>
                  </w14:solidFill>
                </w14:textFill>
              </w:rPr>
              <w:t>本项目丙烷最大储存量为：</w:t>
            </w:r>
            <w:r>
              <w:rPr>
                <w:rFonts w:hint="eastAsia"/>
                <w:b w:val="0"/>
                <w:bCs/>
                <w:color w:val="000000" w:themeColor="text1"/>
                <w:sz w:val="21"/>
                <w:szCs w:val="21"/>
                <w:lang w:val="en-US" w:eastAsia="zh-CN"/>
                <w14:textFill>
                  <w14:solidFill>
                    <w14:schemeClr w14:val="tx1"/>
                  </w14:solidFill>
                </w14:textFill>
              </w:rPr>
              <w:t>50.32</w:t>
            </w:r>
            <w:r>
              <w:rPr>
                <w:rFonts w:hint="default"/>
                <w:b w:val="0"/>
                <w:bCs/>
                <w:color w:val="000000" w:themeColor="text1"/>
                <w:sz w:val="21"/>
                <w:szCs w:val="21"/>
                <w:lang w:val="en-US" w:eastAsia="zh-CN"/>
                <w14:textFill>
                  <w14:solidFill>
                    <w14:schemeClr w14:val="tx1"/>
                  </w14:solidFill>
                </w14:textFill>
              </w:rPr>
              <w:t>t</w:t>
            </w:r>
            <w:r>
              <w:rPr>
                <w:rFonts w:hint="eastAsia"/>
                <w:b w:val="0"/>
                <w:bCs/>
                <w:color w:val="000000" w:themeColor="text1"/>
                <w:sz w:val="21"/>
                <w:szCs w:val="21"/>
                <w:lang w:val="en-US" w:eastAsia="zh-CN"/>
                <w14:textFill>
                  <w14:solidFill>
                    <w14:schemeClr w14:val="tx1"/>
                  </w14:solidFill>
                </w14:textFill>
              </w:rPr>
              <w:t>、乙炔</w:t>
            </w:r>
            <w:r>
              <w:rPr>
                <w:rFonts w:hint="default"/>
                <w:b w:val="0"/>
                <w:bCs/>
                <w:color w:val="000000" w:themeColor="text1"/>
                <w:sz w:val="21"/>
                <w:szCs w:val="21"/>
                <w:lang w:val="en-US" w:eastAsia="zh-CN"/>
                <w14:textFill>
                  <w14:solidFill>
                    <w14:schemeClr w14:val="tx1"/>
                  </w14:solidFill>
                </w14:textFill>
              </w:rPr>
              <w:t>最大储存量为：</w:t>
            </w:r>
            <w:r>
              <w:rPr>
                <w:rFonts w:hint="eastAsia"/>
                <w:b w:val="0"/>
                <w:bCs/>
                <w:color w:val="000000" w:themeColor="text1"/>
                <w:sz w:val="21"/>
                <w:szCs w:val="21"/>
                <w:lang w:val="en-US" w:eastAsia="zh-CN"/>
                <w14:textFill>
                  <w14:solidFill>
                    <w14:schemeClr w14:val="tx1"/>
                  </w14:solidFill>
                </w14:textFill>
              </w:rPr>
              <w:t>0.8t、液化石油气最大储存量为：49.3t、</w:t>
            </w:r>
            <w:r>
              <w:rPr>
                <w:rFonts w:hint="default"/>
                <w:b w:val="0"/>
                <w:bCs/>
                <w:color w:val="000000" w:themeColor="text1"/>
                <w:sz w:val="21"/>
                <w:szCs w:val="21"/>
                <w:lang w:val="en-US" w:eastAsia="zh-CN"/>
                <w14:textFill>
                  <w14:solidFill>
                    <w14:schemeClr w14:val="tx1"/>
                  </w14:solidFill>
                </w14:textFill>
              </w:rPr>
              <w:t>液</w:t>
            </w:r>
            <w:r>
              <w:rPr>
                <w:rFonts w:hint="eastAsia"/>
                <w:b w:val="0"/>
                <w:bCs/>
                <w:color w:val="000000" w:themeColor="text1"/>
                <w:sz w:val="21"/>
                <w:szCs w:val="21"/>
                <w:lang w:val="en-US" w:eastAsia="zh-CN"/>
                <w14:textFill>
                  <w14:solidFill>
                    <w14:schemeClr w14:val="tx1"/>
                  </w14:solidFill>
                </w14:textFill>
              </w:rPr>
              <w:t>化石油气残液最大储存量为：24.65t。</w:t>
            </w:r>
          </w:p>
          <w:p w14:paraId="496C1C19">
            <w:pPr>
              <w:keepNext w:val="0"/>
              <w:keepLines w:val="0"/>
              <w:pageBreakBefore w:val="0"/>
              <w:widowControl w:val="0"/>
              <w:kinsoku/>
              <w:wordWrap/>
              <w:overflowPunct/>
              <w:topLinePunct w:val="0"/>
              <w:autoSpaceDE/>
              <w:autoSpaceDN/>
              <w:bidi w:val="0"/>
              <w:adjustRightInd/>
              <w:snapToGrid/>
              <w:spacing w:before="313" w:beforeLines="100" w:line="360" w:lineRule="auto"/>
              <w:textAlignment w:val="auto"/>
              <w:rPr>
                <w:rFonts w:hint="default"/>
                <w:b/>
                <w:bCs/>
                <w:color w:val="auto"/>
              </w:rPr>
            </w:pPr>
            <w:r>
              <w:rPr>
                <w:rFonts w:hint="eastAsia"/>
                <w:b/>
                <w:bCs/>
                <w:color w:val="auto"/>
                <w:lang w:val="en-US" w:eastAsia="zh-CN"/>
              </w:rPr>
              <w:t>四</w:t>
            </w:r>
            <w:r>
              <w:rPr>
                <w:rFonts w:hint="default"/>
                <w:b/>
                <w:bCs/>
                <w:color w:val="auto"/>
              </w:rPr>
              <w:t>、原辅材料及</w:t>
            </w:r>
            <w:r>
              <w:rPr>
                <w:rFonts w:hint="default"/>
                <w:b/>
                <w:bCs/>
                <w:color w:val="auto"/>
                <w:lang w:eastAsia="zh-CN"/>
              </w:rPr>
              <w:t>能源</w:t>
            </w:r>
            <w:r>
              <w:rPr>
                <w:rFonts w:hint="default"/>
                <w:b/>
                <w:bCs/>
                <w:color w:val="auto"/>
              </w:rPr>
              <w:t>消耗</w:t>
            </w:r>
          </w:p>
          <w:p w14:paraId="574D4E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eastAsia="zh-CN"/>
              </w:rPr>
            </w:pPr>
            <w:r>
              <w:rPr>
                <w:rFonts w:hint="default"/>
                <w:color w:val="auto"/>
                <w:lang w:eastAsia="zh-CN"/>
              </w:rPr>
              <w:t>本项目</w:t>
            </w:r>
            <w:r>
              <w:rPr>
                <w:rFonts w:hint="default"/>
                <w:color w:val="auto"/>
              </w:rPr>
              <w:t>空气分离装置线原料单一，仅为满足《环境空气质量标准》（GB3095-2012）中二级标准的空气。原料来源可靠，直接从大气中抽取；所需动力消耗详见下表</w:t>
            </w:r>
            <w:r>
              <w:rPr>
                <w:rFonts w:hint="eastAsia"/>
                <w:color w:val="auto"/>
                <w:lang w:val="en-US" w:eastAsia="zh-CN"/>
              </w:rPr>
              <w:t>2-4</w:t>
            </w:r>
            <w:r>
              <w:rPr>
                <w:rFonts w:hint="default"/>
                <w:color w:val="auto"/>
                <w:lang w:eastAsia="zh-CN"/>
              </w:rPr>
              <w:t>。</w:t>
            </w:r>
          </w:p>
          <w:p w14:paraId="5B6C0D7E">
            <w:pPr>
              <w:bidi w:val="0"/>
              <w:rPr>
                <w:rFonts w:hint="default"/>
                <w:color w:val="auto"/>
                <w:lang w:val="en-US" w:eastAsia="zh-CN"/>
              </w:rPr>
            </w:pPr>
            <w:r>
              <w:rPr>
                <w:rFonts w:hint="default"/>
                <w:color w:val="auto"/>
                <w:lang w:eastAsia="zh-CN"/>
              </w:rPr>
              <w:t>本项目气体充装线主要涉及的原辅材料为危险化学品，危险化学品品种为氧（压缩的或液化的）、氮（压缩的或液化的）、氩（压缩的或液化的）、二氧化碳（压缩的或液化的）、丙烷（压缩的或液化的）和</w:t>
            </w:r>
            <w:r>
              <w:rPr>
                <w:rFonts w:hint="eastAsia"/>
                <w:color w:val="auto"/>
                <w:lang w:val="en-US" w:eastAsia="zh-CN"/>
              </w:rPr>
              <w:t>液化石油气（</w:t>
            </w:r>
            <w:r>
              <w:rPr>
                <w:rFonts w:hint="default"/>
                <w:color w:val="auto"/>
                <w:lang w:eastAsia="zh-CN"/>
              </w:rPr>
              <w:t>压缩的或液化的</w:t>
            </w:r>
            <w:r>
              <w:rPr>
                <w:rFonts w:hint="eastAsia"/>
                <w:color w:val="auto"/>
                <w:lang w:val="en-US" w:eastAsia="zh-CN"/>
              </w:rPr>
              <w:t>）</w:t>
            </w:r>
            <w:r>
              <w:rPr>
                <w:rFonts w:hint="default"/>
                <w:color w:val="auto"/>
                <w:lang w:eastAsia="zh-CN"/>
              </w:rPr>
              <w:t>。</w:t>
            </w:r>
          </w:p>
          <w:p w14:paraId="3825E448">
            <w:pPr>
              <w:pStyle w:val="85"/>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w:t>
            </w: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 xml:space="preserve">   项目原辅材料及能源消耗统计一览表</w:t>
            </w:r>
          </w:p>
          <w:tbl>
            <w:tblPr>
              <w:tblStyle w:val="30"/>
              <w:tblW w:w="503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3"/>
              <w:gridCol w:w="848"/>
              <w:gridCol w:w="1093"/>
              <w:gridCol w:w="99"/>
              <w:gridCol w:w="589"/>
              <w:gridCol w:w="1006"/>
              <w:gridCol w:w="883"/>
              <w:gridCol w:w="508"/>
              <w:gridCol w:w="586"/>
              <w:gridCol w:w="1023"/>
              <w:gridCol w:w="653"/>
              <w:gridCol w:w="786"/>
            </w:tblGrid>
            <w:tr w14:paraId="574E8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2"/>
                  <w:tcBorders>
                    <w:tl2br w:val="nil"/>
                    <w:tr2bl w:val="nil"/>
                  </w:tcBorders>
                  <w:noWrap w:val="0"/>
                  <w:vAlign w:val="center"/>
                </w:tcPr>
                <w:p w14:paraId="1950CA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空气分离装置线</w:t>
                  </w:r>
                </w:p>
              </w:tc>
            </w:tr>
            <w:tr w14:paraId="37B069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tcBorders>
                    <w:tl2br w:val="nil"/>
                    <w:tr2bl w:val="nil"/>
                  </w:tcBorders>
                  <w:noWrap w:val="0"/>
                  <w:vAlign w:val="center"/>
                </w:tcPr>
                <w:p w14:paraId="36B390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序号</w:t>
                  </w:r>
                </w:p>
              </w:tc>
              <w:tc>
                <w:tcPr>
                  <w:tcW w:w="1189" w:type="pct"/>
                  <w:gridSpan w:val="3"/>
                  <w:tcBorders>
                    <w:tl2br w:val="nil"/>
                    <w:tr2bl w:val="nil"/>
                  </w:tcBorders>
                  <w:noWrap w:val="0"/>
                  <w:vAlign w:val="center"/>
                </w:tcPr>
                <w:p w14:paraId="686995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物料名称</w:t>
                  </w:r>
                </w:p>
              </w:tc>
              <w:tc>
                <w:tcPr>
                  <w:tcW w:w="1740" w:type="pct"/>
                  <w:gridSpan w:val="4"/>
                  <w:tcBorders>
                    <w:tl2br w:val="nil"/>
                    <w:tr2bl w:val="nil"/>
                  </w:tcBorders>
                  <w:noWrap w:val="0"/>
                  <w:vAlign w:val="center"/>
                </w:tcPr>
                <w:p w14:paraId="423AE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年消耗量</w:t>
                  </w:r>
                </w:p>
              </w:tc>
              <w:tc>
                <w:tcPr>
                  <w:tcW w:w="1776" w:type="pct"/>
                  <w:gridSpan w:val="4"/>
                  <w:tcBorders>
                    <w:tl2br w:val="nil"/>
                    <w:tr2bl w:val="nil"/>
                  </w:tcBorders>
                  <w:noWrap w:val="0"/>
                  <w:vAlign w:val="center"/>
                </w:tcPr>
                <w:p w14:paraId="2C91E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备注</w:t>
                  </w:r>
                </w:p>
              </w:tc>
            </w:tr>
            <w:tr w14:paraId="0917B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tcBorders>
                    <w:tl2br w:val="nil"/>
                    <w:tr2bl w:val="nil"/>
                  </w:tcBorders>
                  <w:noWrap w:val="0"/>
                  <w:vAlign w:val="center"/>
                </w:tcPr>
                <w:p w14:paraId="5A8CC7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w:t>
                  </w:r>
                </w:p>
              </w:tc>
              <w:tc>
                <w:tcPr>
                  <w:tcW w:w="1189" w:type="pct"/>
                  <w:gridSpan w:val="3"/>
                  <w:tcBorders>
                    <w:tl2br w:val="nil"/>
                    <w:tr2bl w:val="nil"/>
                  </w:tcBorders>
                  <w:noWrap w:val="0"/>
                  <w:vAlign w:val="center"/>
                </w:tcPr>
                <w:p w14:paraId="30C68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空气</w:t>
                  </w:r>
                </w:p>
              </w:tc>
              <w:tc>
                <w:tcPr>
                  <w:tcW w:w="1740" w:type="pct"/>
                  <w:gridSpan w:val="4"/>
                  <w:tcBorders>
                    <w:tl2br w:val="nil"/>
                    <w:tr2bl w:val="nil"/>
                  </w:tcBorders>
                  <w:noWrap w:val="0"/>
                  <w:vAlign w:val="center"/>
                </w:tcPr>
                <w:p w14:paraId="5D10B5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rPr>
                    <w:t>41000Nm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1776" w:type="pct"/>
                  <w:gridSpan w:val="4"/>
                  <w:tcBorders>
                    <w:tl2br w:val="nil"/>
                    <w:tr2bl w:val="nil"/>
                  </w:tcBorders>
                  <w:noWrap w:val="0"/>
                  <w:vAlign w:val="center"/>
                </w:tcPr>
                <w:p w14:paraId="254A7A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 w:val="21"/>
                      <w:szCs w:val="21"/>
                      <w:highlight w:val="none"/>
                    </w:rPr>
                    <w:t>从大气中抽取</w:t>
                  </w:r>
                </w:p>
              </w:tc>
            </w:tr>
            <w:tr w14:paraId="705E89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tcBorders>
                    <w:tl2br w:val="nil"/>
                    <w:tr2bl w:val="nil"/>
                  </w:tcBorders>
                  <w:noWrap w:val="0"/>
                  <w:vAlign w:val="center"/>
                </w:tcPr>
                <w:p w14:paraId="2408E5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1189" w:type="pct"/>
                  <w:gridSpan w:val="3"/>
                  <w:tcBorders>
                    <w:tl2br w:val="nil"/>
                    <w:tr2bl w:val="nil"/>
                  </w:tcBorders>
                  <w:noWrap w:val="0"/>
                  <w:vAlign w:val="center"/>
                </w:tcPr>
                <w:p w14:paraId="2DC130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制冷剂</w:t>
                  </w:r>
                </w:p>
              </w:tc>
              <w:tc>
                <w:tcPr>
                  <w:tcW w:w="1740" w:type="pct"/>
                  <w:gridSpan w:val="4"/>
                  <w:tcBorders>
                    <w:tl2br w:val="nil"/>
                    <w:tr2bl w:val="nil"/>
                  </w:tcBorders>
                  <w:noWrap w:val="0"/>
                  <w:vAlign w:val="center"/>
                </w:tcPr>
                <w:p w14:paraId="5655FC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150kg</w:t>
                  </w:r>
                </w:p>
              </w:tc>
              <w:tc>
                <w:tcPr>
                  <w:tcW w:w="1776" w:type="pct"/>
                  <w:gridSpan w:val="4"/>
                  <w:tcBorders>
                    <w:tl2br w:val="nil"/>
                    <w:tr2bl w:val="nil"/>
                  </w:tcBorders>
                  <w:noWrap w:val="0"/>
                  <w:vAlign w:val="center"/>
                </w:tcPr>
                <w:p w14:paraId="7132A0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外购</w:t>
                  </w:r>
                </w:p>
              </w:tc>
            </w:tr>
            <w:tr w14:paraId="2EBD9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tcBorders>
                    <w:tl2br w:val="nil"/>
                    <w:tr2bl w:val="nil"/>
                  </w:tcBorders>
                  <w:noWrap w:val="0"/>
                  <w:vAlign w:val="center"/>
                </w:tcPr>
                <w:p w14:paraId="0C67BD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1189" w:type="pct"/>
                  <w:gridSpan w:val="3"/>
                  <w:tcBorders>
                    <w:tl2br w:val="nil"/>
                    <w:tr2bl w:val="nil"/>
                  </w:tcBorders>
                  <w:noWrap w:val="0"/>
                  <w:vAlign w:val="center"/>
                </w:tcPr>
                <w:p w14:paraId="7EB1A5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阻垢剂</w:t>
                  </w:r>
                </w:p>
              </w:tc>
              <w:tc>
                <w:tcPr>
                  <w:tcW w:w="1740" w:type="pct"/>
                  <w:gridSpan w:val="4"/>
                  <w:tcBorders>
                    <w:tl2br w:val="nil"/>
                    <w:tr2bl w:val="nil"/>
                  </w:tcBorders>
                  <w:noWrap w:val="0"/>
                  <w:vAlign w:val="center"/>
                </w:tcPr>
                <w:p w14:paraId="5F4A8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6 t</w:t>
                  </w:r>
                </w:p>
              </w:tc>
              <w:tc>
                <w:tcPr>
                  <w:tcW w:w="1776" w:type="pct"/>
                  <w:gridSpan w:val="4"/>
                  <w:tcBorders>
                    <w:tl2br w:val="nil"/>
                    <w:tr2bl w:val="nil"/>
                  </w:tcBorders>
                  <w:noWrap w:val="0"/>
                  <w:vAlign w:val="center"/>
                </w:tcPr>
                <w:p w14:paraId="1DD0AA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外购</w:t>
                  </w:r>
                </w:p>
              </w:tc>
            </w:tr>
            <w:tr w14:paraId="1B4186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tcBorders>
                    <w:tl2br w:val="nil"/>
                    <w:tr2bl w:val="nil"/>
                  </w:tcBorders>
                  <w:noWrap w:val="0"/>
                  <w:vAlign w:val="center"/>
                </w:tcPr>
                <w:p w14:paraId="14008F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1189" w:type="pct"/>
                  <w:gridSpan w:val="3"/>
                  <w:tcBorders>
                    <w:tl2br w:val="nil"/>
                    <w:tr2bl w:val="nil"/>
                  </w:tcBorders>
                  <w:noWrap w:val="0"/>
                  <w:vAlign w:val="center"/>
                </w:tcPr>
                <w:p w14:paraId="66A2D0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除菌剂</w:t>
                  </w:r>
                </w:p>
              </w:tc>
              <w:tc>
                <w:tcPr>
                  <w:tcW w:w="1740" w:type="pct"/>
                  <w:gridSpan w:val="4"/>
                  <w:tcBorders>
                    <w:tl2br w:val="nil"/>
                    <w:tr2bl w:val="nil"/>
                  </w:tcBorders>
                  <w:noWrap w:val="0"/>
                  <w:vAlign w:val="center"/>
                </w:tcPr>
                <w:p w14:paraId="40E66A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3 t</w:t>
                  </w:r>
                </w:p>
              </w:tc>
              <w:tc>
                <w:tcPr>
                  <w:tcW w:w="1776" w:type="pct"/>
                  <w:gridSpan w:val="4"/>
                  <w:tcBorders>
                    <w:tl2br w:val="nil"/>
                    <w:tr2bl w:val="nil"/>
                  </w:tcBorders>
                  <w:noWrap w:val="0"/>
                  <w:vAlign w:val="center"/>
                </w:tcPr>
                <w:p w14:paraId="2AD096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外购</w:t>
                  </w:r>
                </w:p>
              </w:tc>
            </w:tr>
            <w:tr w14:paraId="7AAB3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tcBorders>
                    <w:tl2br w:val="nil"/>
                    <w:tr2bl w:val="nil"/>
                  </w:tcBorders>
                  <w:noWrap w:val="0"/>
                  <w:vAlign w:val="center"/>
                </w:tcPr>
                <w:p w14:paraId="1138D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c>
                <w:tcPr>
                  <w:tcW w:w="1189" w:type="pct"/>
                  <w:gridSpan w:val="3"/>
                  <w:tcBorders>
                    <w:tl2br w:val="nil"/>
                    <w:tr2bl w:val="nil"/>
                  </w:tcBorders>
                  <w:noWrap w:val="0"/>
                  <w:vAlign w:val="center"/>
                </w:tcPr>
                <w:p w14:paraId="3BF67F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highlight w:val="none"/>
                      <w:lang w:val="en-US" w:eastAsia="zh-CN"/>
                    </w:rPr>
                    <w:t>滤筒</w:t>
                  </w:r>
                </w:p>
              </w:tc>
              <w:tc>
                <w:tcPr>
                  <w:tcW w:w="1740" w:type="pct"/>
                  <w:gridSpan w:val="4"/>
                  <w:tcBorders>
                    <w:tl2br w:val="nil"/>
                    <w:tr2bl w:val="nil"/>
                  </w:tcBorders>
                  <w:noWrap w:val="0"/>
                  <w:vAlign w:val="center"/>
                </w:tcPr>
                <w:p w14:paraId="767743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1.25</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t/</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年</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次</w:t>
                  </w:r>
                </w:p>
              </w:tc>
              <w:tc>
                <w:tcPr>
                  <w:tcW w:w="1776" w:type="pct"/>
                  <w:gridSpan w:val="4"/>
                  <w:tcBorders>
                    <w:tl2br w:val="nil"/>
                    <w:tr2bl w:val="nil"/>
                  </w:tcBorders>
                  <w:noWrap w:val="0"/>
                  <w:vAlign w:val="center"/>
                </w:tcPr>
                <w:p w14:paraId="4F52B3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cs="Times New Roman"/>
                      <w:color w:val="auto"/>
                      <w:sz w:val="21"/>
                      <w:szCs w:val="21"/>
                      <w:highlight w:val="none"/>
                      <w:lang w:val="en-US" w:eastAsia="zh-CN"/>
                    </w:rPr>
                    <w:t>过滤空气</w:t>
                  </w:r>
                  <w:r>
                    <w:rPr>
                      <w:rFonts w:hint="eastAsia" w:ascii="Times New Roman" w:hAnsi="Times New Roman" w:cs="Times New Roman"/>
                      <w:color w:val="auto"/>
                      <w:sz w:val="21"/>
                      <w:szCs w:val="21"/>
                      <w:highlight w:val="none"/>
                      <w:lang w:val="en-US" w:eastAsia="zh-CN"/>
                    </w:rPr>
                    <w:t>、外购</w:t>
                  </w:r>
                </w:p>
              </w:tc>
            </w:tr>
            <w:tr w14:paraId="0DEDD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tcBorders>
                    <w:tl2br w:val="nil"/>
                    <w:tr2bl w:val="nil"/>
                  </w:tcBorders>
                  <w:noWrap w:val="0"/>
                  <w:vAlign w:val="center"/>
                </w:tcPr>
                <w:p w14:paraId="4E9229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w:t>
                  </w:r>
                </w:p>
              </w:tc>
              <w:tc>
                <w:tcPr>
                  <w:tcW w:w="1189" w:type="pct"/>
                  <w:gridSpan w:val="3"/>
                  <w:tcBorders>
                    <w:tl2br w:val="nil"/>
                    <w:tr2bl w:val="nil"/>
                  </w:tcBorders>
                  <w:noWrap w:val="0"/>
                  <w:vAlign w:val="center"/>
                </w:tcPr>
                <w:p w14:paraId="5E6FF1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highlight w:val="none"/>
                    </w:rPr>
                    <w:t>分子筛</w:t>
                  </w:r>
                </w:p>
              </w:tc>
              <w:tc>
                <w:tcPr>
                  <w:tcW w:w="1740" w:type="pct"/>
                  <w:gridSpan w:val="4"/>
                  <w:tcBorders>
                    <w:tl2br w:val="nil"/>
                    <w:tr2bl w:val="nil"/>
                  </w:tcBorders>
                  <w:noWrap w:val="0"/>
                  <w:vAlign w:val="center"/>
                </w:tcPr>
                <w:p w14:paraId="3BE924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8.5</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t/8年</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次</w:t>
                  </w:r>
                </w:p>
              </w:tc>
              <w:tc>
                <w:tcPr>
                  <w:tcW w:w="1776" w:type="pct"/>
                  <w:gridSpan w:val="4"/>
                  <w:tcBorders>
                    <w:tl2br w:val="nil"/>
                    <w:tr2bl w:val="nil"/>
                  </w:tcBorders>
                  <w:noWrap w:val="0"/>
                  <w:vAlign w:val="center"/>
                </w:tcPr>
                <w:p w14:paraId="346F70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rPr>
                    <w:t>吸附</w:t>
                  </w:r>
                  <w:r>
                    <w:rPr>
                      <w:rFonts w:hint="default" w:ascii="Times New Roman" w:hAnsi="Times New Roman" w:cs="Times New Roman"/>
                      <w:color w:val="auto"/>
                      <w:sz w:val="21"/>
                      <w:szCs w:val="21"/>
                      <w:lang w:val="en-US" w:eastAsia="zh-CN"/>
                    </w:rPr>
                    <w:t>碳氢化合物、N</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O、</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等气体</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highlight w:val="none"/>
                      <w:lang w:val="en-US" w:eastAsia="zh-CN"/>
                    </w:rPr>
                    <w:t>外购</w:t>
                  </w:r>
                </w:p>
              </w:tc>
            </w:tr>
            <w:tr w14:paraId="72DA02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tcBorders>
                    <w:tl2br w:val="nil"/>
                    <w:tr2bl w:val="nil"/>
                  </w:tcBorders>
                  <w:noWrap w:val="0"/>
                  <w:vAlign w:val="center"/>
                </w:tcPr>
                <w:p w14:paraId="288A59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1189" w:type="pct"/>
                  <w:gridSpan w:val="3"/>
                  <w:tcBorders>
                    <w:tl2br w:val="nil"/>
                    <w:tr2bl w:val="nil"/>
                  </w:tcBorders>
                  <w:noWrap w:val="0"/>
                  <w:vAlign w:val="center"/>
                </w:tcPr>
                <w:p w14:paraId="1DFDCD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氧化铝</w:t>
                  </w:r>
                </w:p>
              </w:tc>
              <w:tc>
                <w:tcPr>
                  <w:tcW w:w="1740" w:type="pct"/>
                  <w:gridSpan w:val="4"/>
                  <w:tcBorders>
                    <w:tl2br w:val="nil"/>
                    <w:tr2bl w:val="nil"/>
                  </w:tcBorders>
                  <w:noWrap w:val="0"/>
                  <w:vAlign w:val="center"/>
                </w:tcPr>
                <w:p w14:paraId="38A888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6.2</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t/8年</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次</w:t>
                  </w:r>
                </w:p>
              </w:tc>
              <w:tc>
                <w:tcPr>
                  <w:tcW w:w="1776" w:type="pct"/>
                  <w:gridSpan w:val="4"/>
                  <w:tcBorders>
                    <w:tl2br w:val="nil"/>
                    <w:tr2bl w:val="nil"/>
                  </w:tcBorders>
                  <w:noWrap w:val="0"/>
                  <w:vAlign w:val="center"/>
                </w:tcPr>
                <w:p w14:paraId="1A996F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吸附</w:t>
                  </w:r>
                  <w:r>
                    <w:rPr>
                      <w:rFonts w:hint="default" w:ascii="Times New Roman" w:hAnsi="Times New Roman" w:cs="Times New Roman"/>
                      <w:color w:val="auto"/>
                      <w:sz w:val="21"/>
                      <w:szCs w:val="21"/>
                      <w:highlight w:val="none"/>
                      <w:lang w:val="en-US" w:eastAsia="zh-CN"/>
                    </w:rPr>
                    <w:t>水分</w:t>
                  </w:r>
                  <w:r>
                    <w:rPr>
                      <w:rFonts w:hint="eastAsia" w:ascii="Times New Roman" w:hAnsi="Times New Roman" w:cs="Times New Roman"/>
                      <w:color w:val="auto"/>
                      <w:sz w:val="21"/>
                      <w:szCs w:val="21"/>
                      <w:highlight w:val="none"/>
                      <w:lang w:val="en-US" w:eastAsia="zh-CN"/>
                    </w:rPr>
                    <w:t>、外购</w:t>
                  </w:r>
                </w:p>
              </w:tc>
            </w:tr>
            <w:tr w14:paraId="7C8B9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3" w:type="pct"/>
                  <w:tcBorders>
                    <w:tl2br w:val="nil"/>
                    <w:tr2bl w:val="nil"/>
                  </w:tcBorders>
                  <w:noWrap w:val="0"/>
                  <w:vAlign w:val="center"/>
                </w:tcPr>
                <w:p w14:paraId="0EB663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189" w:type="pct"/>
                  <w:gridSpan w:val="3"/>
                  <w:tcBorders>
                    <w:tl2br w:val="nil"/>
                    <w:tr2bl w:val="nil"/>
                  </w:tcBorders>
                  <w:noWrap w:val="0"/>
                  <w:vAlign w:val="center"/>
                </w:tcPr>
                <w:p w14:paraId="6554B5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珠光砂</w:t>
                  </w:r>
                </w:p>
              </w:tc>
              <w:tc>
                <w:tcPr>
                  <w:tcW w:w="1740" w:type="pct"/>
                  <w:gridSpan w:val="4"/>
                  <w:tcBorders>
                    <w:tl2br w:val="nil"/>
                    <w:tr2bl w:val="nil"/>
                  </w:tcBorders>
                  <w:noWrap w:val="0"/>
                  <w:vAlign w:val="center"/>
                </w:tcPr>
                <w:p w14:paraId="1C4E9D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t/8年</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次</w:t>
                  </w:r>
                </w:p>
              </w:tc>
              <w:tc>
                <w:tcPr>
                  <w:tcW w:w="1776" w:type="pct"/>
                  <w:gridSpan w:val="4"/>
                  <w:tcBorders>
                    <w:tl2br w:val="nil"/>
                    <w:tr2bl w:val="nil"/>
                  </w:tcBorders>
                  <w:noWrap w:val="0"/>
                  <w:vAlign w:val="center"/>
                </w:tcPr>
                <w:p w14:paraId="31C94A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B24E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12"/>
                  <w:tcBorders>
                    <w:tl2br w:val="nil"/>
                    <w:tr2bl w:val="nil"/>
                  </w:tcBorders>
                  <w:noWrap w:val="0"/>
                  <w:vAlign w:val="center"/>
                </w:tcPr>
                <w:p w14:paraId="7472A5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气体充装线</w:t>
                  </w:r>
                </w:p>
              </w:tc>
            </w:tr>
            <w:tr w14:paraId="5729F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tcBorders>
                    <w:tl2br w:val="nil"/>
                    <w:tr2bl w:val="nil"/>
                  </w:tcBorders>
                  <w:noWrap w:val="0"/>
                  <w:vAlign w:val="center"/>
                </w:tcPr>
                <w:p w14:paraId="2C7F77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序号</w:t>
                  </w:r>
                </w:p>
              </w:tc>
              <w:tc>
                <w:tcPr>
                  <w:tcW w:w="494" w:type="pct"/>
                  <w:tcBorders>
                    <w:tl2br w:val="nil"/>
                    <w:tr2bl w:val="nil"/>
                  </w:tcBorders>
                  <w:noWrap w:val="0"/>
                  <w:vAlign w:val="center"/>
                </w:tcPr>
                <w:p w14:paraId="60E042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名称</w:t>
                  </w:r>
                </w:p>
              </w:tc>
              <w:tc>
                <w:tcPr>
                  <w:tcW w:w="637" w:type="pct"/>
                  <w:tcBorders>
                    <w:tl2br w:val="nil"/>
                    <w:tr2bl w:val="nil"/>
                  </w:tcBorders>
                  <w:noWrap w:val="0"/>
                  <w:vAlign w:val="center"/>
                </w:tcPr>
                <w:p w14:paraId="324DD4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《危险化</w:t>
                  </w:r>
                </w:p>
                <w:p w14:paraId="498404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学品目</w:t>
                  </w:r>
                </w:p>
                <w:p w14:paraId="04708C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录》序号</w:t>
                  </w:r>
                </w:p>
              </w:tc>
              <w:tc>
                <w:tcPr>
                  <w:tcW w:w="401" w:type="pct"/>
                  <w:gridSpan w:val="2"/>
                  <w:tcBorders>
                    <w:tl2br w:val="nil"/>
                    <w:tr2bl w:val="nil"/>
                  </w:tcBorders>
                  <w:noWrap w:val="0"/>
                  <w:vAlign w:val="center"/>
                </w:tcPr>
                <w:p w14:paraId="4781CF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物质形态</w:t>
                  </w:r>
                </w:p>
              </w:tc>
              <w:tc>
                <w:tcPr>
                  <w:tcW w:w="586" w:type="pct"/>
                  <w:tcBorders>
                    <w:tl2br w:val="nil"/>
                    <w:tr2bl w:val="nil"/>
                  </w:tcBorders>
                  <w:noWrap w:val="0"/>
                  <w:vAlign w:val="center"/>
                </w:tcPr>
                <w:p w14:paraId="2DD4AF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储存</w:t>
                  </w:r>
                </w:p>
                <w:p w14:paraId="4CC211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方式</w:t>
                  </w:r>
                </w:p>
              </w:tc>
              <w:tc>
                <w:tcPr>
                  <w:tcW w:w="514" w:type="pct"/>
                  <w:tcBorders>
                    <w:tl2br w:val="nil"/>
                    <w:tr2bl w:val="nil"/>
                  </w:tcBorders>
                  <w:noWrap w:val="0"/>
                  <w:vAlign w:val="center"/>
                </w:tcPr>
                <w:p w14:paraId="383A86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最大存储（体积）量</w:t>
                  </w:r>
                </w:p>
              </w:tc>
              <w:tc>
                <w:tcPr>
                  <w:tcW w:w="637" w:type="pct"/>
                  <w:gridSpan w:val="2"/>
                  <w:tcBorders>
                    <w:tl2br w:val="nil"/>
                    <w:tr2bl w:val="nil"/>
                  </w:tcBorders>
                  <w:noWrap w:val="0"/>
                  <w:vAlign w:val="center"/>
                </w:tcPr>
                <w:p w14:paraId="2943F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CAS号</w:t>
                  </w:r>
                </w:p>
              </w:tc>
              <w:tc>
                <w:tcPr>
                  <w:tcW w:w="596" w:type="pct"/>
                  <w:tcBorders>
                    <w:tl2br w:val="nil"/>
                    <w:tr2bl w:val="nil"/>
                  </w:tcBorders>
                  <w:noWrap w:val="0"/>
                  <w:vAlign w:val="center"/>
                </w:tcPr>
                <w:p w14:paraId="336C13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危险性类别</w:t>
                  </w:r>
                </w:p>
              </w:tc>
              <w:tc>
                <w:tcPr>
                  <w:tcW w:w="380" w:type="pct"/>
                  <w:tcBorders>
                    <w:tl2br w:val="nil"/>
                    <w:tr2bl w:val="nil"/>
                  </w:tcBorders>
                  <w:noWrap w:val="0"/>
                  <w:vAlign w:val="center"/>
                </w:tcPr>
                <w:p w14:paraId="25CE47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火险类别</w:t>
                  </w:r>
                </w:p>
              </w:tc>
              <w:tc>
                <w:tcPr>
                  <w:tcW w:w="458" w:type="pct"/>
                  <w:tcBorders>
                    <w:tl2br w:val="nil"/>
                    <w:tr2bl w:val="nil"/>
                  </w:tcBorders>
                  <w:noWrap w:val="0"/>
                  <w:vAlign w:val="center"/>
                </w:tcPr>
                <w:p w14:paraId="587D1D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储存场所</w:t>
                  </w:r>
                </w:p>
              </w:tc>
            </w:tr>
            <w:tr w14:paraId="3B54D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tcBorders>
                    <w:tl2br w:val="nil"/>
                    <w:tr2bl w:val="nil"/>
                  </w:tcBorders>
                  <w:noWrap w:val="0"/>
                  <w:vAlign w:val="center"/>
                </w:tcPr>
                <w:p w14:paraId="156A62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494" w:type="pct"/>
                  <w:tcBorders>
                    <w:tl2br w:val="nil"/>
                    <w:tr2bl w:val="nil"/>
                  </w:tcBorders>
                  <w:noWrap w:val="0"/>
                  <w:vAlign w:val="center"/>
                </w:tcPr>
                <w:p w14:paraId="69C8D3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氧（压</w:t>
                  </w:r>
                </w:p>
                <w:p w14:paraId="4551B7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缩的或</w:t>
                  </w:r>
                </w:p>
                <w:p w14:paraId="45B88D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液化</w:t>
                  </w:r>
                </w:p>
                <w:p w14:paraId="0F15DE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的）</w:t>
                  </w:r>
                </w:p>
              </w:tc>
              <w:tc>
                <w:tcPr>
                  <w:tcW w:w="637" w:type="pct"/>
                  <w:tcBorders>
                    <w:tl2br w:val="nil"/>
                    <w:tr2bl w:val="nil"/>
                  </w:tcBorders>
                  <w:noWrap w:val="0"/>
                  <w:vAlign w:val="center"/>
                </w:tcPr>
                <w:p w14:paraId="75F81E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2528</w:t>
                  </w:r>
                </w:p>
              </w:tc>
              <w:tc>
                <w:tcPr>
                  <w:tcW w:w="401" w:type="pct"/>
                  <w:gridSpan w:val="2"/>
                  <w:tcBorders>
                    <w:tl2br w:val="nil"/>
                    <w:tr2bl w:val="nil"/>
                  </w:tcBorders>
                  <w:noWrap w:val="0"/>
                  <w:vAlign w:val="center"/>
                </w:tcPr>
                <w:p w14:paraId="459DFF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w:t>
                  </w:r>
                </w:p>
              </w:tc>
              <w:tc>
                <w:tcPr>
                  <w:tcW w:w="586" w:type="pct"/>
                  <w:tcBorders>
                    <w:tl2br w:val="nil"/>
                    <w:tr2bl w:val="nil"/>
                  </w:tcBorders>
                  <w:noWrap w:val="0"/>
                  <w:vAlign w:val="center"/>
                </w:tcPr>
                <w:p w14:paraId="43753D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常温全压力式</w:t>
                  </w:r>
                </w:p>
                <w:p w14:paraId="7F37A2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储罐储存</w:t>
                  </w:r>
                </w:p>
              </w:tc>
              <w:tc>
                <w:tcPr>
                  <w:tcW w:w="514" w:type="pct"/>
                  <w:tcBorders>
                    <w:tl2br w:val="nil"/>
                    <w:tr2bl w:val="nil"/>
                  </w:tcBorders>
                  <w:noWrap w:val="0"/>
                  <w:vAlign w:val="center"/>
                </w:tcPr>
                <w:p w14:paraId="284487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3110m³</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3013.59</w:t>
                  </w:r>
                  <w:r>
                    <w:rPr>
                      <w:rFonts w:hint="default" w:ascii="Times New Roman" w:hAnsi="Times New Roman" w:eastAsia="宋体" w:cs="Times New Roman"/>
                      <w:color w:val="auto"/>
                      <w:sz w:val="21"/>
                      <w:szCs w:val="21"/>
                      <w:highlight w:val="none"/>
                      <w:lang w:val="en-US" w:eastAsia="zh-CN"/>
                    </w:rPr>
                    <w:t>t</w:t>
                  </w:r>
                  <w:r>
                    <w:rPr>
                      <w:rFonts w:hint="eastAsia" w:ascii="Times New Roman" w:hAnsi="Times New Roman" w:eastAsia="宋体" w:cs="Times New Roman"/>
                      <w:color w:val="auto"/>
                      <w:sz w:val="21"/>
                      <w:szCs w:val="21"/>
                      <w:highlight w:val="none"/>
                      <w:lang w:val="en-US" w:eastAsia="zh-CN"/>
                    </w:rPr>
                    <w:t>）</w:t>
                  </w:r>
                </w:p>
              </w:tc>
              <w:tc>
                <w:tcPr>
                  <w:tcW w:w="637" w:type="pct"/>
                  <w:gridSpan w:val="2"/>
                  <w:tcBorders>
                    <w:tl2br w:val="nil"/>
                    <w:tr2bl w:val="nil"/>
                  </w:tcBorders>
                  <w:noWrap w:val="0"/>
                  <w:vAlign w:val="center"/>
                </w:tcPr>
                <w:p w14:paraId="1C2461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7782-44-7</w:t>
                  </w:r>
                </w:p>
              </w:tc>
              <w:tc>
                <w:tcPr>
                  <w:tcW w:w="596" w:type="pct"/>
                  <w:tcBorders>
                    <w:tl2br w:val="nil"/>
                    <w:tr2bl w:val="nil"/>
                  </w:tcBorders>
                  <w:noWrap w:val="0"/>
                  <w:vAlign w:val="center"/>
                </w:tcPr>
                <w:p w14:paraId="42A69F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氧化性气体，类别1加压气体</w:t>
                  </w:r>
                </w:p>
              </w:tc>
              <w:tc>
                <w:tcPr>
                  <w:tcW w:w="380" w:type="pct"/>
                  <w:tcBorders>
                    <w:tl2br w:val="nil"/>
                    <w:tr2bl w:val="nil"/>
                  </w:tcBorders>
                  <w:noWrap w:val="0"/>
                  <w:vAlign w:val="center"/>
                </w:tcPr>
                <w:p w14:paraId="00FCC7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乙类</w:t>
                  </w:r>
                </w:p>
              </w:tc>
              <w:tc>
                <w:tcPr>
                  <w:tcW w:w="458" w:type="pct"/>
                  <w:tcBorders>
                    <w:tl2br w:val="nil"/>
                    <w:tr2bl w:val="nil"/>
                  </w:tcBorders>
                  <w:noWrap w:val="0"/>
                  <w:vAlign w:val="center"/>
                </w:tcPr>
                <w:p w14:paraId="666A8CF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露天储罐区</w:t>
                  </w:r>
                </w:p>
              </w:tc>
            </w:tr>
            <w:tr w14:paraId="043BD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tcBorders>
                    <w:tl2br w:val="nil"/>
                    <w:tr2bl w:val="nil"/>
                  </w:tcBorders>
                  <w:noWrap w:val="0"/>
                  <w:vAlign w:val="center"/>
                </w:tcPr>
                <w:p w14:paraId="7292C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494" w:type="pct"/>
                  <w:tcBorders>
                    <w:tl2br w:val="nil"/>
                    <w:tr2bl w:val="nil"/>
                  </w:tcBorders>
                  <w:noWrap w:val="0"/>
                  <w:vAlign w:val="center"/>
                </w:tcPr>
                <w:p w14:paraId="26572A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氮（压缩的或液化的）</w:t>
                  </w:r>
                </w:p>
              </w:tc>
              <w:tc>
                <w:tcPr>
                  <w:tcW w:w="637" w:type="pct"/>
                  <w:tcBorders>
                    <w:tl2br w:val="nil"/>
                    <w:tr2bl w:val="nil"/>
                  </w:tcBorders>
                  <w:noWrap w:val="0"/>
                  <w:vAlign w:val="center"/>
                </w:tcPr>
                <w:p w14:paraId="7AE79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172</w:t>
                  </w:r>
                </w:p>
              </w:tc>
              <w:tc>
                <w:tcPr>
                  <w:tcW w:w="401" w:type="pct"/>
                  <w:gridSpan w:val="2"/>
                  <w:tcBorders>
                    <w:tl2br w:val="nil"/>
                    <w:tr2bl w:val="nil"/>
                  </w:tcBorders>
                  <w:noWrap w:val="0"/>
                  <w:vAlign w:val="center"/>
                </w:tcPr>
                <w:p w14:paraId="2AE397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w:t>
                  </w:r>
                </w:p>
              </w:tc>
              <w:tc>
                <w:tcPr>
                  <w:tcW w:w="586" w:type="pct"/>
                  <w:tcBorders>
                    <w:tl2br w:val="nil"/>
                    <w:tr2bl w:val="nil"/>
                  </w:tcBorders>
                  <w:noWrap w:val="0"/>
                  <w:vAlign w:val="center"/>
                </w:tcPr>
                <w:p w14:paraId="45D6EA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常温全压力式</w:t>
                  </w:r>
                </w:p>
                <w:p w14:paraId="4A2FED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储罐储存</w:t>
                  </w:r>
                </w:p>
              </w:tc>
              <w:tc>
                <w:tcPr>
                  <w:tcW w:w="514" w:type="pct"/>
                  <w:tcBorders>
                    <w:tl2br w:val="nil"/>
                    <w:tr2bl w:val="nil"/>
                  </w:tcBorders>
                  <w:noWrap w:val="0"/>
                  <w:vAlign w:val="center"/>
                </w:tcPr>
                <w:p w14:paraId="1C57C6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b w:val="0"/>
                      <w:bCs/>
                      <w:color w:val="auto"/>
                      <w:sz w:val="21"/>
                      <w:szCs w:val="21"/>
                      <w:lang w:val="en-US" w:eastAsia="zh-CN"/>
                    </w:rPr>
                    <w:t>30</w:t>
                  </w:r>
                  <w:r>
                    <w:rPr>
                      <w:rFonts w:hint="default"/>
                      <w:b w:val="0"/>
                      <w:bCs/>
                      <w:color w:val="auto"/>
                      <w:sz w:val="21"/>
                      <w:szCs w:val="21"/>
                      <w:lang w:val="en-US" w:eastAsia="zh-CN"/>
                    </w:rPr>
                    <w:t>50m³</w:t>
                  </w:r>
                  <w:r>
                    <w:rPr>
                      <w:rFonts w:hint="eastAsia"/>
                      <w:b w:val="0"/>
                      <w:bCs/>
                      <w:color w:val="auto"/>
                      <w:sz w:val="21"/>
                      <w:szCs w:val="21"/>
                      <w:lang w:val="en-US" w:eastAsia="zh-CN"/>
                    </w:rPr>
                    <w:t>（2099.925</w:t>
                  </w:r>
                  <w:r>
                    <w:rPr>
                      <w:rFonts w:hint="default"/>
                      <w:b w:val="0"/>
                      <w:bCs/>
                      <w:color w:val="auto"/>
                      <w:sz w:val="21"/>
                      <w:szCs w:val="21"/>
                      <w:lang w:val="en-US" w:eastAsia="zh-CN"/>
                    </w:rPr>
                    <w:t>t</w:t>
                  </w:r>
                  <w:r>
                    <w:rPr>
                      <w:rFonts w:hint="eastAsia"/>
                      <w:b w:val="0"/>
                      <w:bCs/>
                      <w:color w:val="auto"/>
                      <w:sz w:val="21"/>
                      <w:szCs w:val="21"/>
                      <w:lang w:val="en-US" w:eastAsia="zh-CN"/>
                    </w:rPr>
                    <w:t>）</w:t>
                  </w:r>
                </w:p>
              </w:tc>
              <w:tc>
                <w:tcPr>
                  <w:tcW w:w="637" w:type="pct"/>
                  <w:gridSpan w:val="2"/>
                  <w:tcBorders>
                    <w:tl2br w:val="nil"/>
                    <w:tr2bl w:val="nil"/>
                  </w:tcBorders>
                  <w:noWrap w:val="0"/>
                  <w:vAlign w:val="center"/>
                </w:tcPr>
                <w:p w14:paraId="2A5A86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7727-37-9</w:t>
                  </w:r>
                </w:p>
              </w:tc>
              <w:tc>
                <w:tcPr>
                  <w:tcW w:w="596" w:type="pct"/>
                  <w:tcBorders>
                    <w:tl2br w:val="nil"/>
                    <w:tr2bl w:val="nil"/>
                  </w:tcBorders>
                  <w:noWrap w:val="0"/>
                  <w:vAlign w:val="center"/>
                </w:tcPr>
                <w:p w14:paraId="2D8637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加压气体</w:t>
                  </w:r>
                </w:p>
              </w:tc>
              <w:tc>
                <w:tcPr>
                  <w:tcW w:w="380" w:type="pct"/>
                  <w:tcBorders>
                    <w:tl2br w:val="nil"/>
                    <w:tr2bl w:val="nil"/>
                  </w:tcBorders>
                  <w:noWrap w:val="0"/>
                  <w:vAlign w:val="center"/>
                </w:tcPr>
                <w:p w14:paraId="7DEC9C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戊类</w:t>
                  </w:r>
                </w:p>
              </w:tc>
              <w:tc>
                <w:tcPr>
                  <w:tcW w:w="458" w:type="pct"/>
                  <w:tcBorders>
                    <w:tl2br w:val="nil"/>
                    <w:tr2bl w:val="nil"/>
                  </w:tcBorders>
                  <w:noWrap w:val="0"/>
                  <w:vAlign w:val="center"/>
                </w:tcPr>
                <w:p w14:paraId="51B1C4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露天储罐区</w:t>
                  </w:r>
                </w:p>
              </w:tc>
            </w:tr>
            <w:tr w14:paraId="16AC0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tcBorders>
                    <w:tl2br w:val="nil"/>
                    <w:tr2bl w:val="nil"/>
                  </w:tcBorders>
                  <w:noWrap w:val="0"/>
                  <w:vAlign w:val="center"/>
                </w:tcPr>
                <w:p w14:paraId="17BF08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494" w:type="pct"/>
                  <w:tcBorders>
                    <w:tl2br w:val="nil"/>
                    <w:tr2bl w:val="nil"/>
                  </w:tcBorders>
                  <w:noWrap w:val="0"/>
                  <w:vAlign w:val="center"/>
                </w:tcPr>
                <w:p w14:paraId="7976C7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氩（压</w:t>
                  </w:r>
                </w:p>
                <w:p w14:paraId="164A32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缩的或</w:t>
                  </w:r>
                </w:p>
                <w:p w14:paraId="0FCF57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液化</w:t>
                  </w:r>
                </w:p>
                <w:p w14:paraId="05DC29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的）</w:t>
                  </w:r>
                </w:p>
              </w:tc>
              <w:tc>
                <w:tcPr>
                  <w:tcW w:w="637" w:type="pct"/>
                  <w:tcBorders>
                    <w:tl2br w:val="nil"/>
                    <w:tr2bl w:val="nil"/>
                  </w:tcBorders>
                  <w:noWrap w:val="0"/>
                  <w:vAlign w:val="center"/>
                </w:tcPr>
                <w:p w14:paraId="502518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2505</w:t>
                  </w:r>
                </w:p>
              </w:tc>
              <w:tc>
                <w:tcPr>
                  <w:tcW w:w="401" w:type="pct"/>
                  <w:gridSpan w:val="2"/>
                  <w:tcBorders>
                    <w:tl2br w:val="nil"/>
                    <w:tr2bl w:val="nil"/>
                  </w:tcBorders>
                  <w:noWrap w:val="0"/>
                  <w:vAlign w:val="center"/>
                </w:tcPr>
                <w:p w14:paraId="38DCD1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w:t>
                  </w:r>
                </w:p>
              </w:tc>
              <w:tc>
                <w:tcPr>
                  <w:tcW w:w="586" w:type="pct"/>
                  <w:tcBorders>
                    <w:tl2br w:val="nil"/>
                    <w:tr2bl w:val="nil"/>
                  </w:tcBorders>
                  <w:noWrap w:val="0"/>
                  <w:vAlign w:val="center"/>
                </w:tcPr>
                <w:p w14:paraId="7426A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常温全压力式</w:t>
                  </w:r>
                </w:p>
                <w:p w14:paraId="5A76A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储罐储存</w:t>
                  </w:r>
                </w:p>
              </w:tc>
              <w:tc>
                <w:tcPr>
                  <w:tcW w:w="514" w:type="pct"/>
                  <w:tcBorders>
                    <w:tl2br w:val="nil"/>
                    <w:tr2bl w:val="nil"/>
                  </w:tcBorders>
                  <w:noWrap w:val="0"/>
                  <w:vAlign w:val="center"/>
                </w:tcPr>
                <w:p w14:paraId="0FDE7D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color w:val="auto"/>
                      <w:sz w:val="21"/>
                      <w:szCs w:val="21"/>
                      <w:lang w:val="en-US" w:eastAsia="zh-CN"/>
                    </w:rPr>
                  </w:pPr>
                  <w:r>
                    <w:rPr>
                      <w:rFonts w:hint="default"/>
                      <w:b w:val="0"/>
                      <w:bCs/>
                      <w:color w:val="auto"/>
                      <w:sz w:val="21"/>
                      <w:szCs w:val="21"/>
                      <w:lang w:val="en-US" w:eastAsia="zh-CN"/>
                    </w:rPr>
                    <w:t>1</w:t>
                  </w:r>
                  <w:r>
                    <w:rPr>
                      <w:rFonts w:hint="eastAsia"/>
                      <w:b w:val="0"/>
                      <w:bCs/>
                      <w:color w:val="auto"/>
                      <w:sz w:val="21"/>
                      <w:szCs w:val="21"/>
                      <w:lang w:val="en-US" w:eastAsia="zh-CN"/>
                    </w:rPr>
                    <w:t>5</w:t>
                  </w:r>
                  <w:r>
                    <w:rPr>
                      <w:rFonts w:hint="default"/>
                      <w:b w:val="0"/>
                      <w:bCs/>
                      <w:color w:val="auto"/>
                      <w:sz w:val="21"/>
                      <w:szCs w:val="21"/>
                      <w:lang w:val="en-US" w:eastAsia="zh-CN"/>
                    </w:rPr>
                    <w:t>0m³</w:t>
                  </w:r>
                  <w:r>
                    <w:rPr>
                      <w:rFonts w:hint="eastAsia"/>
                      <w:b w:val="0"/>
                      <w:bCs/>
                      <w:color w:val="auto"/>
                      <w:sz w:val="21"/>
                      <w:szCs w:val="21"/>
                      <w:lang w:val="en-US" w:eastAsia="zh-CN"/>
                    </w:rPr>
                    <w:t>（179.775</w:t>
                  </w:r>
                  <w:r>
                    <w:rPr>
                      <w:rFonts w:hint="default"/>
                      <w:b w:val="0"/>
                      <w:bCs/>
                      <w:color w:val="auto"/>
                      <w:sz w:val="21"/>
                      <w:szCs w:val="21"/>
                      <w:lang w:val="en-US" w:eastAsia="zh-CN"/>
                    </w:rPr>
                    <w:t>t</w:t>
                  </w:r>
                  <w:r>
                    <w:rPr>
                      <w:rFonts w:hint="eastAsia"/>
                      <w:b w:val="0"/>
                      <w:bCs/>
                      <w:color w:val="auto"/>
                      <w:sz w:val="21"/>
                      <w:szCs w:val="21"/>
                      <w:lang w:val="en-US" w:eastAsia="zh-CN"/>
                    </w:rPr>
                    <w:t>）</w:t>
                  </w:r>
                </w:p>
              </w:tc>
              <w:tc>
                <w:tcPr>
                  <w:tcW w:w="637" w:type="pct"/>
                  <w:gridSpan w:val="2"/>
                  <w:tcBorders>
                    <w:tl2br w:val="nil"/>
                    <w:tr2bl w:val="nil"/>
                  </w:tcBorders>
                  <w:noWrap w:val="0"/>
                  <w:vAlign w:val="center"/>
                </w:tcPr>
                <w:p w14:paraId="31BCDA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7440-37-1</w:t>
                  </w:r>
                </w:p>
              </w:tc>
              <w:tc>
                <w:tcPr>
                  <w:tcW w:w="596" w:type="pct"/>
                  <w:tcBorders>
                    <w:tl2br w:val="nil"/>
                    <w:tr2bl w:val="nil"/>
                  </w:tcBorders>
                  <w:noWrap w:val="0"/>
                  <w:vAlign w:val="center"/>
                </w:tcPr>
                <w:p w14:paraId="4E38EB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加压气体</w:t>
                  </w:r>
                </w:p>
              </w:tc>
              <w:tc>
                <w:tcPr>
                  <w:tcW w:w="380" w:type="pct"/>
                  <w:tcBorders>
                    <w:tl2br w:val="nil"/>
                    <w:tr2bl w:val="nil"/>
                  </w:tcBorders>
                  <w:noWrap w:val="0"/>
                  <w:vAlign w:val="center"/>
                </w:tcPr>
                <w:p w14:paraId="43CDF7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戊类</w:t>
                  </w:r>
                </w:p>
              </w:tc>
              <w:tc>
                <w:tcPr>
                  <w:tcW w:w="458" w:type="pct"/>
                  <w:tcBorders>
                    <w:tl2br w:val="nil"/>
                    <w:tr2bl w:val="nil"/>
                  </w:tcBorders>
                  <w:noWrap w:val="0"/>
                  <w:vAlign w:val="center"/>
                </w:tcPr>
                <w:p w14:paraId="20873B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露天储罐区</w:t>
                  </w:r>
                </w:p>
              </w:tc>
            </w:tr>
            <w:tr w14:paraId="318D8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tcBorders>
                    <w:tl2br w:val="nil"/>
                    <w:tr2bl w:val="nil"/>
                  </w:tcBorders>
                  <w:noWrap w:val="0"/>
                  <w:vAlign w:val="center"/>
                </w:tcPr>
                <w:p w14:paraId="42FE34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494" w:type="pct"/>
                  <w:tcBorders>
                    <w:tl2br w:val="nil"/>
                    <w:tr2bl w:val="nil"/>
                  </w:tcBorders>
                  <w:noWrap w:val="0"/>
                  <w:vAlign w:val="center"/>
                </w:tcPr>
                <w:p w14:paraId="44FCC7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w:t>
                  </w:r>
                </w:p>
                <w:p w14:paraId="129759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碳（压</w:t>
                  </w:r>
                </w:p>
                <w:p w14:paraId="120133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缩的或</w:t>
                  </w:r>
                </w:p>
                <w:p w14:paraId="4345B7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液化</w:t>
                  </w:r>
                </w:p>
                <w:p w14:paraId="7B9BAF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的）</w:t>
                  </w:r>
                </w:p>
              </w:tc>
              <w:tc>
                <w:tcPr>
                  <w:tcW w:w="637" w:type="pct"/>
                  <w:tcBorders>
                    <w:tl2br w:val="nil"/>
                    <w:tr2bl w:val="nil"/>
                  </w:tcBorders>
                  <w:noWrap w:val="0"/>
                  <w:vAlign w:val="center"/>
                </w:tcPr>
                <w:p w14:paraId="626DEE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642</w:t>
                  </w:r>
                </w:p>
              </w:tc>
              <w:tc>
                <w:tcPr>
                  <w:tcW w:w="401" w:type="pct"/>
                  <w:gridSpan w:val="2"/>
                  <w:tcBorders>
                    <w:tl2br w:val="nil"/>
                    <w:tr2bl w:val="nil"/>
                  </w:tcBorders>
                  <w:noWrap w:val="0"/>
                  <w:vAlign w:val="center"/>
                </w:tcPr>
                <w:p w14:paraId="2D8ED2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w:t>
                  </w:r>
                </w:p>
              </w:tc>
              <w:tc>
                <w:tcPr>
                  <w:tcW w:w="586" w:type="pct"/>
                  <w:tcBorders>
                    <w:tl2br w:val="nil"/>
                    <w:tr2bl w:val="nil"/>
                  </w:tcBorders>
                  <w:noWrap w:val="0"/>
                  <w:vAlign w:val="center"/>
                </w:tcPr>
                <w:p w14:paraId="484493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常温全压力式</w:t>
                  </w:r>
                </w:p>
                <w:p w14:paraId="47ACE3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储罐储存</w:t>
                  </w:r>
                </w:p>
              </w:tc>
              <w:tc>
                <w:tcPr>
                  <w:tcW w:w="514" w:type="pct"/>
                  <w:tcBorders>
                    <w:tl2br w:val="nil"/>
                    <w:tr2bl w:val="nil"/>
                  </w:tcBorders>
                  <w:noWrap w:val="0"/>
                  <w:vAlign w:val="center"/>
                </w:tcPr>
                <w:p w14:paraId="64190C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b w:val="0"/>
                      <w:bCs/>
                      <w:color w:val="auto"/>
                      <w:sz w:val="21"/>
                      <w:szCs w:val="21"/>
                      <w:lang w:val="en-US" w:eastAsia="zh-CN"/>
                    </w:rPr>
                    <w:t>50m³</w:t>
                  </w:r>
                  <w:r>
                    <w:rPr>
                      <w:rFonts w:hint="eastAsia"/>
                      <w:b w:val="0"/>
                      <w:bCs/>
                      <w:color w:val="auto"/>
                      <w:sz w:val="21"/>
                      <w:szCs w:val="21"/>
                      <w:lang w:val="en-US" w:eastAsia="zh-CN"/>
                    </w:rPr>
                    <w:t>（46.835</w:t>
                  </w:r>
                  <w:r>
                    <w:rPr>
                      <w:rFonts w:hint="default"/>
                      <w:b w:val="0"/>
                      <w:bCs/>
                      <w:color w:val="auto"/>
                      <w:sz w:val="21"/>
                      <w:szCs w:val="21"/>
                      <w:lang w:val="en-US" w:eastAsia="zh-CN"/>
                    </w:rPr>
                    <w:t>t</w:t>
                  </w:r>
                  <w:r>
                    <w:rPr>
                      <w:rFonts w:hint="eastAsia"/>
                      <w:b w:val="0"/>
                      <w:bCs/>
                      <w:color w:val="auto"/>
                      <w:sz w:val="21"/>
                      <w:szCs w:val="21"/>
                      <w:lang w:val="en-US" w:eastAsia="zh-CN"/>
                    </w:rPr>
                    <w:t>）</w:t>
                  </w:r>
                </w:p>
              </w:tc>
              <w:tc>
                <w:tcPr>
                  <w:tcW w:w="637" w:type="pct"/>
                  <w:gridSpan w:val="2"/>
                  <w:tcBorders>
                    <w:tl2br w:val="nil"/>
                    <w:tr2bl w:val="nil"/>
                  </w:tcBorders>
                  <w:noWrap w:val="0"/>
                  <w:vAlign w:val="center"/>
                </w:tcPr>
                <w:p w14:paraId="7532CB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124-38-9</w:t>
                  </w:r>
                </w:p>
              </w:tc>
              <w:tc>
                <w:tcPr>
                  <w:tcW w:w="596" w:type="pct"/>
                  <w:tcBorders>
                    <w:tl2br w:val="nil"/>
                    <w:tr2bl w:val="nil"/>
                  </w:tcBorders>
                  <w:noWrap w:val="0"/>
                  <w:vAlign w:val="center"/>
                </w:tcPr>
                <w:p w14:paraId="489639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特异性靶器官毒性一次接触，类别3（麻醉效应）</w:t>
                  </w:r>
                </w:p>
              </w:tc>
              <w:tc>
                <w:tcPr>
                  <w:tcW w:w="380" w:type="pct"/>
                  <w:tcBorders>
                    <w:tl2br w:val="nil"/>
                    <w:tr2bl w:val="nil"/>
                  </w:tcBorders>
                  <w:noWrap w:val="0"/>
                  <w:vAlign w:val="center"/>
                </w:tcPr>
                <w:p w14:paraId="051243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戊类</w:t>
                  </w:r>
                </w:p>
              </w:tc>
              <w:tc>
                <w:tcPr>
                  <w:tcW w:w="458" w:type="pct"/>
                  <w:tcBorders>
                    <w:tl2br w:val="nil"/>
                    <w:tr2bl w:val="nil"/>
                  </w:tcBorders>
                  <w:noWrap w:val="0"/>
                  <w:vAlign w:val="center"/>
                </w:tcPr>
                <w:p w14:paraId="17D2FF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露天储罐区</w:t>
                  </w:r>
                </w:p>
              </w:tc>
            </w:tr>
            <w:tr w14:paraId="26847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tcBorders>
                    <w:tl2br w:val="nil"/>
                    <w:tr2bl w:val="nil"/>
                  </w:tcBorders>
                  <w:noWrap w:val="0"/>
                  <w:vAlign w:val="center"/>
                </w:tcPr>
                <w:p w14:paraId="368780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494" w:type="pct"/>
                  <w:tcBorders>
                    <w:tl2br w:val="nil"/>
                    <w:tr2bl w:val="nil"/>
                  </w:tcBorders>
                  <w:noWrap w:val="0"/>
                  <w:vAlign w:val="center"/>
                </w:tcPr>
                <w:p w14:paraId="63C4CF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丙烷</w:t>
                  </w:r>
                </w:p>
              </w:tc>
              <w:tc>
                <w:tcPr>
                  <w:tcW w:w="637" w:type="pct"/>
                  <w:tcBorders>
                    <w:tl2br w:val="nil"/>
                    <w:tr2bl w:val="nil"/>
                  </w:tcBorders>
                  <w:noWrap w:val="0"/>
                  <w:vAlign w:val="center"/>
                </w:tcPr>
                <w:p w14:paraId="52E668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139</w:t>
                  </w:r>
                </w:p>
              </w:tc>
              <w:tc>
                <w:tcPr>
                  <w:tcW w:w="401" w:type="pct"/>
                  <w:gridSpan w:val="2"/>
                  <w:tcBorders>
                    <w:tl2br w:val="nil"/>
                    <w:tr2bl w:val="nil"/>
                  </w:tcBorders>
                  <w:noWrap w:val="0"/>
                  <w:vAlign w:val="center"/>
                </w:tcPr>
                <w:p w14:paraId="25A9A4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液</w:t>
                  </w:r>
                </w:p>
              </w:tc>
              <w:tc>
                <w:tcPr>
                  <w:tcW w:w="586" w:type="pct"/>
                  <w:tcBorders>
                    <w:tl2br w:val="nil"/>
                    <w:tr2bl w:val="nil"/>
                  </w:tcBorders>
                  <w:noWrap w:val="0"/>
                  <w:vAlign w:val="center"/>
                </w:tcPr>
                <w:p w14:paraId="790BBB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常温全压力式</w:t>
                  </w:r>
                </w:p>
                <w:p w14:paraId="1A3ED2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储罐储存</w:t>
                  </w:r>
                </w:p>
              </w:tc>
              <w:tc>
                <w:tcPr>
                  <w:tcW w:w="514" w:type="pct"/>
                  <w:tcBorders>
                    <w:tl2br w:val="nil"/>
                    <w:tr2bl w:val="nil"/>
                  </w:tcBorders>
                  <w:noWrap w:val="0"/>
                  <w:vAlign w:val="center"/>
                </w:tcPr>
                <w:p w14:paraId="151D27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b w:val="0"/>
                      <w:bCs/>
                      <w:color w:val="auto"/>
                      <w:sz w:val="21"/>
                      <w:szCs w:val="21"/>
                      <w:lang w:val="en-US" w:eastAsia="zh-CN"/>
                    </w:rPr>
                    <w:t>10</w:t>
                  </w:r>
                  <w:r>
                    <w:rPr>
                      <w:rFonts w:hint="default"/>
                      <w:b w:val="0"/>
                      <w:bCs/>
                      <w:color w:val="auto"/>
                      <w:sz w:val="21"/>
                      <w:szCs w:val="21"/>
                      <w:lang w:val="en-US" w:eastAsia="zh-CN"/>
                    </w:rPr>
                    <w:t>0m³</w:t>
                  </w:r>
                  <w:r>
                    <w:rPr>
                      <w:rFonts w:hint="eastAsia"/>
                      <w:b w:val="0"/>
                      <w:bCs/>
                      <w:color w:val="auto"/>
                      <w:sz w:val="21"/>
                      <w:szCs w:val="21"/>
                      <w:lang w:val="en-US" w:eastAsia="zh-CN"/>
                    </w:rPr>
                    <w:t>（49.3</w:t>
                  </w:r>
                  <w:r>
                    <w:rPr>
                      <w:rFonts w:hint="default"/>
                      <w:b w:val="0"/>
                      <w:bCs/>
                      <w:color w:val="auto"/>
                      <w:sz w:val="21"/>
                      <w:szCs w:val="21"/>
                      <w:lang w:val="en-US" w:eastAsia="zh-CN"/>
                    </w:rPr>
                    <w:t>t</w:t>
                  </w:r>
                  <w:r>
                    <w:rPr>
                      <w:rFonts w:hint="eastAsia"/>
                      <w:b w:val="0"/>
                      <w:bCs/>
                      <w:color w:val="auto"/>
                      <w:sz w:val="21"/>
                      <w:szCs w:val="21"/>
                      <w:lang w:val="en-US" w:eastAsia="zh-CN"/>
                    </w:rPr>
                    <w:t>）</w:t>
                  </w:r>
                </w:p>
              </w:tc>
              <w:tc>
                <w:tcPr>
                  <w:tcW w:w="637" w:type="pct"/>
                  <w:gridSpan w:val="2"/>
                  <w:tcBorders>
                    <w:tl2br w:val="nil"/>
                    <w:tr2bl w:val="nil"/>
                  </w:tcBorders>
                  <w:noWrap w:val="0"/>
                  <w:vAlign w:val="center"/>
                </w:tcPr>
                <w:p w14:paraId="4717FF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74-98-6</w:t>
                  </w:r>
                </w:p>
              </w:tc>
              <w:tc>
                <w:tcPr>
                  <w:tcW w:w="596" w:type="pct"/>
                  <w:tcBorders>
                    <w:tl2br w:val="nil"/>
                    <w:tr2bl w:val="nil"/>
                  </w:tcBorders>
                  <w:noWrap w:val="0"/>
                  <w:vAlign w:val="center"/>
                </w:tcPr>
                <w:p w14:paraId="5FB25B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易燃气体，类别</w:t>
                  </w:r>
                </w:p>
                <w:p w14:paraId="3ECF5A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加压气体</w:t>
                  </w:r>
                </w:p>
              </w:tc>
              <w:tc>
                <w:tcPr>
                  <w:tcW w:w="380" w:type="pct"/>
                  <w:tcBorders>
                    <w:tl2br w:val="nil"/>
                    <w:tr2bl w:val="nil"/>
                  </w:tcBorders>
                  <w:noWrap w:val="0"/>
                  <w:vAlign w:val="center"/>
                </w:tcPr>
                <w:p w14:paraId="5A6704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甲类</w:t>
                  </w:r>
                </w:p>
              </w:tc>
              <w:tc>
                <w:tcPr>
                  <w:tcW w:w="458" w:type="pct"/>
                  <w:tcBorders>
                    <w:tl2br w:val="nil"/>
                    <w:tr2bl w:val="nil"/>
                  </w:tcBorders>
                  <w:noWrap w:val="0"/>
                  <w:vAlign w:val="center"/>
                </w:tcPr>
                <w:p w14:paraId="37932F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埋地罐区</w:t>
                  </w:r>
                </w:p>
              </w:tc>
            </w:tr>
            <w:tr w14:paraId="2CBC5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tcBorders>
                    <w:tl2br w:val="nil"/>
                    <w:tr2bl w:val="nil"/>
                  </w:tcBorders>
                  <w:noWrap w:val="0"/>
                  <w:vAlign w:val="center"/>
                </w:tcPr>
                <w:p w14:paraId="3C080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494" w:type="pct"/>
                  <w:tcBorders>
                    <w:tl2br w:val="nil"/>
                    <w:tr2bl w:val="nil"/>
                  </w:tcBorders>
                  <w:noWrap w:val="0"/>
                  <w:vAlign w:val="center"/>
                </w:tcPr>
                <w:p w14:paraId="7983A0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液化石油气</w:t>
                  </w:r>
                </w:p>
              </w:tc>
              <w:tc>
                <w:tcPr>
                  <w:tcW w:w="637" w:type="pct"/>
                  <w:tcBorders>
                    <w:tl2br w:val="nil"/>
                    <w:tr2bl w:val="nil"/>
                  </w:tcBorders>
                  <w:noWrap w:val="0"/>
                  <w:vAlign w:val="center"/>
                </w:tcPr>
                <w:p w14:paraId="5C94D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2548</w:t>
                  </w:r>
                </w:p>
              </w:tc>
              <w:tc>
                <w:tcPr>
                  <w:tcW w:w="401" w:type="pct"/>
                  <w:gridSpan w:val="2"/>
                  <w:tcBorders>
                    <w:tl2br w:val="nil"/>
                    <w:tr2bl w:val="nil"/>
                  </w:tcBorders>
                  <w:noWrap w:val="0"/>
                  <w:vAlign w:val="center"/>
                </w:tcPr>
                <w:p w14:paraId="31594D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w:t>
                  </w:r>
                </w:p>
              </w:tc>
              <w:tc>
                <w:tcPr>
                  <w:tcW w:w="586" w:type="pct"/>
                  <w:tcBorders>
                    <w:tl2br w:val="nil"/>
                    <w:tr2bl w:val="nil"/>
                  </w:tcBorders>
                  <w:noWrap w:val="0"/>
                  <w:vAlign w:val="center"/>
                </w:tcPr>
                <w:p w14:paraId="6035C8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常温全压力式</w:t>
                  </w:r>
                </w:p>
                <w:p w14:paraId="591DC2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储罐储存</w:t>
                  </w:r>
                </w:p>
              </w:tc>
              <w:tc>
                <w:tcPr>
                  <w:tcW w:w="514" w:type="pct"/>
                  <w:tcBorders>
                    <w:tl2br w:val="nil"/>
                    <w:tr2bl w:val="nil"/>
                  </w:tcBorders>
                  <w:noWrap w:val="0"/>
                  <w:vAlign w:val="center"/>
                </w:tcPr>
                <w:p w14:paraId="04FF25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b w:val="0"/>
                      <w:bCs/>
                      <w:color w:val="auto"/>
                      <w:sz w:val="21"/>
                      <w:szCs w:val="21"/>
                      <w:lang w:val="en-US" w:eastAsia="zh-CN"/>
                    </w:rPr>
                    <w:t>10</w:t>
                  </w:r>
                  <w:r>
                    <w:rPr>
                      <w:rFonts w:hint="default"/>
                      <w:b w:val="0"/>
                      <w:bCs/>
                      <w:color w:val="auto"/>
                      <w:sz w:val="21"/>
                      <w:szCs w:val="21"/>
                      <w:lang w:val="en-US" w:eastAsia="zh-CN"/>
                    </w:rPr>
                    <w:t>0m³</w:t>
                  </w:r>
                  <w:r>
                    <w:rPr>
                      <w:rFonts w:hint="eastAsia"/>
                      <w:b w:val="0"/>
                      <w:bCs/>
                      <w:color w:val="auto"/>
                      <w:sz w:val="21"/>
                      <w:szCs w:val="21"/>
                      <w:lang w:val="en-US" w:eastAsia="zh-CN"/>
                    </w:rPr>
                    <w:t>（49.3</w:t>
                  </w:r>
                  <w:r>
                    <w:rPr>
                      <w:rFonts w:hint="default"/>
                      <w:b w:val="0"/>
                      <w:bCs/>
                      <w:color w:val="auto"/>
                      <w:sz w:val="21"/>
                      <w:szCs w:val="21"/>
                      <w:lang w:val="en-US" w:eastAsia="zh-CN"/>
                    </w:rPr>
                    <w:t>t</w:t>
                  </w:r>
                  <w:r>
                    <w:rPr>
                      <w:rFonts w:hint="eastAsia"/>
                      <w:b w:val="0"/>
                      <w:bCs/>
                      <w:color w:val="auto"/>
                      <w:sz w:val="21"/>
                      <w:szCs w:val="21"/>
                      <w:lang w:val="en-US" w:eastAsia="zh-CN"/>
                    </w:rPr>
                    <w:t>）</w:t>
                  </w:r>
                </w:p>
              </w:tc>
              <w:tc>
                <w:tcPr>
                  <w:tcW w:w="637" w:type="pct"/>
                  <w:gridSpan w:val="2"/>
                  <w:tcBorders>
                    <w:tl2br w:val="nil"/>
                    <w:tr2bl w:val="nil"/>
                  </w:tcBorders>
                  <w:noWrap w:val="0"/>
                  <w:vAlign w:val="center"/>
                </w:tcPr>
                <w:p w14:paraId="38FEF3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68476-85-7</w:t>
                  </w:r>
                </w:p>
              </w:tc>
              <w:tc>
                <w:tcPr>
                  <w:tcW w:w="596" w:type="pct"/>
                  <w:tcBorders>
                    <w:tl2br w:val="nil"/>
                    <w:tr2bl w:val="nil"/>
                  </w:tcBorders>
                  <w:noWrap w:val="0"/>
                  <w:vAlign w:val="center"/>
                </w:tcPr>
                <w:p w14:paraId="3B55E9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易燃气体，类别</w:t>
                  </w:r>
                </w:p>
                <w:p w14:paraId="0548BA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加压气体</w:t>
                  </w:r>
                </w:p>
              </w:tc>
              <w:tc>
                <w:tcPr>
                  <w:tcW w:w="380" w:type="pct"/>
                  <w:tcBorders>
                    <w:tl2br w:val="nil"/>
                    <w:tr2bl w:val="nil"/>
                  </w:tcBorders>
                  <w:noWrap w:val="0"/>
                  <w:vAlign w:val="center"/>
                </w:tcPr>
                <w:p w14:paraId="463A12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甲类</w:t>
                  </w:r>
                </w:p>
              </w:tc>
              <w:tc>
                <w:tcPr>
                  <w:tcW w:w="458" w:type="pct"/>
                  <w:tcBorders>
                    <w:tl2br w:val="nil"/>
                    <w:tr2bl w:val="nil"/>
                  </w:tcBorders>
                  <w:noWrap w:val="0"/>
                  <w:vAlign w:val="center"/>
                </w:tcPr>
                <w:p w14:paraId="175B56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埋地罐区</w:t>
                  </w:r>
                </w:p>
              </w:tc>
            </w:tr>
            <w:tr w14:paraId="36599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tcBorders>
                    <w:tl2br w:val="nil"/>
                    <w:tr2bl w:val="nil"/>
                  </w:tcBorders>
                  <w:noWrap w:val="0"/>
                  <w:vAlign w:val="center"/>
                </w:tcPr>
                <w:p w14:paraId="747AA2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494" w:type="pct"/>
                  <w:tcBorders>
                    <w:tl2br w:val="nil"/>
                    <w:tr2bl w:val="nil"/>
                  </w:tcBorders>
                  <w:noWrap w:val="0"/>
                  <w:vAlign w:val="center"/>
                </w:tcPr>
                <w:p w14:paraId="04B6C4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乙炔</w:t>
                  </w:r>
                </w:p>
              </w:tc>
              <w:tc>
                <w:tcPr>
                  <w:tcW w:w="637" w:type="pct"/>
                  <w:tcBorders>
                    <w:tl2br w:val="nil"/>
                    <w:tr2bl w:val="nil"/>
                  </w:tcBorders>
                  <w:noWrap w:val="0"/>
                  <w:vAlign w:val="center"/>
                </w:tcPr>
                <w:p w14:paraId="1B3979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2661</w:t>
                  </w:r>
                </w:p>
              </w:tc>
              <w:tc>
                <w:tcPr>
                  <w:tcW w:w="401" w:type="pct"/>
                  <w:gridSpan w:val="2"/>
                  <w:tcBorders>
                    <w:tl2br w:val="nil"/>
                    <w:tr2bl w:val="nil"/>
                  </w:tcBorders>
                  <w:noWrap w:val="0"/>
                  <w:vAlign w:val="center"/>
                </w:tcPr>
                <w:p w14:paraId="132516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气</w:t>
                  </w:r>
                </w:p>
              </w:tc>
              <w:tc>
                <w:tcPr>
                  <w:tcW w:w="586" w:type="pct"/>
                  <w:tcBorders>
                    <w:tl2br w:val="nil"/>
                    <w:tr2bl w:val="nil"/>
                  </w:tcBorders>
                  <w:noWrap w:val="0"/>
                  <w:vAlign w:val="center"/>
                </w:tcPr>
                <w:p w14:paraId="5D13A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常温全压力式</w:t>
                  </w:r>
                </w:p>
                <w:p w14:paraId="407B8B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气瓶</w:t>
                  </w:r>
                  <w:r>
                    <w:rPr>
                      <w:rFonts w:hint="default" w:ascii="Times New Roman" w:hAnsi="Times New Roman" w:eastAsia="宋体" w:cs="Times New Roman"/>
                      <w:color w:val="auto"/>
                      <w:sz w:val="21"/>
                      <w:szCs w:val="21"/>
                      <w:highlight w:val="none"/>
                      <w:lang w:val="en-US" w:eastAsia="zh-CN"/>
                    </w:rPr>
                    <w:t>储存</w:t>
                  </w:r>
                </w:p>
              </w:tc>
              <w:tc>
                <w:tcPr>
                  <w:tcW w:w="514" w:type="pct"/>
                  <w:tcBorders>
                    <w:tl2br w:val="nil"/>
                    <w:tr2bl w:val="nil"/>
                  </w:tcBorders>
                  <w:noWrap w:val="0"/>
                  <w:vAlign w:val="center"/>
                </w:tcPr>
                <w:p w14:paraId="2A2B72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color w:val="auto"/>
                      <w:sz w:val="21"/>
                      <w:szCs w:val="21"/>
                      <w:lang w:val="en-US" w:eastAsia="zh-CN"/>
                    </w:rPr>
                  </w:pPr>
                  <w:r>
                    <w:rPr>
                      <w:rFonts w:hint="eastAsia"/>
                      <w:b w:val="0"/>
                      <w:bCs/>
                      <w:color w:val="auto"/>
                      <w:sz w:val="21"/>
                      <w:szCs w:val="21"/>
                      <w:lang w:val="en-US" w:eastAsia="zh-CN"/>
                    </w:rPr>
                    <w:t>160瓶（0.8t）</w:t>
                  </w:r>
                </w:p>
              </w:tc>
              <w:tc>
                <w:tcPr>
                  <w:tcW w:w="637" w:type="pct"/>
                  <w:gridSpan w:val="2"/>
                  <w:tcBorders>
                    <w:tl2br w:val="nil"/>
                    <w:tr2bl w:val="nil"/>
                  </w:tcBorders>
                  <w:noWrap w:val="0"/>
                  <w:vAlign w:val="center"/>
                </w:tcPr>
                <w:p w14:paraId="0AA902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sz w:val="21"/>
                      <w:szCs w:val="21"/>
                      <w:lang w:val="en-US" w:eastAsia="zh-CN"/>
                    </w:rPr>
                    <w:t>74-86-2</w:t>
                  </w:r>
                </w:p>
              </w:tc>
              <w:tc>
                <w:tcPr>
                  <w:tcW w:w="596" w:type="pct"/>
                  <w:tcBorders>
                    <w:tl2br w:val="nil"/>
                    <w:tr2bl w:val="nil"/>
                  </w:tcBorders>
                  <w:noWrap w:val="0"/>
                  <w:vAlign w:val="center"/>
                </w:tcPr>
                <w:p w14:paraId="278DF7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易燃气体，</w:t>
                  </w:r>
                  <w:r>
                    <w:rPr>
                      <w:rFonts w:hint="default" w:ascii="Times New Roman" w:hAnsi="Times New Roman" w:eastAsia="宋体" w:cs="Times New Roman"/>
                      <w:color w:val="auto"/>
                      <w:sz w:val="21"/>
                      <w:szCs w:val="21"/>
                      <w:highlight w:val="none"/>
                      <w:lang w:val="en-US" w:eastAsia="zh-CN"/>
                    </w:rPr>
                    <w:t>类别1化学不稳定性气体</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类别A加压气体</w:t>
                  </w:r>
                </w:p>
              </w:tc>
              <w:tc>
                <w:tcPr>
                  <w:tcW w:w="380" w:type="pct"/>
                  <w:tcBorders>
                    <w:tl2br w:val="nil"/>
                    <w:tr2bl w:val="nil"/>
                  </w:tcBorders>
                  <w:noWrap w:val="0"/>
                  <w:vAlign w:val="center"/>
                </w:tcPr>
                <w:p w14:paraId="1021A2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甲类</w:t>
                  </w:r>
                </w:p>
              </w:tc>
              <w:tc>
                <w:tcPr>
                  <w:tcW w:w="458" w:type="pct"/>
                  <w:tcBorders>
                    <w:tl2br w:val="nil"/>
                    <w:tr2bl w:val="nil"/>
                  </w:tcBorders>
                  <w:noWrap w:val="0"/>
                  <w:vAlign w:val="center"/>
                </w:tcPr>
                <w:p w14:paraId="0FFAC8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甲类仓库</w:t>
                  </w:r>
                </w:p>
              </w:tc>
            </w:tr>
            <w:tr w14:paraId="0F451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93" w:type="pct"/>
                  <w:tcBorders>
                    <w:tl2br w:val="nil"/>
                    <w:tr2bl w:val="nil"/>
                  </w:tcBorders>
                  <w:noWrap w:val="0"/>
                  <w:vAlign w:val="center"/>
                </w:tcPr>
                <w:p w14:paraId="0AE171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494" w:type="pct"/>
                  <w:tcBorders>
                    <w:tl2br w:val="nil"/>
                    <w:tr2bl w:val="nil"/>
                  </w:tcBorders>
                  <w:shd w:val="clear" w:color="auto" w:fill="auto"/>
                  <w:noWrap w:val="0"/>
                  <w:vAlign w:val="center"/>
                </w:tcPr>
                <w:p w14:paraId="111E4C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丙烷</w:t>
                  </w:r>
                </w:p>
              </w:tc>
              <w:tc>
                <w:tcPr>
                  <w:tcW w:w="637" w:type="pct"/>
                  <w:tcBorders>
                    <w:tl2br w:val="nil"/>
                    <w:tr2bl w:val="nil"/>
                  </w:tcBorders>
                  <w:shd w:val="clear" w:color="auto" w:fill="auto"/>
                  <w:noWrap w:val="0"/>
                  <w:vAlign w:val="center"/>
                </w:tcPr>
                <w:p w14:paraId="3B078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139</w:t>
                  </w:r>
                </w:p>
              </w:tc>
              <w:tc>
                <w:tcPr>
                  <w:tcW w:w="401" w:type="pct"/>
                  <w:gridSpan w:val="2"/>
                  <w:tcBorders>
                    <w:tl2br w:val="nil"/>
                    <w:tr2bl w:val="nil"/>
                  </w:tcBorders>
                  <w:shd w:val="clear" w:color="auto" w:fill="auto"/>
                  <w:noWrap w:val="0"/>
                  <w:vAlign w:val="center"/>
                </w:tcPr>
                <w:p w14:paraId="644B3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气</w:t>
                  </w:r>
                </w:p>
              </w:tc>
              <w:tc>
                <w:tcPr>
                  <w:tcW w:w="586" w:type="pct"/>
                  <w:tcBorders>
                    <w:tl2br w:val="nil"/>
                    <w:tr2bl w:val="nil"/>
                  </w:tcBorders>
                  <w:shd w:val="clear" w:color="auto" w:fill="auto"/>
                  <w:noWrap w:val="0"/>
                  <w:vAlign w:val="center"/>
                </w:tcPr>
                <w:p w14:paraId="7FDCB8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常温全压力式</w:t>
                  </w:r>
                </w:p>
                <w:p w14:paraId="5C9775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气瓶</w:t>
                  </w:r>
                  <w:r>
                    <w:rPr>
                      <w:rFonts w:hint="default" w:ascii="Times New Roman" w:hAnsi="Times New Roman" w:eastAsia="宋体" w:cs="Times New Roman"/>
                      <w:color w:val="auto"/>
                      <w:sz w:val="21"/>
                      <w:szCs w:val="21"/>
                      <w:highlight w:val="none"/>
                      <w:lang w:val="en-US" w:eastAsia="zh-CN"/>
                    </w:rPr>
                    <w:t>储存</w:t>
                  </w:r>
                </w:p>
              </w:tc>
              <w:tc>
                <w:tcPr>
                  <w:tcW w:w="514" w:type="pct"/>
                  <w:tcBorders>
                    <w:tl2br w:val="nil"/>
                    <w:tr2bl w:val="nil"/>
                  </w:tcBorders>
                  <w:shd w:val="clear" w:color="auto" w:fill="auto"/>
                  <w:noWrap w:val="0"/>
                  <w:vAlign w:val="center"/>
                </w:tcPr>
                <w:p w14:paraId="13F9FD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b w:val="0"/>
                      <w:bCs/>
                      <w:color w:val="auto"/>
                      <w:sz w:val="21"/>
                      <w:szCs w:val="21"/>
                      <w:lang w:val="en-US" w:eastAsia="zh-CN"/>
                    </w:rPr>
                    <w:t>10</w:t>
                  </w:r>
                  <w:r>
                    <w:rPr>
                      <w:rFonts w:hint="default"/>
                      <w:b w:val="0"/>
                      <w:bCs/>
                      <w:color w:val="auto"/>
                      <w:sz w:val="21"/>
                      <w:szCs w:val="21"/>
                      <w:lang w:val="en-US" w:eastAsia="zh-CN"/>
                    </w:rPr>
                    <w:t>0</w:t>
                  </w:r>
                  <w:r>
                    <w:rPr>
                      <w:rFonts w:hint="eastAsia"/>
                      <w:b w:val="0"/>
                      <w:bCs/>
                      <w:color w:val="auto"/>
                      <w:sz w:val="21"/>
                      <w:szCs w:val="21"/>
                      <w:lang w:val="en-US" w:eastAsia="zh-CN"/>
                    </w:rPr>
                    <w:t>瓶（1.2</w:t>
                  </w:r>
                  <w:r>
                    <w:rPr>
                      <w:rFonts w:hint="default"/>
                      <w:b w:val="0"/>
                      <w:bCs/>
                      <w:color w:val="auto"/>
                      <w:sz w:val="21"/>
                      <w:szCs w:val="21"/>
                      <w:lang w:val="en-US" w:eastAsia="zh-CN"/>
                    </w:rPr>
                    <w:t>t</w:t>
                  </w:r>
                  <w:r>
                    <w:rPr>
                      <w:rFonts w:hint="eastAsia"/>
                      <w:b w:val="0"/>
                      <w:bCs/>
                      <w:color w:val="auto"/>
                      <w:sz w:val="21"/>
                      <w:szCs w:val="21"/>
                      <w:lang w:val="en-US" w:eastAsia="zh-CN"/>
                    </w:rPr>
                    <w:t>）</w:t>
                  </w:r>
                </w:p>
              </w:tc>
              <w:tc>
                <w:tcPr>
                  <w:tcW w:w="637" w:type="pct"/>
                  <w:gridSpan w:val="2"/>
                  <w:tcBorders>
                    <w:tl2br w:val="nil"/>
                    <w:tr2bl w:val="nil"/>
                  </w:tcBorders>
                  <w:shd w:val="clear" w:color="auto" w:fill="auto"/>
                  <w:noWrap w:val="0"/>
                  <w:vAlign w:val="center"/>
                </w:tcPr>
                <w:p w14:paraId="63AEF4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74-98-6</w:t>
                  </w:r>
                </w:p>
              </w:tc>
              <w:tc>
                <w:tcPr>
                  <w:tcW w:w="596" w:type="pct"/>
                  <w:tcBorders>
                    <w:tl2br w:val="nil"/>
                    <w:tr2bl w:val="nil"/>
                  </w:tcBorders>
                  <w:shd w:val="clear" w:color="auto" w:fill="auto"/>
                  <w:noWrap w:val="0"/>
                  <w:vAlign w:val="center"/>
                </w:tcPr>
                <w:p w14:paraId="7BCC09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易燃气体，类别</w:t>
                  </w:r>
                </w:p>
                <w:p w14:paraId="082DD8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加压气体</w:t>
                  </w:r>
                </w:p>
              </w:tc>
              <w:tc>
                <w:tcPr>
                  <w:tcW w:w="380" w:type="pct"/>
                  <w:tcBorders>
                    <w:tl2br w:val="nil"/>
                    <w:tr2bl w:val="nil"/>
                  </w:tcBorders>
                  <w:shd w:val="clear" w:color="auto" w:fill="auto"/>
                  <w:noWrap w:val="0"/>
                  <w:vAlign w:val="center"/>
                </w:tcPr>
                <w:p w14:paraId="658535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甲类</w:t>
                  </w:r>
                </w:p>
              </w:tc>
              <w:tc>
                <w:tcPr>
                  <w:tcW w:w="458" w:type="pct"/>
                  <w:tcBorders>
                    <w:tl2br w:val="nil"/>
                    <w:tr2bl w:val="nil"/>
                  </w:tcBorders>
                  <w:shd w:val="clear" w:color="auto" w:fill="auto"/>
                  <w:noWrap w:val="0"/>
                  <w:vAlign w:val="center"/>
                </w:tcPr>
                <w:p w14:paraId="2F33A0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甲类仓库</w:t>
                  </w:r>
                </w:p>
              </w:tc>
            </w:tr>
          </w:tbl>
          <w:p w14:paraId="532FF1E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3</w:t>
            </w:r>
            <w:r>
              <w:rPr>
                <w:b/>
                <w:bCs/>
                <w:color w:val="auto"/>
                <w:sz w:val="24"/>
                <w:szCs w:val="24"/>
              </w:rPr>
              <w:t>、</w:t>
            </w:r>
            <w:r>
              <w:rPr>
                <w:rFonts w:hint="eastAsia"/>
                <w:b/>
                <w:bCs/>
                <w:color w:val="auto"/>
                <w:sz w:val="24"/>
                <w:szCs w:val="24"/>
                <w:lang w:val="en-US" w:eastAsia="zh-CN"/>
              </w:rPr>
              <w:t>物料平衡</w:t>
            </w:r>
          </w:p>
          <w:p w14:paraId="427D70F8">
            <w:pPr>
              <w:adjustRightInd w:val="0"/>
              <w:snapToGrid w:val="0"/>
              <w:spacing w:line="360" w:lineRule="auto"/>
              <w:ind w:firstLine="480" w:firstLineChars="200"/>
              <w:jc w:val="left"/>
              <w:rPr>
                <w:rFonts w:hint="eastAsia"/>
                <w:color w:val="auto"/>
                <w:sz w:val="24"/>
                <w:szCs w:val="24"/>
                <w:lang w:val="en-US" w:eastAsia="zh-CN"/>
              </w:rPr>
            </w:pPr>
            <w:r>
              <w:rPr>
                <w:rFonts w:hint="default"/>
                <w:color w:val="auto"/>
                <w:lang w:eastAsia="zh-CN"/>
              </w:rPr>
              <w:t>本项目</w:t>
            </w:r>
            <w:r>
              <w:rPr>
                <w:rFonts w:hint="default"/>
                <w:color w:val="auto"/>
              </w:rPr>
              <w:t>空气分离装置线</w:t>
            </w:r>
            <w:r>
              <w:rPr>
                <w:rFonts w:hint="eastAsia"/>
                <w:color w:val="auto"/>
                <w:sz w:val="24"/>
                <w:szCs w:val="24"/>
                <w:lang w:val="en-US" w:eastAsia="zh-CN"/>
              </w:rPr>
              <w:t>利用</w:t>
            </w:r>
          </w:p>
          <w:p w14:paraId="69BD32C8">
            <w:pPr>
              <w:adjustRightInd w:val="0"/>
              <w:snapToGrid w:val="0"/>
              <w:spacing w:line="360" w:lineRule="auto"/>
              <w:ind w:firstLine="480" w:firstLineChars="200"/>
              <w:jc w:val="left"/>
              <w:rPr>
                <w:rFonts w:hint="eastAsia"/>
                <w:color w:val="auto"/>
                <w:sz w:val="24"/>
                <w:szCs w:val="24"/>
                <w:lang w:val="en-US" w:eastAsia="zh-CN"/>
              </w:rPr>
            </w:pPr>
            <w:r>
              <w:rPr>
                <w:rFonts w:hint="eastAsia"/>
                <w:color w:val="auto"/>
                <w:sz w:val="24"/>
                <w:szCs w:val="24"/>
                <w:lang w:val="en-US" w:eastAsia="zh-CN"/>
              </w:rPr>
              <w:t>空分装置分离空气，生成氧、氮、氩等产品，涉及的物料平衡见下表2-8。</w:t>
            </w:r>
          </w:p>
          <w:p w14:paraId="6110EF48">
            <w:pPr>
              <w:spacing w:line="240" w:lineRule="auto"/>
              <w:jc w:val="center"/>
              <w:rPr>
                <w:rFonts w:hint="eastAsia"/>
                <w:b/>
                <w:bCs/>
                <w:color w:val="auto"/>
                <w:sz w:val="21"/>
                <w:szCs w:val="21"/>
              </w:rPr>
            </w:pPr>
            <w:r>
              <w:rPr>
                <w:rFonts w:hint="eastAsia"/>
                <w:b/>
                <w:bCs/>
                <w:color w:val="auto"/>
                <w:sz w:val="21"/>
                <w:szCs w:val="21"/>
              </w:rPr>
              <w:t>表2-</w:t>
            </w:r>
            <w:r>
              <w:rPr>
                <w:rFonts w:hint="eastAsia"/>
                <w:b/>
                <w:bCs/>
                <w:color w:val="auto"/>
                <w:sz w:val="21"/>
                <w:szCs w:val="21"/>
                <w:lang w:val="en-US" w:eastAsia="zh-CN"/>
              </w:rPr>
              <w:t xml:space="preserve">8 </w:t>
            </w:r>
            <w:r>
              <w:rPr>
                <w:rFonts w:hint="eastAsia"/>
                <w:b/>
                <w:bCs/>
                <w:color w:val="auto"/>
                <w:sz w:val="21"/>
                <w:szCs w:val="21"/>
              </w:rPr>
              <w:t xml:space="preserve"> 本项目物料平衡</w:t>
            </w:r>
          </w:p>
          <w:tbl>
            <w:tblPr>
              <w:tblStyle w:val="3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55"/>
              <w:gridCol w:w="1395"/>
              <w:gridCol w:w="2066"/>
              <w:gridCol w:w="2084"/>
            </w:tblGrid>
            <w:tr w14:paraId="2CB7C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300" w:type="dxa"/>
                  <w:gridSpan w:val="4"/>
                  <w:tcBorders>
                    <w:tl2br w:val="nil"/>
                    <w:tr2bl w:val="nil"/>
                  </w:tcBorders>
                  <w:noWrap w:val="0"/>
                  <w:vAlign w:val="center"/>
                </w:tcPr>
                <w:p w14:paraId="4CFCE3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 w:val="21"/>
                      <w:szCs w:val="21"/>
                    </w:rPr>
                  </w:pPr>
                  <w:r>
                    <w:rPr>
                      <w:rFonts w:hint="eastAsia"/>
                      <w:b/>
                      <w:bCs/>
                      <w:color w:val="auto"/>
                      <w:sz w:val="21"/>
                      <w:szCs w:val="21"/>
                    </w:rPr>
                    <w:t>空气分离装置线</w:t>
                  </w:r>
                </w:p>
              </w:tc>
            </w:tr>
            <w:tr w14:paraId="52664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4150" w:type="dxa"/>
                  <w:gridSpan w:val="2"/>
                  <w:tcBorders>
                    <w:tl2br w:val="nil"/>
                    <w:tr2bl w:val="nil"/>
                  </w:tcBorders>
                  <w:noWrap w:val="0"/>
                  <w:vAlign w:val="center"/>
                </w:tcPr>
                <w:p w14:paraId="2BF1E4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rFonts w:hint="eastAsia"/>
                      <w:b/>
                      <w:bCs/>
                      <w:color w:val="auto"/>
                      <w:sz w:val="21"/>
                      <w:szCs w:val="21"/>
                    </w:rPr>
                    <w:t>输入（Nm³/h）</w:t>
                  </w:r>
                </w:p>
              </w:tc>
              <w:tc>
                <w:tcPr>
                  <w:tcW w:w="4150" w:type="dxa"/>
                  <w:gridSpan w:val="2"/>
                  <w:tcBorders>
                    <w:tl2br w:val="nil"/>
                    <w:tr2bl w:val="nil"/>
                  </w:tcBorders>
                  <w:noWrap w:val="0"/>
                  <w:vAlign w:val="center"/>
                </w:tcPr>
                <w:p w14:paraId="3748F3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rPr>
                  </w:pPr>
                  <w:r>
                    <w:rPr>
                      <w:rFonts w:hint="eastAsia"/>
                      <w:b/>
                      <w:bCs/>
                      <w:color w:val="auto"/>
                      <w:sz w:val="21"/>
                      <w:szCs w:val="21"/>
                    </w:rPr>
                    <w:t>输出（Nm³/h）</w:t>
                  </w:r>
                </w:p>
              </w:tc>
            </w:tr>
            <w:tr w14:paraId="47079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755" w:type="dxa"/>
                  <w:tcBorders>
                    <w:tl2br w:val="nil"/>
                    <w:tr2bl w:val="nil"/>
                  </w:tcBorders>
                  <w:noWrap w:val="0"/>
                  <w:vAlign w:val="center"/>
                </w:tcPr>
                <w:p w14:paraId="7A893E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物料名称</w:t>
                  </w:r>
                </w:p>
              </w:tc>
              <w:tc>
                <w:tcPr>
                  <w:tcW w:w="1395" w:type="dxa"/>
                  <w:tcBorders>
                    <w:tl2br w:val="nil"/>
                    <w:tr2bl w:val="nil"/>
                  </w:tcBorders>
                  <w:noWrap w:val="0"/>
                  <w:vAlign w:val="center"/>
                </w:tcPr>
                <w:p w14:paraId="3D0D3A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数量</w:t>
                  </w:r>
                </w:p>
              </w:tc>
              <w:tc>
                <w:tcPr>
                  <w:tcW w:w="2066" w:type="dxa"/>
                  <w:tcBorders>
                    <w:tl2br w:val="nil"/>
                    <w:tr2bl w:val="nil"/>
                  </w:tcBorders>
                  <w:noWrap w:val="0"/>
                  <w:vAlign w:val="center"/>
                </w:tcPr>
                <w:p w14:paraId="2FDB0D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物料名称</w:t>
                  </w:r>
                </w:p>
              </w:tc>
              <w:tc>
                <w:tcPr>
                  <w:tcW w:w="2084" w:type="dxa"/>
                  <w:tcBorders>
                    <w:tl2br w:val="nil"/>
                    <w:tr2bl w:val="nil"/>
                  </w:tcBorders>
                  <w:noWrap w:val="0"/>
                  <w:vAlign w:val="center"/>
                </w:tcPr>
                <w:p w14:paraId="7A737C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数量</w:t>
                  </w:r>
                </w:p>
              </w:tc>
            </w:tr>
            <w:tr w14:paraId="21015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755" w:type="dxa"/>
                  <w:tcBorders>
                    <w:tl2br w:val="nil"/>
                    <w:tr2bl w:val="nil"/>
                  </w:tcBorders>
                  <w:shd w:val="clear" w:color="auto" w:fill="auto"/>
                  <w:noWrap w:val="0"/>
                  <w:vAlign w:val="center"/>
                </w:tcPr>
                <w:p w14:paraId="736D1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空气</w:t>
                  </w:r>
                </w:p>
              </w:tc>
              <w:tc>
                <w:tcPr>
                  <w:tcW w:w="1395" w:type="dxa"/>
                  <w:tcBorders>
                    <w:tl2br w:val="nil"/>
                    <w:tr2bl w:val="nil"/>
                  </w:tcBorders>
                  <w:shd w:val="clear" w:color="auto" w:fill="auto"/>
                  <w:noWrap w:val="0"/>
                  <w:vAlign w:val="center"/>
                </w:tcPr>
                <w:p w14:paraId="5FEAA5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41000</w:t>
                  </w:r>
                </w:p>
              </w:tc>
              <w:tc>
                <w:tcPr>
                  <w:tcW w:w="2066" w:type="dxa"/>
                  <w:tcBorders>
                    <w:tl2br w:val="nil"/>
                    <w:tr2bl w:val="nil"/>
                  </w:tcBorders>
                  <w:shd w:val="clear" w:color="auto" w:fill="auto"/>
                  <w:noWrap w:val="0"/>
                  <w:vAlign w:val="center"/>
                </w:tcPr>
                <w:p w14:paraId="6847FE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液氧</w:t>
                  </w:r>
                </w:p>
              </w:tc>
              <w:tc>
                <w:tcPr>
                  <w:tcW w:w="2084" w:type="dxa"/>
                  <w:tcBorders>
                    <w:tl2br w:val="nil"/>
                    <w:tr2bl w:val="nil"/>
                  </w:tcBorders>
                  <w:shd w:val="clear" w:color="auto" w:fill="auto"/>
                  <w:noWrap w:val="0"/>
                  <w:vAlign w:val="center"/>
                </w:tcPr>
                <w:p w14:paraId="4E1595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8100</w:t>
                  </w:r>
                </w:p>
              </w:tc>
            </w:tr>
            <w:tr w14:paraId="1BAFB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755" w:type="dxa"/>
                  <w:tcBorders>
                    <w:tl2br w:val="nil"/>
                    <w:tr2bl w:val="nil"/>
                  </w:tcBorders>
                  <w:shd w:val="clear" w:color="auto" w:fill="auto"/>
                  <w:noWrap w:val="0"/>
                  <w:vAlign w:val="center"/>
                </w:tcPr>
                <w:p w14:paraId="2124CA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395" w:type="dxa"/>
                  <w:tcBorders>
                    <w:tl2br w:val="nil"/>
                    <w:tr2bl w:val="nil"/>
                  </w:tcBorders>
                  <w:shd w:val="clear" w:color="auto" w:fill="auto"/>
                  <w:noWrap w:val="0"/>
                  <w:vAlign w:val="center"/>
                </w:tcPr>
                <w:p w14:paraId="01EFE0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066" w:type="dxa"/>
                  <w:tcBorders>
                    <w:tl2br w:val="nil"/>
                    <w:tr2bl w:val="nil"/>
                  </w:tcBorders>
                  <w:shd w:val="clear" w:color="auto" w:fill="auto"/>
                  <w:noWrap w:val="0"/>
                  <w:vAlign w:val="center"/>
                </w:tcPr>
                <w:p w14:paraId="591671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高纯液氧</w:t>
                  </w:r>
                </w:p>
              </w:tc>
              <w:tc>
                <w:tcPr>
                  <w:tcW w:w="2084" w:type="dxa"/>
                  <w:tcBorders>
                    <w:tl2br w:val="nil"/>
                    <w:tr2bl w:val="nil"/>
                  </w:tcBorders>
                  <w:shd w:val="clear" w:color="auto" w:fill="auto"/>
                  <w:noWrap w:val="0"/>
                  <w:vAlign w:val="center"/>
                </w:tcPr>
                <w:p w14:paraId="77A564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200</w:t>
                  </w:r>
                </w:p>
              </w:tc>
            </w:tr>
            <w:tr w14:paraId="7F7FE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755" w:type="dxa"/>
                  <w:tcBorders>
                    <w:tl2br w:val="nil"/>
                    <w:tr2bl w:val="nil"/>
                  </w:tcBorders>
                  <w:shd w:val="clear" w:color="auto" w:fill="auto"/>
                  <w:noWrap w:val="0"/>
                  <w:vAlign w:val="center"/>
                </w:tcPr>
                <w:p w14:paraId="7C5E7F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395" w:type="dxa"/>
                  <w:tcBorders>
                    <w:tl2br w:val="nil"/>
                    <w:tr2bl w:val="nil"/>
                  </w:tcBorders>
                  <w:shd w:val="clear" w:color="auto" w:fill="auto"/>
                  <w:noWrap w:val="0"/>
                  <w:vAlign w:val="center"/>
                </w:tcPr>
                <w:p w14:paraId="518666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066" w:type="dxa"/>
                  <w:tcBorders>
                    <w:tl2br w:val="nil"/>
                    <w:tr2bl w:val="nil"/>
                  </w:tcBorders>
                  <w:shd w:val="clear" w:color="auto" w:fill="auto"/>
                  <w:noWrap w:val="0"/>
                  <w:vAlign w:val="center"/>
                </w:tcPr>
                <w:p w14:paraId="3D28E6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液</w:t>
                  </w:r>
                  <w:r>
                    <w:rPr>
                      <w:rFonts w:hint="eastAsia"/>
                      <w:color w:val="000000" w:themeColor="text1"/>
                      <w:sz w:val="21"/>
                      <w:szCs w:val="21"/>
                      <w:lang w:val="en-US" w:eastAsia="zh-CN"/>
                      <w14:textFill>
                        <w14:solidFill>
                          <w14:schemeClr w14:val="tx1"/>
                        </w14:solidFill>
                      </w14:textFill>
                    </w:rPr>
                    <w:t>氮</w:t>
                  </w:r>
                </w:p>
              </w:tc>
              <w:tc>
                <w:tcPr>
                  <w:tcW w:w="2084" w:type="dxa"/>
                  <w:tcBorders>
                    <w:tl2br w:val="nil"/>
                    <w:tr2bl w:val="nil"/>
                  </w:tcBorders>
                  <w:shd w:val="clear" w:color="auto" w:fill="auto"/>
                  <w:noWrap w:val="0"/>
                  <w:vAlign w:val="center"/>
                </w:tcPr>
                <w:p w14:paraId="758DC1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8400</w:t>
                  </w:r>
                </w:p>
              </w:tc>
            </w:tr>
            <w:tr w14:paraId="75085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755" w:type="dxa"/>
                  <w:tcBorders>
                    <w:tl2br w:val="nil"/>
                    <w:tr2bl w:val="nil"/>
                  </w:tcBorders>
                  <w:shd w:val="clear" w:color="auto" w:fill="auto"/>
                  <w:noWrap w:val="0"/>
                  <w:vAlign w:val="center"/>
                </w:tcPr>
                <w:p w14:paraId="58760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395" w:type="dxa"/>
                  <w:tcBorders>
                    <w:tl2br w:val="nil"/>
                    <w:tr2bl w:val="nil"/>
                  </w:tcBorders>
                  <w:shd w:val="clear" w:color="auto" w:fill="auto"/>
                  <w:noWrap w:val="0"/>
                  <w:vAlign w:val="center"/>
                </w:tcPr>
                <w:p w14:paraId="2EF5F3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066" w:type="dxa"/>
                  <w:tcBorders>
                    <w:tl2br w:val="nil"/>
                    <w:tr2bl w:val="nil"/>
                  </w:tcBorders>
                  <w:shd w:val="clear" w:color="auto" w:fill="auto"/>
                  <w:noWrap w:val="0"/>
                  <w:vAlign w:val="center"/>
                </w:tcPr>
                <w:p w14:paraId="4F80A2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液氩</w:t>
                  </w:r>
                </w:p>
              </w:tc>
              <w:tc>
                <w:tcPr>
                  <w:tcW w:w="2084" w:type="dxa"/>
                  <w:tcBorders>
                    <w:tl2br w:val="nil"/>
                    <w:tr2bl w:val="nil"/>
                  </w:tcBorders>
                  <w:shd w:val="clear" w:color="auto" w:fill="auto"/>
                  <w:noWrap w:val="0"/>
                  <w:vAlign w:val="center"/>
                </w:tcPr>
                <w:p w14:paraId="4E12E4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280</w:t>
                  </w:r>
                </w:p>
              </w:tc>
            </w:tr>
            <w:tr w14:paraId="331EC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755" w:type="dxa"/>
                  <w:tcBorders>
                    <w:tl2br w:val="nil"/>
                    <w:tr2bl w:val="nil"/>
                  </w:tcBorders>
                  <w:shd w:val="clear" w:color="auto" w:fill="auto"/>
                  <w:noWrap w:val="0"/>
                  <w:vAlign w:val="center"/>
                </w:tcPr>
                <w:p w14:paraId="02AD08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395" w:type="dxa"/>
                  <w:tcBorders>
                    <w:tl2br w:val="nil"/>
                    <w:tr2bl w:val="nil"/>
                  </w:tcBorders>
                  <w:shd w:val="clear" w:color="auto" w:fill="auto"/>
                  <w:noWrap w:val="0"/>
                  <w:vAlign w:val="center"/>
                </w:tcPr>
                <w:p w14:paraId="522A2D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066" w:type="dxa"/>
                  <w:tcBorders>
                    <w:tl2br w:val="nil"/>
                    <w:tr2bl w:val="nil"/>
                  </w:tcBorders>
                  <w:shd w:val="clear" w:color="auto" w:fill="auto"/>
                  <w:noWrap w:val="0"/>
                  <w:vAlign w:val="center"/>
                </w:tcPr>
                <w:p w14:paraId="78919C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氮</w:t>
                  </w:r>
                  <w:r>
                    <w:rPr>
                      <w:rFonts w:hint="eastAsia"/>
                      <w:color w:val="000000" w:themeColor="text1"/>
                      <w:sz w:val="21"/>
                      <w:szCs w:val="21"/>
                      <w:lang w:eastAsia="zh-CN"/>
                      <w14:textFill>
                        <w14:solidFill>
                          <w14:schemeClr w14:val="tx1"/>
                        </w14:solidFill>
                      </w14:textFill>
                    </w:rPr>
                    <w:t>气</w:t>
                  </w:r>
                </w:p>
              </w:tc>
              <w:tc>
                <w:tcPr>
                  <w:tcW w:w="2084" w:type="dxa"/>
                  <w:tcBorders>
                    <w:tl2br w:val="nil"/>
                    <w:tr2bl w:val="nil"/>
                  </w:tcBorders>
                  <w:shd w:val="clear" w:color="auto" w:fill="auto"/>
                  <w:noWrap w:val="0"/>
                  <w:vAlign w:val="center"/>
                </w:tcPr>
                <w:p w14:paraId="4D768F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r>
                    <w:rPr>
                      <w:color w:val="000000" w:themeColor="text1"/>
                      <w:sz w:val="21"/>
                      <w:szCs w:val="21"/>
                      <w14:textFill>
                        <w14:solidFill>
                          <w14:schemeClr w14:val="tx1"/>
                        </w14:solidFill>
                      </w14:textFill>
                    </w:rPr>
                    <w:t>500</w:t>
                  </w:r>
                  <w:r>
                    <w:rPr>
                      <w:rFonts w:hint="eastAsia"/>
                      <w:color w:val="000000" w:themeColor="text1"/>
                      <w:sz w:val="21"/>
                      <w:szCs w:val="21"/>
                      <w:lang w:val="en-US" w:eastAsia="zh-CN"/>
                      <w14:textFill>
                        <w14:solidFill>
                          <w14:schemeClr w14:val="tx1"/>
                        </w14:solidFill>
                      </w14:textFill>
                    </w:rPr>
                    <w:t>0</w:t>
                  </w:r>
                </w:p>
              </w:tc>
            </w:tr>
            <w:tr w14:paraId="180B5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755" w:type="dxa"/>
                  <w:tcBorders>
                    <w:tl2br w:val="nil"/>
                    <w:tr2bl w:val="nil"/>
                  </w:tcBorders>
                  <w:shd w:val="clear" w:color="auto" w:fill="auto"/>
                  <w:noWrap w:val="0"/>
                  <w:vAlign w:val="center"/>
                </w:tcPr>
                <w:p w14:paraId="5A3AF7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395" w:type="dxa"/>
                  <w:tcBorders>
                    <w:tl2br w:val="nil"/>
                    <w:tr2bl w:val="nil"/>
                  </w:tcBorders>
                  <w:shd w:val="clear" w:color="auto" w:fill="auto"/>
                  <w:noWrap w:val="0"/>
                  <w:vAlign w:val="center"/>
                </w:tcPr>
                <w:p w14:paraId="02B1EF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066" w:type="dxa"/>
                  <w:tcBorders>
                    <w:tl2br w:val="nil"/>
                    <w:tr2bl w:val="nil"/>
                  </w:tcBorders>
                  <w:shd w:val="clear" w:color="auto" w:fill="auto"/>
                  <w:noWrap w:val="0"/>
                  <w:vAlign w:val="center"/>
                </w:tcPr>
                <w:p w14:paraId="14C36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kern w:val="2"/>
                      <w:sz w:val="21"/>
                      <w:szCs w:val="21"/>
                      <w:lang w:val="en-US" w:eastAsia="zh-CN" w:bidi="ar-SA"/>
                      <w14:textFill>
                        <w14:solidFill>
                          <w14:schemeClr w14:val="tx1"/>
                        </w14:solidFill>
                      </w14:textFill>
                    </w:rPr>
                    <w:t>其余成分</w:t>
                  </w:r>
                </w:p>
              </w:tc>
              <w:tc>
                <w:tcPr>
                  <w:tcW w:w="2084" w:type="dxa"/>
                  <w:tcBorders>
                    <w:tl2br w:val="nil"/>
                    <w:tr2bl w:val="nil"/>
                  </w:tcBorders>
                  <w:shd w:val="clear" w:color="auto" w:fill="auto"/>
                  <w:noWrap w:val="0"/>
                  <w:vAlign w:val="center"/>
                </w:tcPr>
                <w:p w14:paraId="3C573E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9020</w:t>
                  </w:r>
                </w:p>
              </w:tc>
            </w:tr>
            <w:tr w14:paraId="3A711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755" w:type="dxa"/>
                  <w:tcBorders>
                    <w:tl2br w:val="nil"/>
                    <w:tr2bl w:val="nil"/>
                  </w:tcBorders>
                  <w:shd w:val="clear" w:color="auto" w:fill="auto"/>
                  <w:noWrap w:val="0"/>
                  <w:vAlign w:val="center"/>
                </w:tcPr>
                <w:p w14:paraId="583591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合计</w:t>
                  </w:r>
                </w:p>
              </w:tc>
              <w:tc>
                <w:tcPr>
                  <w:tcW w:w="1395" w:type="dxa"/>
                  <w:tcBorders>
                    <w:tl2br w:val="nil"/>
                    <w:tr2bl w:val="nil"/>
                  </w:tcBorders>
                  <w:shd w:val="clear" w:color="auto" w:fill="auto"/>
                  <w:noWrap w:val="0"/>
                  <w:vAlign w:val="center"/>
                </w:tcPr>
                <w:p w14:paraId="494C1C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2066" w:type="dxa"/>
                  <w:tcBorders>
                    <w:tl2br w:val="nil"/>
                    <w:tr2bl w:val="nil"/>
                  </w:tcBorders>
                  <w:shd w:val="clear" w:color="auto" w:fill="auto"/>
                  <w:noWrap w:val="0"/>
                  <w:vAlign w:val="center"/>
                </w:tcPr>
                <w:p w14:paraId="35B80A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合计</w:t>
                  </w:r>
                </w:p>
              </w:tc>
              <w:tc>
                <w:tcPr>
                  <w:tcW w:w="2084" w:type="dxa"/>
                  <w:tcBorders>
                    <w:tl2br w:val="nil"/>
                    <w:tr2bl w:val="nil"/>
                  </w:tcBorders>
                  <w:shd w:val="clear" w:color="auto" w:fill="auto"/>
                  <w:noWrap w:val="0"/>
                  <w:vAlign w:val="center"/>
                </w:tcPr>
                <w:p w14:paraId="34FF1A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262A9B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8300" w:type="dxa"/>
                  <w:gridSpan w:val="4"/>
                  <w:tcBorders>
                    <w:tl2br w:val="nil"/>
                    <w:tr2bl w:val="nil"/>
                  </w:tcBorders>
                  <w:noWrap w:val="0"/>
                  <w:vAlign w:val="center"/>
                </w:tcPr>
                <w:p w14:paraId="7C511E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气体充装线</w:t>
                  </w:r>
                </w:p>
              </w:tc>
            </w:tr>
            <w:tr w14:paraId="5BDBC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755" w:type="dxa"/>
                  <w:tcBorders>
                    <w:tl2br w:val="nil"/>
                    <w:tr2bl w:val="nil"/>
                  </w:tcBorders>
                  <w:noWrap w:val="0"/>
                  <w:vAlign w:val="center"/>
                </w:tcPr>
                <w:p w14:paraId="030675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名称</w:t>
                  </w:r>
                </w:p>
              </w:tc>
              <w:tc>
                <w:tcPr>
                  <w:tcW w:w="1395" w:type="dxa"/>
                  <w:tcBorders>
                    <w:tl2br w:val="nil"/>
                    <w:tr2bl w:val="nil"/>
                  </w:tcBorders>
                  <w:noWrap w:val="0"/>
                  <w:vAlign w:val="center"/>
                </w:tcPr>
                <w:p w14:paraId="60A743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ascii="Times New Roman" w:hAnsi="Times New Roman" w:eastAsia="宋体" w:cs="Times New Roman"/>
                      <w:color w:val="auto"/>
                      <w:kern w:val="2"/>
                      <w:sz w:val="21"/>
                      <w:szCs w:val="21"/>
                      <w:highlight w:val="none"/>
                      <w:lang w:val="en-US" w:eastAsia="zh-CN" w:bidi="ar-SA"/>
                    </w:rPr>
                    <w:t>进厂量（t/a）</w:t>
                  </w:r>
                </w:p>
              </w:tc>
              <w:tc>
                <w:tcPr>
                  <w:tcW w:w="2066" w:type="dxa"/>
                  <w:tcBorders>
                    <w:tl2br w:val="nil"/>
                    <w:tr2bl w:val="nil"/>
                  </w:tcBorders>
                  <w:noWrap w:val="0"/>
                  <w:vAlign w:val="center"/>
                </w:tcPr>
                <w:p w14:paraId="635630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color w:val="auto"/>
                      <w:sz w:val="21"/>
                      <w:szCs w:val="21"/>
                    </w:rPr>
                  </w:pPr>
                  <w:r>
                    <w:rPr>
                      <w:rFonts w:hint="eastAsia"/>
                      <w:color w:val="auto"/>
                      <w:sz w:val="21"/>
                      <w:szCs w:val="21"/>
                    </w:rPr>
                    <w:t>罐区、装卸充装</w:t>
                  </w:r>
                  <w:r>
                    <w:rPr>
                      <w:rFonts w:hint="eastAsia"/>
                      <w:color w:val="auto"/>
                      <w:sz w:val="21"/>
                      <w:szCs w:val="21"/>
                      <w:lang w:val="en-US" w:eastAsia="zh-CN"/>
                    </w:rPr>
                    <w:t>等损失</w:t>
                  </w:r>
                  <w:r>
                    <w:rPr>
                      <w:rFonts w:hint="eastAsia"/>
                      <w:color w:val="auto"/>
                      <w:sz w:val="21"/>
                      <w:szCs w:val="21"/>
                    </w:rPr>
                    <w:t>量（t/a）</w:t>
                  </w:r>
                </w:p>
              </w:tc>
              <w:tc>
                <w:tcPr>
                  <w:tcW w:w="2084" w:type="dxa"/>
                  <w:tcBorders>
                    <w:tl2br w:val="nil"/>
                    <w:tr2bl w:val="nil"/>
                  </w:tcBorders>
                  <w:noWrap w:val="0"/>
                  <w:vAlign w:val="center"/>
                </w:tcPr>
                <w:p w14:paraId="546596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充装量（t/a）</w:t>
                  </w:r>
                </w:p>
              </w:tc>
            </w:tr>
            <w:tr w14:paraId="2C6FC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755" w:type="dxa"/>
                  <w:tcBorders>
                    <w:tl2br w:val="nil"/>
                    <w:tr2bl w:val="nil"/>
                  </w:tcBorders>
                  <w:shd w:val="clear" w:color="auto" w:fill="auto"/>
                  <w:noWrap w:val="0"/>
                  <w:vAlign w:val="center"/>
                </w:tcPr>
                <w:p w14:paraId="70048F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氧（压缩的或液化的）</w:t>
                  </w:r>
                </w:p>
              </w:tc>
              <w:tc>
                <w:tcPr>
                  <w:tcW w:w="1395" w:type="dxa"/>
                  <w:tcBorders>
                    <w:tl2br w:val="nil"/>
                    <w:tr2bl w:val="nil"/>
                  </w:tcBorders>
                  <w:shd w:val="clear" w:color="auto" w:fill="auto"/>
                  <w:noWrap w:val="0"/>
                  <w:vAlign w:val="center"/>
                </w:tcPr>
                <w:p w14:paraId="7FD37F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8965</w:t>
                  </w:r>
                </w:p>
              </w:tc>
              <w:tc>
                <w:tcPr>
                  <w:tcW w:w="2066" w:type="dxa"/>
                  <w:tcBorders>
                    <w:tl2br w:val="nil"/>
                    <w:tr2bl w:val="nil"/>
                  </w:tcBorders>
                  <w:shd w:val="clear" w:color="auto" w:fill="auto"/>
                  <w:noWrap w:val="0"/>
                  <w:vAlign w:val="center"/>
                </w:tcPr>
                <w:p w14:paraId="631199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181</w:t>
                  </w:r>
                </w:p>
              </w:tc>
              <w:tc>
                <w:tcPr>
                  <w:tcW w:w="2084" w:type="dxa"/>
                  <w:tcBorders>
                    <w:tl2br w:val="nil"/>
                    <w:tr2bl w:val="nil"/>
                  </w:tcBorders>
                  <w:shd w:val="clear" w:color="auto" w:fill="auto"/>
                  <w:noWrap w:val="0"/>
                  <w:vAlign w:val="center"/>
                </w:tcPr>
                <w:p w14:paraId="04F84E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8784</w:t>
                  </w:r>
                </w:p>
              </w:tc>
            </w:tr>
            <w:tr w14:paraId="31AFE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755" w:type="dxa"/>
                  <w:tcBorders>
                    <w:tl2br w:val="nil"/>
                    <w:tr2bl w:val="nil"/>
                  </w:tcBorders>
                  <w:shd w:val="clear" w:color="auto" w:fill="auto"/>
                  <w:noWrap w:val="0"/>
                  <w:vAlign w:val="center"/>
                </w:tcPr>
                <w:p w14:paraId="5B4BFE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氮（压缩的或液化的）</w:t>
                  </w:r>
                </w:p>
              </w:tc>
              <w:tc>
                <w:tcPr>
                  <w:tcW w:w="1395" w:type="dxa"/>
                  <w:tcBorders>
                    <w:tl2br w:val="nil"/>
                    <w:tr2bl w:val="nil"/>
                  </w:tcBorders>
                  <w:shd w:val="clear" w:color="auto" w:fill="auto"/>
                  <w:noWrap w:val="0"/>
                  <w:vAlign w:val="center"/>
                </w:tcPr>
                <w:p w14:paraId="0373BB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3542.2</w:t>
                  </w:r>
                </w:p>
              </w:tc>
              <w:tc>
                <w:tcPr>
                  <w:tcW w:w="2066" w:type="dxa"/>
                  <w:tcBorders>
                    <w:tl2br w:val="nil"/>
                    <w:tr2bl w:val="nil"/>
                  </w:tcBorders>
                  <w:shd w:val="clear" w:color="auto" w:fill="auto"/>
                  <w:noWrap w:val="0"/>
                  <w:vAlign w:val="center"/>
                </w:tcPr>
                <w:p w14:paraId="580646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77</w:t>
                  </w:r>
                </w:p>
              </w:tc>
              <w:tc>
                <w:tcPr>
                  <w:tcW w:w="2084" w:type="dxa"/>
                  <w:tcBorders>
                    <w:tl2br w:val="nil"/>
                    <w:tr2bl w:val="nil"/>
                  </w:tcBorders>
                  <w:shd w:val="clear" w:color="auto" w:fill="auto"/>
                  <w:noWrap w:val="0"/>
                  <w:vAlign w:val="center"/>
                </w:tcPr>
                <w:p w14:paraId="4F4733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3465.2</w:t>
                  </w:r>
                </w:p>
              </w:tc>
            </w:tr>
            <w:tr w14:paraId="4F940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755" w:type="dxa"/>
                  <w:tcBorders>
                    <w:tl2br w:val="nil"/>
                    <w:tr2bl w:val="nil"/>
                  </w:tcBorders>
                  <w:shd w:val="clear" w:color="auto" w:fill="auto"/>
                  <w:noWrap w:val="0"/>
                  <w:vAlign w:val="center"/>
                </w:tcPr>
                <w:p w14:paraId="1105DF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氩（压缩的或液化的）</w:t>
                  </w:r>
                </w:p>
              </w:tc>
              <w:tc>
                <w:tcPr>
                  <w:tcW w:w="1395" w:type="dxa"/>
                  <w:tcBorders>
                    <w:tl2br w:val="nil"/>
                    <w:tr2bl w:val="nil"/>
                  </w:tcBorders>
                  <w:shd w:val="clear" w:color="auto" w:fill="auto"/>
                  <w:noWrap w:val="0"/>
                  <w:vAlign w:val="center"/>
                </w:tcPr>
                <w:p w14:paraId="3D926D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9516</w:t>
                  </w:r>
                </w:p>
              </w:tc>
              <w:tc>
                <w:tcPr>
                  <w:tcW w:w="2066" w:type="dxa"/>
                  <w:tcBorders>
                    <w:tl2br w:val="nil"/>
                    <w:tr2bl w:val="nil"/>
                  </w:tcBorders>
                  <w:shd w:val="clear" w:color="auto" w:fill="auto"/>
                  <w:noWrap w:val="0"/>
                  <w:vAlign w:val="center"/>
                </w:tcPr>
                <w:p w14:paraId="2B695F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192</w:t>
                  </w:r>
                </w:p>
              </w:tc>
              <w:tc>
                <w:tcPr>
                  <w:tcW w:w="2084" w:type="dxa"/>
                  <w:tcBorders>
                    <w:tl2br w:val="nil"/>
                    <w:tr2bl w:val="nil"/>
                  </w:tcBorders>
                  <w:shd w:val="clear" w:color="auto" w:fill="auto"/>
                  <w:noWrap w:val="0"/>
                  <w:vAlign w:val="center"/>
                </w:tcPr>
                <w:p w14:paraId="4CA3E4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9324</w:t>
                  </w:r>
                </w:p>
              </w:tc>
            </w:tr>
            <w:tr w14:paraId="25BB1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755" w:type="dxa"/>
                  <w:tcBorders>
                    <w:tl2br w:val="nil"/>
                    <w:tr2bl w:val="nil"/>
                  </w:tcBorders>
                  <w:shd w:val="clear" w:color="auto" w:fill="auto"/>
                  <w:noWrap w:val="0"/>
                  <w:vAlign w:val="center"/>
                </w:tcPr>
                <w:p w14:paraId="0A41A5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二氧化碳（压缩的或液化的）</w:t>
                  </w:r>
                </w:p>
              </w:tc>
              <w:tc>
                <w:tcPr>
                  <w:tcW w:w="1395" w:type="dxa"/>
                  <w:tcBorders>
                    <w:tl2br w:val="nil"/>
                    <w:tr2bl w:val="nil"/>
                  </w:tcBorders>
                  <w:shd w:val="clear" w:color="auto" w:fill="auto"/>
                  <w:noWrap w:val="0"/>
                  <w:vAlign w:val="center"/>
                </w:tcPr>
                <w:p w14:paraId="43CAAC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13213</w:t>
                  </w:r>
                </w:p>
              </w:tc>
              <w:tc>
                <w:tcPr>
                  <w:tcW w:w="2066" w:type="dxa"/>
                  <w:tcBorders>
                    <w:tl2br w:val="nil"/>
                    <w:tr2bl w:val="nil"/>
                  </w:tcBorders>
                  <w:shd w:val="clear" w:color="auto" w:fill="auto"/>
                  <w:noWrap w:val="0"/>
                  <w:vAlign w:val="center"/>
                </w:tcPr>
                <w:p w14:paraId="1D2595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213</w:t>
                  </w:r>
                </w:p>
              </w:tc>
              <w:tc>
                <w:tcPr>
                  <w:tcW w:w="2084" w:type="dxa"/>
                  <w:tcBorders>
                    <w:tl2br w:val="nil"/>
                    <w:tr2bl w:val="nil"/>
                  </w:tcBorders>
                  <w:shd w:val="clear" w:color="auto" w:fill="auto"/>
                  <w:noWrap w:val="0"/>
                  <w:vAlign w:val="center"/>
                </w:tcPr>
                <w:p w14:paraId="4DE8DC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13000</w:t>
                  </w:r>
                </w:p>
              </w:tc>
            </w:tr>
            <w:tr w14:paraId="54B0F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755" w:type="dxa"/>
                  <w:tcBorders>
                    <w:tl2br w:val="nil"/>
                    <w:tr2bl w:val="nil"/>
                  </w:tcBorders>
                  <w:shd w:val="clear" w:color="auto" w:fill="auto"/>
                  <w:noWrap w:val="0"/>
                  <w:vAlign w:val="center"/>
                </w:tcPr>
                <w:p w14:paraId="683BF8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丙烷</w:t>
                  </w:r>
                </w:p>
              </w:tc>
              <w:tc>
                <w:tcPr>
                  <w:tcW w:w="1395" w:type="dxa"/>
                  <w:tcBorders>
                    <w:tl2br w:val="nil"/>
                    <w:tr2bl w:val="nil"/>
                  </w:tcBorders>
                  <w:shd w:val="clear" w:color="auto" w:fill="auto"/>
                  <w:noWrap w:val="0"/>
                  <w:vAlign w:val="center"/>
                </w:tcPr>
                <w:p w14:paraId="0D69FF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7500.29</w:t>
                  </w:r>
                </w:p>
              </w:tc>
              <w:tc>
                <w:tcPr>
                  <w:tcW w:w="2066" w:type="dxa"/>
                  <w:tcBorders>
                    <w:tl2br w:val="nil"/>
                    <w:tr2bl w:val="nil"/>
                  </w:tcBorders>
                  <w:shd w:val="clear" w:color="auto" w:fill="auto"/>
                  <w:noWrap w:val="0"/>
                  <w:vAlign w:val="center"/>
                </w:tcPr>
                <w:p w14:paraId="0C60CD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0.29</w:t>
                  </w:r>
                </w:p>
              </w:tc>
              <w:tc>
                <w:tcPr>
                  <w:tcW w:w="2084" w:type="dxa"/>
                  <w:tcBorders>
                    <w:tl2br w:val="nil"/>
                    <w:tr2bl w:val="nil"/>
                  </w:tcBorders>
                  <w:shd w:val="clear" w:color="auto" w:fill="auto"/>
                  <w:noWrap w:val="0"/>
                  <w:vAlign w:val="center"/>
                </w:tcPr>
                <w:p w14:paraId="6F9DA1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7500</w:t>
                  </w:r>
                </w:p>
              </w:tc>
            </w:tr>
            <w:tr w14:paraId="52A1E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755" w:type="dxa"/>
                  <w:tcBorders>
                    <w:tl2br w:val="nil"/>
                    <w:tr2bl w:val="nil"/>
                  </w:tcBorders>
                  <w:shd w:val="clear" w:color="auto" w:fill="auto"/>
                  <w:noWrap w:val="0"/>
                  <w:vAlign w:val="center"/>
                </w:tcPr>
                <w:p w14:paraId="02A81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液化石油气</w:t>
                  </w:r>
                </w:p>
              </w:tc>
              <w:tc>
                <w:tcPr>
                  <w:tcW w:w="1395" w:type="dxa"/>
                  <w:tcBorders>
                    <w:tl2br w:val="nil"/>
                    <w:tr2bl w:val="nil"/>
                  </w:tcBorders>
                  <w:shd w:val="clear" w:color="auto" w:fill="auto"/>
                  <w:noWrap w:val="0"/>
                  <w:vAlign w:val="center"/>
                </w:tcPr>
                <w:p w14:paraId="309C41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7500.27</w:t>
                  </w:r>
                </w:p>
              </w:tc>
              <w:tc>
                <w:tcPr>
                  <w:tcW w:w="2066" w:type="dxa"/>
                  <w:tcBorders>
                    <w:tl2br w:val="nil"/>
                    <w:tr2bl w:val="nil"/>
                  </w:tcBorders>
                  <w:shd w:val="clear" w:color="auto" w:fill="auto"/>
                  <w:noWrap w:val="0"/>
                  <w:vAlign w:val="center"/>
                </w:tcPr>
                <w:p w14:paraId="403CD2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0.27</w:t>
                  </w:r>
                </w:p>
              </w:tc>
              <w:tc>
                <w:tcPr>
                  <w:tcW w:w="2084" w:type="dxa"/>
                  <w:tcBorders>
                    <w:tl2br w:val="nil"/>
                    <w:tr2bl w:val="nil"/>
                  </w:tcBorders>
                  <w:shd w:val="clear" w:color="auto" w:fill="auto"/>
                  <w:noWrap w:val="0"/>
                  <w:vAlign w:val="center"/>
                </w:tcPr>
                <w:p w14:paraId="254209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7500</w:t>
                  </w:r>
                </w:p>
              </w:tc>
            </w:tr>
            <w:tr w14:paraId="78709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755" w:type="dxa"/>
                  <w:tcBorders>
                    <w:tl2br w:val="nil"/>
                    <w:tr2bl w:val="nil"/>
                  </w:tcBorders>
                  <w:noWrap w:val="0"/>
                  <w:vAlign w:val="center"/>
                </w:tcPr>
                <w:p w14:paraId="47239B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乙炔</w:t>
                  </w:r>
                </w:p>
              </w:tc>
              <w:tc>
                <w:tcPr>
                  <w:tcW w:w="1395" w:type="dxa"/>
                  <w:tcBorders>
                    <w:tl2br w:val="nil"/>
                    <w:tr2bl w:val="nil"/>
                  </w:tcBorders>
                  <w:noWrap w:val="0"/>
                  <w:vAlign w:val="center"/>
                </w:tcPr>
                <w:p w14:paraId="7DB73D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0.8</w:t>
                  </w:r>
                </w:p>
              </w:tc>
              <w:tc>
                <w:tcPr>
                  <w:tcW w:w="2066" w:type="dxa"/>
                  <w:tcBorders>
                    <w:tl2br w:val="nil"/>
                    <w:tr2bl w:val="nil"/>
                  </w:tcBorders>
                  <w:noWrap w:val="0"/>
                  <w:vAlign w:val="center"/>
                </w:tcPr>
                <w:p w14:paraId="66CB32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2084" w:type="dxa"/>
                  <w:tcBorders>
                    <w:tl2br w:val="nil"/>
                    <w:tr2bl w:val="nil"/>
                  </w:tcBorders>
                  <w:noWrap w:val="0"/>
                  <w:vAlign w:val="center"/>
                </w:tcPr>
                <w:p w14:paraId="6220D9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0.8</w:t>
                  </w:r>
                </w:p>
              </w:tc>
            </w:tr>
            <w:tr w14:paraId="77318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755" w:type="dxa"/>
                  <w:tcBorders>
                    <w:tl2br w:val="nil"/>
                    <w:tr2bl w:val="nil"/>
                  </w:tcBorders>
                  <w:shd w:val="clear" w:color="auto" w:fill="auto"/>
                  <w:noWrap w:val="0"/>
                  <w:vAlign w:val="center"/>
                </w:tcPr>
                <w:p w14:paraId="05FED7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合计</w:t>
                  </w:r>
                </w:p>
              </w:tc>
              <w:tc>
                <w:tcPr>
                  <w:tcW w:w="1395" w:type="dxa"/>
                  <w:tcBorders>
                    <w:tl2br w:val="nil"/>
                    <w:tr2bl w:val="nil"/>
                  </w:tcBorders>
                  <w:shd w:val="clear" w:color="auto" w:fill="auto"/>
                  <w:noWrap w:val="0"/>
                  <w:vAlign w:val="center"/>
                </w:tcPr>
                <w:p w14:paraId="5A9924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50237.56</w:t>
                  </w:r>
                </w:p>
              </w:tc>
              <w:tc>
                <w:tcPr>
                  <w:tcW w:w="2066" w:type="dxa"/>
                  <w:tcBorders>
                    <w:tl2br w:val="nil"/>
                    <w:tr2bl w:val="nil"/>
                  </w:tcBorders>
                  <w:shd w:val="clear" w:color="auto" w:fill="auto"/>
                  <w:noWrap w:val="0"/>
                  <w:vAlign w:val="center"/>
                </w:tcPr>
                <w:p w14:paraId="6CD75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663.56</w:t>
                  </w:r>
                </w:p>
              </w:tc>
              <w:tc>
                <w:tcPr>
                  <w:tcW w:w="2084" w:type="dxa"/>
                  <w:tcBorders>
                    <w:tl2br w:val="nil"/>
                    <w:tr2bl w:val="nil"/>
                  </w:tcBorders>
                  <w:shd w:val="clear" w:color="auto" w:fill="auto"/>
                  <w:noWrap w:val="0"/>
                  <w:vAlign w:val="center"/>
                </w:tcPr>
                <w:p w14:paraId="50FBB8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49574</w:t>
                  </w:r>
                </w:p>
              </w:tc>
            </w:tr>
          </w:tbl>
          <w:p w14:paraId="61AF7D0B">
            <w:pPr>
              <w:bidi w:val="0"/>
              <w:rPr>
                <w:rFonts w:hint="eastAsia"/>
                <w:b/>
                <w:bCs/>
                <w:color w:val="auto"/>
                <w:sz w:val="24"/>
              </w:rPr>
            </w:pPr>
            <w:r>
              <w:rPr>
                <w:rFonts w:hint="eastAsia"/>
                <w:b/>
                <w:bCs/>
                <w:color w:val="auto"/>
                <w:sz w:val="24"/>
              </w:rPr>
              <w:t>理化性质：</w:t>
            </w:r>
          </w:p>
          <w:p w14:paraId="64B42D1E">
            <w:pPr>
              <w:numPr>
                <w:ilvl w:val="0"/>
                <w:numId w:val="4"/>
              </w:numPr>
              <w:bidi w:val="0"/>
              <w:rPr>
                <w:rFonts w:hint="eastAsia"/>
                <w:color w:val="auto"/>
                <w:sz w:val="24"/>
                <w:lang w:eastAsia="zh-CN"/>
              </w:rPr>
            </w:pPr>
            <w:r>
              <w:rPr>
                <w:rFonts w:hint="eastAsia"/>
                <w:b/>
                <w:bCs/>
                <w:color w:val="auto"/>
                <w:sz w:val="24"/>
                <w:lang w:val="en-US" w:eastAsia="zh-CN"/>
              </w:rPr>
              <w:t>制冷剂：</w:t>
            </w:r>
            <w:r>
              <w:rPr>
                <w:rFonts w:hint="eastAsia"/>
                <w:color w:val="auto"/>
                <w:sz w:val="24"/>
              </w:rPr>
              <w:t>根据国际“蒙特利尔协议”，到2005年各类制氧机必须淘汰使用氟氯烃化合物制冷剂。我国是蒙特利尔协议签字国之一。本项目冷水机组采用</w:t>
            </w:r>
            <w:r>
              <w:rPr>
                <w:rFonts w:hint="eastAsia"/>
                <w:color w:val="auto"/>
                <w:sz w:val="24"/>
                <w:lang w:val="en-US" w:eastAsia="zh-CN"/>
              </w:rPr>
              <w:t>R407c</w:t>
            </w:r>
            <w:r>
              <w:rPr>
                <w:rFonts w:hint="eastAsia"/>
                <w:color w:val="auto"/>
                <w:sz w:val="24"/>
              </w:rPr>
              <w:t>作为制冷</w:t>
            </w:r>
            <w:r>
              <w:rPr>
                <w:rFonts w:hint="eastAsia"/>
                <w:color w:val="auto"/>
                <w:sz w:val="24"/>
                <w:lang w:val="en-US" w:eastAsia="zh-CN"/>
              </w:rPr>
              <w:t>剂</w:t>
            </w:r>
            <w:r>
              <w:rPr>
                <w:rFonts w:hint="eastAsia"/>
                <w:color w:val="auto"/>
                <w:sz w:val="24"/>
              </w:rPr>
              <w:t>，R407C是由R32（二氟甲烷）、R125（五氟乙烷）和R134a（四氟乙烷）按一定比例混合而成的非共沸环保制冷剂</w:t>
            </w:r>
            <w:r>
              <w:rPr>
                <w:rFonts w:hint="eastAsia"/>
                <w:color w:val="auto"/>
                <w:sz w:val="24"/>
                <w:lang w:eastAsia="zh-CN"/>
              </w:rPr>
              <w:t>，R407C的臭氧消耗潜值（ODP）为0，不会破坏臭氧层，</w:t>
            </w:r>
            <w:r>
              <w:rPr>
                <w:rFonts w:hint="eastAsia"/>
                <w:color w:val="auto"/>
                <w:sz w:val="24"/>
              </w:rPr>
              <w:t>是一种不破坏臭氧层的环保制冷剂</w:t>
            </w:r>
            <w:r>
              <w:rPr>
                <w:rFonts w:hint="eastAsia"/>
                <w:color w:val="auto"/>
                <w:sz w:val="24"/>
                <w:lang w:eastAsia="zh-CN"/>
              </w:rPr>
              <w:t>，符合《蒙特利尔议定书》的环保要求。R407C属于A1类制冷剂，即不可燃且低毒，在正常使用中是安全的。</w:t>
            </w:r>
          </w:p>
          <w:p w14:paraId="42B09E54">
            <w:pPr>
              <w:numPr>
                <w:ilvl w:val="0"/>
                <w:numId w:val="4"/>
              </w:numPr>
              <w:bidi w:val="0"/>
              <w:rPr>
                <w:rFonts w:hint="eastAsia"/>
                <w:color w:val="auto"/>
                <w:sz w:val="24"/>
                <w:lang w:eastAsia="zh-CN"/>
              </w:rPr>
            </w:pPr>
            <w:r>
              <w:rPr>
                <w:rFonts w:hint="eastAsia"/>
                <w:b/>
                <w:bCs/>
                <w:color w:val="auto"/>
                <w:sz w:val="24"/>
                <w:lang w:eastAsia="zh-CN"/>
              </w:rPr>
              <w:t>氧气：</w:t>
            </w:r>
            <w:r>
              <w:rPr>
                <w:rFonts w:hint="eastAsia"/>
                <w:color w:val="auto"/>
                <w:sz w:val="24"/>
                <w:lang w:eastAsia="zh-CN"/>
              </w:rPr>
              <w:t>氧气为无色无臭气体，它沸点低（-183℃）、无毒，除惰性气体外氧气能同所有的元素形成化合物，是良好的助燃气体。氧气除和乙炔配套用于金属焊接和切割外，还广泛用于熔炼和顶吹氧炼钢，化学工业上常用于强化硝酸和硫酸的生产，氧气与水蒸气混合可用来代替空气吹入煤气气化炉内，得到较高热值的煤气；医疗上氧化疗法可治疗肺炎、煤气中毒等症，通过高压氧仓的治疗可缓解心血管、中风、烧伤等病人的症状，氧气的应用范围相当广泛，是一种必不可少的助燃剂和氧化剂，在工农业生产、国防建设和日常生活中都具有相当重要的作用。</w:t>
            </w:r>
          </w:p>
          <w:p w14:paraId="3B15BFC7">
            <w:pPr>
              <w:numPr>
                <w:ilvl w:val="0"/>
                <w:numId w:val="4"/>
              </w:numPr>
              <w:bidi w:val="0"/>
              <w:rPr>
                <w:rFonts w:hint="eastAsia"/>
                <w:color w:val="auto"/>
                <w:sz w:val="24"/>
                <w:lang w:eastAsia="zh-CN"/>
              </w:rPr>
            </w:pPr>
            <w:r>
              <w:rPr>
                <w:rFonts w:hint="eastAsia"/>
                <w:b/>
                <w:bCs/>
                <w:color w:val="auto"/>
                <w:sz w:val="24"/>
                <w:lang w:eastAsia="zh-CN"/>
              </w:rPr>
              <w:t>氮气：</w:t>
            </w:r>
            <w:r>
              <w:rPr>
                <w:rFonts w:hint="eastAsia"/>
                <w:color w:val="auto"/>
                <w:sz w:val="24"/>
                <w:lang w:eastAsia="zh-CN"/>
              </w:rPr>
              <w:t>氮气</w:t>
            </w:r>
            <w:r>
              <w:rPr>
                <w:rFonts w:hint="eastAsia"/>
                <w:color w:val="auto"/>
                <w:sz w:val="24"/>
                <w:lang w:val="en-US" w:eastAsia="zh-CN"/>
              </w:rPr>
              <w:t>在</w:t>
            </w:r>
            <w:r>
              <w:rPr>
                <w:rFonts w:hint="eastAsia"/>
                <w:color w:val="auto"/>
                <w:sz w:val="24"/>
                <w:lang w:eastAsia="zh-CN"/>
              </w:rPr>
              <w:t>通常状况下是一种无色无味的气体，密度比空气小。氮气占大气总量的78.08%（体积分数），是空气的主要成分之一。沸点为-195.8℃。氮气的化学性质不活泼，常温下很难跟其他物质发生反应，常被用来制作防腐剂。氮主要用于合成氨，是合成纤维（锦纶、腈纶），合成树脂，合成橡胶等的重要原料。氮是一种营养元素还可以用来制作化肥。也常用作保护气体，作为瓜果、食品、灯泡填充气，以防止某些物体暴露于空气时被氧所氧化，用氮气填充粮仓，可使粮食不霉烂、不发芽，长期保存。液氮还可用作深度冷冻剂，在医院手术时常常使用。高纯氮气用作色谱仪等仪器的载气，用作铜管的光亮退火保护气体，跟高纯氦气、高纯二氧化碳一起用作激光切割机的激光气体。在化工行业，氮气主要用作保护气体、置换气体、洗涤气体、安全保障气体。用作铝制品、铝型材加工，铝薄轧制等保护气体。用作回流焊和波峰焊配套的保护气体，提高焊接质量。用作浮法玻璃生产过程中的保护气体，防</w:t>
            </w:r>
            <w:r>
              <w:rPr>
                <w:rFonts w:hint="eastAsia"/>
                <w:color w:val="auto"/>
                <w:sz w:val="24"/>
                <w:lang w:val="en-US" w:eastAsia="zh-CN"/>
              </w:rPr>
              <w:t>止</w:t>
            </w:r>
            <w:r>
              <w:rPr>
                <w:rFonts w:hint="eastAsia"/>
                <w:color w:val="auto"/>
                <w:sz w:val="24"/>
                <w:lang w:eastAsia="zh-CN"/>
              </w:rPr>
              <w:t>锡槽氧化。</w:t>
            </w:r>
          </w:p>
          <w:p w14:paraId="58906782">
            <w:pPr>
              <w:numPr>
                <w:ilvl w:val="0"/>
                <w:numId w:val="4"/>
              </w:numPr>
              <w:bidi w:val="0"/>
              <w:rPr>
                <w:rFonts w:hint="eastAsia"/>
                <w:color w:val="auto"/>
                <w:sz w:val="24"/>
                <w:lang w:eastAsia="zh-CN"/>
              </w:rPr>
            </w:pPr>
            <w:r>
              <w:rPr>
                <w:rFonts w:hint="eastAsia"/>
                <w:b/>
                <w:bCs/>
                <w:color w:val="auto"/>
                <w:sz w:val="24"/>
                <w:lang w:eastAsia="zh-CN"/>
              </w:rPr>
              <w:t>氩气：</w:t>
            </w:r>
            <w:r>
              <w:rPr>
                <w:rFonts w:hint="eastAsia"/>
                <w:color w:val="auto"/>
                <w:sz w:val="24"/>
                <w:lang w:eastAsia="zh-CN"/>
              </w:rPr>
              <w:t>氩气是一种无色、无味的（稀有）惰性气体，沸点为-185.7℃。是目前工业上应用很广的稀有气体。它的性质十分不活泼，既不能燃烧，也不助燃。在飞机制造、造船、原子能工业和机械工业部门，对特殊金属，例如铝、镁、铜及其合金和不锈钢在焊接时，作为焊接保护气，防止焊接件被空气氧化或氮化。在酿酒的过程中，作为填充物，</w:t>
            </w:r>
            <w:r>
              <w:rPr>
                <w:rFonts w:hint="eastAsia"/>
                <w:color w:val="auto"/>
                <w:sz w:val="24"/>
                <w:lang w:val="en-US" w:eastAsia="zh-CN"/>
              </w:rPr>
              <w:t>将</w:t>
            </w:r>
            <w:r>
              <w:rPr>
                <w:rFonts w:hint="eastAsia"/>
                <w:color w:val="auto"/>
                <w:sz w:val="24"/>
                <w:lang w:eastAsia="zh-CN"/>
              </w:rPr>
              <w:t>氧气置换，以避免啤酒原料被氧化成乙酸。热处理工艺也用于代替氮气和氨气，效果更是超过氮气和氨气，不锈钢热处理时采用氩气保护折弯效果更好不易断裂。</w:t>
            </w:r>
          </w:p>
          <w:p w14:paraId="2D624E06">
            <w:pPr>
              <w:numPr>
                <w:ilvl w:val="0"/>
                <w:numId w:val="4"/>
              </w:numPr>
              <w:bidi w:val="0"/>
              <w:rPr>
                <w:rFonts w:hint="eastAsia"/>
                <w:color w:val="auto"/>
                <w:sz w:val="24"/>
                <w:lang w:eastAsia="zh-CN"/>
              </w:rPr>
            </w:pPr>
            <w:r>
              <w:rPr>
                <w:rFonts w:hint="eastAsia"/>
                <w:b/>
                <w:bCs/>
                <w:color w:val="auto"/>
                <w:sz w:val="24"/>
                <w:lang w:eastAsia="zh-CN"/>
              </w:rPr>
              <w:t>二氧化碳：</w:t>
            </w:r>
            <w:r>
              <w:rPr>
                <w:rFonts w:hint="eastAsia"/>
                <w:color w:val="auto"/>
                <w:sz w:val="24"/>
                <w:lang w:eastAsia="zh-CN"/>
              </w:rPr>
              <w:t>二氧化碳分子结构很稳定，化学性质不活泼，很难发生化学反应。它沸点低（-78.5℃），常温常压下是气体。特点是没有闪点，不可燃，不助燃，无色无味，无毒性。二氧化碳气作为焊接保护气体，在焊接领域应用广泛，是目前制造类企业应用最多的方法，也用于钢铸件的淬火和铅白的制造等。液态二氧化碳蒸发时会吸收大量的热，固体二氧化碳俗称干冰，使用范围广泛，在食品、卫生、工业、餐饮、人工降雨、纺织等领域有大量应用。</w:t>
            </w:r>
          </w:p>
          <w:p w14:paraId="4D891075">
            <w:pPr>
              <w:numPr>
                <w:ilvl w:val="0"/>
                <w:numId w:val="4"/>
              </w:numPr>
              <w:bidi w:val="0"/>
              <w:rPr>
                <w:rFonts w:hint="eastAsia"/>
                <w:color w:val="auto"/>
                <w:sz w:val="24"/>
                <w:lang w:eastAsia="zh-CN"/>
              </w:rPr>
            </w:pPr>
            <w:r>
              <w:rPr>
                <w:rFonts w:hint="eastAsia"/>
                <w:b/>
                <w:bCs/>
                <w:color w:val="auto"/>
                <w:sz w:val="24"/>
                <w:lang w:eastAsia="zh-CN"/>
              </w:rPr>
              <w:t>丙烷：</w:t>
            </w:r>
            <w:r>
              <w:rPr>
                <w:rFonts w:hint="eastAsia"/>
                <w:color w:val="auto"/>
                <w:sz w:val="24"/>
                <w:lang w:eastAsia="zh-CN"/>
              </w:rPr>
              <w:t>丙烷是一种有机化合物，化学式为CH</w:t>
            </w:r>
            <w:r>
              <w:rPr>
                <w:rFonts w:hint="eastAsia"/>
                <w:color w:val="auto"/>
                <w:sz w:val="24"/>
                <w:vertAlign w:val="subscript"/>
                <w:lang w:eastAsia="zh-CN"/>
              </w:rPr>
              <w:t>3</w:t>
            </w:r>
            <w:r>
              <w:rPr>
                <w:rFonts w:hint="eastAsia"/>
                <w:color w:val="auto"/>
                <w:sz w:val="24"/>
                <w:lang w:eastAsia="zh-CN"/>
              </w:rPr>
              <w:t>CH</w:t>
            </w:r>
            <w:r>
              <w:rPr>
                <w:rFonts w:hint="eastAsia"/>
                <w:color w:val="auto"/>
                <w:sz w:val="24"/>
                <w:vertAlign w:val="subscript"/>
                <w:lang w:eastAsia="zh-CN"/>
              </w:rPr>
              <w:t>2</w:t>
            </w:r>
            <w:r>
              <w:rPr>
                <w:rFonts w:hint="eastAsia"/>
                <w:color w:val="auto"/>
                <w:sz w:val="24"/>
                <w:lang w:eastAsia="zh-CN"/>
              </w:rPr>
              <w:t>CH</w:t>
            </w:r>
            <w:r>
              <w:rPr>
                <w:rFonts w:hint="eastAsia"/>
                <w:color w:val="auto"/>
                <w:sz w:val="24"/>
                <w:vertAlign w:val="subscript"/>
                <w:lang w:eastAsia="zh-CN"/>
              </w:rPr>
              <w:t>3</w:t>
            </w:r>
            <w:r>
              <w:rPr>
                <w:rFonts w:hint="eastAsia"/>
                <w:color w:val="auto"/>
                <w:sz w:val="24"/>
                <w:lang w:eastAsia="zh-CN"/>
              </w:rPr>
              <w:t>，为无色无味气体，微溶于水，溶于乙醇、乙醚，化学性质稳定，不易发生化学反应，常用作冷冻剂、内燃机燃料或有机合成原料。</w:t>
            </w:r>
          </w:p>
          <w:p w14:paraId="6ED38BAC">
            <w:pPr>
              <w:numPr>
                <w:ilvl w:val="0"/>
                <w:numId w:val="0"/>
              </w:numPr>
              <w:spacing w:line="360" w:lineRule="auto"/>
              <w:ind w:firstLine="482" w:firstLineChars="200"/>
              <w:rPr>
                <w:rFonts w:hint="eastAsia"/>
                <w:color w:val="auto"/>
                <w:sz w:val="24"/>
                <w:lang w:eastAsia="zh-CN"/>
              </w:rPr>
            </w:pPr>
            <w:r>
              <w:rPr>
                <w:rFonts w:hint="eastAsia"/>
                <w:b/>
                <w:bCs/>
                <w:color w:val="auto"/>
                <w:sz w:val="24"/>
                <w:lang w:eastAsia="zh-CN"/>
              </w:rPr>
              <w:t>（</w:t>
            </w:r>
            <w:r>
              <w:rPr>
                <w:rFonts w:hint="eastAsia"/>
                <w:b/>
                <w:bCs/>
                <w:color w:val="auto"/>
                <w:sz w:val="24"/>
                <w:lang w:val="en-US" w:eastAsia="zh-CN"/>
              </w:rPr>
              <w:t>7</w:t>
            </w:r>
            <w:r>
              <w:rPr>
                <w:rFonts w:hint="eastAsia"/>
                <w:b/>
                <w:bCs/>
                <w:color w:val="auto"/>
                <w:sz w:val="24"/>
                <w:lang w:eastAsia="zh-CN"/>
              </w:rPr>
              <w:t>）液化石油气（LPG）：</w:t>
            </w:r>
            <w:r>
              <w:rPr>
                <w:rFonts w:hint="eastAsia"/>
                <w:color w:val="auto"/>
                <w:sz w:val="24"/>
                <w:lang w:eastAsia="zh-CN"/>
              </w:rPr>
              <w:t>由丙烷（C</w:t>
            </w:r>
            <w:r>
              <w:rPr>
                <w:rFonts w:hint="eastAsia"/>
                <w:color w:val="auto"/>
                <w:sz w:val="24"/>
                <w:vertAlign w:val="subscript"/>
                <w:lang w:eastAsia="zh-CN"/>
              </w:rPr>
              <w:t>3</w:t>
            </w:r>
            <w:r>
              <w:rPr>
                <w:rFonts w:hint="eastAsia"/>
                <w:color w:val="auto"/>
                <w:sz w:val="24"/>
                <w:lang w:eastAsia="zh-CN"/>
              </w:rPr>
              <w:t>H</w:t>
            </w:r>
            <w:r>
              <w:rPr>
                <w:rFonts w:hint="eastAsia" w:ascii="Times New Roman" w:hAnsi="Times New Roman" w:eastAsia="宋体" w:cs="Times New Roman"/>
                <w:color w:val="auto"/>
                <w:sz w:val="24"/>
                <w:vertAlign w:val="subscript"/>
                <w:lang w:eastAsia="zh-CN"/>
              </w:rPr>
              <w:t>8</w:t>
            </w:r>
            <w:r>
              <w:rPr>
                <w:rFonts w:hint="eastAsia"/>
                <w:color w:val="auto"/>
                <w:sz w:val="24"/>
                <w:lang w:eastAsia="zh-CN"/>
              </w:rPr>
              <w:t>）、丁烷（C</w:t>
            </w:r>
            <w:r>
              <w:rPr>
                <w:rFonts w:hint="eastAsia" w:ascii="Times New Roman" w:hAnsi="Times New Roman" w:eastAsia="宋体" w:cs="Times New Roman"/>
                <w:color w:val="auto"/>
                <w:sz w:val="24"/>
                <w:vertAlign w:val="subscript"/>
                <w:lang w:eastAsia="zh-CN"/>
              </w:rPr>
              <w:t>4</w:t>
            </w:r>
            <w:r>
              <w:rPr>
                <w:rFonts w:hint="eastAsia"/>
                <w:color w:val="auto"/>
                <w:sz w:val="24"/>
                <w:lang w:eastAsia="zh-CN"/>
              </w:rPr>
              <w:t>H</w:t>
            </w:r>
            <w:r>
              <w:rPr>
                <w:rFonts w:hint="eastAsia" w:ascii="Times New Roman" w:hAnsi="Times New Roman" w:eastAsia="宋体" w:cs="Times New Roman"/>
                <w:color w:val="auto"/>
                <w:sz w:val="24"/>
                <w:vertAlign w:val="subscript"/>
                <w:lang w:eastAsia="zh-CN"/>
              </w:rPr>
              <w:t>10</w:t>
            </w:r>
            <w:r>
              <w:rPr>
                <w:rFonts w:hint="eastAsia"/>
                <w:color w:val="auto"/>
                <w:sz w:val="24"/>
                <w:lang w:eastAsia="zh-CN"/>
              </w:rPr>
              <w:t>）组成的，有些LPG还含有丙烯（C</w:t>
            </w:r>
            <w:r>
              <w:rPr>
                <w:rFonts w:hint="eastAsia" w:ascii="Times New Roman" w:hAnsi="Times New Roman" w:eastAsia="宋体" w:cs="Times New Roman"/>
                <w:color w:val="auto"/>
                <w:sz w:val="24"/>
                <w:vertAlign w:val="subscript"/>
                <w:lang w:eastAsia="zh-CN"/>
              </w:rPr>
              <w:t>3</w:t>
            </w:r>
            <w:r>
              <w:rPr>
                <w:rFonts w:hint="eastAsia"/>
                <w:color w:val="auto"/>
                <w:sz w:val="24"/>
                <w:lang w:eastAsia="zh-CN"/>
              </w:rPr>
              <w:t>H</w:t>
            </w:r>
            <w:r>
              <w:rPr>
                <w:rFonts w:hint="eastAsia" w:ascii="Times New Roman" w:hAnsi="Times New Roman" w:eastAsia="宋体" w:cs="Times New Roman"/>
                <w:color w:val="auto"/>
                <w:sz w:val="24"/>
                <w:vertAlign w:val="subscript"/>
                <w:lang w:eastAsia="zh-CN"/>
              </w:rPr>
              <w:t>6</w:t>
            </w:r>
            <w:r>
              <w:rPr>
                <w:rFonts w:hint="eastAsia"/>
                <w:color w:val="auto"/>
                <w:sz w:val="24"/>
                <w:lang w:eastAsia="zh-CN"/>
              </w:rPr>
              <w:t>）和丁烯（C</w:t>
            </w:r>
            <w:r>
              <w:rPr>
                <w:rFonts w:hint="eastAsia" w:ascii="Times New Roman" w:hAnsi="Times New Roman" w:eastAsia="宋体" w:cs="Times New Roman"/>
                <w:color w:val="auto"/>
                <w:sz w:val="24"/>
                <w:vertAlign w:val="subscript"/>
                <w:lang w:eastAsia="zh-CN"/>
              </w:rPr>
              <w:t>4</w:t>
            </w:r>
            <w:r>
              <w:rPr>
                <w:rFonts w:hint="eastAsia"/>
                <w:color w:val="auto"/>
                <w:sz w:val="24"/>
                <w:lang w:eastAsia="zh-CN"/>
              </w:rPr>
              <w:t>H</w:t>
            </w:r>
            <w:r>
              <w:rPr>
                <w:rFonts w:hint="eastAsia" w:ascii="Times New Roman" w:hAnsi="Times New Roman" w:eastAsia="宋体" w:cs="Times New Roman"/>
                <w:color w:val="auto"/>
                <w:sz w:val="24"/>
                <w:vertAlign w:val="subscript"/>
                <w:lang w:eastAsia="zh-CN"/>
              </w:rPr>
              <w:t>8</w:t>
            </w:r>
            <w:r>
              <w:rPr>
                <w:rFonts w:hint="eastAsia"/>
                <w:color w:val="auto"/>
                <w:sz w:val="24"/>
                <w:lang w:eastAsia="zh-CN"/>
              </w:rPr>
              <w:t>）。LPG一般是从油气田、炼油厂或乙烯厂石油气中获得。国产液化石油气主要供给家庭使用。</w:t>
            </w:r>
            <w:r>
              <w:rPr>
                <w:rFonts w:hint="eastAsia"/>
                <w:color w:val="auto"/>
                <w:sz w:val="24"/>
                <w:lang w:val="en-US" w:eastAsia="zh-CN"/>
              </w:rPr>
              <w:t>可</w:t>
            </w:r>
            <w:r>
              <w:rPr>
                <w:rFonts w:hint="eastAsia"/>
                <w:color w:val="auto"/>
                <w:sz w:val="24"/>
                <w:lang w:eastAsia="zh-CN"/>
              </w:rPr>
              <w:t>燃性的碳氢化合物气体就会通过管道进入燃烧器。点燃后形成淡蓝色火焰，燃烧过程中产生大量热。并可根据需要，调整火力，使用起来既方便又卫生。液化石油气的主要成分丙烷、丁烷属一级可燃气体，甲类火灾危险性，爆炸极限为1.5％～9.5％（V/V），着点温度430~460℃，液化石油气的气态密度是空气的1.5~2倍，易在大气中自然扩散，并向低洼区流动，聚</w:t>
            </w:r>
            <w:r>
              <w:rPr>
                <w:rFonts w:hint="eastAsia"/>
                <w:color w:val="auto"/>
                <w:sz w:val="24"/>
                <w:lang w:val="en-US" w:eastAsia="zh-CN"/>
              </w:rPr>
              <w:t>集</w:t>
            </w:r>
            <w:r>
              <w:rPr>
                <w:rFonts w:hint="eastAsia"/>
                <w:color w:val="auto"/>
                <w:sz w:val="24"/>
                <w:lang w:eastAsia="zh-CN"/>
              </w:rPr>
              <w:t>在不通风的低洼地点。外观与性状：无色气体或黄棕色油状液体有特殊臭味。密度：液化石油气580kg/立方米，引燃温度（℃）：426~537，爆炸上限%（V/V）：9.5，爆炸下限%（V/V）：1.5</w:t>
            </w:r>
            <w:r>
              <w:rPr>
                <w:rFonts w:hint="eastAsia"/>
                <w:color w:val="auto"/>
                <w:sz w:val="24"/>
                <w:lang w:val="en-US" w:eastAsia="zh-CN"/>
              </w:rPr>
              <w:t>.</w:t>
            </w:r>
            <w:r>
              <w:rPr>
                <w:rFonts w:hint="eastAsia"/>
                <w:color w:val="auto"/>
                <w:sz w:val="24"/>
                <w:lang w:eastAsia="zh-CN"/>
              </w:rPr>
              <w:t>毒性：属微毒类。危险特性：极易燃，与空气混合能形成爆炸性混合物。遇热源和明火有燃烧爆炸的危险。与氟、氯等接触会发生剧烈的化学反应。其蒸气比空气重，能在较低处扩散到相当远的地方，遇火源会着火回燃。</w:t>
            </w:r>
          </w:p>
          <w:p w14:paraId="519C8896">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80" w:firstLineChars="200"/>
              <w:textAlignment w:val="auto"/>
              <w:rPr>
                <w:rFonts w:hint="eastAsia"/>
                <w:b w:val="0"/>
                <w:bCs/>
                <w:color w:val="000000"/>
                <w:sz w:val="24"/>
                <w:lang w:val="en-US" w:eastAsia="zh-CN"/>
              </w:rPr>
            </w:pPr>
            <w:r>
              <w:rPr>
                <w:rFonts w:hint="eastAsia"/>
                <w:b w:val="0"/>
                <w:bCs/>
                <w:color w:val="000000"/>
                <w:sz w:val="24"/>
                <w:lang w:val="en-US" w:eastAsia="zh-CN"/>
              </w:rPr>
              <w:t>石油液化气是一种多组分混合物，液化石油气是炼油厂在进行原油催化裂解与热裂解时所得到的副产品。它的主要成分是丙烷和丁烷。主要成分见表2-9。</w:t>
            </w:r>
          </w:p>
          <w:p w14:paraId="49E7F4C4">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firstLine="0" w:firstLineChars="0"/>
              <w:jc w:val="center"/>
              <w:textAlignment w:val="auto"/>
              <w:rPr>
                <w:rFonts w:hint="default" w:ascii="Times New Roman" w:hAnsi="Times New Roman" w:eastAsia="宋体" w:cs="Times New Roman"/>
                <w:b/>
                <w:bCs w:val="0"/>
                <w:color w:val="000000"/>
                <w:sz w:val="21"/>
                <w:szCs w:val="21"/>
                <w:lang w:val="en-US" w:eastAsia="zh-CN"/>
              </w:rPr>
            </w:pPr>
            <w:r>
              <w:rPr>
                <w:rFonts w:hint="default" w:ascii="Times New Roman" w:hAnsi="Times New Roman" w:eastAsia="宋体" w:cs="Times New Roman"/>
                <w:b/>
                <w:bCs w:val="0"/>
                <w:color w:val="000000"/>
                <w:sz w:val="21"/>
                <w:szCs w:val="21"/>
                <w:lang w:val="en-US" w:eastAsia="zh-CN"/>
              </w:rPr>
              <w:t>表2-</w:t>
            </w:r>
            <w:r>
              <w:rPr>
                <w:rFonts w:hint="eastAsia" w:cs="Times New Roman"/>
                <w:b/>
                <w:bCs w:val="0"/>
                <w:color w:val="000000"/>
                <w:sz w:val="21"/>
                <w:szCs w:val="21"/>
                <w:lang w:val="en-US" w:eastAsia="zh-CN"/>
              </w:rPr>
              <w:t>9</w:t>
            </w:r>
            <w:r>
              <w:rPr>
                <w:rFonts w:hint="eastAsia" w:ascii="Times New Roman" w:hAnsi="Times New Roman" w:eastAsia="宋体" w:cs="Times New Roman"/>
                <w:b/>
                <w:bCs w:val="0"/>
                <w:color w:val="000000"/>
                <w:sz w:val="21"/>
                <w:szCs w:val="21"/>
                <w:lang w:val="en-US" w:eastAsia="zh-CN"/>
              </w:rPr>
              <w:t xml:space="preserve">   </w:t>
            </w:r>
            <w:r>
              <w:rPr>
                <w:rFonts w:hint="default" w:ascii="Times New Roman" w:hAnsi="Times New Roman" w:eastAsia="宋体" w:cs="Times New Roman"/>
                <w:b/>
                <w:bCs w:val="0"/>
                <w:color w:val="000000"/>
                <w:sz w:val="21"/>
                <w:szCs w:val="21"/>
                <w:lang w:val="en-US" w:eastAsia="zh-CN"/>
              </w:rPr>
              <w:t>原料液化气组分数据表</w:t>
            </w:r>
          </w:p>
          <w:tbl>
            <w:tblPr>
              <w:tblStyle w:val="3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51"/>
              <w:gridCol w:w="1658"/>
              <w:gridCol w:w="1942"/>
              <w:gridCol w:w="1866"/>
            </w:tblGrid>
            <w:tr w14:paraId="11807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91" w:type="pct"/>
                  <w:tcBorders>
                    <w:tl2br w:val="nil"/>
                    <w:tr2bl w:val="nil"/>
                  </w:tcBorders>
                  <w:noWrap w:val="0"/>
                  <w:vAlign w:val="center"/>
                </w:tcPr>
                <w:p w14:paraId="6A31115D">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cs="Times New Roman"/>
                      <w:color w:val="000000"/>
                      <w:sz w:val="21"/>
                      <w:szCs w:val="21"/>
                      <w:lang w:val="en-US" w:eastAsia="zh-CN"/>
                    </w:rPr>
                    <w:t>分析项目</w:t>
                  </w:r>
                </w:p>
              </w:tc>
              <w:tc>
                <w:tcPr>
                  <w:tcW w:w="973" w:type="pct"/>
                  <w:tcBorders>
                    <w:tl2br w:val="nil"/>
                    <w:tr2bl w:val="nil"/>
                  </w:tcBorders>
                  <w:noWrap w:val="0"/>
                  <w:vAlign w:val="center"/>
                </w:tcPr>
                <w:p w14:paraId="4BBC3360">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cs="Times New Roman"/>
                      <w:color w:val="000000"/>
                      <w:sz w:val="21"/>
                      <w:szCs w:val="21"/>
                      <w:lang w:val="en-US" w:eastAsia="zh-CN"/>
                    </w:rPr>
                    <w:t>体积分数（%）</w:t>
                  </w:r>
                </w:p>
              </w:tc>
              <w:tc>
                <w:tcPr>
                  <w:tcW w:w="1140" w:type="pct"/>
                  <w:tcBorders>
                    <w:tl2br w:val="nil"/>
                    <w:tr2bl w:val="nil"/>
                  </w:tcBorders>
                  <w:noWrap w:val="0"/>
                  <w:vAlign w:val="center"/>
                </w:tcPr>
                <w:p w14:paraId="497CE5BF">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cs="Times New Roman"/>
                      <w:color w:val="000000"/>
                      <w:sz w:val="21"/>
                      <w:szCs w:val="21"/>
                    </w:rPr>
                  </w:pPr>
                  <w:r>
                    <w:rPr>
                      <w:rFonts w:hint="eastAsia" w:ascii="Times New Roman" w:cs="Times New Roman"/>
                      <w:color w:val="000000"/>
                      <w:sz w:val="21"/>
                      <w:szCs w:val="21"/>
                      <w:lang w:val="en-US" w:eastAsia="zh-CN"/>
                    </w:rPr>
                    <w:t>分析项目</w:t>
                  </w:r>
                </w:p>
              </w:tc>
              <w:tc>
                <w:tcPr>
                  <w:tcW w:w="1095" w:type="pct"/>
                  <w:tcBorders>
                    <w:tl2br w:val="nil"/>
                    <w:tr2bl w:val="nil"/>
                  </w:tcBorders>
                  <w:noWrap w:val="0"/>
                  <w:vAlign w:val="center"/>
                </w:tcPr>
                <w:p w14:paraId="02E2EDA7">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cs="Times New Roman"/>
                      <w:color w:val="000000"/>
                      <w:sz w:val="21"/>
                      <w:szCs w:val="21"/>
                    </w:rPr>
                  </w:pPr>
                  <w:r>
                    <w:rPr>
                      <w:rFonts w:hint="eastAsia" w:ascii="Times New Roman" w:cs="Times New Roman"/>
                      <w:color w:val="000000"/>
                      <w:sz w:val="21"/>
                      <w:szCs w:val="21"/>
                      <w:lang w:val="en-US" w:eastAsia="zh-CN"/>
                    </w:rPr>
                    <w:t>体积分数（%）</w:t>
                  </w:r>
                </w:p>
              </w:tc>
            </w:tr>
            <w:tr w14:paraId="37DC1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1" w:type="pct"/>
                  <w:tcBorders>
                    <w:tl2br w:val="nil"/>
                    <w:tr2bl w:val="nil"/>
                  </w:tcBorders>
                  <w:noWrap w:val="0"/>
                  <w:vAlign w:val="center"/>
                </w:tcPr>
                <w:p w14:paraId="108EDAC5">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氢气</w:t>
                  </w:r>
                </w:p>
              </w:tc>
              <w:tc>
                <w:tcPr>
                  <w:tcW w:w="973" w:type="pct"/>
                  <w:tcBorders>
                    <w:tl2br w:val="nil"/>
                    <w:tr2bl w:val="nil"/>
                  </w:tcBorders>
                  <w:noWrap w:val="0"/>
                  <w:vAlign w:val="center"/>
                </w:tcPr>
                <w:p w14:paraId="0DBF42AF">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5~6</w:t>
                  </w:r>
                </w:p>
              </w:tc>
              <w:tc>
                <w:tcPr>
                  <w:tcW w:w="1140" w:type="pct"/>
                  <w:tcBorders>
                    <w:tl2br w:val="nil"/>
                    <w:tr2bl w:val="nil"/>
                  </w:tcBorders>
                  <w:noWrap w:val="0"/>
                  <w:vAlign w:val="center"/>
                </w:tcPr>
                <w:p w14:paraId="3A0194E4">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甲烷</w:t>
                  </w:r>
                </w:p>
              </w:tc>
              <w:tc>
                <w:tcPr>
                  <w:tcW w:w="1095" w:type="pct"/>
                  <w:tcBorders>
                    <w:tl2br w:val="nil"/>
                    <w:tr2bl w:val="nil"/>
                  </w:tcBorders>
                  <w:noWrap w:val="0"/>
                  <w:vAlign w:val="center"/>
                </w:tcPr>
                <w:p w14:paraId="2B19E543">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1</w:t>
                  </w:r>
                </w:p>
              </w:tc>
            </w:tr>
            <w:tr w14:paraId="2D31D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1" w:type="pct"/>
                  <w:tcBorders>
                    <w:tl2br w:val="nil"/>
                    <w:tr2bl w:val="nil"/>
                  </w:tcBorders>
                  <w:noWrap w:val="0"/>
                  <w:vAlign w:val="center"/>
                </w:tcPr>
                <w:p w14:paraId="74C74193">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乙烷</w:t>
                  </w:r>
                </w:p>
              </w:tc>
              <w:tc>
                <w:tcPr>
                  <w:tcW w:w="973" w:type="pct"/>
                  <w:tcBorders>
                    <w:tl2br w:val="nil"/>
                    <w:tr2bl w:val="nil"/>
                  </w:tcBorders>
                  <w:noWrap w:val="0"/>
                  <w:vAlign w:val="center"/>
                </w:tcPr>
                <w:p w14:paraId="2BBF73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3~5</w:t>
                  </w:r>
                </w:p>
              </w:tc>
              <w:tc>
                <w:tcPr>
                  <w:tcW w:w="1140" w:type="pct"/>
                  <w:tcBorders>
                    <w:tl2br w:val="nil"/>
                    <w:tr2bl w:val="nil"/>
                  </w:tcBorders>
                  <w:noWrap w:val="0"/>
                  <w:vAlign w:val="center"/>
                </w:tcPr>
                <w:p w14:paraId="07087416">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乙烯</w:t>
                  </w:r>
                </w:p>
              </w:tc>
              <w:tc>
                <w:tcPr>
                  <w:tcW w:w="1095" w:type="pct"/>
                  <w:tcBorders>
                    <w:tl2br w:val="nil"/>
                    <w:tr2bl w:val="nil"/>
                  </w:tcBorders>
                  <w:noWrap w:val="0"/>
                  <w:vAlign w:val="center"/>
                </w:tcPr>
                <w:p w14:paraId="411ACDAE">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3</w:t>
                  </w:r>
                </w:p>
              </w:tc>
            </w:tr>
            <w:tr w14:paraId="2FA7F5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1" w:type="pct"/>
                  <w:tcBorders>
                    <w:tl2br w:val="nil"/>
                    <w:tr2bl w:val="nil"/>
                  </w:tcBorders>
                  <w:noWrap w:val="0"/>
                  <w:vAlign w:val="center"/>
                </w:tcPr>
                <w:p w14:paraId="30B83E08">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丙烷</w:t>
                  </w:r>
                </w:p>
              </w:tc>
              <w:tc>
                <w:tcPr>
                  <w:tcW w:w="973" w:type="pct"/>
                  <w:tcBorders>
                    <w:tl2br w:val="nil"/>
                    <w:tr2bl w:val="nil"/>
                  </w:tcBorders>
                  <w:noWrap w:val="0"/>
                  <w:vAlign w:val="center"/>
                </w:tcPr>
                <w:p w14:paraId="5FE6E4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40~60</w:t>
                  </w:r>
                </w:p>
              </w:tc>
              <w:tc>
                <w:tcPr>
                  <w:tcW w:w="1140" w:type="pct"/>
                  <w:tcBorders>
                    <w:tl2br w:val="nil"/>
                    <w:tr2bl w:val="nil"/>
                  </w:tcBorders>
                  <w:noWrap w:val="0"/>
                  <w:vAlign w:val="center"/>
                </w:tcPr>
                <w:p w14:paraId="08FD820A">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丙烯</w:t>
                  </w:r>
                </w:p>
              </w:tc>
              <w:tc>
                <w:tcPr>
                  <w:tcW w:w="1095" w:type="pct"/>
                  <w:tcBorders>
                    <w:tl2br w:val="nil"/>
                    <w:tr2bl w:val="nil"/>
                  </w:tcBorders>
                  <w:noWrap w:val="0"/>
                  <w:vAlign w:val="center"/>
                </w:tcPr>
                <w:p w14:paraId="728BE7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eastAsia="宋体"/>
                      <w:color w:val="000000"/>
                      <w:sz w:val="21"/>
                      <w:szCs w:val="21"/>
                      <w:lang w:val="en-US" w:eastAsia="zh-CN"/>
                    </w:rPr>
                    <w:t>6~11</w:t>
                  </w:r>
                </w:p>
              </w:tc>
            </w:tr>
            <w:tr w14:paraId="542D2A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1" w:type="pct"/>
                  <w:tcBorders>
                    <w:tl2br w:val="nil"/>
                    <w:tr2bl w:val="nil"/>
                  </w:tcBorders>
                  <w:noWrap w:val="0"/>
                  <w:vAlign w:val="center"/>
                </w:tcPr>
                <w:p w14:paraId="6C8B48D5">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丁烷</w:t>
                  </w:r>
                </w:p>
              </w:tc>
              <w:tc>
                <w:tcPr>
                  <w:tcW w:w="973" w:type="pct"/>
                  <w:tcBorders>
                    <w:tl2br w:val="nil"/>
                    <w:tr2bl w:val="nil"/>
                  </w:tcBorders>
                  <w:noWrap w:val="0"/>
                  <w:vAlign w:val="center"/>
                </w:tcPr>
                <w:p w14:paraId="499F37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30~50</w:t>
                  </w:r>
                </w:p>
              </w:tc>
              <w:tc>
                <w:tcPr>
                  <w:tcW w:w="1140" w:type="pct"/>
                  <w:tcBorders>
                    <w:tl2br w:val="nil"/>
                    <w:tr2bl w:val="nil"/>
                  </w:tcBorders>
                  <w:noWrap w:val="0"/>
                  <w:vAlign w:val="center"/>
                </w:tcPr>
                <w:p w14:paraId="70E17AFA">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sz w:val="21"/>
                      <w:szCs w:val="21"/>
                      <w:lang w:val="en-US" w:eastAsia="zh-CN"/>
                    </w:rPr>
                  </w:pPr>
                  <w:r>
                    <w:rPr>
                      <w:rFonts w:hint="eastAsia" w:ascii="Times New Roman" w:eastAsia="宋体" w:cs="Times New Roman"/>
                      <w:color w:val="000000"/>
                      <w:sz w:val="21"/>
                      <w:szCs w:val="21"/>
                      <w:lang w:val="en-US" w:eastAsia="zh-CN"/>
                    </w:rPr>
                    <w:t>丁烯</w:t>
                  </w:r>
                </w:p>
              </w:tc>
              <w:tc>
                <w:tcPr>
                  <w:tcW w:w="1095" w:type="pct"/>
                  <w:tcBorders>
                    <w:tl2br w:val="nil"/>
                    <w:tr2bl w:val="nil"/>
                  </w:tcBorders>
                  <w:noWrap w:val="0"/>
                  <w:vAlign w:val="center"/>
                </w:tcPr>
                <w:p w14:paraId="0476F6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 w:val="21"/>
                      <w:szCs w:val="21"/>
                      <w:lang w:val="en-US" w:eastAsia="zh-CN"/>
                    </w:rPr>
                  </w:pPr>
                  <w:r>
                    <w:rPr>
                      <w:rFonts w:hint="eastAsia" w:eastAsia="宋体"/>
                      <w:color w:val="000000"/>
                      <w:sz w:val="21"/>
                      <w:szCs w:val="21"/>
                      <w:lang w:val="en-US" w:eastAsia="zh-CN"/>
                    </w:rPr>
                    <w:t>5~6</w:t>
                  </w:r>
                </w:p>
              </w:tc>
            </w:tr>
            <w:tr w14:paraId="07713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1" w:type="pct"/>
                  <w:tcBorders>
                    <w:tl2br w:val="nil"/>
                    <w:tr2bl w:val="nil"/>
                  </w:tcBorders>
                  <w:noWrap w:val="0"/>
                  <w:vAlign w:val="center"/>
                </w:tcPr>
                <w:p w14:paraId="08171624">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含五个碳原子以上的烃类</w:t>
                  </w:r>
                </w:p>
              </w:tc>
              <w:tc>
                <w:tcPr>
                  <w:tcW w:w="973" w:type="pct"/>
                  <w:tcBorders>
                    <w:tl2br w:val="nil"/>
                    <w:tr2bl w:val="nil"/>
                  </w:tcBorders>
                  <w:noWrap w:val="0"/>
                  <w:vAlign w:val="center"/>
                </w:tcPr>
                <w:p w14:paraId="485E08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000000"/>
                      <w:sz w:val="21"/>
                      <w:szCs w:val="21"/>
                      <w:lang w:val="en-US" w:eastAsia="zh-CN"/>
                    </w:rPr>
                  </w:pPr>
                  <w:r>
                    <w:rPr>
                      <w:rFonts w:hint="eastAsia" w:ascii="Times New Roman" w:eastAsia="宋体" w:cs="Times New Roman"/>
                      <w:color w:val="000000"/>
                      <w:sz w:val="21"/>
                      <w:szCs w:val="21"/>
                      <w:lang w:val="en-US" w:eastAsia="zh-CN"/>
                    </w:rPr>
                    <w:t>5~12</w:t>
                  </w:r>
                </w:p>
              </w:tc>
              <w:tc>
                <w:tcPr>
                  <w:tcW w:w="1140" w:type="pct"/>
                  <w:tcBorders>
                    <w:tl2br w:val="nil"/>
                    <w:tr2bl w:val="nil"/>
                  </w:tcBorders>
                  <w:noWrap w:val="0"/>
                  <w:vAlign w:val="center"/>
                </w:tcPr>
                <w:p w14:paraId="2D6B4002">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000000"/>
                      <w:sz w:val="21"/>
                      <w:szCs w:val="21"/>
                      <w:vertAlign w:val="baseline"/>
                      <w:lang w:val="en-US" w:eastAsia="zh-CN"/>
                    </w:rPr>
                  </w:pPr>
                  <w:r>
                    <w:rPr>
                      <w:rFonts w:hint="eastAsia" w:ascii="Times New Roman" w:cs="Times New Roman"/>
                      <w:color w:val="000000"/>
                      <w:sz w:val="21"/>
                      <w:szCs w:val="21"/>
                      <w:lang w:val="en-US" w:eastAsia="zh-CN"/>
                    </w:rPr>
                    <w:t>H</w:t>
                  </w:r>
                  <w:r>
                    <w:rPr>
                      <w:rFonts w:hint="eastAsia" w:ascii="Times New Roman" w:cs="Times New Roman"/>
                      <w:color w:val="000000"/>
                      <w:sz w:val="21"/>
                      <w:szCs w:val="21"/>
                      <w:vertAlign w:val="subscript"/>
                      <w:lang w:val="en-US" w:eastAsia="zh-CN"/>
                    </w:rPr>
                    <w:t>2</w:t>
                  </w:r>
                  <w:r>
                    <w:rPr>
                      <w:rFonts w:hint="eastAsia" w:ascii="Times New Roman" w:cs="Times New Roman"/>
                      <w:color w:val="000000"/>
                      <w:sz w:val="21"/>
                      <w:szCs w:val="21"/>
                      <w:vertAlign w:val="baseline"/>
                      <w:lang w:val="en-US" w:eastAsia="zh-CN"/>
                    </w:rPr>
                    <w:t>S（ppm）</w:t>
                  </w:r>
                </w:p>
              </w:tc>
              <w:tc>
                <w:tcPr>
                  <w:tcW w:w="1095" w:type="pct"/>
                  <w:tcBorders>
                    <w:tl2br w:val="nil"/>
                    <w:tr2bl w:val="nil"/>
                  </w:tcBorders>
                  <w:noWrap w:val="0"/>
                  <w:vAlign w:val="center"/>
                </w:tcPr>
                <w:p w14:paraId="773D8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sz w:val="21"/>
                      <w:szCs w:val="21"/>
                      <w:lang w:val="en-US" w:eastAsia="zh-CN"/>
                    </w:rPr>
                  </w:pPr>
                  <w:r>
                    <w:rPr>
                      <w:rFonts w:hint="default" w:ascii="Times New Roman" w:hAnsi="Times New Roman" w:cs="Times New Roman"/>
                      <w:color w:val="000000"/>
                      <w:sz w:val="21"/>
                      <w:szCs w:val="21"/>
                      <w:lang w:val="en-US" w:eastAsia="zh-CN"/>
                    </w:rPr>
                    <w:t>≤2</w:t>
                  </w:r>
                </w:p>
              </w:tc>
            </w:tr>
            <w:tr w14:paraId="22757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1" w:type="pct"/>
                  <w:tcBorders>
                    <w:tl2br w:val="nil"/>
                    <w:tr2bl w:val="nil"/>
                  </w:tcBorders>
                  <w:noWrap w:val="0"/>
                  <w:vAlign w:val="center"/>
                </w:tcPr>
                <w:p w14:paraId="1519B3FF">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水露点（</w:t>
                  </w:r>
                  <w:r>
                    <w:rPr>
                      <w:rFonts w:hint="default" w:ascii="Times New Roman" w:hAnsi="Times New Roman" w:cs="Times New Roman"/>
                      <w:color w:val="000000"/>
                      <w:sz w:val="21"/>
                      <w:szCs w:val="21"/>
                      <w:lang w:val="en-US" w:eastAsia="zh-CN"/>
                    </w:rPr>
                    <w:t>℃</w:t>
                  </w:r>
                  <w:r>
                    <w:rPr>
                      <w:rFonts w:hint="eastAsia" w:ascii="Times New Roman" w:cs="Times New Roman"/>
                      <w:color w:val="000000"/>
                      <w:sz w:val="21"/>
                      <w:szCs w:val="21"/>
                      <w:lang w:val="en-US" w:eastAsia="zh-CN"/>
                    </w:rPr>
                    <w:t>）</w:t>
                  </w:r>
                </w:p>
              </w:tc>
              <w:tc>
                <w:tcPr>
                  <w:tcW w:w="973" w:type="pct"/>
                  <w:tcBorders>
                    <w:tl2br w:val="nil"/>
                    <w:tr2bl w:val="nil"/>
                  </w:tcBorders>
                  <w:noWrap w:val="0"/>
                  <w:vAlign w:val="center"/>
                </w:tcPr>
                <w:p w14:paraId="1030CAAE">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-13.8</w:t>
                  </w:r>
                </w:p>
              </w:tc>
              <w:tc>
                <w:tcPr>
                  <w:tcW w:w="1140" w:type="pct"/>
                  <w:tcBorders>
                    <w:tl2br w:val="nil"/>
                    <w:tr2bl w:val="nil"/>
                  </w:tcBorders>
                  <w:noWrap w:val="0"/>
                  <w:vAlign w:val="center"/>
                </w:tcPr>
                <w:p w14:paraId="48CD1D49">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密度（kg/Nm</w:t>
                  </w:r>
                  <w:r>
                    <w:rPr>
                      <w:rFonts w:hint="eastAsia" w:ascii="Times New Roman" w:cs="Times New Roman"/>
                      <w:color w:val="000000"/>
                      <w:sz w:val="21"/>
                      <w:szCs w:val="21"/>
                      <w:vertAlign w:val="superscript"/>
                      <w:lang w:val="en-US" w:eastAsia="zh-CN"/>
                    </w:rPr>
                    <w:t>3</w:t>
                  </w:r>
                  <w:r>
                    <w:rPr>
                      <w:rFonts w:hint="eastAsia" w:ascii="Times New Roman" w:cs="Times New Roman"/>
                      <w:color w:val="000000"/>
                      <w:sz w:val="21"/>
                      <w:szCs w:val="21"/>
                      <w:lang w:val="en-US" w:eastAsia="zh-CN"/>
                    </w:rPr>
                    <w:t>）</w:t>
                  </w:r>
                </w:p>
              </w:tc>
              <w:tc>
                <w:tcPr>
                  <w:tcW w:w="1095" w:type="pct"/>
                  <w:tcBorders>
                    <w:tl2br w:val="nil"/>
                    <w:tr2bl w:val="nil"/>
                  </w:tcBorders>
                  <w:noWrap w:val="0"/>
                  <w:vAlign w:val="center"/>
                </w:tcPr>
                <w:p w14:paraId="31FD6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0.5~0.59</w:t>
                  </w:r>
                </w:p>
              </w:tc>
            </w:tr>
            <w:tr w14:paraId="6961F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1" w:type="pct"/>
                  <w:tcBorders>
                    <w:tl2br w:val="nil"/>
                    <w:tr2bl w:val="nil"/>
                  </w:tcBorders>
                  <w:noWrap w:val="0"/>
                  <w:vAlign w:val="center"/>
                </w:tcPr>
                <w:p w14:paraId="2FCDED49">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低位发热值（MJ/Nm</w:t>
                  </w:r>
                  <w:r>
                    <w:rPr>
                      <w:rFonts w:hint="eastAsia" w:ascii="Times New Roman" w:cs="Times New Roman"/>
                      <w:color w:val="000000"/>
                      <w:sz w:val="21"/>
                      <w:szCs w:val="21"/>
                      <w:vertAlign w:val="superscript"/>
                      <w:lang w:val="en-US" w:eastAsia="zh-CN"/>
                    </w:rPr>
                    <w:t>3</w:t>
                  </w:r>
                  <w:r>
                    <w:rPr>
                      <w:rFonts w:hint="eastAsia" w:ascii="Times New Roman" w:cs="Times New Roman"/>
                      <w:color w:val="000000"/>
                      <w:sz w:val="21"/>
                      <w:szCs w:val="21"/>
                      <w:lang w:val="en-US" w:eastAsia="zh-CN"/>
                    </w:rPr>
                    <w:t>）</w:t>
                  </w:r>
                </w:p>
              </w:tc>
              <w:tc>
                <w:tcPr>
                  <w:tcW w:w="973" w:type="pct"/>
                  <w:tcBorders>
                    <w:tl2br w:val="nil"/>
                    <w:tr2bl w:val="nil"/>
                  </w:tcBorders>
                  <w:noWrap w:val="0"/>
                  <w:vAlign w:val="center"/>
                </w:tcPr>
                <w:p w14:paraId="7A266B03">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70.7</w:t>
                  </w:r>
                </w:p>
              </w:tc>
              <w:tc>
                <w:tcPr>
                  <w:tcW w:w="1140" w:type="pct"/>
                  <w:tcBorders>
                    <w:tl2br w:val="nil"/>
                    <w:tr2bl w:val="nil"/>
                  </w:tcBorders>
                  <w:noWrap w:val="0"/>
                  <w:vAlign w:val="center"/>
                </w:tcPr>
                <w:p w14:paraId="23F026B3">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cs="Times New Roman"/>
                      <w:color w:val="000000"/>
                      <w:sz w:val="21"/>
                      <w:szCs w:val="21"/>
                      <w:lang w:val="en-US" w:eastAsia="zh-CN"/>
                    </w:rPr>
                  </w:pPr>
                  <w:r>
                    <w:rPr>
                      <w:rFonts w:hint="eastAsia" w:ascii="Times New Roman" w:cs="Times New Roman"/>
                      <w:color w:val="000000"/>
                      <w:sz w:val="21"/>
                      <w:szCs w:val="21"/>
                      <w:lang w:val="en-US" w:eastAsia="zh-CN"/>
                    </w:rPr>
                    <w:t>\</w:t>
                  </w:r>
                </w:p>
              </w:tc>
              <w:tc>
                <w:tcPr>
                  <w:tcW w:w="1095" w:type="pct"/>
                  <w:tcBorders>
                    <w:tl2br w:val="nil"/>
                    <w:tr2bl w:val="nil"/>
                  </w:tcBorders>
                  <w:noWrap w:val="0"/>
                  <w:vAlign w:val="center"/>
                </w:tcPr>
                <w:p w14:paraId="01786A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w:t>
                  </w:r>
                </w:p>
              </w:tc>
            </w:tr>
          </w:tbl>
          <w:p w14:paraId="68E2DAC2">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b/>
                <w:bCs w:val="0"/>
                <w:color w:val="auto"/>
                <w:sz w:val="24"/>
                <w:lang w:bidi="zh-CN"/>
              </w:rPr>
            </w:pPr>
            <w:r>
              <w:rPr>
                <w:rFonts w:hint="eastAsia"/>
                <w:color w:val="auto"/>
                <w:sz w:val="24"/>
                <w:lang w:eastAsia="zh-CN"/>
              </w:rPr>
              <w:t>其他原辅材料主要为气瓶及其备件。</w:t>
            </w:r>
          </w:p>
          <w:p w14:paraId="0F1A58B4">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firstLine="0" w:firstLineChars="0"/>
              <w:jc w:val="center"/>
              <w:textAlignment w:val="auto"/>
              <w:rPr>
                <w:rFonts w:hint="eastAsia" w:ascii="Times New Roman" w:hAnsi="Times New Roman" w:eastAsia="宋体" w:cs="Times New Roman"/>
                <w:b/>
                <w:bCs w:val="0"/>
                <w:color w:val="000000"/>
                <w:sz w:val="21"/>
                <w:szCs w:val="21"/>
                <w:lang w:val="en-US" w:eastAsia="zh-CN"/>
              </w:rPr>
            </w:pPr>
            <w:r>
              <w:rPr>
                <w:rFonts w:hint="eastAsia" w:ascii="Times New Roman" w:hAnsi="Times New Roman" w:eastAsia="宋体" w:cs="Times New Roman"/>
                <w:b/>
                <w:bCs w:val="0"/>
                <w:color w:val="000000"/>
                <w:sz w:val="21"/>
                <w:szCs w:val="21"/>
                <w:lang w:val="en-US" w:eastAsia="zh-CN"/>
              </w:rPr>
              <w:t>表2-</w:t>
            </w:r>
            <w:r>
              <w:rPr>
                <w:rFonts w:hint="eastAsia" w:cs="Times New Roman"/>
                <w:b/>
                <w:bCs w:val="0"/>
                <w:color w:val="000000"/>
                <w:sz w:val="21"/>
                <w:szCs w:val="21"/>
                <w:lang w:val="en-US" w:eastAsia="zh-CN"/>
              </w:rPr>
              <w:t>10</w:t>
            </w:r>
            <w:r>
              <w:rPr>
                <w:rFonts w:hint="eastAsia" w:ascii="Times New Roman" w:hAnsi="Times New Roman" w:eastAsia="宋体" w:cs="Times New Roman"/>
                <w:b/>
                <w:bCs w:val="0"/>
                <w:color w:val="000000"/>
                <w:sz w:val="21"/>
                <w:szCs w:val="21"/>
                <w:lang w:val="en-US" w:eastAsia="zh-CN"/>
              </w:rPr>
              <w:t xml:space="preserve">   其他原辅材料一览表</w:t>
            </w:r>
          </w:p>
          <w:tbl>
            <w:tblPr>
              <w:tblStyle w:val="30"/>
              <w:tblW w:w="502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156"/>
              <w:gridCol w:w="864"/>
              <w:gridCol w:w="1368"/>
              <w:gridCol w:w="1420"/>
              <w:gridCol w:w="1227"/>
              <w:gridCol w:w="1606"/>
            </w:tblGrid>
            <w:tr w14:paraId="3E378E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539" w:type="pct"/>
                  <w:tcBorders>
                    <w:tl2br w:val="nil"/>
                    <w:tr2bl w:val="nil"/>
                  </w:tcBorders>
                  <w:noWrap w:val="0"/>
                  <w:vAlign w:val="center"/>
                </w:tcPr>
                <w:p w14:paraId="615E5534">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eastAsia="宋体" w:cs="Times New Roman"/>
                      <w:color w:val="000000" w:themeColor="text1"/>
                      <w:sz w:val="21"/>
                      <w:szCs w:val="21"/>
                      <w:lang w:val="en-US" w:eastAsia="zh-CN"/>
                      <w14:textFill>
                        <w14:solidFill>
                          <w14:schemeClr w14:val="tx1"/>
                        </w14:solidFill>
                      </w14:textFill>
                    </w:rPr>
                    <w:t>名称</w:t>
                  </w:r>
                </w:p>
              </w:tc>
              <w:tc>
                <w:tcPr>
                  <w:tcW w:w="674" w:type="pct"/>
                  <w:tcBorders>
                    <w:tl2br w:val="nil"/>
                    <w:tr2bl w:val="nil"/>
                  </w:tcBorders>
                  <w:noWrap w:val="0"/>
                  <w:vAlign w:val="center"/>
                </w:tcPr>
                <w:p w14:paraId="6443368D">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eastAsia="宋体" w:cs="Times New Roman"/>
                      <w:color w:val="000000" w:themeColor="text1"/>
                      <w:sz w:val="21"/>
                      <w:szCs w:val="21"/>
                      <w:lang w:val="en-US" w:eastAsia="zh-CN"/>
                      <w14:textFill>
                        <w14:solidFill>
                          <w14:schemeClr w14:val="tx1"/>
                        </w14:solidFill>
                      </w14:textFill>
                    </w:rPr>
                    <w:t>材质</w:t>
                  </w:r>
                </w:p>
              </w:tc>
              <w:tc>
                <w:tcPr>
                  <w:tcW w:w="504" w:type="pct"/>
                  <w:tcBorders>
                    <w:tl2br w:val="nil"/>
                    <w:tr2bl w:val="nil"/>
                  </w:tcBorders>
                  <w:noWrap w:val="0"/>
                  <w:vAlign w:val="center"/>
                </w:tcPr>
                <w:p w14:paraId="34F12F20">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状态</w:t>
                  </w:r>
                </w:p>
              </w:tc>
              <w:tc>
                <w:tcPr>
                  <w:tcW w:w="798" w:type="pct"/>
                  <w:tcBorders>
                    <w:tl2br w:val="nil"/>
                    <w:tr2bl w:val="nil"/>
                  </w:tcBorders>
                  <w:noWrap w:val="0"/>
                  <w:vAlign w:val="center"/>
                </w:tcPr>
                <w:p w14:paraId="3BAD45ED">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年充装量</w:t>
                  </w:r>
                </w:p>
              </w:tc>
              <w:tc>
                <w:tcPr>
                  <w:tcW w:w="828" w:type="pct"/>
                  <w:tcBorders>
                    <w:tl2br w:val="nil"/>
                    <w:tr2bl w:val="nil"/>
                  </w:tcBorders>
                  <w:noWrap w:val="0"/>
                  <w:vAlign w:val="center"/>
                </w:tcPr>
                <w:p w14:paraId="017033D3">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最大储存量</w:t>
                  </w:r>
                </w:p>
              </w:tc>
              <w:tc>
                <w:tcPr>
                  <w:tcW w:w="716" w:type="pct"/>
                  <w:tcBorders>
                    <w:tl2br w:val="nil"/>
                    <w:tr2bl w:val="nil"/>
                  </w:tcBorders>
                  <w:noWrap w:val="0"/>
                  <w:vAlign w:val="center"/>
                </w:tcPr>
                <w:p w14:paraId="6AD896FA">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用途</w:t>
                  </w:r>
                </w:p>
              </w:tc>
              <w:tc>
                <w:tcPr>
                  <w:tcW w:w="937" w:type="pct"/>
                  <w:tcBorders>
                    <w:tl2br w:val="nil"/>
                    <w:tr2bl w:val="nil"/>
                  </w:tcBorders>
                  <w:noWrap w:val="0"/>
                  <w:vAlign w:val="center"/>
                </w:tcPr>
                <w:p w14:paraId="4371956C">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储存位置</w:t>
                  </w:r>
                </w:p>
              </w:tc>
            </w:tr>
            <w:tr w14:paraId="0F303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9" w:type="pct"/>
                  <w:tcBorders>
                    <w:tl2br w:val="nil"/>
                    <w:tr2bl w:val="nil"/>
                  </w:tcBorders>
                  <w:noWrap w:val="0"/>
                  <w:vAlign w:val="center"/>
                </w:tcPr>
                <w:p w14:paraId="3ABBAF92">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eastAsia="宋体" w:cs="Times New Roman"/>
                      <w:color w:val="000000" w:themeColor="text1"/>
                      <w:sz w:val="21"/>
                      <w:szCs w:val="21"/>
                      <w:lang w:val="en-US" w:eastAsia="zh-CN"/>
                      <w14:textFill>
                        <w14:solidFill>
                          <w14:schemeClr w14:val="tx1"/>
                        </w14:solidFill>
                      </w14:textFill>
                    </w:rPr>
                    <w:t>气瓶</w:t>
                  </w:r>
                </w:p>
              </w:tc>
              <w:tc>
                <w:tcPr>
                  <w:tcW w:w="674" w:type="pct"/>
                  <w:tcBorders>
                    <w:tl2br w:val="nil"/>
                    <w:tr2bl w:val="nil"/>
                  </w:tcBorders>
                  <w:noWrap w:val="0"/>
                  <w:vAlign w:val="center"/>
                </w:tcPr>
                <w:p w14:paraId="4939992C">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eastAsia="宋体" w:cs="Times New Roman"/>
                      <w:color w:val="000000" w:themeColor="text1"/>
                      <w:sz w:val="21"/>
                      <w:szCs w:val="21"/>
                      <w:lang w:val="en-US" w:eastAsia="zh-CN"/>
                      <w14:textFill>
                        <w14:solidFill>
                          <w14:schemeClr w14:val="tx1"/>
                        </w14:solidFill>
                      </w14:textFill>
                    </w:rPr>
                    <w:t>钢制</w:t>
                  </w:r>
                </w:p>
              </w:tc>
              <w:tc>
                <w:tcPr>
                  <w:tcW w:w="504" w:type="pct"/>
                  <w:tcBorders>
                    <w:tl2br w:val="nil"/>
                    <w:tr2bl w:val="nil"/>
                  </w:tcBorders>
                  <w:noWrap w:val="0"/>
                  <w:vAlign w:val="center"/>
                </w:tcPr>
                <w:p w14:paraId="34065478">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eastAsia="宋体" w:cs="Times New Roman"/>
                      <w:color w:val="000000" w:themeColor="text1"/>
                      <w:sz w:val="21"/>
                      <w:szCs w:val="21"/>
                      <w:lang w:val="en-US" w:eastAsia="zh-CN"/>
                      <w14:textFill>
                        <w14:solidFill>
                          <w14:schemeClr w14:val="tx1"/>
                        </w14:solidFill>
                      </w14:textFill>
                    </w:rPr>
                    <w:t>固体</w:t>
                  </w:r>
                </w:p>
              </w:tc>
              <w:tc>
                <w:tcPr>
                  <w:tcW w:w="798" w:type="pct"/>
                  <w:tcBorders>
                    <w:tl2br w:val="nil"/>
                    <w:tr2bl w:val="nil"/>
                  </w:tcBorders>
                  <w:noWrap w:val="0"/>
                  <w:vAlign w:val="center"/>
                </w:tcPr>
                <w:p w14:paraId="099759B3">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default" w:ascii="Times New Roman" w:eastAsia="宋体" w:cs="Times New Roman"/>
                      <w:color w:val="000000" w:themeColor="text1"/>
                      <w:sz w:val="21"/>
                      <w:szCs w:val="21"/>
                      <w:lang w:val="en-US" w:eastAsia="zh-CN"/>
                      <w14:textFill>
                        <w14:solidFill>
                          <w14:schemeClr w14:val="tx1"/>
                        </w14:solidFill>
                      </w14:textFill>
                    </w:rPr>
                    <w:t>420万瓶</w:t>
                  </w:r>
                </w:p>
              </w:tc>
              <w:tc>
                <w:tcPr>
                  <w:tcW w:w="828" w:type="pct"/>
                  <w:tcBorders>
                    <w:tl2br w:val="nil"/>
                    <w:tr2bl w:val="nil"/>
                  </w:tcBorders>
                  <w:noWrap w:val="0"/>
                  <w:vAlign w:val="center"/>
                </w:tcPr>
                <w:p w14:paraId="54C7F7B8">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default" w:ascii="Times New Roman" w:eastAsia="宋体" w:cs="Times New Roman"/>
                      <w:color w:val="000000" w:themeColor="text1"/>
                      <w:sz w:val="21"/>
                      <w:szCs w:val="21"/>
                      <w:lang w:val="en-US" w:eastAsia="zh-CN"/>
                      <w14:textFill>
                        <w14:solidFill>
                          <w14:schemeClr w14:val="tx1"/>
                        </w14:solidFill>
                      </w14:textFill>
                    </w:rPr>
                    <w:t>50000瓶</w:t>
                  </w:r>
                </w:p>
              </w:tc>
              <w:tc>
                <w:tcPr>
                  <w:tcW w:w="716" w:type="pct"/>
                  <w:tcBorders>
                    <w:tl2br w:val="nil"/>
                    <w:tr2bl w:val="nil"/>
                  </w:tcBorders>
                  <w:noWrap w:val="0"/>
                  <w:vAlign w:val="center"/>
                </w:tcPr>
                <w:p w14:paraId="6FF6201B">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eastAsia="宋体" w:cs="Times New Roman"/>
                      <w:color w:val="000000" w:themeColor="text1"/>
                      <w:sz w:val="21"/>
                      <w:szCs w:val="21"/>
                      <w:lang w:val="en-US" w:eastAsia="zh-CN"/>
                      <w14:textFill>
                        <w14:solidFill>
                          <w14:schemeClr w14:val="tx1"/>
                        </w14:solidFill>
                      </w14:textFill>
                    </w:rPr>
                    <w:t>充装气体</w:t>
                  </w:r>
                </w:p>
              </w:tc>
              <w:tc>
                <w:tcPr>
                  <w:tcW w:w="937" w:type="pct"/>
                  <w:tcBorders>
                    <w:tl2br w:val="nil"/>
                    <w:tr2bl w:val="nil"/>
                  </w:tcBorders>
                  <w:noWrap w:val="0"/>
                  <w:vAlign w:val="center"/>
                </w:tcPr>
                <w:p w14:paraId="4495B01D">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default" w:ascii="Times New Roman" w:eastAsia="宋体" w:cs="Times New Roman"/>
                      <w:color w:val="000000" w:themeColor="text1"/>
                      <w:sz w:val="21"/>
                      <w:szCs w:val="21"/>
                      <w:lang w:val="en-US" w:eastAsia="zh-CN"/>
                      <w14:textFill>
                        <w14:solidFill>
                          <w14:schemeClr w14:val="tx1"/>
                        </w14:solidFill>
                      </w14:textFill>
                    </w:rPr>
                    <w:t>充装车间、戊类仓库</w:t>
                  </w:r>
                </w:p>
              </w:tc>
            </w:tr>
            <w:tr w14:paraId="6DBD7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9" w:type="pct"/>
                  <w:tcBorders>
                    <w:tl2br w:val="nil"/>
                    <w:tr2bl w:val="nil"/>
                  </w:tcBorders>
                  <w:noWrap w:val="0"/>
                  <w:vAlign w:val="center"/>
                </w:tcPr>
                <w:p w14:paraId="0D33E4A4">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eastAsia="宋体" w:cs="Times New Roman"/>
                      <w:color w:val="000000" w:themeColor="text1"/>
                      <w:sz w:val="21"/>
                      <w:szCs w:val="21"/>
                      <w:lang w:val="en-US" w:eastAsia="zh-CN"/>
                      <w14:textFill>
                        <w14:solidFill>
                          <w14:schemeClr w14:val="tx1"/>
                        </w14:solidFill>
                      </w14:textFill>
                    </w:rPr>
                    <w:t>杜瓦罐</w:t>
                  </w:r>
                </w:p>
              </w:tc>
              <w:tc>
                <w:tcPr>
                  <w:tcW w:w="674" w:type="pct"/>
                  <w:tcBorders>
                    <w:tl2br w:val="nil"/>
                    <w:tr2bl w:val="nil"/>
                  </w:tcBorders>
                  <w:noWrap w:val="0"/>
                  <w:vAlign w:val="center"/>
                </w:tcPr>
                <w:p w14:paraId="16EEBBAC">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eastAsia="宋体" w:cs="Times New Roman"/>
                      <w:color w:val="000000" w:themeColor="text1"/>
                      <w:sz w:val="21"/>
                      <w:szCs w:val="21"/>
                      <w:lang w:val="en-US" w:eastAsia="zh-CN"/>
                      <w14:textFill>
                        <w14:solidFill>
                          <w14:schemeClr w14:val="tx1"/>
                        </w14:solidFill>
                      </w14:textFill>
                    </w:rPr>
                    <w:t>钢制</w:t>
                  </w:r>
                </w:p>
              </w:tc>
              <w:tc>
                <w:tcPr>
                  <w:tcW w:w="504" w:type="pct"/>
                  <w:tcBorders>
                    <w:tl2br w:val="nil"/>
                    <w:tr2bl w:val="nil"/>
                  </w:tcBorders>
                  <w:noWrap w:val="0"/>
                  <w:vAlign w:val="center"/>
                </w:tcPr>
                <w:p w14:paraId="251548E5">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eastAsia="宋体" w:cs="Times New Roman"/>
                      <w:color w:val="000000" w:themeColor="text1"/>
                      <w:sz w:val="21"/>
                      <w:szCs w:val="21"/>
                      <w:lang w:val="en-US" w:eastAsia="zh-CN"/>
                      <w14:textFill>
                        <w14:solidFill>
                          <w14:schemeClr w14:val="tx1"/>
                        </w14:solidFill>
                      </w14:textFill>
                    </w:rPr>
                    <w:t>固体</w:t>
                  </w:r>
                </w:p>
              </w:tc>
              <w:tc>
                <w:tcPr>
                  <w:tcW w:w="798" w:type="pct"/>
                  <w:tcBorders>
                    <w:tl2br w:val="nil"/>
                    <w:tr2bl w:val="nil"/>
                  </w:tcBorders>
                  <w:noWrap w:val="0"/>
                  <w:vAlign w:val="center"/>
                </w:tcPr>
                <w:p w14:paraId="0AC75BB6">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default" w:ascii="Times New Roman" w:eastAsia="宋体" w:cs="Times New Roman"/>
                      <w:color w:val="000000" w:themeColor="text1"/>
                      <w:sz w:val="21"/>
                      <w:szCs w:val="21"/>
                      <w:lang w:val="en-US" w:eastAsia="zh-CN"/>
                      <w14:textFill>
                        <w14:solidFill>
                          <w14:schemeClr w14:val="tx1"/>
                        </w14:solidFill>
                      </w14:textFill>
                    </w:rPr>
                    <w:t>5160</w:t>
                  </w:r>
                  <w:r>
                    <w:rPr>
                      <w:rFonts w:hint="eastAsia" w:ascii="Times New Roman" w:eastAsia="宋体" w:cs="Times New Roman"/>
                      <w:color w:val="000000" w:themeColor="text1"/>
                      <w:sz w:val="21"/>
                      <w:szCs w:val="21"/>
                      <w:lang w:val="en-US" w:eastAsia="zh-CN"/>
                      <w14:textFill>
                        <w14:solidFill>
                          <w14:schemeClr w14:val="tx1"/>
                        </w14:solidFill>
                      </w14:textFill>
                    </w:rPr>
                    <w:t>罐</w:t>
                  </w:r>
                </w:p>
              </w:tc>
              <w:tc>
                <w:tcPr>
                  <w:tcW w:w="828" w:type="pct"/>
                  <w:tcBorders>
                    <w:tl2br w:val="nil"/>
                    <w:tr2bl w:val="nil"/>
                  </w:tcBorders>
                  <w:noWrap w:val="0"/>
                  <w:vAlign w:val="center"/>
                </w:tcPr>
                <w:p w14:paraId="2E556E27">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cs="Times New Roman"/>
                      <w:color w:val="000000" w:themeColor="text1"/>
                      <w:sz w:val="21"/>
                      <w:szCs w:val="21"/>
                      <w:lang w:val="en-US" w:eastAsia="zh-CN"/>
                      <w14:textFill>
                        <w14:solidFill>
                          <w14:schemeClr w14:val="tx1"/>
                        </w14:solidFill>
                      </w14:textFill>
                    </w:rPr>
                  </w:pPr>
                  <w:r>
                    <w:rPr>
                      <w:rFonts w:hint="eastAsia" w:ascii="Times New Roman" w:cs="Times New Roman"/>
                      <w:color w:val="000000" w:themeColor="text1"/>
                      <w:sz w:val="21"/>
                      <w:szCs w:val="21"/>
                      <w:lang w:val="en-US" w:eastAsia="zh-CN"/>
                      <w14:textFill>
                        <w14:solidFill>
                          <w14:schemeClr w14:val="tx1"/>
                        </w14:solidFill>
                      </w14:textFill>
                    </w:rPr>
                    <w:t>1</w:t>
                  </w:r>
                  <w:r>
                    <w:rPr>
                      <w:rFonts w:hint="default" w:ascii="Times New Roman" w:eastAsia="宋体" w:cs="Times New Roman"/>
                      <w:color w:val="000000" w:themeColor="text1"/>
                      <w:sz w:val="21"/>
                      <w:szCs w:val="21"/>
                      <w:lang w:val="en-US" w:eastAsia="zh-CN"/>
                      <w14:textFill>
                        <w14:solidFill>
                          <w14:schemeClr w14:val="tx1"/>
                        </w14:solidFill>
                      </w14:textFill>
                    </w:rPr>
                    <w:t>000</w:t>
                  </w:r>
                  <w:r>
                    <w:rPr>
                      <w:rFonts w:hint="eastAsia" w:ascii="Times New Roman" w:eastAsia="宋体" w:cs="Times New Roman"/>
                      <w:color w:val="000000" w:themeColor="text1"/>
                      <w:sz w:val="21"/>
                      <w:szCs w:val="21"/>
                      <w:lang w:val="en-US" w:eastAsia="zh-CN"/>
                      <w14:textFill>
                        <w14:solidFill>
                          <w14:schemeClr w14:val="tx1"/>
                        </w14:solidFill>
                      </w14:textFill>
                    </w:rPr>
                    <w:t>罐</w:t>
                  </w:r>
                </w:p>
              </w:tc>
              <w:tc>
                <w:tcPr>
                  <w:tcW w:w="716" w:type="pct"/>
                  <w:tcBorders>
                    <w:tl2br w:val="nil"/>
                    <w:tr2bl w:val="nil"/>
                  </w:tcBorders>
                  <w:noWrap w:val="0"/>
                  <w:vAlign w:val="center"/>
                </w:tcPr>
                <w:p w14:paraId="775EB128">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eastAsia="宋体" w:cs="Times New Roman"/>
                      <w:color w:val="000000" w:themeColor="text1"/>
                      <w:sz w:val="21"/>
                      <w:szCs w:val="21"/>
                      <w:lang w:val="en-US" w:eastAsia="zh-CN"/>
                      <w14:textFill>
                        <w14:solidFill>
                          <w14:schemeClr w14:val="tx1"/>
                        </w14:solidFill>
                      </w14:textFill>
                    </w:rPr>
                    <w:t>充装液体</w:t>
                  </w:r>
                </w:p>
              </w:tc>
              <w:tc>
                <w:tcPr>
                  <w:tcW w:w="937" w:type="pct"/>
                  <w:tcBorders>
                    <w:tl2br w:val="nil"/>
                    <w:tr2bl w:val="nil"/>
                  </w:tcBorders>
                  <w:noWrap w:val="0"/>
                  <w:vAlign w:val="center"/>
                </w:tcPr>
                <w:p w14:paraId="29F887B2">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eastAsia="宋体" w:cs="Times New Roman"/>
                      <w:color w:val="000000" w:themeColor="text1"/>
                      <w:sz w:val="21"/>
                      <w:szCs w:val="21"/>
                      <w:lang w:val="en-US" w:eastAsia="zh-CN"/>
                      <w14:textFill>
                        <w14:solidFill>
                          <w14:schemeClr w14:val="tx1"/>
                        </w14:solidFill>
                      </w14:textFill>
                    </w:rPr>
                    <w:t>充装车间、戊类仓库</w:t>
                  </w:r>
                </w:p>
              </w:tc>
            </w:tr>
          </w:tbl>
          <w:p w14:paraId="62D38B7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firstLine="480" w:firstLineChars="200"/>
              <w:jc w:val="both"/>
              <w:textAlignment w:val="auto"/>
              <w:rPr>
                <w:rFonts w:hint="eastAsia"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4"/>
                <w:szCs w:val="24"/>
                <w:lang w:val="en-US" w:eastAsia="zh-CN"/>
              </w:rPr>
              <w:t>本项目使用的气瓶规格为外径219mm、高1.5m、容积40L的高压气瓶。本项目使用的</w:t>
            </w:r>
            <w:r>
              <w:rPr>
                <w:rFonts w:hint="eastAsia" w:ascii="Times New Roman" w:eastAsia="宋体" w:cs="Times New Roman"/>
                <w:color w:val="000000"/>
                <w:sz w:val="24"/>
                <w:szCs w:val="24"/>
                <w:lang w:val="en-US" w:eastAsia="zh-CN"/>
              </w:rPr>
              <w:t>杜瓦罐</w:t>
            </w:r>
            <w:r>
              <w:rPr>
                <w:rFonts w:hint="eastAsia" w:ascii="Times New Roman" w:hAnsi="Times New Roman" w:eastAsia="宋体" w:cs="Times New Roman"/>
                <w:b w:val="0"/>
                <w:bCs/>
                <w:color w:val="000000"/>
                <w:sz w:val="24"/>
                <w:szCs w:val="24"/>
                <w:lang w:val="en-US" w:eastAsia="zh-CN"/>
              </w:rPr>
              <w:t>规格为外径</w:t>
            </w:r>
            <w:r>
              <w:rPr>
                <w:rFonts w:hint="eastAsia" w:cs="Times New Roman"/>
                <w:b w:val="0"/>
                <w:bCs/>
                <w:color w:val="000000"/>
                <w:sz w:val="24"/>
                <w:szCs w:val="24"/>
                <w:lang w:val="en-US" w:eastAsia="zh-CN"/>
              </w:rPr>
              <w:t>516</w:t>
            </w:r>
            <w:r>
              <w:rPr>
                <w:rFonts w:hint="eastAsia" w:ascii="Times New Roman" w:hAnsi="Times New Roman" w:eastAsia="宋体" w:cs="Times New Roman"/>
                <w:b w:val="0"/>
                <w:bCs/>
                <w:color w:val="000000"/>
                <w:sz w:val="24"/>
                <w:szCs w:val="24"/>
                <w:lang w:val="en-US" w:eastAsia="zh-CN"/>
              </w:rPr>
              <w:t>mm、高1.</w:t>
            </w:r>
            <w:r>
              <w:rPr>
                <w:rFonts w:hint="eastAsia" w:cs="Times New Roman"/>
                <w:b w:val="0"/>
                <w:bCs/>
                <w:color w:val="000000"/>
                <w:sz w:val="24"/>
                <w:szCs w:val="24"/>
                <w:lang w:val="en-US" w:eastAsia="zh-CN"/>
              </w:rPr>
              <w:t>7</w:t>
            </w:r>
            <w:r>
              <w:rPr>
                <w:rFonts w:hint="eastAsia" w:ascii="Times New Roman" w:hAnsi="Times New Roman" w:eastAsia="宋体" w:cs="Times New Roman"/>
                <w:b w:val="0"/>
                <w:bCs/>
                <w:color w:val="000000"/>
                <w:sz w:val="24"/>
                <w:szCs w:val="24"/>
                <w:lang w:val="en-US" w:eastAsia="zh-CN"/>
              </w:rPr>
              <w:t>m、容积175L的高压</w:t>
            </w:r>
            <w:r>
              <w:rPr>
                <w:rFonts w:hint="eastAsia" w:ascii="Times New Roman" w:eastAsia="宋体" w:cs="Times New Roman"/>
                <w:color w:val="000000"/>
                <w:sz w:val="24"/>
                <w:szCs w:val="24"/>
                <w:lang w:val="en-US" w:eastAsia="zh-CN"/>
              </w:rPr>
              <w:t>杜瓦罐</w:t>
            </w:r>
            <w:r>
              <w:rPr>
                <w:rFonts w:hint="eastAsia" w:ascii="Times New Roman" w:hAnsi="Times New Roman" w:eastAsia="宋体" w:cs="Times New Roman"/>
                <w:b w:val="0"/>
                <w:bCs/>
                <w:color w:val="000000"/>
                <w:sz w:val="24"/>
                <w:szCs w:val="24"/>
                <w:lang w:val="en-US" w:eastAsia="zh-CN"/>
              </w:rPr>
              <w:t>。本项目气瓶和杜瓦罐多为在外流通，即充即用，少量新</w:t>
            </w:r>
            <w:r>
              <w:rPr>
                <w:rFonts w:hint="eastAsia" w:cs="Times New Roman"/>
                <w:b w:val="0"/>
                <w:bCs/>
                <w:color w:val="000000"/>
                <w:sz w:val="24"/>
                <w:szCs w:val="24"/>
                <w:lang w:val="en-US" w:eastAsia="zh-CN"/>
              </w:rPr>
              <w:t>气</w:t>
            </w:r>
            <w:r>
              <w:rPr>
                <w:rFonts w:hint="eastAsia" w:ascii="Times New Roman" w:hAnsi="Times New Roman" w:eastAsia="宋体" w:cs="Times New Roman"/>
                <w:b w:val="0"/>
                <w:bCs/>
                <w:color w:val="000000"/>
                <w:sz w:val="24"/>
                <w:szCs w:val="24"/>
                <w:lang w:val="en-US" w:eastAsia="zh-CN"/>
              </w:rPr>
              <w:t>瓶和杜瓦罐存于戊类仓库备用。</w:t>
            </w:r>
          </w:p>
          <w:p w14:paraId="5E045398">
            <w:pPr>
              <w:bidi w:val="0"/>
              <w:rPr>
                <w:rFonts w:hint="default"/>
                <w:b/>
                <w:bCs/>
                <w:color w:val="auto"/>
                <w:lang w:eastAsia="zh-CN"/>
              </w:rPr>
            </w:pPr>
            <w:r>
              <w:rPr>
                <w:rFonts w:hint="eastAsia"/>
                <w:b/>
                <w:bCs/>
                <w:color w:val="auto"/>
                <w:lang w:val="en-US" w:eastAsia="zh-CN"/>
              </w:rPr>
              <w:t>五</w:t>
            </w:r>
            <w:r>
              <w:rPr>
                <w:rFonts w:hint="default"/>
                <w:b/>
                <w:bCs/>
                <w:color w:val="auto"/>
                <w:lang w:eastAsia="zh-CN"/>
              </w:rPr>
              <w:t>、主要生产设施</w:t>
            </w:r>
          </w:p>
          <w:p w14:paraId="6F3360E5">
            <w:pPr>
              <w:bidi w:val="0"/>
              <w:rPr>
                <w:rFonts w:hint="default"/>
                <w:color w:val="auto"/>
                <w:lang w:val="en-US" w:eastAsia="zh-CN"/>
              </w:rPr>
            </w:pPr>
            <w:r>
              <w:rPr>
                <w:rFonts w:hint="default"/>
                <w:color w:val="auto"/>
                <w:lang w:val="en-US" w:eastAsia="zh-CN"/>
              </w:rPr>
              <w:t>本项目主要生产设施见表</w:t>
            </w:r>
            <w:r>
              <w:rPr>
                <w:rFonts w:hint="eastAsia"/>
                <w:color w:val="auto"/>
                <w:lang w:val="en-US" w:eastAsia="zh-CN"/>
              </w:rPr>
              <w:t>2-11。</w:t>
            </w:r>
          </w:p>
          <w:p w14:paraId="5C542084">
            <w:pPr>
              <w:pStyle w:val="85"/>
              <w:bidi w:val="0"/>
              <w:rPr>
                <w:rFonts w:hint="default"/>
                <w:color w:val="auto"/>
                <w:sz w:val="21"/>
                <w:szCs w:val="21"/>
                <w:lang w:val="en-US" w:eastAsia="zh-CN"/>
              </w:rPr>
            </w:pPr>
            <w:r>
              <w:rPr>
                <w:rFonts w:hint="default"/>
                <w:color w:val="auto"/>
                <w:sz w:val="21"/>
                <w:szCs w:val="21"/>
                <w:lang w:val="en-US" w:eastAsia="zh-CN"/>
              </w:rPr>
              <w:t>表</w:t>
            </w:r>
            <w:r>
              <w:rPr>
                <w:rFonts w:hint="eastAsia"/>
                <w:color w:val="auto"/>
                <w:sz w:val="21"/>
                <w:szCs w:val="21"/>
                <w:lang w:val="en-US" w:eastAsia="zh-CN"/>
              </w:rPr>
              <w:t>2-11</w:t>
            </w:r>
            <w:r>
              <w:rPr>
                <w:rFonts w:hint="default"/>
                <w:color w:val="auto"/>
                <w:sz w:val="21"/>
                <w:szCs w:val="21"/>
                <w:lang w:val="en-US" w:eastAsia="zh-CN"/>
              </w:rPr>
              <w:t xml:space="preserve">   主要生产设施一览表</w:t>
            </w:r>
          </w:p>
          <w:tbl>
            <w:tblPr>
              <w:tblStyle w:val="30"/>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3"/>
              <w:gridCol w:w="1509"/>
              <w:gridCol w:w="309"/>
              <w:gridCol w:w="2356"/>
              <w:gridCol w:w="949"/>
              <w:gridCol w:w="2192"/>
              <w:gridCol w:w="649"/>
            </w:tblGrid>
            <w:tr w14:paraId="299D45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blHeader/>
              </w:trPr>
              <w:tc>
                <w:tcPr>
                  <w:tcW w:w="324" w:type="pct"/>
                  <w:tcBorders>
                    <w:tl2br w:val="nil"/>
                    <w:tr2bl w:val="nil"/>
                  </w:tcBorders>
                  <w:noWrap w:val="0"/>
                  <w:vAlign w:val="center"/>
                </w:tcPr>
                <w:p w14:paraId="4C130A1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序号</w:t>
                  </w:r>
                </w:p>
              </w:tc>
              <w:tc>
                <w:tcPr>
                  <w:tcW w:w="1067" w:type="pct"/>
                  <w:gridSpan w:val="2"/>
                  <w:tcBorders>
                    <w:tl2br w:val="nil"/>
                    <w:tr2bl w:val="nil"/>
                  </w:tcBorders>
                  <w:noWrap w:val="0"/>
                  <w:vAlign w:val="center"/>
                </w:tcPr>
                <w:p w14:paraId="79C3422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设备名称</w:t>
                  </w:r>
                </w:p>
              </w:tc>
              <w:tc>
                <w:tcPr>
                  <w:tcW w:w="1940" w:type="pct"/>
                  <w:gridSpan w:val="2"/>
                  <w:tcBorders>
                    <w:tl2br w:val="nil"/>
                    <w:tr2bl w:val="nil"/>
                  </w:tcBorders>
                  <w:noWrap w:val="0"/>
                  <w:vAlign w:val="center"/>
                </w:tcPr>
                <w:p w14:paraId="5D67E45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技术</w:t>
                  </w:r>
                  <w:r>
                    <w:rPr>
                      <w:rFonts w:hint="default" w:ascii="Times New Roman" w:hAnsi="Times New Roman" w:eastAsia="宋体" w:cs="Times New Roman"/>
                      <w:b/>
                      <w:bCs/>
                      <w:color w:val="auto"/>
                      <w:sz w:val="18"/>
                      <w:szCs w:val="18"/>
                      <w:lang w:val="en-US" w:eastAsia="zh-CN"/>
                    </w:rPr>
                    <w:t>参数</w:t>
                  </w:r>
                </w:p>
              </w:tc>
              <w:tc>
                <w:tcPr>
                  <w:tcW w:w="1286" w:type="pct"/>
                  <w:tcBorders>
                    <w:tl2br w:val="nil"/>
                    <w:tr2bl w:val="nil"/>
                  </w:tcBorders>
                  <w:noWrap w:val="0"/>
                  <w:vAlign w:val="center"/>
                </w:tcPr>
                <w:p w14:paraId="79D1568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结构尺寸及主要部件材料</w:t>
                  </w:r>
                </w:p>
              </w:tc>
              <w:tc>
                <w:tcPr>
                  <w:tcW w:w="381" w:type="pct"/>
                  <w:tcBorders>
                    <w:tl2br w:val="nil"/>
                    <w:tr2bl w:val="nil"/>
                  </w:tcBorders>
                  <w:noWrap w:val="0"/>
                  <w:vAlign w:val="center"/>
                </w:tcPr>
                <w:p w14:paraId="38E73B9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数量</w:t>
                  </w:r>
                </w:p>
              </w:tc>
            </w:tr>
            <w:tr w14:paraId="29796E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27" w:hRule="atLeast"/>
              </w:trPr>
              <w:tc>
                <w:tcPr>
                  <w:tcW w:w="324" w:type="pct"/>
                  <w:tcBorders>
                    <w:tl2br w:val="nil"/>
                    <w:tr2bl w:val="nil"/>
                  </w:tcBorders>
                  <w:noWrap w:val="0"/>
                  <w:vAlign w:val="center"/>
                </w:tcPr>
                <w:p w14:paraId="1A75337A">
                  <w:pPr>
                    <w:pStyle w:val="88"/>
                    <w:keepNext w:val="0"/>
                    <w:keepLines w:val="0"/>
                    <w:pageBreakBefore w:val="0"/>
                    <w:widowControl w:val="0"/>
                    <w:numPr>
                      <w:ilvl w:val="0"/>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3F9776A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自洁式空气过滤器I</w:t>
                  </w:r>
                </w:p>
              </w:tc>
              <w:tc>
                <w:tcPr>
                  <w:tcW w:w="1940" w:type="pct"/>
                  <w:gridSpan w:val="2"/>
                  <w:tcBorders>
                    <w:tl2br w:val="nil"/>
                    <w:tr2bl w:val="nil"/>
                  </w:tcBorders>
                  <w:noWrap w:val="0"/>
                  <w:vAlign w:val="center"/>
                </w:tcPr>
                <w:p w14:paraId="2880740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处理能力：1200m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/min、过滤效率：99%</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&gt;1μm</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、工作阻力：150~650Pa</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电压：220V、电耗：200w</w:t>
                  </w:r>
                </w:p>
              </w:tc>
              <w:tc>
                <w:tcPr>
                  <w:tcW w:w="1286" w:type="pct"/>
                  <w:tcBorders>
                    <w:tl2br w:val="nil"/>
                    <w:tr2bl w:val="nil"/>
                  </w:tcBorders>
                  <w:noWrap w:val="0"/>
                  <w:vAlign w:val="center"/>
                </w:tcPr>
                <w:p w14:paraId="3F00EF1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主体材质：Q235B</w:t>
                  </w:r>
                </w:p>
                <w:p w14:paraId="53FA013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过滤元件：进口复合纤维滤纸</w:t>
                  </w:r>
                </w:p>
              </w:tc>
              <w:tc>
                <w:tcPr>
                  <w:tcW w:w="381" w:type="pct"/>
                  <w:tcBorders>
                    <w:tl2br w:val="nil"/>
                    <w:tr2bl w:val="nil"/>
                  </w:tcBorders>
                  <w:noWrap w:val="0"/>
                  <w:vAlign w:val="center"/>
                </w:tcPr>
                <w:p w14:paraId="7F0EB51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129BE4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47" w:hRule="atLeast"/>
              </w:trPr>
              <w:tc>
                <w:tcPr>
                  <w:tcW w:w="324" w:type="pct"/>
                  <w:tcBorders>
                    <w:tl2br w:val="nil"/>
                    <w:tr2bl w:val="nil"/>
                  </w:tcBorders>
                  <w:noWrap w:val="0"/>
                  <w:vAlign w:val="center"/>
                </w:tcPr>
                <w:p w14:paraId="197EB67E">
                  <w:pPr>
                    <w:pStyle w:val="88"/>
                    <w:keepNext w:val="0"/>
                    <w:keepLines w:val="0"/>
                    <w:pageBreakBefore w:val="0"/>
                    <w:widowControl w:val="0"/>
                    <w:numPr>
                      <w:ilvl w:val="0"/>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3A11A8F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原料空压机I</w:t>
                  </w:r>
                </w:p>
              </w:tc>
              <w:tc>
                <w:tcPr>
                  <w:tcW w:w="1940" w:type="pct"/>
                  <w:gridSpan w:val="2"/>
                  <w:tcBorders>
                    <w:tl2br w:val="nil"/>
                    <w:tr2bl w:val="nil"/>
                  </w:tcBorders>
                  <w:noWrap w:val="0"/>
                  <w:vAlign w:val="center"/>
                </w:tcPr>
                <w:p w14:paraId="1928714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型式：离心式、介质：湿空气、流量：33000Nm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/h（干基）、进口压力：91.5Kpa.A、进口温度：32℃、相对湿度：82%、排气压力（止回阀后）：0.57MPa.A、排气温度≤115℃、轴功率/电机功率：2698/3050</w:t>
                  </w:r>
                  <w:r>
                    <w:rPr>
                      <w:rFonts w:hint="eastAsia" w:cs="Times New Roman"/>
                      <w:color w:val="auto"/>
                      <w:sz w:val="18"/>
                      <w:szCs w:val="18"/>
                      <w:lang w:eastAsia="zh-CN"/>
                    </w:rPr>
                    <w:t>kW</w:t>
                  </w:r>
                </w:p>
              </w:tc>
              <w:tc>
                <w:tcPr>
                  <w:tcW w:w="1286" w:type="pct"/>
                  <w:tcBorders>
                    <w:tl2br w:val="nil"/>
                    <w:tr2bl w:val="nil"/>
                  </w:tcBorders>
                  <w:noWrap w:val="0"/>
                  <w:vAlign w:val="center"/>
                </w:tcPr>
                <w:p w14:paraId="351C4B5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09502D1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9173×4456×4193mm</w:t>
                  </w:r>
                </w:p>
              </w:tc>
              <w:tc>
                <w:tcPr>
                  <w:tcW w:w="381" w:type="pct"/>
                  <w:tcBorders>
                    <w:tl2br w:val="nil"/>
                    <w:tr2bl w:val="nil"/>
                  </w:tcBorders>
                  <w:noWrap w:val="0"/>
                  <w:vAlign w:val="center"/>
                </w:tcPr>
                <w:p w14:paraId="0BBBA3B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0D740A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15" w:hRule="atLeast"/>
              </w:trPr>
              <w:tc>
                <w:tcPr>
                  <w:tcW w:w="324" w:type="pct"/>
                  <w:tcBorders>
                    <w:tl2br w:val="nil"/>
                    <w:tr2bl w:val="nil"/>
                  </w:tcBorders>
                  <w:noWrap w:val="0"/>
                  <w:vAlign w:val="center"/>
                </w:tcPr>
                <w:p w14:paraId="4F698D99">
                  <w:pPr>
                    <w:pStyle w:val="88"/>
                    <w:keepNext w:val="0"/>
                    <w:keepLines w:val="0"/>
                    <w:pageBreakBefore w:val="0"/>
                    <w:widowControl w:val="0"/>
                    <w:numPr>
                      <w:ilvl w:val="0"/>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73ECB1A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自洁式空气过滤器</w:t>
                  </w:r>
                  <w:r>
                    <w:rPr>
                      <w:rFonts w:hint="eastAsia" w:cs="Times New Roman"/>
                      <w:color w:val="auto"/>
                      <w:sz w:val="18"/>
                      <w:szCs w:val="18"/>
                      <w:lang w:eastAsia="zh-CN"/>
                    </w:rPr>
                    <w:t>Ⅱ</w:t>
                  </w:r>
                </w:p>
              </w:tc>
              <w:tc>
                <w:tcPr>
                  <w:tcW w:w="1940" w:type="pct"/>
                  <w:gridSpan w:val="2"/>
                  <w:tcBorders>
                    <w:tl2br w:val="nil"/>
                    <w:tr2bl w:val="nil"/>
                  </w:tcBorders>
                  <w:noWrap w:val="0"/>
                  <w:vAlign w:val="center"/>
                </w:tcPr>
                <w:p w14:paraId="6FA7F58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处理能力：400m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/min、过滤效率：99%</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&gt;1μm</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、工作阻力：150~650Pa</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电压：220V、电耗：200w</w:t>
                  </w:r>
                </w:p>
              </w:tc>
              <w:tc>
                <w:tcPr>
                  <w:tcW w:w="1286" w:type="pct"/>
                  <w:tcBorders>
                    <w:tl2br w:val="nil"/>
                    <w:tr2bl w:val="nil"/>
                  </w:tcBorders>
                  <w:noWrap w:val="0"/>
                  <w:vAlign w:val="center"/>
                </w:tcPr>
                <w:p w14:paraId="3584B2E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主体材质：Q235B</w:t>
                  </w:r>
                </w:p>
                <w:p w14:paraId="172D9A8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过滤元件：进口复合纤维滤纸</w:t>
                  </w:r>
                </w:p>
              </w:tc>
              <w:tc>
                <w:tcPr>
                  <w:tcW w:w="381" w:type="pct"/>
                  <w:tcBorders>
                    <w:tl2br w:val="nil"/>
                    <w:tr2bl w:val="nil"/>
                  </w:tcBorders>
                  <w:noWrap w:val="0"/>
                  <w:vAlign w:val="center"/>
                </w:tcPr>
                <w:p w14:paraId="06342FA9">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1D2963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78" w:hRule="atLeast"/>
              </w:trPr>
              <w:tc>
                <w:tcPr>
                  <w:tcW w:w="324" w:type="pct"/>
                  <w:tcBorders>
                    <w:tl2br w:val="nil"/>
                    <w:tr2bl w:val="nil"/>
                  </w:tcBorders>
                  <w:noWrap w:val="0"/>
                  <w:vAlign w:val="center"/>
                </w:tcPr>
                <w:p w14:paraId="185BDFF7">
                  <w:pPr>
                    <w:pStyle w:val="88"/>
                    <w:keepNext w:val="0"/>
                    <w:keepLines w:val="0"/>
                    <w:pageBreakBefore w:val="0"/>
                    <w:widowControl w:val="0"/>
                    <w:numPr>
                      <w:ilvl w:val="0"/>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49517C8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原料空压机</w:t>
                  </w:r>
                  <w:r>
                    <w:rPr>
                      <w:rFonts w:hint="eastAsia" w:cs="Times New Roman"/>
                      <w:color w:val="auto"/>
                      <w:sz w:val="18"/>
                      <w:szCs w:val="18"/>
                      <w:lang w:eastAsia="zh-CN"/>
                    </w:rPr>
                    <w:t>Ⅱ</w:t>
                  </w:r>
                </w:p>
              </w:tc>
              <w:tc>
                <w:tcPr>
                  <w:tcW w:w="1940" w:type="pct"/>
                  <w:gridSpan w:val="2"/>
                  <w:tcBorders>
                    <w:tl2br w:val="nil"/>
                    <w:tr2bl w:val="nil"/>
                  </w:tcBorders>
                  <w:noWrap w:val="0"/>
                  <w:vAlign w:val="center"/>
                </w:tcPr>
                <w:p w14:paraId="4A18994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型式：离心式、介质：湿空气、流量：8000Nm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/h（干基）、进口压力：91.5Kpa.A、进口温度：32℃、相对湿度：82%、排气压力（止回阀后）：0.57MPa.A、排气温度≤115℃、轴功率/电机功率：707/800</w:t>
                  </w:r>
                  <w:r>
                    <w:rPr>
                      <w:rFonts w:hint="eastAsia" w:cs="Times New Roman"/>
                      <w:color w:val="auto"/>
                      <w:sz w:val="18"/>
                      <w:szCs w:val="18"/>
                      <w:lang w:val="en-US" w:eastAsia="zh-CN"/>
                    </w:rPr>
                    <w:t>kW</w:t>
                  </w:r>
                </w:p>
              </w:tc>
              <w:tc>
                <w:tcPr>
                  <w:tcW w:w="1286" w:type="pct"/>
                  <w:tcBorders>
                    <w:tl2br w:val="nil"/>
                    <w:tr2bl w:val="nil"/>
                  </w:tcBorders>
                  <w:noWrap w:val="0"/>
                  <w:vAlign w:val="center"/>
                </w:tcPr>
                <w:p w14:paraId="601FFBA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0411DEC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5397×2092×2709mm</w:t>
                  </w:r>
                </w:p>
              </w:tc>
              <w:tc>
                <w:tcPr>
                  <w:tcW w:w="381" w:type="pct"/>
                  <w:tcBorders>
                    <w:tl2br w:val="nil"/>
                    <w:tr2bl w:val="nil"/>
                  </w:tcBorders>
                  <w:noWrap w:val="0"/>
                  <w:vAlign w:val="center"/>
                </w:tcPr>
                <w:p w14:paraId="5EB37F0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40EB05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09" w:hRule="atLeast"/>
              </w:trPr>
              <w:tc>
                <w:tcPr>
                  <w:tcW w:w="324" w:type="pct"/>
                  <w:tcBorders>
                    <w:tl2br w:val="nil"/>
                    <w:tr2bl w:val="nil"/>
                  </w:tcBorders>
                  <w:noWrap w:val="0"/>
                  <w:vAlign w:val="center"/>
                </w:tcPr>
                <w:p w14:paraId="5734E7C0">
                  <w:pPr>
                    <w:pStyle w:val="88"/>
                    <w:keepNext w:val="0"/>
                    <w:keepLines w:val="0"/>
                    <w:pageBreakBefore w:val="0"/>
                    <w:widowControl w:val="0"/>
                    <w:numPr>
                      <w:ilvl w:val="0"/>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3E86B43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氮气喂气机</w:t>
                  </w:r>
                </w:p>
              </w:tc>
              <w:tc>
                <w:tcPr>
                  <w:tcW w:w="1940" w:type="pct"/>
                  <w:gridSpan w:val="2"/>
                  <w:tcBorders>
                    <w:tl2br w:val="nil"/>
                    <w:tr2bl w:val="nil"/>
                  </w:tcBorders>
                  <w:noWrap w:val="0"/>
                  <w:vAlign w:val="center"/>
                </w:tcPr>
                <w:p w14:paraId="40B2F57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型式：离心式、介质：氮气、流量：10500Nm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/h、进口压力：99Kpa.A、进口温度：35℃、排气压力（末冷+止回阀后）：0.515MPa.A、排气温度：≤40℃、轴功率/电机功率：811.39/1000</w:t>
                  </w:r>
                  <w:r>
                    <w:rPr>
                      <w:rFonts w:hint="eastAsia" w:cs="Times New Roman"/>
                      <w:color w:val="auto"/>
                      <w:sz w:val="18"/>
                      <w:szCs w:val="18"/>
                      <w:lang w:eastAsia="zh-CN"/>
                    </w:rPr>
                    <w:t>kW</w:t>
                  </w:r>
                </w:p>
              </w:tc>
              <w:tc>
                <w:tcPr>
                  <w:tcW w:w="1286" w:type="pct"/>
                  <w:tcBorders>
                    <w:tl2br w:val="nil"/>
                    <w:tr2bl w:val="nil"/>
                  </w:tcBorders>
                  <w:noWrap w:val="0"/>
                  <w:vAlign w:val="center"/>
                </w:tcPr>
                <w:p w14:paraId="6761777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val="fr-FR" w:eastAsia="zh-CN"/>
                    </w:rPr>
                  </w:pPr>
                  <w:r>
                    <w:rPr>
                      <w:rFonts w:hint="default" w:ascii="Times New Roman" w:hAnsi="Times New Roman" w:eastAsia="宋体" w:cs="Times New Roman"/>
                      <w:color w:val="auto"/>
                      <w:sz w:val="18"/>
                      <w:szCs w:val="18"/>
                      <w:lang w:eastAsia="zh-CN"/>
                    </w:rPr>
                    <w:t>外形尺寸</w:t>
                  </w:r>
                  <w:r>
                    <w:rPr>
                      <w:rFonts w:hint="default" w:ascii="Times New Roman" w:hAnsi="Times New Roman" w:eastAsia="宋体" w:cs="Times New Roman"/>
                      <w:color w:val="auto"/>
                      <w:sz w:val="18"/>
                      <w:szCs w:val="18"/>
                      <w:lang w:val="fr-FR" w:eastAsia="zh-CN"/>
                    </w:rPr>
                    <w:t>：</w:t>
                  </w:r>
                </w:p>
                <w:p w14:paraId="62C013A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val="fr-FR" w:eastAsia="zh-CN"/>
                    </w:rPr>
                  </w:pPr>
                  <w:r>
                    <w:rPr>
                      <w:rFonts w:hint="default" w:ascii="Times New Roman" w:hAnsi="Times New Roman" w:eastAsia="宋体" w:cs="Times New Roman"/>
                      <w:color w:val="auto"/>
                      <w:sz w:val="18"/>
                      <w:szCs w:val="18"/>
                      <w:lang w:val="fr-FR" w:eastAsia="zh-CN"/>
                    </w:rPr>
                    <w:t>4429×1884×2508mm</w:t>
                  </w:r>
                </w:p>
              </w:tc>
              <w:tc>
                <w:tcPr>
                  <w:tcW w:w="381" w:type="pct"/>
                  <w:tcBorders>
                    <w:tl2br w:val="nil"/>
                    <w:tr2bl w:val="nil"/>
                  </w:tcBorders>
                  <w:noWrap w:val="0"/>
                  <w:vAlign w:val="center"/>
                </w:tcPr>
                <w:p w14:paraId="6F2DB95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489A32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28" w:hRule="atLeast"/>
              </w:trPr>
              <w:tc>
                <w:tcPr>
                  <w:tcW w:w="324" w:type="pct"/>
                  <w:tcBorders>
                    <w:tl2br w:val="nil"/>
                    <w:tr2bl w:val="nil"/>
                  </w:tcBorders>
                  <w:noWrap w:val="0"/>
                  <w:vAlign w:val="center"/>
                </w:tcPr>
                <w:p w14:paraId="2388ECDD">
                  <w:pPr>
                    <w:pStyle w:val="88"/>
                    <w:keepNext w:val="0"/>
                    <w:keepLines w:val="0"/>
                    <w:pageBreakBefore w:val="0"/>
                    <w:widowControl w:val="0"/>
                    <w:numPr>
                      <w:ilvl w:val="0"/>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3B03773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循环氮压机</w:t>
                  </w:r>
                </w:p>
              </w:tc>
              <w:tc>
                <w:tcPr>
                  <w:tcW w:w="1940" w:type="pct"/>
                  <w:gridSpan w:val="2"/>
                  <w:tcBorders>
                    <w:tl2br w:val="nil"/>
                    <w:tr2bl w:val="nil"/>
                  </w:tcBorders>
                  <w:noWrap w:val="0"/>
                  <w:vAlign w:val="center"/>
                </w:tcPr>
                <w:p w14:paraId="10C747F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型式：离心式、介质：氮气、流量：108000Nm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/h、进口压力：0.515MPa.A</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进口温度：38℃、排气压力（末冷+止回阀后）：3.0MPa.A、排气温度≤36℃、轴功率/电机功率：7722/8600</w:t>
                  </w:r>
                  <w:r>
                    <w:rPr>
                      <w:rFonts w:hint="eastAsia" w:cs="Times New Roman"/>
                      <w:color w:val="auto"/>
                      <w:sz w:val="18"/>
                      <w:szCs w:val="18"/>
                      <w:lang w:eastAsia="zh-CN"/>
                    </w:rPr>
                    <w:t>kW</w:t>
                  </w:r>
                </w:p>
              </w:tc>
              <w:tc>
                <w:tcPr>
                  <w:tcW w:w="1286" w:type="pct"/>
                  <w:tcBorders>
                    <w:tl2br w:val="nil"/>
                    <w:tr2bl w:val="nil"/>
                  </w:tcBorders>
                  <w:noWrap w:val="0"/>
                  <w:vAlign w:val="center"/>
                </w:tcPr>
                <w:p w14:paraId="4A0EB13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val="fr-FR" w:eastAsia="zh-CN"/>
                    </w:rPr>
                  </w:pPr>
                  <w:r>
                    <w:rPr>
                      <w:rFonts w:hint="default" w:ascii="Times New Roman" w:hAnsi="Times New Roman" w:eastAsia="宋体" w:cs="Times New Roman"/>
                      <w:color w:val="auto"/>
                      <w:sz w:val="18"/>
                      <w:szCs w:val="18"/>
                      <w:lang w:val="fr-FR" w:eastAsia="zh-CN"/>
                    </w:rPr>
                    <w:t>外形尺寸：</w:t>
                  </w:r>
                </w:p>
                <w:p w14:paraId="2A5B49C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val="fr-FR" w:eastAsia="zh-CN"/>
                    </w:rPr>
                  </w:pPr>
                  <w:r>
                    <w:rPr>
                      <w:rFonts w:hint="default" w:ascii="Times New Roman" w:hAnsi="Times New Roman" w:eastAsia="宋体" w:cs="Times New Roman"/>
                      <w:color w:val="auto"/>
                      <w:sz w:val="18"/>
                      <w:szCs w:val="18"/>
                      <w:lang w:val="fr-FR" w:eastAsia="zh-CN"/>
                    </w:rPr>
                    <w:t>11600×13700×6600mm</w:t>
                  </w:r>
                </w:p>
              </w:tc>
              <w:tc>
                <w:tcPr>
                  <w:tcW w:w="381" w:type="pct"/>
                  <w:tcBorders>
                    <w:tl2br w:val="nil"/>
                    <w:tr2bl w:val="nil"/>
                  </w:tcBorders>
                  <w:noWrap w:val="0"/>
                  <w:vAlign w:val="center"/>
                </w:tcPr>
                <w:p w14:paraId="7CBABF4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6461EF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054FDBB3">
                  <w:pPr>
                    <w:pStyle w:val="88"/>
                    <w:keepNext w:val="0"/>
                    <w:keepLines w:val="0"/>
                    <w:pageBreakBefore w:val="0"/>
                    <w:widowControl w:val="0"/>
                    <w:numPr>
                      <w:ilvl w:val="0"/>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1B7E0EE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空气预冷系统</w:t>
                  </w:r>
                </w:p>
              </w:tc>
              <w:tc>
                <w:tcPr>
                  <w:tcW w:w="1940" w:type="pct"/>
                  <w:gridSpan w:val="2"/>
                  <w:tcBorders>
                    <w:tl2br w:val="nil"/>
                    <w:tr2bl w:val="nil"/>
                  </w:tcBorders>
                  <w:noWrap w:val="0"/>
                  <w:vAlign w:val="center"/>
                </w:tcPr>
                <w:p w14:paraId="2985590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处理流量：41000Nm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/h、空气进气温度≤130℃、空气出气温度~10℃、工作压力：0.57Mpa.A</w:t>
                  </w:r>
                </w:p>
              </w:tc>
              <w:tc>
                <w:tcPr>
                  <w:tcW w:w="1286" w:type="pct"/>
                  <w:tcBorders>
                    <w:tl2br w:val="nil"/>
                    <w:tr2bl w:val="nil"/>
                  </w:tcBorders>
                  <w:noWrap w:val="0"/>
                  <w:vAlign w:val="center"/>
                </w:tcPr>
                <w:p w14:paraId="3A66F2E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主体材料：Q345R/Q235B</w:t>
                  </w:r>
                </w:p>
              </w:tc>
              <w:tc>
                <w:tcPr>
                  <w:tcW w:w="381" w:type="pct"/>
                  <w:tcBorders>
                    <w:tl2br w:val="nil"/>
                    <w:tr2bl w:val="nil"/>
                  </w:tcBorders>
                  <w:noWrap w:val="0"/>
                  <w:vAlign w:val="center"/>
                </w:tcPr>
                <w:p w14:paraId="4B9D286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15177F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178" w:hRule="atLeast"/>
              </w:trPr>
              <w:tc>
                <w:tcPr>
                  <w:tcW w:w="324" w:type="pct"/>
                  <w:tcBorders>
                    <w:tl2br w:val="nil"/>
                    <w:tr2bl w:val="nil"/>
                  </w:tcBorders>
                  <w:noWrap w:val="0"/>
                  <w:vAlign w:val="center"/>
                </w:tcPr>
                <w:p w14:paraId="0F05938B">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5A0A617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空冷塔</w:t>
                  </w:r>
                </w:p>
              </w:tc>
              <w:tc>
                <w:tcPr>
                  <w:tcW w:w="1940" w:type="pct"/>
                  <w:gridSpan w:val="2"/>
                  <w:tcBorders>
                    <w:tl2br w:val="nil"/>
                    <w:tr2bl w:val="nil"/>
                  </w:tcBorders>
                  <w:noWrap w:val="0"/>
                  <w:vAlign w:val="center"/>
                </w:tcPr>
                <w:p w14:paraId="07D8CBE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型式：散堆填料塔、容器类别：第I类、工作温度：10~130℃、设计温度：150℃、工作压力：0.475MPa、设计压力：0.7MPa、主体材质：Q345R、16Mn</w:t>
                  </w:r>
                  <w:r>
                    <w:rPr>
                      <w:rFonts w:hint="eastAsia" w:cs="Times New Roman"/>
                      <w:color w:val="auto"/>
                      <w:sz w:val="18"/>
                      <w:szCs w:val="18"/>
                      <w:lang w:eastAsia="zh-CN"/>
                    </w:rPr>
                    <w:t>Ⅱ</w:t>
                  </w:r>
                </w:p>
              </w:tc>
              <w:tc>
                <w:tcPr>
                  <w:tcW w:w="1286" w:type="pct"/>
                  <w:tcBorders>
                    <w:tl2br w:val="nil"/>
                    <w:tr2bl w:val="nil"/>
                  </w:tcBorders>
                  <w:noWrap w:val="0"/>
                  <w:vAlign w:val="center"/>
                </w:tcPr>
                <w:p w14:paraId="4BEED56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18AABBB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φ1900mm，H=22050mm</w:t>
                  </w:r>
                </w:p>
                <w:p w14:paraId="5589813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低温段填料：</w:t>
                  </w:r>
                </w:p>
                <w:p w14:paraId="02F68A0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共轭环37×38×1.5</w:t>
                  </w:r>
                  <w:r>
                    <w:rPr>
                      <w:rFonts w:hint="eastAsia" w:cs="Times New Roman"/>
                      <w:color w:val="auto"/>
                      <w:sz w:val="18"/>
                      <w:szCs w:val="18"/>
                      <w:lang w:eastAsia="zh-CN"/>
                    </w:rPr>
                    <w:t>Ⅱ</w:t>
                  </w:r>
                  <w:r>
                    <w:rPr>
                      <w:rFonts w:hint="default" w:ascii="Times New Roman" w:hAnsi="Times New Roman" w:eastAsia="宋体" w:cs="Times New Roman"/>
                      <w:color w:val="auto"/>
                      <w:sz w:val="18"/>
                      <w:szCs w:val="18"/>
                      <w:lang w:eastAsia="zh-CN"/>
                    </w:rPr>
                    <w:t>-PP</w:t>
                  </w:r>
                  <w:r>
                    <w:rPr>
                      <w:rFonts w:hint="default" w:ascii="Times New Roman" w:hAnsi="Times New Roman" w:eastAsia="宋体" w:cs="Times New Roman"/>
                      <w:color w:val="auto"/>
                      <w:sz w:val="18"/>
                      <w:szCs w:val="18"/>
                      <w:lang w:eastAsia="zh-CN"/>
                    </w:rPr>
                    <w:br w:type="textWrapping"/>
                  </w:r>
                  <w:r>
                    <w:rPr>
                      <w:rFonts w:hint="default" w:ascii="Times New Roman" w:hAnsi="Times New Roman" w:eastAsia="宋体" w:cs="Times New Roman"/>
                      <w:color w:val="auto"/>
                      <w:sz w:val="18"/>
                      <w:szCs w:val="18"/>
                      <w:lang w:eastAsia="zh-CN"/>
                    </w:rPr>
                    <w:t>常温段填料：</w:t>
                  </w:r>
                </w:p>
                <w:p w14:paraId="7645091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共轭环76×76×2.6-PP</w:t>
                  </w:r>
                  <w:r>
                    <w:rPr>
                      <w:rFonts w:hint="default" w:ascii="Times New Roman" w:hAnsi="Times New Roman" w:eastAsia="宋体" w:cs="Times New Roman"/>
                      <w:color w:val="auto"/>
                      <w:sz w:val="18"/>
                      <w:szCs w:val="18"/>
                      <w:lang w:eastAsia="zh-CN"/>
                    </w:rPr>
                    <w:br w:type="textWrapping"/>
                  </w:r>
                  <w:r>
                    <w:rPr>
                      <w:rFonts w:hint="default" w:ascii="Times New Roman" w:hAnsi="Times New Roman" w:eastAsia="宋体" w:cs="Times New Roman"/>
                      <w:color w:val="auto"/>
                      <w:sz w:val="18"/>
                      <w:szCs w:val="18"/>
                      <w:lang w:eastAsia="zh-CN"/>
                    </w:rPr>
                    <w:t>高温段填料：</w:t>
                  </w:r>
                </w:p>
                <w:p w14:paraId="6136C1A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阶梯环90×45×1.2-SS</w:t>
                  </w:r>
                </w:p>
              </w:tc>
              <w:tc>
                <w:tcPr>
                  <w:tcW w:w="381" w:type="pct"/>
                  <w:tcBorders>
                    <w:tl2br w:val="nil"/>
                    <w:tr2bl w:val="nil"/>
                  </w:tcBorders>
                  <w:noWrap w:val="0"/>
                  <w:vAlign w:val="center"/>
                </w:tcPr>
                <w:p w14:paraId="079EA47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78C1BC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667" w:hRule="atLeast"/>
              </w:trPr>
              <w:tc>
                <w:tcPr>
                  <w:tcW w:w="324" w:type="pct"/>
                  <w:tcBorders>
                    <w:tl2br w:val="nil"/>
                    <w:tr2bl w:val="nil"/>
                  </w:tcBorders>
                  <w:noWrap w:val="0"/>
                  <w:vAlign w:val="center"/>
                </w:tcPr>
                <w:p w14:paraId="1E58808F">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03F8FF4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水冷塔</w:t>
                  </w:r>
                </w:p>
              </w:tc>
              <w:tc>
                <w:tcPr>
                  <w:tcW w:w="1940" w:type="pct"/>
                  <w:gridSpan w:val="2"/>
                  <w:tcBorders>
                    <w:tl2br w:val="nil"/>
                    <w:tr2bl w:val="nil"/>
                  </w:tcBorders>
                  <w:noWrap w:val="0"/>
                  <w:vAlign w:val="center"/>
                </w:tcPr>
                <w:p w14:paraId="3198F12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型式：散堆填料塔、容器类别：类外、工作温度：40℃、设计温度：60℃、工作压力：0.006MPa、设计压力：0.09MPa、水冷塔进气总量~15000Nm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w:t>
                  </w:r>
                </w:p>
              </w:tc>
              <w:tc>
                <w:tcPr>
                  <w:tcW w:w="1286" w:type="pct"/>
                  <w:tcBorders>
                    <w:tl2br w:val="nil"/>
                    <w:tr2bl w:val="nil"/>
                  </w:tcBorders>
                  <w:noWrap w:val="0"/>
                  <w:vAlign w:val="center"/>
                </w:tcPr>
                <w:p w14:paraId="7EDF12C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3EFC0A4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φ1600mm，H=14124mm</w:t>
                  </w:r>
                </w:p>
                <w:p w14:paraId="19A6BDD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主体材质：Q235B/20</w:t>
                  </w:r>
                  <w:r>
                    <w:rPr>
                      <w:rFonts w:hint="eastAsia" w:cs="Times New Roman"/>
                      <w:color w:val="auto"/>
                      <w:sz w:val="18"/>
                      <w:szCs w:val="18"/>
                      <w:lang w:eastAsia="zh-CN"/>
                    </w:rPr>
                    <w:t>Ⅱ</w:t>
                  </w:r>
                  <w:r>
                    <w:rPr>
                      <w:rFonts w:hint="default" w:ascii="Times New Roman" w:hAnsi="Times New Roman" w:eastAsia="宋体" w:cs="Times New Roman"/>
                      <w:color w:val="auto"/>
                      <w:sz w:val="18"/>
                      <w:szCs w:val="18"/>
                      <w:lang w:eastAsia="zh-CN"/>
                    </w:rPr>
                    <w:t>/20</w:t>
                  </w:r>
                </w:p>
                <w:p w14:paraId="2F801E5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填料类型：</w:t>
                  </w:r>
                </w:p>
                <w:p w14:paraId="7F84A24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共轭环37×38×1.5</w:t>
                  </w:r>
                  <w:r>
                    <w:rPr>
                      <w:rFonts w:hint="eastAsia" w:cs="Times New Roman"/>
                      <w:color w:val="auto"/>
                      <w:sz w:val="18"/>
                      <w:szCs w:val="18"/>
                      <w:lang w:eastAsia="zh-CN"/>
                    </w:rPr>
                    <w:t>Ⅱ</w:t>
                  </w:r>
                  <w:r>
                    <w:rPr>
                      <w:rFonts w:hint="default" w:ascii="Times New Roman" w:hAnsi="Times New Roman" w:eastAsia="宋体" w:cs="Times New Roman"/>
                      <w:color w:val="auto"/>
                      <w:sz w:val="18"/>
                      <w:szCs w:val="18"/>
                      <w:lang w:eastAsia="zh-CN"/>
                    </w:rPr>
                    <w:t>-PP</w:t>
                  </w:r>
                </w:p>
              </w:tc>
              <w:tc>
                <w:tcPr>
                  <w:tcW w:w="381" w:type="pct"/>
                  <w:tcBorders>
                    <w:tl2br w:val="nil"/>
                    <w:tr2bl w:val="nil"/>
                  </w:tcBorders>
                  <w:noWrap w:val="0"/>
                  <w:vAlign w:val="center"/>
                </w:tcPr>
                <w:p w14:paraId="75EAE0F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137E4F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7C7B64DF">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393CF41B">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冷却水泵</w:t>
                  </w:r>
                </w:p>
              </w:tc>
              <w:tc>
                <w:tcPr>
                  <w:tcW w:w="1940" w:type="pct"/>
                  <w:gridSpan w:val="2"/>
                  <w:tcBorders>
                    <w:tl2br w:val="nil"/>
                    <w:tr2bl w:val="nil"/>
                  </w:tcBorders>
                  <w:noWrap w:val="0"/>
                  <w:vAlign w:val="center"/>
                </w:tcPr>
                <w:p w14:paraId="353D2CF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型式：卧式单吸、流量：160T/h、扬程：45m、电压：380V</w:t>
                  </w:r>
                </w:p>
              </w:tc>
              <w:tc>
                <w:tcPr>
                  <w:tcW w:w="1286" w:type="pct"/>
                  <w:tcBorders>
                    <w:tl2br w:val="nil"/>
                    <w:tr2bl w:val="nil"/>
                  </w:tcBorders>
                  <w:noWrap w:val="0"/>
                  <w:vAlign w:val="center"/>
                </w:tcPr>
                <w:p w14:paraId="58B7B4C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主体材质：铸铁</w:t>
                  </w:r>
                </w:p>
              </w:tc>
              <w:tc>
                <w:tcPr>
                  <w:tcW w:w="381" w:type="pct"/>
                  <w:tcBorders>
                    <w:tl2br w:val="nil"/>
                    <w:tr2bl w:val="nil"/>
                  </w:tcBorders>
                  <w:noWrap w:val="0"/>
                  <w:vAlign w:val="center"/>
                </w:tcPr>
                <w:p w14:paraId="029AE5AF">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w:t>
                  </w:r>
                </w:p>
              </w:tc>
            </w:tr>
            <w:tr w14:paraId="2AFF52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36E6B4C9">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2E443E7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冷却水过滤器</w:t>
                  </w:r>
                </w:p>
              </w:tc>
              <w:tc>
                <w:tcPr>
                  <w:tcW w:w="1940" w:type="pct"/>
                  <w:gridSpan w:val="2"/>
                  <w:tcBorders>
                    <w:tl2br w:val="nil"/>
                    <w:tr2bl w:val="nil"/>
                  </w:tcBorders>
                  <w:noWrap w:val="0"/>
                  <w:vAlign w:val="center"/>
                </w:tcPr>
                <w:p w14:paraId="4491CC3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型式：Y型、处理流量：160T/h、设计温度：65℃、设计压力：1.0Mpa</w:t>
                  </w:r>
                </w:p>
              </w:tc>
              <w:tc>
                <w:tcPr>
                  <w:tcW w:w="1286" w:type="pct"/>
                  <w:tcBorders>
                    <w:tl2br w:val="nil"/>
                    <w:tr2bl w:val="nil"/>
                  </w:tcBorders>
                  <w:noWrap w:val="0"/>
                  <w:vAlign w:val="center"/>
                </w:tcPr>
                <w:p w14:paraId="4792CAD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主体材质：304/20/20</w:t>
                  </w:r>
                  <w:r>
                    <w:rPr>
                      <w:rFonts w:hint="eastAsia" w:cs="Times New Roman"/>
                      <w:color w:val="auto"/>
                      <w:sz w:val="18"/>
                      <w:szCs w:val="18"/>
                      <w:lang w:eastAsia="zh-CN"/>
                    </w:rPr>
                    <w:t>Ⅱ</w:t>
                  </w:r>
                </w:p>
              </w:tc>
              <w:tc>
                <w:tcPr>
                  <w:tcW w:w="381" w:type="pct"/>
                  <w:tcBorders>
                    <w:tl2br w:val="nil"/>
                    <w:tr2bl w:val="nil"/>
                  </w:tcBorders>
                  <w:noWrap w:val="0"/>
                  <w:vAlign w:val="center"/>
                </w:tcPr>
                <w:p w14:paraId="100AD18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w:t>
                  </w:r>
                </w:p>
              </w:tc>
            </w:tr>
            <w:tr w14:paraId="15A8EB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7DA19D5E">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6D377AD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水冷塔入口冷却水过滤器</w:t>
                  </w:r>
                </w:p>
              </w:tc>
              <w:tc>
                <w:tcPr>
                  <w:tcW w:w="1940" w:type="pct"/>
                  <w:gridSpan w:val="2"/>
                  <w:tcBorders>
                    <w:tl2br w:val="nil"/>
                    <w:tr2bl w:val="nil"/>
                  </w:tcBorders>
                  <w:noWrap w:val="0"/>
                  <w:vAlign w:val="center"/>
                </w:tcPr>
                <w:p w14:paraId="56D0565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型式：Y型、流量：21T/h、设计温度：65℃、设计压力：0.7MPa</w:t>
                  </w:r>
                </w:p>
              </w:tc>
              <w:tc>
                <w:tcPr>
                  <w:tcW w:w="1286" w:type="pct"/>
                  <w:tcBorders>
                    <w:tl2br w:val="nil"/>
                    <w:tr2bl w:val="nil"/>
                  </w:tcBorders>
                  <w:noWrap w:val="0"/>
                  <w:vAlign w:val="center"/>
                </w:tcPr>
                <w:p w14:paraId="016CBCB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主体材质：304/20/20</w:t>
                  </w:r>
                  <w:r>
                    <w:rPr>
                      <w:rFonts w:hint="eastAsia" w:cs="Times New Roman"/>
                      <w:color w:val="auto"/>
                      <w:sz w:val="18"/>
                      <w:szCs w:val="18"/>
                      <w:lang w:eastAsia="zh-CN"/>
                    </w:rPr>
                    <w:t>Ⅱ</w:t>
                  </w:r>
                </w:p>
              </w:tc>
              <w:tc>
                <w:tcPr>
                  <w:tcW w:w="381" w:type="pct"/>
                  <w:tcBorders>
                    <w:tl2br w:val="nil"/>
                    <w:tr2bl w:val="nil"/>
                  </w:tcBorders>
                  <w:noWrap w:val="0"/>
                  <w:vAlign w:val="center"/>
                </w:tcPr>
                <w:p w14:paraId="5433E38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3DC9BB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52C60372">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40EAF7B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冷冻水泵</w:t>
                  </w:r>
                </w:p>
              </w:tc>
              <w:tc>
                <w:tcPr>
                  <w:tcW w:w="1940" w:type="pct"/>
                  <w:gridSpan w:val="2"/>
                  <w:tcBorders>
                    <w:tl2br w:val="nil"/>
                    <w:tr2bl w:val="nil"/>
                  </w:tcBorders>
                  <w:noWrap w:val="0"/>
                  <w:vAlign w:val="center"/>
                </w:tcPr>
                <w:p w14:paraId="215228A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型式：立式多级泵、流量：21T/h、扬程：90m、电压：380V</w:t>
                  </w:r>
                </w:p>
              </w:tc>
              <w:tc>
                <w:tcPr>
                  <w:tcW w:w="1286" w:type="pct"/>
                  <w:tcBorders>
                    <w:tl2br w:val="nil"/>
                    <w:tr2bl w:val="nil"/>
                  </w:tcBorders>
                  <w:noWrap w:val="0"/>
                  <w:vAlign w:val="center"/>
                </w:tcPr>
                <w:p w14:paraId="678932C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主体材质：不锈钢/铸铁</w:t>
                  </w:r>
                </w:p>
              </w:tc>
              <w:tc>
                <w:tcPr>
                  <w:tcW w:w="381" w:type="pct"/>
                  <w:tcBorders>
                    <w:tl2br w:val="nil"/>
                    <w:tr2bl w:val="nil"/>
                  </w:tcBorders>
                  <w:noWrap w:val="0"/>
                  <w:vAlign w:val="center"/>
                </w:tcPr>
                <w:p w14:paraId="788F128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w:t>
                  </w:r>
                </w:p>
              </w:tc>
            </w:tr>
            <w:tr w14:paraId="193925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0B80BFDF">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2928905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冷冻水过滤器</w:t>
                  </w:r>
                </w:p>
              </w:tc>
              <w:tc>
                <w:tcPr>
                  <w:tcW w:w="1940" w:type="pct"/>
                  <w:gridSpan w:val="2"/>
                  <w:tcBorders>
                    <w:tl2br w:val="nil"/>
                    <w:tr2bl w:val="nil"/>
                  </w:tcBorders>
                  <w:noWrap w:val="0"/>
                  <w:vAlign w:val="center"/>
                </w:tcPr>
                <w:p w14:paraId="4D45FB0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型式：Y型、处理流量：21T/h、设计温度：65℃、设计压力：0.7Mpa</w:t>
                  </w:r>
                </w:p>
              </w:tc>
              <w:tc>
                <w:tcPr>
                  <w:tcW w:w="1286" w:type="pct"/>
                  <w:tcBorders>
                    <w:tl2br w:val="nil"/>
                    <w:tr2bl w:val="nil"/>
                  </w:tcBorders>
                  <w:noWrap w:val="0"/>
                  <w:vAlign w:val="center"/>
                </w:tcPr>
                <w:p w14:paraId="61AF605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主体材质：304/20/20</w:t>
                  </w:r>
                  <w:r>
                    <w:rPr>
                      <w:rFonts w:hint="eastAsia" w:cs="Times New Roman"/>
                      <w:color w:val="auto"/>
                      <w:sz w:val="18"/>
                      <w:szCs w:val="18"/>
                      <w:lang w:eastAsia="zh-CN"/>
                    </w:rPr>
                    <w:t>Ⅱ</w:t>
                  </w:r>
                </w:p>
              </w:tc>
              <w:tc>
                <w:tcPr>
                  <w:tcW w:w="381" w:type="pct"/>
                  <w:tcBorders>
                    <w:tl2br w:val="nil"/>
                    <w:tr2bl w:val="nil"/>
                  </w:tcBorders>
                  <w:noWrap w:val="0"/>
                  <w:vAlign w:val="center"/>
                </w:tcPr>
                <w:p w14:paraId="7920871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w:t>
                  </w:r>
                </w:p>
              </w:tc>
            </w:tr>
            <w:tr w14:paraId="6FD5E0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103" w:hRule="atLeast"/>
              </w:trPr>
              <w:tc>
                <w:tcPr>
                  <w:tcW w:w="324" w:type="pct"/>
                  <w:tcBorders>
                    <w:tl2br w:val="nil"/>
                    <w:tr2bl w:val="nil"/>
                  </w:tcBorders>
                  <w:noWrap w:val="0"/>
                  <w:vAlign w:val="center"/>
                </w:tcPr>
                <w:p w14:paraId="4F1121FC">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4196EF6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冷水机组</w:t>
                  </w:r>
                </w:p>
              </w:tc>
              <w:tc>
                <w:tcPr>
                  <w:tcW w:w="1940" w:type="pct"/>
                  <w:gridSpan w:val="2"/>
                  <w:tcBorders>
                    <w:tl2br w:val="nil"/>
                    <w:tr2bl w:val="nil"/>
                  </w:tcBorders>
                  <w:noWrap w:val="0"/>
                  <w:vAlign w:val="center"/>
                </w:tcPr>
                <w:p w14:paraId="5EFF3C2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型式：单机头、螺杆式、额定制冷量：303</w:t>
                  </w:r>
                  <w:r>
                    <w:rPr>
                      <w:rFonts w:hint="eastAsia" w:cs="Times New Roman"/>
                      <w:color w:val="auto"/>
                      <w:sz w:val="18"/>
                      <w:szCs w:val="18"/>
                      <w:lang w:eastAsia="zh-CN"/>
                    </w:rPr>
                    <w:t>kW</w:t>
                  </w:r>
                  <w:r>
                    <w:rPr>
                      <w:rFonts w:hint="default" w:ascii="Times New Roman" w:hAnsi="Times New Roman" w:eastAsia="宋体" w:cs="Times New Roman"/>
                      <w:color w:val="auto"/>
                      <w:sz w:val="18"/>
                      <w:szCs w:val="18"/>
                      <w:lang w:eastAsia="zh-CN"/>
                    </w:rPr>
                    <w:t>、额定功率：68</w:t>
                  </w:r>
                  <w:r>
                    <w:rPr>
                      <w:rFonts w:hint="eastAsia" w:cs="Times New Roman"/>
                      <w:color w:val="auto"/>
                      <w:sz w:val="18"/>
                      <w:szCs w:val="18"/>
                      <w:lang w:eastAsia="zh-CN"/>
                    </w:rPr>
                    <w:t>kW</w:t>
                  </w:r>
                  <w:r>
                    <w:rPr>
                      <w:rFonts w:hint="default" w:ascii="Times New Roman" w:hAnsi="Times New Roman" w:eastAsia="宋体" w:cs="Times New Roman"/>
                      <w:color w:val="auto"/>
                      <w:sz w:val="18"/>
                      <w:szCs w:val="18"/>
                      <w:lang w:eastAsia="zh-CN"/>
                    </w:rPr>
                    <w:t>、制冷剂：R407C、冷冻水处理量：21m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/h、冷冻水进口温度：20.3℃、冷冻水出口温度：8.3℃、电压：380V</w:t>
                  </w:r>
                </w:p>
              </w:tc>
              <w:tc>
                <w:tcPr>
                  <w:tcW w:w="1286" w:type="pct"/>
                  <w:tcBorders>
                    <w:tl2br w:val="nil"/>
                    <w:tr2bl w:val="nil"/>
                  </w:tcBorders>
                  <w:noWrap w:val="0"/>
                  <w:vAlign w:val="center"/>
                </w:tcPr>
                <w:p w14:paraId="279274B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主体材质：不锈钢/铸铁</w:t>
                  </w:r>
                </w:p>
              </w:tc>
              <w:tc>
                <w:tcPr>
                  <w:tcW w:w="381" w:type="pct"/>
                  <w:tcBorders>
                    <w:tl2br w:val="nil"/>
                    <w:tr2bl w:val="nil"/>
                  </w:tcBorders>
                  <w:noWrap w:val="0"/>
                  <w:vAlign w:val="center"/>
                </w:tcPr>
                <w:p w14:paraId="317420B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w:t>
                  </w:r>
                </w:p>
              </w:tc>
            </w:tr>
            <w:tr w14:paraId="0DC271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5F06FAB4">
                  <w:pPr>
                    <w:pStyle w:val="88"/>
                    <w:keepNext w:val="0"/>
                    <w:keepLines w:val="0"/>
                    <w:pageBreakBefore w:val="0"/>
                    <w:widowControl w:val="0"/>
                    <w:numPr>
                      <w:ilvl w:val="0"/>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251BB14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纯化系统</w:t>
                  </w:r>
                </w:p>
              </w:tc>
              <w:tc>
                <w:tcPr>
                  <w:tcW w:w="1940" w:type="pct"/>
                  <w:gridSpan w:val="2"/>
                  <w:tcBorders>
                    <w:tl2br w:val="nil"/>
                    <w:tr2bl w:val="nil"/>
                  </w:tcBorders>
                  <w:noWrap w:val="0"/>
                  <w:vAlign w:val="center"/>
                </w:tcPr>
                <w:p w14:paraId="2DD3B21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处理气量：41000Nm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/h、工作压力：0.57Mpa.A、进口温度：10.5℃、出口温度：16.5℃、入口空气CO</w:t>
                  </w:r>
                  <w:r>
                    <w:rPr>
                      <w:rFonts w:hint="default" w:ascii="Times New Roman" w:hAnsi="Times New Roman" w:eastAsia="宋体" w:cs="Times New Roman"/>
                      <w:color w:val="auto"/>
                      <w:sz w:val="18"/>
                      <w:szCs w:val="18"/>
                      <w:vertAlign w:val="subscript"/>
                      <w:lang w:eastAsia="zh-CN"/>
                    </w:rPr>
                    <w:t>2</w:t>
                  </w:r>
                  <w:r>
                    <w:rPr>
                      <w:rFonts w:hint="default" w:ascii="Times New Roman" w:hAnsi="Times New Roman" w:eastAsia="宋体" w:cs="Times New Roman"/>
                      <w:color w:val="auto"/>
                      <w:sz w:val="18"/>
                      <w:szCs w:val="18"/>
                      <w:lang w:eastAsia="zh-CN"/>
                    </w:rPr>
                    <w:t>含量≤450ppm、出口空气CO</w:t>
                  </w:r>
                  <w:r>
                    <w:rPr>
                      <w:rFonts w:hint="default" w:ascii="Times New Roman" w:hAnsi="Times New Roman" w:eastAsia="宋体" w:cs="Times New Roman"/>
                      <w:color w:val="auto"/>
                      <w:sz w:val="18"/>
                      <w:szCs w:val="18"/>
                      <w:vertAlign w:val="subscript"/>
                      <w:lang w:eastAsia="zh-CN"/>
                    </w:rPr>
                    <w:t>2</w:t>
                  </w:r>
                  <w:r>
                    <w:rPr>
                      <w:rFonts w:hint="default" w:ascii="Times New Roman" w:hAnsi="Times New Roman" w:eastAsia="宋体" w:cs="Times New Roman"/>
                      <w:color w:val="auto"/>
                      <w:sz w:val="18"/>
                      <w:szCs w:val="18"/>
                      <w:lang w:eastAsia="zh-CN"/>
                    </w:rPr>
                    <w:t>含量≤1ppm</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工作周期（每台吸附器）6h、再生温度：170℃</w:t>
                  </w:r>
                </w:p>
              </w:tc>
              <w:tc>
                <w:tcPr>
                  <w:tcW w:w="1286" w:type="pct"/>
                  <w:tcBorders>
                    <w:tl2br w:val="nil"/>
                    <w:tr2bl w:val="nil"/>
                  </w:tcBorders>
                  <w:noWrap w:val="0"/>
                  <w:vAlign w:val="center"/>
                </w:tcPr>
                <w:p w14:paraId="1DF4EC8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主体材料：Q345R</w:t>
                  </w:r>
                </w:p>
              </w:tc>
              <w:tc>
                <w:tcPr>
                  <w:tcW w:w="381" w:type="pct"/>
                  <w:tcBorders>
                    <w:tl2br w:val="nil"/>
                    <w:tr2bl w:val="nil"/>
                  </w:tcBorders>
                  <w:noWrap w:val="0"/>
                  <w:vAlign w:val="center"/>
                </w:tcPr>
                <w:p w14:paraId="5BA1C87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r>
            <w:tr w14:paraId="75B33C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774" w:hRule="atLeast"/>
              </w:trPr>
              <w:tc>
                <w:tcPr>
                  <w:tcW w:w="324" w:type="pct"/>
                  <w:tcBorders>
                    <w:tl2br w:val="nil"/>
                    <w:tr2bl w:val="nil"/>
                  </w:tcBorders>
                  <w:noWrap w:val="0"/>
                  <w:vAlign w:val="center"/>
                </w:tcPr>
                <w:p w14:paraId="6E77821F">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7BD4837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吸附器</w:t>
                  </w:r>
                </w:p>
              </w:tc>
              <w:tc>
                <w:tcPr>
                  <w:tcW w:w="1940" w:type="pct"/>
                  <w:gridSpan w:val="2"/>
                  <w:tcBorders>
                    <w:tl2br w:val="nil"/>
                    <w:tr2bl w:val="nil"/>
                  </w:tcBorders>
                  <w:noWrap w:val="0"/>
                  <w:vAlign w:val="center"/>
                </w:tcPr>
                <w:p w14:paraId="5FB20FF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型式：立式双层床、容器类别：第I类、工作压力：0.47MPa（吸附）/0.012Mpa（再生）、设计压力：0.7MPa</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工作温度：10.5℃（吸附）/170℃（再生）/230℃（高温再生）、设计温度：300℃</w:t>
                  </w:r>
                </w:p>
              </w:tc>
              <w:tc>
                <w:tcPr>
                  <w:tcW w:w="1286" w:type="pct"/>
                  <w:tcBorders>
                    <w:tl2br w:val="nil"/>
                    <w:tr2bl w:val="nil"/>
                  </w:tcBorders>
                  <w:noWrap w:val="0"/>
                  <w:vAlign w:val="center"/>
                </w:tcPr>
                <w:p w14:paraId="0F99F66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主体材料：Q345R</w:t>
                  </w:r>
                </w:p>
                <w:p w14:paraId="48AF582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1D4F0D6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φ3800mm，H=~6910mm</w:t>
                  </w:r>
                </w:p>
              </w:tc>
              <w:tc>
                <w:tcPr>
                  <w:tcW w:w="381" w:type="pct"/>
                  <w:tcBorders>
                    <w:tl2br w:val="nil"/>
                    <w:tr2bl w:val="nil"/>
                  </w:tcBorders>
                  <w:noWrap w:val="0"/>
                  <w:vAlign w:val="center"/>
                </w:tcPr>
                <w:p w14:paraId="2FD36C3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w:t>
                  </w:r>
                </w:p>
              </w:tc>
            </w:tr>
            <w:tr w14:paraId="441E06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06F86996">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1C5A968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电加热器</w:t>
                  </w:r>
                </w:p>
              </w:tc>
              <w:tc>
                <w:tcPr>
                  <w:tcW w:w="1940" w:type="pct"/>
                  <w:gridSpan w:val="2"/>
                  <w:tcBorders>
                    <w:tl2br w:val="nil"/>
                    <w:tr2bl w:val="nil"/>
                  </w:tcBorders>
                  <w:noWrap w:val="0"/>
                  <w:vAlign w:val="center"/>
                </w:tcPr>
                <w:p w14:paraId="2A5EC38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型式：立式、容器类别：类外、设计压力：0.3MPa、设计温度：300℃、污氮气流量：7000Nm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/h、平均使用/加热功率：170/500</w:t>
                  </w:r>
                  <w:r>
                    <w:rPr>
                      <w:rFonts w:hint="eastAsia" w:cs="Times New Roman"/>
                      <w:color w:val="auto"/>
                      <w:sz w:val="18"/>
                      <w:szCs w:val="18"/>
                      <w:lang w:eastAsia="zh-CN"/>
                    </w:rPr>
                    <w:t>kW</w:t>
                  </w:r>
                  <w:r>
                    <w:rPr>
                      <w:rFonts w:hint="default" w:ascii="Times New Roman" w:hAnsi="Times New Roman" w:eastAsia="宋体" w:cs="Times New Roman"/>
                      <w:color w:val="auto"/>
                      <w:sz w:val="18"/>
                      <w:szCs w:val="18"/>
                      <w:lang w:eastAsia="zh-CN"/>
                    </w:rPr>
                    <w:t>、电压：380V</w:t>
                  </w:r>
                </w:p>
              </w:tc>
              <w:tc>
                <w:tcPr>
                  <w:tcW w:w="1286" w:type="pct"/>
                  <w:tcBorders>
                    <w:tl2br w:val="nil"/>
                    <w:tr2bl w:val="nil"/>
                  </w:tcBorders>
                  <w:noWrap w:val="0"/>
                  <w:vAlign w:val="center"/>
                </w:tcPr>
                <w:p w14:paraId="665CC7B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主体材料：Q345R/16Mn</w:t>
                  </w:r>
                </w:p>
                <w:p w14:paraId="7BC066D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电加热管：S32168</w:t>
                  </w:r>
                </w:p>
                <w:p w14:paraId="6ACEC14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0BCA3BE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φ600mm，H=4650mm</w:t>
                  </w:r>
                </w:p>
              </w:tc>
              <w:tc>
                <w:tcPr>
                  <w:tcW w:w="381" w:type="pct"/>
                  <w:tcBorders>
                    <w:tl2br w:val="nil"/>
                    <w:tr2bl w:val="nil"/>
                  </w:tcBorders>
                  <w:noWrap w:val="0"/>
                  <w:vAlign w:val="center"/>
                </w:tcPr>
                <w:p w14:paraId="2590B7D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w:t>
                  </w:r>
                </w:p>
              </w:tc>
            </w:tr>
            <w:tr w14:paraId="62CDB5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19D409D0">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64AAF8C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污氮放空消音器</w:t>
                  </w:r>
                </w:p>
              </w:tc>
              <w:tc>
                <w:tcPr>
                  <w:tcW w:w="1940" w:type="pct"/>
                  <w:gridSpan w:val="2"/>
                  <w:tcBorders>
                    <w:tl2br w:val="nil"/>
                    <w:tr2bl w:val="nil"/>
                  </w:tcBorders>
                  <w:noWrap w:val="0"/>
                  <w:vAlign w:val="center"/>
                </w:tcPr>
                <w:p w14:paraId="6B020ED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型式：阻性消声器、介质：污氮气、处理流量：7000Nm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/h、设计压力：0.09Mpa、设计温度：160℃、入口管径：DN400、消音量：45dB</w:t>
                  </w:r>
                </w:p>
              </w:tc>
              <w:tc>
                <w:tcPr>
                  <w:tcW w:w="1286" w:type="pct"/>
                  <w:tcBorders>
                    <w:tl2br w:val="nil"/>
                    <w:tr2bl w:val="nil"/>
                  </w:tcBorders>
                  <w:noWrap w:val="0"/>
                  <w:vAlign w:val="center"/>
                </w:tcPr>
                <w:p w14:paraId="00B553F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主体材质：Q235B+SS304</w:t>
                  </w:r>
                </w:p>
                <w:p w14:paraId="1993D0F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380A2DD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φ996mm，H=4100mm</w:t>
                  </w:r>
                </w:p>
                <w:p w14:paraId="153F663B">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H=3950mm</w:t>
                  </w:r>
                </w:p>
              </w:tc>
              <w:tc>
                <w:tcPr>
                  <w:tcW w:w="381" w:type="pct"/>
                  <w:tcBorders>
                    <w:tl2br w:val="nil"/>
                    <w:tr2bl w:val="nil"/>
                  </w:tcBorders>
                  <w:noWrap w:val="0"/>
                  <w:vAlign w:val="center"/>
                </w:tcPr>
                <w:p w14:paraId="4EC8642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170B8F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78" w:hRule="atLeast"/>
              </w:trPr>
              <w:tc>
                <w:tcPr>
                  <w:tcW w:w="324" w:type="pct"/>
                  <w:tcBorders>
                    <w:tl2br w:val="nil"/>
                    <w:tr2bl w:val="nil"/>
                  </w:tcBorders>
                  <w:noWrap w:val="0"/>
                  <w:vAlign w:val="center"/>
                </w:tcPr>
                <w:p w14:paraId="6F489BB9">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3B9191B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仪表空气过滤器</w:t>
                  </w:r>
                </w:p>
              </w:tc>
              <w:tc>
                <w:tcPr>
                  <w:tcW w:w="1940" w:type="pct"/>
                  <w:gridSpan w:val="2"/>
                  <w:tcBorders>
                    <w:tl2br w:val="nil"/>
                    <w:tr2bl w:val="nil"/>
                  </w:tcBorders>
                  <w:noWrap w:val="0"/>
                  <w:vAlign w:val="center"/>
                </w:tcPr>
                <w:p w14:paraId="188F5D9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型号：AF900、工作温度：常温、设计压力：0.7Mpa</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G</w:t>
                  </w:r>
                  <w:r>
                    <w:rPr>
                      <w:rFonts w:hint="eastAsia" w:cs="Times New Roman"/>
                      <w:color w:val="auto"/>
                      <w:sz w:val="18"/>
                      <w:szCs w:val="18"/>
                      <w:lang w:eastAsia="zh-CN"/>
                    </w:rPr>
                    <w:t>）</w:t>
                  </w:r>
                </w:p>
              </w:tc>
              <w:tc>
                <w:tcPr>
                  <w:tcW w:w="1286" w:type="pct"/>
                  <w:tcBorders>
                    <w:tl2br w:val="nil"/>
                    <w:tr2bl w:val="nil"/>
                  </w:tcBorders>
                  <w:noWrap w:val="0"/>
                  <w:vAlign w:val="center"/>
                </w:tcPr>
                <w:p w14:paraId="2DBD35F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主体材质：压铸铝</w:t>
                  </w:r>
                </w:p>
              </w:tc>
              <w:tc>
                <w:tcPr>
                  <w:tcW w:w="381" w:type="pct"/>
                  <w:tcBorders>
                    <w:tl2br w:val="nil"/>
                    <w:tr2bl w:val="nil"/>
                  </w:tcBorders>
                  <w:noWrap w:val="0"/>
                  <w:vAlign w:val="center"/>
                </w:tcPr>
                <w:p w14:paraId="183CF3A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17E265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35F8F7B1">
                  <w:pPr>
                    <w:pStyle w:val="88"/>
                    <w:keepNext w:val="0"/>
                    <w:keepLines w:val="0"/>
                    <w:pageBreakBefore w:val="0"/>
                    <w:widowControl w:val="0"/>
                    <w:numPr>
                      <w:ilvl w:val="0"/>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576CBBF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热端增压透平膨胀机</w:t>
                  </w:r>
                </w:p>
              </w:tc>
              <w:tc>
                <w:tcPr>
                  <w:tcW w:w="1940" w:type="pct"/>
                  <w:gridSpan w:val="2"/>
                  <w:tcBorders>
                    <w:tl2br w:val="nil"/>
                    <w:tr2bl w:val="nil"/>
                  </w:tcBorders>
                  <w:noWrap w:val="0"/>
                  <w:vAlign w:val="center"/>
                </w:tcPr>
                <w:p w14:paraId="733977E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介质：氮气、膨胀端：流量：39785Nm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w:t>
                  </w:r>
                </w:p>
                <w:p w14:paraId="4C1CD44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进口压力：29.7bar.A、出口压力：5.28bar.A、进口温度：270.15K、增压端：流量：69215Nm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/h、进口压力：29.8bar.A、出口压力：~46.63bar.A、进口温度：310.15K</w:t>
                  </w:r>
                </w:p>
              </w:tc>
              <w:tc>
                <w:tcPr>
                  <w:tcW w:w="1286" w:type="pct"/>
                  <w:tcBorders>
                    <w:tl2br w:val="nil"/>
                    <w:tr2bl w:val="nil"/>
                  </w:tcBorders>
                  <w:noWrap w:val="0"/>
                  <w:vAlign w:val="center"/>
                </w:tcPr>
                <w:p w14:paraId="3EFEE6E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主体材质：合金钢/不锈钢</w:t>
                  </w:r>
                </w:p>
              </w:tc>
              <w:tc>
                <w:tcPr>
                  <w:tcW w:w="381" w:type="pct"/>
                  <w:tcBorders>
                    <w:tl2br w:val="nil"/>
                    <w:tr2bl w:val="nil"/>
                  </w:tcBorders>
                  <w:noWrap w:val="0"/>
                  <w:vAlign w:val="center"/>
                </w:tcPr>
                <w:p w14:paraId="6F6C387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6313F4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77B97B7B">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4599026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热机后冷却器</w:t>
                  </w:r>
                </w:p>
              </w:tc>
              <w:tc>
                <w:tcPr>
                  <w:tcW w:w="1940" w:type="pct"/>
                  <w:gridSpan w:val="2"/>
                  <w:tcBorders>
                    <w:tl2br w:val="nil"/>
                    <w:tr2bl w:val="nil"/>
                  </w:tcBorders>
                  <w:noWrap w:val="0"/>
                  <w:vAlign w:val="center"/>
                </w:tcPr>
                <w:p w14:paraId="0F1B49F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型式：管壳式换热器、容器类别：Ⅱ类压力容器、管程：介质：氮气、流量：69215Nm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/h、设计压力：5.3MPa</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设计温度：120℃、壳程：介质：水</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流量：151.6m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/h、设计压力：0.6MPa</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设计温度：70℃</w:t>
                  </w:r>
                </w:p>
              </w:tc>
              <w:tc>
                <w:tcPr>
                  <w:tcW w:w="1286" w:type="pct"/>
                  <w:tcBorders>
                    <w:tl2br w:val="nil"/>
                    <w:tr2bl w:val="nil"/>
                  </w:tcBorders>
                  <w:noWrap w:val="0"/>
                  <w:vAlign w:val="center"/>
                </w:tcPr>
                <w:p w14:paraId="1B2B312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主体材质：Q345R/16Mn</w:t>
                  </w:r>
                  <w:r>
                    <w:rPr>
                      <w:rFonts w:hint="eastAsia" w:cs="Times New Roman"/>
                      <w:color w:val="auto"/>
                      <w:sz w:val="18"/>
                      <w:szCs w:val="18"/>
                      <w:lang w:eastAsia="zh-CN"/>
                    </w:rPr>
                    <w:t>Ⅱ</w:t>
                  </w:r>
                </w:p>
                <w:p w14:paraId="104B823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换热管：不锈钢</w:t>
                  </w:r>
                </w:p>
                <w:p w14:paraId="588F4A7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2DBA7AE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φ850mm，L=6640mm</w:t>
                  </w:r>
                </w:p>
              </w:tc>
              <w:tc>
                <w:tcPr>
                  <w:tcW w:w="381" w:type="pct"/>
                  <w:tcBorders>
                    <w:tl2br w:val="nil"/>
                    <w:tr2bl w:val="nil"/>
                  </w:tcBorders>
                  <w:noWrap w:val="0"/>
                  <w:vAlign w:val="center"/>
                </w:tcPr>
                <w:p w14:paraId="0C36073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1614A4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5EBF66C5">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0E3780D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高温增压端入口过滤器</w:t>
                  </w:r>
                </w:p>
              </w:tc>
              <w:tc>
                <w:tcPr>
                  <w:tcW w:w="1940" w:type="pct"/>
                  <w:gridSpan w:val="2"/>
                  <w:tcBorders>
                    <w:tl2br w:val="nil"/>
                    <w:tr2bl w:val="nil"/>
                  </w:tcBorders>
                  <w:noWrap w:val="0"/>
                  <w:vAlign w:val="center"/>
                </w:tcPr>
                <w:p w14:paraId="298A48D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型式：锥形过滤器、介质：氮气、处理流量：69215Nm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/h、设计温度：65℃、设计压力：3.5Mpa</w:t>
                  </w:r>
                </w:p>
              </w:tc>
              <w:tc>
                <w:tcPr>
                  <w:tcW w:w="1286" w:type="pct"/>
                  <w:tcBorders>
                    <w:tl2br w:val="nil"/>
                    <w:tr2bl w:val="nil"/>
                  </w:tcBorders>
                  <w:noWrap w:val="0"/>
                  <w:vAlign w:val="center"/>
                </w:tcPr>
                <w:p w14:paraId="58D7795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主体材质：20</w:t>
                  </w:r>
                  <w:r>
                    <w:rPr>
                      <w:rFonts w:hint="eastAsia" w:cs="Times New Roman"/>
                      <w:color w:val="auto"/>
                      <w:sz w:val="18"/>
                      <w:szCs w:val="18"/>
                      <w:lang w:eastAsia="zh-CN"/>
                    </w:rPr>
                    <w:t>Ⅱ</w:t>
                  </w:r>
                </w:p>
                <w:p w14:paraId="71E7654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滤网：SS304</w:t>
                  </w:r>
                </w:p>
              </w:tc>
              <w:tc>
                <w:tcPr>
                  <w:tcW w:w="381" w:type="pct"/>
                  <w:tcBorders>
                    <w:tl2br w:val="nil"/>
                    <w:tr2bl w:val="nil"/>
                  </w:tcBorders>
                  <w:noWrap w:val="0"/>
                  <w:vAlign w:val="center"/>
                </w:tcPr>
                <w:p w14:paraId="1B2C406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72A958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28814D70">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5068D11B">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高温膨胀端入口过滤器</w:t>
                  </w:r>
                </w:p>
              </w:tc>
              <w:tc>
                <w:tcPr>
                  <w:tcW w:w="1940" w:type="pct"/>
                  <w:gridSpan w:val="2"/>
                  <w:tcBorders>
                    <w:tl2br w:val="nil"/>
                    <w:tr2bl w:val="nil"/>
                  </w:tcBorders>
                  <w:noWrap w:val="0"/>
                  <w:vAlign w:val="center"/>
                </w:tcPr>
                <w:p w14:paraId="354C0AA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型式：锥形过滤器、介质：氮气、处理流量：39785Nm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eastAsia="zh-CN"/>
                    </w:rPr>
                    <w:t>h、设计温度：-196/+65℃、设计压力：3.5Mpa</w:t>
                  </w:r>
                </w:p>
              </w:tc>
              <w:tc>
                <w:tcPr>
                  <w:tcW w:w="1286" w:type="pct"/>
                  <w:tcBorders>
                    <w:tl2br w:val="nil"/>
                    <w:tr2bl w:val="nil"/>
                  </w:tcBorders>
                  <w:noWrap w:val="0"/>
                  <w:vAlign w:val="center"/>
                </w:tcPr>
                <w:p w14:paraId="265A80A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主体材质：SS304</w:t>
                  </w:r>
                </w:p>
              </w:tc>
              <w:tc>
                <w:tcPr>
                  <w:tcW w:w="381" w:type="pct"/>
                  <w:tcBorders>
                    <w:tl2br w:val="nil"/>
                    <w:tr2bl w:val="nil"/>
                  </w:tcBorders>
                  <w:noWrap w:val="0"/>
                  <w:vAlign w:val="center"/>
                </w:tcPr>
                <w:p w14:paraId="00EB3DF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4641F1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0BD6C1D5">
                  <w:pPr>
                    <w:pStyle w:val="88"/>
                    <w:keepNext w:val="0"/>
                    <w:keepLines w:val="0"/>
                    <w:pageBreakBefore w:val="0"/>
                    <w:widowControl w:val="0"/>
                    <w:numPr>
                      <w:ilvl w:val="0"/>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76E6F6E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冷端增压透平膨胀机</w:t>
                  </w:r>
                </w:p>
              </w:tc>
              <w:tc>
                <w:tcPr>
                  <w:tcW w:w="1940" w:type="pct"/>
                  <w:gridSpan w:val="2"/>
                  <w:tcBorders>
                    <w:tl2br w:val="nil"/>
                    <w:tr2bl w:val="nil"/>
                  </w:tcBorders>
                  <w:noWrap w:val="0"/>
                  <w:vAlign w:val="center"/>
                </w:tcPr>
                <w:p w14:paraId="2BF3D2B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介质：氮气、膨胀端：流量：49120Nm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进口压力：~66.17bar.A、出口压力：5.31bar.A、进口温度：178.44K、增压端：流量：69215Nm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/h、进口压力：~46.38bar.A、出口压力：~66.65bar.A</w:t>
                  </w:r>
                </w:p>
                <w:p w14:paraId="6CA6AEB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进口温度：~310.15K</w:t>
                  </w:r>
                </w:p>
              </w:tc>
              <w:tc>
                <w:tcPr>
                  <w:tcW w:w="1286" w:type="pct"/>
                  <w:tcBorders>
                    <w:tl2br w:val="nil"/>
                    <w:tr2bl w:val="nil"/>
                  </w:tcBorders>
                  <w:noWrap w:val="0"/>
                  <w:vAlign w:val="center"/>
                </w:tcPr>
                <w:p w14:paraId="5B3A387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主体材质：合金钢/不锈钢</w:t>
                  </w:r>
                </w:p>
              </w:tc>
              <w:tc>
                <w:tcPr>
                  <w:tcW w:w="381" w:type="pct"/>
                  <w:tcBorders>
                    <w:tl2br w:val="nil"/>
                    <w:tr2bl w:val="nil"/>
                  </w:tcBorders>
                  <w:noWrap w:val="0"/>
                  <w:vAlign w:val="center"/>
                </w:tcPr>
                <w:p w14:paraId="752B5C99">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72FE2E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1A83C11B">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313031A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冷机后冷却器</w:t>
                  </w:r>
                </w:p>
              </w:tc>
              <w:tc>
                <w:tcPr>
                  <w:tcW w:w="1940" w:type="pct"/>
                  <w:gridSpan w:val="2"/>
                  <w:tcBorders>
                    <w:tl2br w:val="nil"/>
                    <w:tr2bl w:val="nil"/>
                  </w:tcBorders>
                  <w:noWrap w:val="0"/>
                  <w:vAlign w:val="center"/>
                </w:tcPr>
                <w:p w14:paraId="2BF0504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型式：管壳式换热器、容器类别：Ⅱ类压力容器、管程：介质：氮气、流量：69215Nm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/h、设计压力：7.5MPa</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设计温度：120℃、壳程：介质：水流量：129m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/h、设计压力：0.6MPa、设计温度：70℃</w:t>
                  </w:r>
                </w:p>
              </w:tc>
              <w:tc>
                <w:tcPr>
                  <w:tcW w:w="1286" w:type="pct"/>
                  <w:tcBorders>
                    <w:tl2br w:val="nil"/>
                    <w:tr2bl w:val="nil"/>
                  </w:tcBorders>
                  <w:noWrap w:val="0"/>
                  <w:vAlign w:val="center"/>
                </w:tcPr>
                <w:p w14:paraId="2BB1E7C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主体材质：Q345R/20</w:t>
                  </w:r>
                  <w:r>
                    <w:rPr>
                      <w:rFonts w:hint="eastAsia" w:cs="Times New Roman"/>
                      <w:color w:val="auto"/>
                      <w:sz w:val="18"/>
                      <w:szCs w:val="18"/>
                      <w:lang w:eastAsia="zh-CN"/>
                    </w:rPr>
                    <w:t>Ⅱ</w:t>
                  </w:r>
                </w:p>
                <w:p w14:paraId="7B80D93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换热管：不锈钢</w:t>
                  </w:r>
                </w:p>
                <w:p w14:paraId="6B5BD74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6BBD1CD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φ850mm，L=6721mm</w:t>
                  </w:r>
                </w:p>
              </w:tc>
              <w:tc>
                <w:tcPr>
                  <w:tcW w:w="381" w:type="pct"/>
                  <w:tcBorders>
                    <w:tl2br w:val="nil"/>
                    <w:tr2bl w:val="nil"/>
                  </w:tcBorders>
                  <w:noWrap w:val="0"/>
                  <w:vAlign w:val="center"/>
                </w:tcPr>
                <w:p w14:paraId="1BE253E5">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7E35C0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7BE98683">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5F5394E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低温增压端入口过滤器</w:t>
                  </w:r>
                </w:p>
              </w:tc>
              <w:tc>
                <w:tcPr>
                  <w:tcW w:w="1940" w:type="pct"/>
                  <w:gridSpan w:val="2"/>
                  <w:tcBorders>
                    <w:tl2br w:val="nil"/>
                    <w:tr2bl w:val="nil"/>
                  </w:tcBorders>
                  <w:noWrap w:val="0"/>
                  <w:vAlign w:val="center"/>
                </w:tcPr>
                <w:p w14:paraId="3554582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型式：锥形过滤器、介质：氮气、处理流量：69215Nm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/h、设计温度：65℃、设计压力：5.3MPa</w:t>
                  </w:r>
                </w:p>
              </w:tc>
              <w:tc>
                <w:tcPr>
                  <w:tcW w:w="1286" w:type="pct"/>
                  <w:tcBorders>
                    <w:tl2br w:val="nil"/>
                    <w:tr2bl w:val="nil"/>
                  </w:tcBorders>
                  <w:noWrap w:val="0"/>
                  <w:vAlign w:val="center"/>
                </w:tcPr>
                <w:p w14:paraId="0B43F32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主体材质：20</w:t>
                  </w:r>
                  <w:r>
                    <w:rPr>
                      <w:rFonts w:hint="eastAsia" w:cs="Times New Roman"/>
                      <w:color w:val="auto"/>
                      <w:sz w:val="18"/>
                      <w:szCs w:val="18"/>
                      <w:lang w:eastAsia="zh-CN"/>
                    </w:rPr>
                    <w:t>Ⅱ</w:t>
                  </w:r>
                </w:p>
                <w:p w14:paraId="5D9D6F7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滤网：SS304</w:t>
                  </w:r>
                </w:p>
              </w:tc>
              <w:tc>
                <w:tcPr>
                  <w:tcW w:w="381" w:type="pct"/>
                  <w:tcBorders>
                    <w:tl2br w:val="nil"/>
                    <w:tr2bl w:val="nil"/>
                  </w:tcBorders>
                  <w:noWrap w:val="0"/>
                  <w:vAlign w:val="center"/>
                </w:tcPr>
                <w:p w14:paraId="451EEDD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44EC07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0AAC2323">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2C79B1D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低温膨胀端入口过滤器</w:t>
                  </w:r>
                </w:p>
              </w:tc>
              <w:tc>
                <w:tcPr>
                  <w:tcW w:w="1940" w:type="pct"/>
                  <w:gridSpan w:val="2"/>
                  <w:tcBorders>
                    <w:tl2br w:val="nil"/>
                    <w:tr2bl w:val="nil"/>
                  </w:tcBorders>
                  <w:noWrap w:val="0"/>
                  <w:vAlign w:val="center"/>
                </w:tcPr>
                <w:p w14:paraId="55B6218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型式：锥形过滤器、介质：氮气、处理流量：49120Nm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/h、设计温度：-196/+65℃、设计压力：7.5MPa</w:t>
                  </w:r>
                </w:p>
              </w:tc>
              <w:tc>
                <w:tcPr>
                  <w:tcW w:w="1286" w:type="pct"/>
                  <w:tcBorders>
                    <w:tl2br w:val="nil"/>
                    <w:tr2bl w:val="nil"/>
                  </w:tcBorders>
                  <w:noWrap w:val="0"/>
                  <w:vAlign w:val="center"/>
                </w:tcPr>
                <w:p w14:paraId="50CFC4A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主体材质：SS304</w:t>
                  </w:r>
                </w:p>
              </w:tc>
              <w:tc>
                <w:tcPr>
                  <w:tcW w:w="381" w:type="pct"/>
                  <w:tcBorders>
                    <w:tl2br w:val="nil"/>
                    <w:tr2bl w:val="nil"/>
                  </w:tcBorders>
                  <w:noWrap w:val="0"/>
                  <w:vAlign w:val="center"/>
                </w:tcPr>
                <w:p w14:paraId="053C0FB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5C3824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58" w:hRule="atLeast"/>
              </w:trPr>
              <w:tc>
                <w:tcPr>
                  <w:tcW w:w="324" w:type="pct"/>
                  <w:tcBorders>
                    <w:tl2br w:val="nil"/>
                    <w:tr2bl w:val="nil"/>
                  </w:tcBorders>
                  <w:noWrap w:val="0"/>
                  <w:vAlign w:val="center"/>
                </w:tcPr>
                <w:p w14:paraId="03C276EF">
                  <w:pPr>
                    <w:pStyle w:val="88"/>
                    <w:keepNext w:val="0"/>
                    <w:keepLines w:val="0"/>
                    <w:pageBreakBefore w:val="0"/>
                    <w:widowControl w:val="0"/>
                    <w:numPr>
                      <w:ilvl w:val="0"/>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206C32A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KDONAr-6640Y/10300Y/220Y冷箱</w:t>
                  </w:r>
                  <w:r>
                    <w:rPr>
                      <w:rFonts w:hint="eastAsia" w:cs="Times New Roman"/>
                      <w:color w:val="auto"/>
                      <w:sz w:val="18"/>
                      <w:szCs w:val="18"/>
                      <w:lang w:eastAsia="zh-CN"/>
                    </w:rPr>
                    <w:t>（</w:t>
                  </w:r>
                  <w:r>
                    <w:rPr>
                      <w:rFonts w:hint="eastAsia" w:cs="Times New Roman"/>
                      <w:color w:val="auto"/>
                      <w:sz w:val="18"/>
                      <w:szCs w:val="18"/>
                      <w:lang w:val="en-US" w:eastAsia="zh-CN"/>
                    </w:rPr>
                    <w:t>分馏塔</w:t>
                  </w:r>
                  <w:r>
                    <w:rPr>
                      <w:rFonts w:hint="eastAsia" w:cs="Times New Roman"/>
                      <w:color w:val="auto"/>
                      <w:sz w:val="18"/>
                      <w:szCs w:val="18"/>
                      <w:lang w:eastAsia="zh-CN"/>
                    </w:rPr>
                    <w:t>）</w:t>
                  </w:r>
                </w:p>
              </w:tc>
              <w:tc>
                <w:tcPr>
                  <w:tcW w:w="1940" w:type="pct"/>
                  <w:gridSpan w:val="2"/>
                  <w:tcBorders>
                    <w:tl2br w:val="nil"/>
                    <w:tr2bl w:val="nil"/>
                  </w:tcBorders>
                  <w:noWrap w:val="0"/>
                  <w:vAlign w:val="center"/>
                </w:tcPr>
                <w:p w14:paraId="6EE2217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p>
              </w:tc>
              <w:tc>
                <w:tcPr>
                  <w:tcW w:w="1286" w:type="pct"/>
                  <w:tcBorders>
                    <w:tl2br w:val="nil"/>
                    <w:tr2bl w:val="nil"/>
                  </w:tcBorders>
                  <w:noWrap w:val="0"/>
                  <w:vAlign w:val="center"/>
                </w:tcPr>
                <w:p w14:paraId="3B10C4C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主冷箱：</w:t>
                  </w:r>
                </w:p>
                <w:p w14:paraId="4EFDFB9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4100×5500×53000mm</w:t>
                  </w:r>
                </w:p>
                <w:p w14:paraId="5672C31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换热器冷箱：</w:t>
                  </w:r>
                </w:p>
                <w:p w14:paraId="3313942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4100×6100×13000mm</w:t>
                  </w:r>
                </w:p>
              </w:tc>
              <w:tc>
                <w:tcPr>
                  <w:tcW w:w="381" w:type="pct"/>
                  <w:tcBorders>
                    <w:tl2br w:val="nil"/>
                    <w:tr2bl w:val="nil"/>
                  </w:tcBorders>
                  <w:noWrap w:val="0"/>
                  <w:vAlign w:val="center"/>
                </w:tcPr>
                <w:p w14:paraId="2C5BD4A5">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60F625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25DB3DE1">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66EDA9F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主换热器</w:t>
                  </w:r>
                </w:p>
              </w:tc>
              <w:tc>
                <w:tcPr>
                  <w:tcW w:w="1940" w:type="pct"/>
                  <w:gridSpan w:val="2"/>
                  <w:tcBorders>
                    <w:tl2br w:val="nil"/>
                    <w:tr2bl w:val="nil"/>
                  </w:tcBorders>
                  <w:noWrap w:val="0"/>
                  <w:vAlign w:val="center"/>
                </w:tcPr>
                <w:p w14:paraId="61ACDBF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型式：铝制板翅式、容器类别：第</w:t>
                  </w:r>
                  <w:r>
                    <w:rPr>
                      <w:rFonts w:hint="eastAsia" w:cs="Times New Roman"/>
                      <w:color w:val="auto"/>
                      <w:sz w:val="18"/>
                      <w:szCs w:val="18"/>
                      <w:lang w:eastAsia="zh-CN"/>
                    </w:rPr>
                    <w:t>Ⅱ</w:t>
                  </w:r>
                  <w:r>
                    <w:rPr>
                      <w:rFonts w:hint="default" w:ascii="Times New Roman" w:hAnsi="Times New Roman" w:eastAsia="宋体" w:cs="Times New Roman"/>
                      <w:color w:val="auto"/>
                      <w:sz w:val="18"/>
                      <w:szCs w:val="18"/>
                      <w:lang w:eastAsia="zh-CN"/>
                    </w:rPr>
                    <w:t>类、设计温度：-196/+65℃、设计压力：A高压氮气7.5MPa、B膨胀氮气0.7MPa、C中压氮气3.5MPa、D低压氮气0.3MPa、E污氮气0.3MPa、F原料空气0.7MPa</w:t>
                  </w:r>
                </w:p>
              </w:tc>
              <w:tc>
                <w:tcPr>
                  <w:tcW w:w="1286" w:type="pct"/>
                  <w:tcBorders>
                    <w:tl2br w:val="nil"/>
                    <w:tr2bl w:val="nil"/>
                  </w:tcBorders>
                  <w:noWrap w:val="0"/>
                  <w:vAlign w:val="center"/>
                </w:tcPr>
                <w:p w14:paraId="681FA57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主体材质：5083，3003</w:t>
                  </w:r>
                </w:p>
                <w:p w14:paraId="7B20411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24787A4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1300×1673×7530mm</w:t>
                  </w:r>
                </w:p>
              </w:tc>
              <w:tc>
                <w:tcPr>
                  <w:tcW w:w="381" w:type="pct"/>
                  <w:tcBorders>
                    <w:tl2br w:val="nil"/>
                    <w:tr2bl w:val="nil"/>
                  </w:tcBorders>
                  <w:noWrap w:val="0"/>
                  <w:vAlign w:val="center"/>
                </w:tcPr>
                <w:p w14:paraId="78B4C53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4</w:t>
                  </w:r>
                </w:p>
              </w:tc>
            </w:tr>
            <w:tr w14:paraId="01CE5E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45295401">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4E4710B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上塔</w:t>
                  </w:r>
                </w:p>
              </w:tc>
              <w:tc>
                <w:tcPr>
                  <w:tcW w:w="1940" w:type="pct"/>
                  <w:gridSpan w:val="2"/>
                  <w:tcBorders>
                    <w:tl2br w:val="nil"/>
                    <w:tr2bl w:val="nil"/>
                  </w:tcBorders>
                  <w:noWrap w:val="0"/>
                  <w:vAlign w:val="center"/>
                </w:tcPr>
                <w:p w14:paraId="179C6D0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型式：填料塔、容器类别：类外、设计温度：-196/+65℃、设计压力：0.3MPa</w:t>
                  </w:r>
                </w:p>
              </w:tc>
              <w:tc>
                <w:tcPr>
                  <w:tcW w:w="1286" w:type="pct"/>
                  <w:tcBorders>
                    <w:tl2br w:val="nil"/>
                    <w:tr2bl w:val="nil"/>
                  </w:tcBorders>
                  <w:noWrap w:val="0"/>
                  <w:vAlign w:val="center"/>
                </w:tcPr>
                <w:p w14:paraId="35225F5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w:t>
                  </w:r>
                </w:p>
                <w:p w14:paraId="24DDB9C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33E8E01B">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φ1500mm，H=~28240mm</w:t>
                  </w:r>
                </w:p>
              </w:tc>
              <w:tc>
                <w:tcPr>
                  <w:tcW w:w="381" w:type="pct"/>
                  <w:tcBorders>
                    <w:tl2br w:val="nil"/>
                    <w:tr2bl w:val="nil"/>
                  </w:tcBorders>
                  <w:noWrap w:val="0"/>
                  <w:vAlign w:val="center"/>
                </w:tcPr>
                <w:p w14:paraId="1ABB2C5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4DC11A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215CC5E9">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09C9716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下塔</w:t>
                  </w:r>
                </w:p>
              </w:tc>
              <w:tc>
                <w:tcPr>
                  <w:tcW w:w="1940" w:type="pct"/>
                  <w:gridSpan w:val="2"/>
                  <w:tcBorders>
                    <w:tl2br w:val="nil"/>
                    <w:tr2bl w:val="nil"/>
                  </w:tcBorders>
                  <w:noWrap w:val="0"/>
                  <w:vAlign w:val="center"/>
                </w:tcPr>
                <w:p w14:paraId="69D5438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型式：填料塔、容器类别：第</w:t>
                  </w:r>
                  <w:r>
                    <w:rPr>
                      <w:rFonts w:hint="eastAsia" w:cs="Times New Roman"/>
                      <w:color w:val="auto"/>
                      <w:sz w:val="18"/>
                      <w:szCs w:val="18"/>
                      <w:lang w:eastAsia="zh-CN"/>
                    </w:rPr>
                    <w:t>Ⅱ</w:t>
                  </w:r>
                  <w:r>
                    <w:rPr>
                      <w:rFonts w:hint="default" w:ascii="Times New Roman" w:hAnsi="Times New Roman" w:eastAsia="宋体" w:cs="Times New Roman"/>
                      <w:color w:val="auto"/>
                      <w:sz w:val="18"/>
                      <w:szCs w:val="18"/>
                      <w:lang w:eastAsia="zh-CN"/>
                    </w:rPr>
                    <w:t>类、设计温度：-196/+65℃、设计压力：0.7MPa</w:t>
                  </w:r>
                </w:p>
              </w:tc>
              <w:tc>
                <w:tcPr>
                  <w:tcW w:w="1286" w:type="pct"/>
                  <w:tcBorders>
                    <w:tl2br w:val="nil"/>
                    <w:tr2bl w:val="nil"/>
                  </w:tcBorders>
                  <w:noWrap w:val="0"/>
                  <w:vAlign w:val="center"/>
                </w:tcPr>
                <w:p w14:paraId="1336A2E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w:t>
                  </w:r>
                </w:p>
                <w:p w14:paraId="67FF15A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4A512C3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φ1600mm，H=~14250mm</w:t>
                  </w:r>
                </w:p>
              </w:tc>
              <w:tc>
                <w:tcPr>
                  <w:tcW w:w="381" w:type="pct"/>
                  <w:tcBorders>
                    <w:tl2br w:val="nil"/>
                    <w:tr2bl w:val="nil"/>
                  </w:tcBorders>
                  <w:noWrap w:val="0"/>
                  <w:vAlign w:val="center"/>
                </w:tcPr>
                <w:p w14:paraId="163BA19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4B96D8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542" w:hRule="atLeast"/>
              </w:trPr>
              <w:tc>
                <w:tcPr>
                  <w:tcW w:w="324" w:type="pct"/>
                  <w:tcBorders>
                    <w:tl2br w:val="nil"/>
                    <w:tr2bl w:val="nil"/>
                  </w:tcBorders>
                  <w:noWrap w:val="0"/>
                  <w:vAlign w:val="center"/>
                </w:tcPr>
                <w:p w14:paraId="2AA3EA7C">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4685656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主冷</w:t>
                  </w:r>
                </w:p>
              </w:tc>
              <w:tc>
                <w:tcPr>
                  <w:tcW w:w="1940" w:type="pct"/>
                  <w:gridSpan w:val="2"/>
                  <w:tcBorders>
                    <w:tl2br w:val="nil"/>
                    <w:tr2bl w:val="nil"/>
                  </w:tcBorders>
                  <w:noWrap w:val="0"/>
                  <w:vAlign w:val="center"/>
                </w:tcPr>
                <w:p w14:paraId="10A7EB1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容器类别：第</w:t>
                  </w:r>
                  <w:r>
                    <w:rPr>
                      <w:rFonts w:hint="eastAsia" w:cs="Times New Roman"/>
                      <w:color w:val="auto"/>
                      <w:sz w:val="18"/>
                      <w:szCs w:val="18"/>
                      <w:lang w:eastAsia="zh-CN"/>
                    </w:rPr>
                    <w:t>Ⅱ</w:t>
                  </w:r>
                  <w:r>
                    <w:rPr>
                      <w:rFonts w:hint="default" w:ascii="Times New Roman" w:hAnsi="Times New Roman" w:eastAsia="宋体" w:cs="Times New Roman"/>
                      <w:color w:val="auto"/>
                      <w:sz w:val="18"/>
                      <w:szCs w:val="18"/>
                      <w:lang w:eastAsia="zh-CN"/>
                    </w:rPr>
                    <w:t>类、设计压力：0.3/0.7Mpa、设计温度：-196/+65℃</w:t>
                  </w:r>
                </w:p>
              </w:tc>
              <w:tc>
                <w:tcPr>
                  <w:tcW w:w="1286" w:type="pct"/>
                  <w:tcBorders>
                    <w:tl2br w:val="nil"/>
                    <w:tr2bl w:val="nil"/>
                  </w:tcBorders>
                  <w:noWrap w:val="0"/>
                  <w:vAlign w:val="center"/>
                </w:tcPr>
                <w:p w14:paraId="61B4A8E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w:t>
                  </w:r>
                </w:p>
                <w:p w14:paraId="26E4E46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290D078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φ1600/2000/1500mm</w:t>
                  </w:r>
                </w:p>
                <w:p w14:paraId="79CC466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H=5825mm</w:t>
                  </w:r>
                </w:p>
              </w:tc>
              <w:tc>
                <w:tcPr>
                  <w:tcW w:w="381" w:type="pct"/>
                  <w:tcBorders>
                    <w:tl2br w:val="nil"/>
                    <w:tr2bl w:val="nil"/>
                  </w:tcBorders>
                  <w:noWrap w:val="0"/>
                  <w:vAlign w:val="center"/>
                </w:tcPr>
                <w:p w14:paraId="0A1D325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695552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05A62C39">
                  <w:pPr>
                    <w:pStyle w:val="88"/>
                    <w:keepNext w:val="0"/>
                    <w:keepLines w:val="0"/>
                    <w:pageBreakBefore w:val="0"/>
                    <w:widowControl w:val="0"/>
                    <w:numPr>
                      <w:ilvl w:val="2"/>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2BCD6C2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主冷凝蒸发器板式单元</w:t>
                  </w:r>
                </w:p>
              </w:tc>
              <w:tc>
                <w:tcPr>
                  <w:tcW w:w="1940" w:type="pct"/>
                  <w:gridSpan w:val="2"/>
                  <w:tcBorders>
                    <w:tl2br w:val="nil"/>
                    <w:tr2bl w:val="nil"/>
                  </w:tcBorders>
                  <w:noWrap w:val="0"/>
                  <w:vAlign w:val="center"/>
                </w:tcPr>
                <w:p w14:paraId="26DB2AF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型式：铝制板翅式、容器类别：第</w:t>
                  </w:r>
                  <w:r>
                    <w:rPr>
                      <w:rFonts w:hint="eastAsia" w:cs="Times New Roman"/>
                      <w:color w:val="auto"/>
                      <w:sz w:val="18"/>
                      <w:szCs w:val="18"/>
                      <w:lang w:eastAsia="zh-CN"/>
                    </w:rPr>
                    <w:t>Ⅱ</w:t>
                  </w:r>
                  <w:r>
                    <w:rPr>
                      <w:rFonts w:hint="default" w:ascii="Times New Roman" w:hAnsi="Times New Roman" w:eastAsia="宋体" w:cs="Times New Roman"/>
                      <w:color w:val="auto"/>
                      <w:sz w:val="18"/>
                      <w:szCs w:val="18"/>
                      <w:lang w:eastAsia="zh-CN"/>
                    </w:rPr>
                    <w:t>类、设计温度：-196/+65℃、设计压力：A氮气0.7MPa、B液氧0.3MPa</w:t>
                  </w:r>
                </w:p>
              </w:tc>
              <w:tc>
                <w:tcPr>
                  <w:tcW w:w="1286" w:type="pct"/>
                  <w:tcBorders>
                    <w:tl2br w:val="nil"/>
                    <w:tr2bl w:val="nil"/>
                  </w:tcBorders>
                  <w:noWrap w:val="0"/>
                  <w:vAlign w:val="center"/>
                </w:tcPr>
                <w:p w14:paraId="4EE5FB2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主体材质：5083，3003</w:t>
                  </w:r>
                </w:p>
                <w:p w14:paraId="7EE9ED6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2672405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1100×1263×1800mm</w:t>
                  </w:r>
                </w:p>
              </w:tc>
              <w:tc>
                <w:tcPr>
                  <w:tcW w:w="381" w:type="pct"/>
                  <w:tcBorders>
                    <w:tl2br w:val="nil"/>
                    <w:tr2bl w:val="nil"/>
                  </w:tcBorders>
                  <w:noWrap w:val="0"/>
                  <w:vAlign w:val="center"/>
                </w:tcPr>
                <w:p w14:paraId="478450E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7E9772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5F0D8F58">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24D9A16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过冷器</w:t>
                  </w:r>
                </w:p>
              </w:tc>
              <w:tc>
                <w:tcPr>
                  <w:tcW w:w="1940" w:type="pct"/>
                  <w:gridSpan w:val="2"/>
                  <w:tcBorders>
                    <w:tl2br w:val="nil"/>
                    <w:tr2bl w:val="nil"/>
                  </w:tcBorders>
                  <w:noWrap w:val="0"/>
                  <w:vAlign w:val="center"/>
                </w:tcPr>
                <w:p w14:paraId="2746F8E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型式：铝制板翅式、容器类别：第</w:t>
                  </w:r>
                  <w:r>
                    <w:rPr>
                      <w:rFonts w:hint="eastAsia" w:cs="Times New Roman"/>
                      <w:color w:val="auto"/>
                      <w:sz w:val="18"/>
                      <w:szCs w:val="18"/>
                      <w:lang w:eastAsia="zh-CN"/>
                    </w:rPr>
                    <w:t>Ⅱ</w:t>
                  </w:r>
                  <w:r>
                    <w:rPr>
                      <w:rFonts w:hint="default" w:ascii="Times New Roman" w:hAnsi="Times New Roman" w:eastAsia="宋体" w:cs="Times New Roman"/>
                      <w:color w:val="auto"/>
                      <w:sz w:val="18"/>
                      <w:szCs w:val="18"/>
                      <w:lang w:eastAsia="zh-CN"/>
                    </w:rPr>
                    <w:t>类、设计温度：-196/+65℃、设计压力：D污氮气0.3MPa、E低压氮气0.3MPa、其他通道0.7MPa</w:t>
                  </w:r>
                </w:p>
              </w:tc>
              <w:tc>
                <w:tcPr>
                  <w:tcW w:w="1286" w:type="pct"/>
                  <w:tcBorders>
                    <w:tl2br w:val="nil"/>
                    <w:tr2bl w:val="nil"/>
                  </w:tcBorders>
                  <w:noWrap w:val="0"/>
                  <w:vAlign w:val="center"/>
                </w:tcPr>
                <w:p w14:paraId="4497DE0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主体材质：5083，3003</w:t>
                  </w:r>
                </w:p>
                <w:p w14:paraId="44461FD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10C379F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900×1001×~1500mm</w:t>
                  </w:r>
                </w:p>
              </w:tc>
              <w:tc>
                <w:tcPr>
                  <w:tcW w:w="381" w:type="pct"/>
                  <w:tcBorders>
                    <w:tl2br w:val="nil"/>
                    <w:tr2bl w:val="nil"/>
                  </w:tcBorders>
                  <w:noWrap w:val="0"/>
                  <w:vAlign w:val="center"/>
                </w:tcPr>
                <w:p w14:paraId="1789F81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52FF7D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01C8D7EC">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2035365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粗氩塔Ⅰ</w:t>
                  </w:r>
                </w:p>
              </w:tc>
              <w:tc>
                <w:tcPr>
                  <w:tcW w:w="1940" w:type="pct"/>
                  <w:gridSpan w:val="2"/>
                  <w:tcBorders>
                    <w:tl2br w:val="nil"/>
                    <w:tr2bl w:val="nil"/>
                  </w:tcBorders>
                  <w:noWrap w:val="0"/>
                  <w:vAlign w:val="center"/>
                </w:tcPr>
                <w:p w14:paraId="3EE1D2E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型式：填料塔、容器类别：类外、设计温度：-196/+65℃、设计压力：0.3MPa</w:t>
                  </w:r>
                </w:p>
              </w:tc>
              <w:tc>
                <w:tcPr>
                  <w:tcW w:w="1286" w:type="pct"/>
                  <w:tcBorders>
                    <w:tl2br w:val="nil"/>
                    <w:tr2bl w:val="nil"/>
                  </w:tcBorders>
                  <w:noWrap w:val="0"/>
                  <w:vAlign w:val="center"/>
                </w:tcPr>
                <w:p w14:paraId="4FAF0DE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w:t>
                  </w:r>
                </w:p>
                <w:p w14:paraId="228CB28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01E0770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φ1000mm，H=~15200mm</w:t>
                  </w:r>
                </w:p>
              </w:tc>
              <w:tc>
                <w:tcPr>
                  <w:tcW w:w="381" w:type="pct"/>
                  <w:tcBorders>
                    <w:tl2br w:val="nil"/>
                    <w:tr2bl w:val="nil"/>
                  </w:tcBorders>
                  <w:noWrap w:val="0"/>
                  <w:vAlign w:val="center"/>
                </w:tcPr>
                <w:p w14:paraId="40F3726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08ABF7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52" w:hRule="atLeast"/>
              </w:trPr>
              <w:tc>
                <w:tcPr>
                  <w:tcW w:w="324" w:type="pct"/>
                  <w:tcBorders>
                    <w:tl2br w:val="nil"/>
                    <w:tr2bl w:val="nil"/>
                  </w:tcBorders>
                  <w:noWrap w:val="0"/>
                  <w:vAlign w:val="center"/>
                </w:tcPr>
                <w:p w14:paraId="5446219B">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290FACC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粗氩塔Ⅱ（含冷凝器）</w:t>
                  </w:r>
                </w:p>
              </w:tc>
              <w:tc>
                <w:tcPr>
                  <w:tcW w:w="1940" w:type="pct"/>
                  <w:gridSpan w:val="2"/>
                  <w:tcBorders>
                    <w:tl2br w:val="nil"/>
                    <w:tr2bl w:val="nil"/>
                  </w:tcBorders>
                  <w:noWrap w:val="0"/>
                  <w:vAlign w:val="center"/>
                </w:tcPr>
                <w:p w14:paraId="5F70608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型式：填料塔、容器类别：类外、设计温度：-196/+65℃、设计压力：0.3Mpa</w:t>
                  </w:r>
                </w:p>
              </w:tc>
              <w:tc>
                <w:tcPr>
                  <w:tcW w:w="1286" w:type="pct"/>
                  <w:tcBorders>
                    <w:tl2br w:val="nil"/>
                    <w:tr2bl w:val="nil"/>
                  </w:tcBorders>
                  <w:noWrap w:val="0"/>
                  <w:vAlign w:val="center"/>
                </w:tcPr>
                <w:p w14:paraId="6146B6D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w:t>
                  </w:r>
                </w:p>
                <w:p w14:paraId="682C3EF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790AFA2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φ1400mm/1000mm</w:t>
                  </w:r>
                </w:p>
                <w:p w14:paraId="363170F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H=43495mm</w:t>
                  </w:r>
                </w:p>
              </w:tc>
              <w:tc>
                <w:tcPr>
                  <w:tcW w:w="381" w:type="pct"/>
                  <w:tcBorders>
                    <w:tl2br w:val="nil"/>
                    <w:tr2bl w:val="nil"/>
                  </w:tcBorders>
                  <w:noWrap w:val="0"/>
                  <w:vAlign w:val="center"/>
                </w:tcPr>
                <w:p w14:paraId="4BBF072F">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553151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4EFD4AA0">
                  <w:pPr>
                    <w:pStyle w:val="88"/>
                    <w:keepNext w:val="0"/>
                    <w:keepLines w:val="0"/>
                    <w:pageBreakBefore w:val="0"/>
                    <w:widowControl w:val="0"/>
                    <w:numPr>
                      <w:ilvl w:val="2"/>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2454F96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粗氩冷凝器</w:t>
                  </w:r>
                </w:p>
              </w:tc>
              <w:tc>
                <w:tcPr>
                  <w:tcW w:w="1940" w:type="pct"/>
                  <w:gridSpan w:val="2"/>
                  <w:tcBorders>
                    <w:tl2br w:val="nil"/>
                    <w:tr2bl w:val="nil"/>
                  </w:tcBorders>
                  <w:noWrap w:val="0"/>
                  <w:vAlign w:val="center"/>
                </w:tcPr>
                <w:p w14:paraId="717AF6F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容器类别：类外、设计温度：-196/+65℃、设计压力：0.3MPa</w:t>
                  </w:r>
                </w:p>
              </w:tc>
              <w:tc>
                <w:tcPr>
                  <w:tcW w:w="1286" w:type="pct"/>
                  <w:tcBorders>
                    <w:tl2br w:val="nil"/>
                    <w:tr2bl w:val="nil"/>
                  </w:tcBorders>
                  <w:noWrap w:val="0"/>
                  <w:vAlign w:val="center"/>
                </w:tcPr>
                <w:p w14:paraId="3163DB7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w:t>
                  </w:r>
                </w:p>
              </w:tc>
              <w:tc>
                <w:tcPr>
                  <w:tcW w:w="381" w:type="pct"/>
                  <w:tcBorders>
                    <w:tl2br w:val="nil"/>
                    <w:tr2bl w:val="nil"/>
                  </w:tcBorders>
                  <w:noWrap w:val="0"/>
                  <w:vAlign w:val="center"/>
                </w:tcPr>
                <w:p w14:paraId="19013A3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6085A8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90" w:hRule="atLeast"/>
              </w:trPr>
              <w:tc>
                <w:tcPr>
                  <w:tcW w:w="324" w:type="pct"/>
                  <w:tcBorders>
                    <w:tl2br w:val="nil"/>
                    <w:tr2bl w:val="nil"/>
                  </w:tcBorders>
                  <w:noWrap w:val="0"/>
                  <w:vAlign w:val="center"/>
                </w:tcPr>
                <w:p w14:paraId="6282E456">
                  <w:pPr>
                    <w:pStyle w:val="88"/>
                    <w:keepNext w:val="0"/>
                    <w:keepLines w:val="0"/>
                    <w:pageBreakBefore w:val="0"/>
                    <w:widowControl w:val="0"/>
                    <w:numPr>
                      <w:ilvl w:val="3"/>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17789CE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粗氩冷凝器板式单元</w:t>
                  </w:r>
                </w:p>
              </w:tc>
              <w:tc>
                <w:tcPr>
                  <w:tcW w:w="1940" w:type="pct"/>
                  <w:gridSpan w:val="2"/>
                  <w:tcBorders>
                    <w:tl2br w:val="nil"/>
                    <w:tr2bl w:val="nil"/>
                  </w:tcBorders>
                  <w:noWrap w:val="0"/>
                  <w:vAlign w:val="center"/>
                </w:tcPr>
                <w:p w14:paraId="51C403B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型式：铝制板翅式、容器类别：类外</w:t>
                  </w:r>
                </w:p>
                <w:p w14:paraId="258E9D6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设计温度：-196/+65℃、设计压力：0.3Mpa</w:t>
                  </w:r>
                </w:p>
              </w:tc>
              <w:tc>
                <w:tcPr>
                  <w:tcW w:w="1286" w:type="pct"/>
                  <w:tcBorders>
                    <w:tl2br w:val="nil"/>
                    <w:tr2bl w:val="nil"/>
                  </w:tcBorders>
                  <w:noWrap w:val="0"/>
                  <w:vAlign w:val="center"/>
                </w:tcPr>
                <w:p w14:paraId="3E8C4F0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主体材质：5083，3003</w:t>
                  </w:r>
                </w:p>
                <w:p w14:paraId="7CE994B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4FEF0BF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750×930×1800</w:t>
                  </w:r>
                </w:p>
              </w:tc>
              <w:tc>
                <w:tcPr>
                  <w:tcW w:w="381" w:type="pct"/>
                  <w:tcBorders>
                    <w:tl2br w:val="nil"/>
                    <w:tr2bl w:val="nil"/>
                  </w:tcBorders>
                  <w:noWrap w:val="0"/>
                  <w:vAlign w:val="center"/>
                </w:tcPr>
                <w:p w14:paraId="6E0F0A6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27857D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86" w:hRule="atLeast"/>
              </w:trPr>
              <w:tc>
                <w:tcPr>
                  <w:tcW w:w="324" w:type="pct"/>
                  <w:tcBorders>
                    <w:tl2br w:val="nil"/>
                    <w:tr2bl w:val="nil"/>
                  </w:tcBorders>
                  <w:noWrap w:val="0"/>
                  <w:vAlign w:val="center"/>
                </w:tcPr>
                <w:p w14:paraId="4E246D54">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0D7CF98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纯氩塔（含冷凝器）</w:t>
                  </w:r>
                </w:p>
              </w:tc>
              <w:tc>
                <w:tcPr>
                  <w:tcW w:w="1940" w:type="pct"/>
                  <w:gridSpan w:val="2"/>
                  <w:tcBorders>
                    <w:tl2br w:val="nil"/>
                    <w:tr2bl w:val="nil"/>
                  </w:tcBorders>
                  <w:noWrap w:val="0"/>
                  <w:vAlign w:val="center"/>
                </w:tcPr>
                <w:p w14:paraId="2CF6D9D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型式：填料塔、容器类别：类外、设计温度：-196/+65℃、设计压力：0.3MPa</w:t>
                  </w:r>
                </w:p>
              </w:tc>
              <w:tc>
                <w:tcPr>
                  <w:tcW w:w="1286" w:type="pct"/>
                  <w:tcBorders>
                    <w:tl2br w:val="nil"/>
                    <w:tr2bl w:val="nil"/>
                  </w:tcBorders>
                  <w:noWrap w:val="0"/>
                  <w:vAlign w:val="center"/>
                </w:tcPr>
                <w:p w14:paraId="6FC5984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w:t>
                  </w:r>
                </w:p>
                <w:p w14:paraId="66559E4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14221AD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φ600mm/φ324×12</w:t>
                  </w:r>
                </w:p>
                <w:p w14:paraId="543DDF2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H=17400mm</w:t>
                  </w:r>
                </w:p>
              </w:tc>
              <w:tc>
                <w:tcPr>
                  <w:tcW w:w="381" w:type="pct"/>
                  <w:tcBorders>
                    <w:tl2br w:val="nil"/>
                    <w:tr2bl w:val="nil"/>
                  </w:tcBorders>
                  <w:noWrap w:val="0"/>
                  <w:vAlign w:val="center"/>
                </w:tcPr>
                <w:p w14:paraId="660CF79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12627F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5679446E">
                  <w:pPr>
                    <w:pStyle w:val="88"/>
                    <w:keepNext w:val="0"/>
                    <w:keepLines w:val="0"/>
                    <w:pageBreakBefore w:val="0"/>
                    <w:widowControl w:val="0"/>
                    <w:numPr>
                      <w:ilvl w:val="2"/>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179F619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纯氩冷凝器</w:t>
                  </w:r>
                </w:p>
              </w:tc>
              <w:tc>
                <w:tcPr>
                  <w:tcW w:w="1940" w:type="pct"/>
                  <w:gridSpan w:val="2"/>
                  <w:tcBorders>
                    <w:tl2br w:val="nil"/>
                    <w:tr2bl w:val="nil"/>
                  </w:tcBorders>
                  <w:noWrap w:val="0"/>
                  <w:vAlign w:val="center"/>
                </w:tcPr>
                <w:p w14:paraId="3E293D1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容器类别：类外、设计温度：-196/+65℃、设计压力：0.3MPa</w:t>
                  </w:r>
                </w:p>
              </w:tc>
              <w:tc>
                <w:tcPr>
                  <w:tcW w:w="1286" w:type="pct"/>
                  <w:tcBorders>
                    <w:tl2br w:val="nil"/>
                    <w:tr2bl w:val="nil"/>
                  </w:tcBorders>
                  <w:noWrap w:val="0"/>
                  <w:vAlign w:val="center"/>
                </w:tcPr>
                <w:p w14:paraId="4CA3360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w:t>
                  </w:r>
                </w:p>
              </w:tc>
              <w:tc>
                <w:tcPr>
                  <w:tcW w:w="381" w:type="pct"/>
                  <w:tcBorders>
                    <w:tl2br w:val="nil"/>
                    <w:tr2bl w:val="nil"/>
                  </w:tcBorders>
                  <w:noWrap w:val="0"/>
                  <w:vAlign w:val="center"/>
                </w:tcPr>
                <w:p w14:paraId="7B61280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55CF54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5167819C">
                  <w:pPr>
                    <w:pStyle w:val="88"/>
                    <w:keepNext w:val="0"/>
                    <w:keepLines w:val="0"/>
                    <w:pageBreakBefore w:val="0"/>
                    <w:widowControl w:val="0"/>
                    <w:numPr>
                      <w:ilvl w:val="3"/>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1D64DF7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纯氩冷凝器板式单元</w:t>
                  </w:r>
                </w:p>
              </w:tc>
              <w:tc>
                <w:tcPr>
                  <w:tcW w:w="1940" w:type="pct"/>
                  <w:gridSpan w:val="2"/>
                  <w:tcBorders>
                    <w:tl2br w:val="nil"/>
                    <w:tr2bl w:val="nil"/>
                  </w:tcBorders>
                  <w:noWrap w:val="0"/>
                  <w:vAlign w:val="center"/>
                </w:tcPr>
                <w:p w14:paraId="50DA78C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型式：铝制板翅式、容器类别：类外</w:t>
                  </w:r>
                </w:p>
                <w:p w14:paraId="39FFB30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设计温度：-196/+65℃、设计压力：0.3MPa</w:t>
                  </w:r>
                </w:p>
              </w:tc>
              <w:tc>
                <w:tcPr>
                  <w:tcW w:w="1286" w:type="pct"/>
                  <w:tcBorders>
                    <w:tl2br w:val="nil"/>
                    <w:tr2bl w:val="nil"/>
                  </w:tcBorders>
                  <w:noWrap w:val="0"/>
                  <w:vAlign w:val="center"/>
                </w:tcPr>
                <w:p w14:paraId="3E6EB82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主体材质：5083，3003</w:t>
                  </w:r>
                </w:p>
                <w:p w14:paraId="1811D43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28CF062B">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300×324×1000mm</w:t>
                  </w:r>
                </w:p>
              </w:tc>
              <w:tc>
                <w:tcPr>
                  <w:tcW w:w="381" w:type="pct"/>
                  <w:tcBorders>
                    <w:tl2br w:val="nil"/>
                    <w:tr2bl w:val="nil"/>
                  </w:tcBorders>
                  <w:noWrap w:val="0"/>
                  <w:vAlign w:val="center"/>
                </w:tcPr>
                <w:p w14:paraId="74A6F0E9">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35B0AD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1A4A58FE">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11E9DC1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纯氩蒸发器</w:t>
                  </w:r>
                </w:p>
              </w:tc>
              <w:tc>
                <w:tcPr>
                  <w:tcW w:w="1940" w:type="pct"/>
                  <w:gridSpan w:val="2"/>
                  <w:tcBorders>
                    <w:tl2br w:val="nil"/>
                    <w:tr2bl w:val="nil"/>
                  </w:tcBorders>
                  <w:noWrap w:val="0"/>
                  <w:vAlign w:val="center"/>
                </w:tcPr>
                <w:p w14:paraId="56A696B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型式：铝制板翅式、容器类别：类外</w:t>
                  </w:r>
                </w:p>
                <w:p w14:paraId="42489A1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设计温度：-196/+65℃、设计压力：</w:t>
                  </w:r>
                </w:p>
                <w:p w14:paraId="06812F4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A液空0.3MPa、B氩0.3MPa</w:t>
                  </w:r>
                </w:p>
              </w:tc>
              <w:tc>
                <w:tcPr>
                  <w:tcW w:w="1286" w:type="pct"/>
                  <w:tcBorders>
                    <w:tl2br w:val="nil"/>
                    <w:tr2bl w:val="nil"/>
                  </w:tcBorders>
                  <w:noWrap w:val="0"/>
                  <w:vAlign w:val="center"/>
                </w:tcPr>
                <w:p w14:paraId="3F87323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主体材质：5083，3003</w:t>
                  </w:r>
                </w:p>
                <w:p w14:paraId="7F3DD65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36E51B7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250×257×600mm</w:t>
                  </w:r>
                </w:p>
              </w:tc>
              <w:tc>
                <w:tcPr>
                  <w:tcW w:w="381" w:type="pct"/>
                  <w:tcBorders>
                    <w:tl2br w:val="nil"/>
                    <w:tr2bl w:val="nil"/>
                  </w:tcBorders>
                  <w:noWrap w:val="0"/>
                  <w:vAlign w:val="center"/>
                </w:tcPr>
                <w:p w14:paraId="4130E30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3E3A35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15134113">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0197D1F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工艺液氩泵</w:t>
                  </w:r>
                </w:p>
              </w:tc>
              <w:tc>
                <w:tcPr>
                  <w:tcW w:w="1940" w:type="pct"/>
                  <w:gridSpan w:val="2"/>
                  <w:tcBorders>
                    <w:tl2br w:val="nil"/>
                    <w:tr2bl w:val="nil"/>
                  </w:tcBorders>
                  <w:noWrap w:val="0"/>
                  <w:vAlign w:val="center"/>
                </w:tcPr>
                <w:p w14:paraId="3D4AB8F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型式：离心、变频、迷宫密封、流量：~220L/min、扬程：60m、轴功率/电机功率：5/11.2</w:t>
                  </w:r>
                  <w:r>
                    <w:rPr>
                      <w:rFonts w:hint="eastAsia" w:cs="Times New Roman"/>
                      <w:color w:val="auto"/>
                      <w:sz w:val="18"/>
                      <w:szCs w:val="18"/>
                      <w:lang w:eastAsia="zh-CN"/>
                    </w:rPr>
                    <w:t>kW</w:t>
                  </w:r>
                </w:p>
              </w:tc>
              <w:tc>
                <w:tcPr>
                  <w:tcW w:w="1286" w:type="pct"/>
                  <w:tcBorders>
                    <w:tl2br w:val="nil"/>
                    <w:tr2bl w:val="nil"/>
                  </w:tcBorders>
                  <w:noWrap w:val="0"/>
                  <w:vAlign w:val="center"/>
                </w:tcPr>
                <w:p w14:paraId="1D2B036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000000"/>
                      <w:sz w:val="18"/>
                      <w:szCs w:val="18"/>
                      <w:lang w:eastAsia="zh-CN"/>
                    </w:rPr>
                    <w:t>主体材质</w:t>
                  </w:r>
                  <w:r>
                    <w:rPr>
                      <w:rFonts w:hint="eastAsia" w:cs="Times New Roman"/>
                      <w:color w:val="000000"/>
                      <w:sz w:val="18"/>
                      <w:szCs w:val="18"/>
                      <w:lang w:eastAsia="zh-CN"/>
                    </w:rPr>
                    <w:t>：</w:t>
                  </w:r>
                  <w:r>
                    <w:rPr>
                      <w:rFonts w:hint="default" w:ascii="Times New Roman" w:hAnsi="Times New Roman" w:eastAsia="宋体" w:cs="Times New Roman"/>
                      <w:color w:val="000000"/>
                      <w:sz w:val="18"/>
                      <w:szCs w:val="18"/>
                      <w:lang w:eastAsia="zh-CN"/>
                    </w:rPr>
                    <w:t>铸铁</w:t>
                  </w:r>
                  <w:r>
                    <w:rPr>
                      <w:rFonts w:hint="eastAsia" w:cs="Times New Roman"/>
                      <w:color w:val="000000"/>
                      <w:sz w:val="18"/>
                      <w:szCs w:val="18"/>
                      <w:lang w:val="en-US" w:eastAsia="zh-CN"/>
                    </w:rPr>
                    <w:t>/不锈钢</w:t>
                  </w:r>
                </w:p>
              </w:tc>
              <w:tc>
                <w:tcPr>
                  <w:tcW w:w="381" w:type="pct"/>
                  <w:tcBorders>
                    <w:tl2br w:val="nil"/>
                    <w:tr2bl w:val="nil"/>
                  </w:tcBorders>
                  <w:noWrap w:val="0"/>
                  <w:vAlign w:val="center"/>
                </w:tcPr>
                <w:p w14:paraId="7381D08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w:t>
                  </w:r>
                </w:p>
              </w:tc>
            </w:tr>
            <w:tr w14:paraId="276231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61013EC1">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1DF63DD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高纯氧塔</w:t>
                  </w:r>
                </w:p>
              </w:tc>
              <w:tc>
                <w:tcPr>
                  <w:tcW w:w="1940" w:type="pct"/>
                  <w:gridSpan w:val="2"/>
                  <w:tcBorders>
                    <w:tl2br w:val="nil"/>
                    <w:tr2bl w:val="nil"/>
                  </w:tcBorders>
                  <w:noWrap w:val="0"/>
                  <w:vAlign w:val="center"/>
                </w:tcPr>
                <w:p w14:paraId="08FD0BF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型式：填料塔、容器类别：类外、设计温度：-196/+65℃、设计压力：0.3MPa</w:t>
                  </w:r>
                </w:p>
              </w:tc>
              <w:tc>
                <w:tcPr>
                  <w:tcW w:w="1286" w:type="pct"/>
                  <w:tcBorders>
                    <w:tl2br w:val="nil"/>
                    <w:tr2bl w:val="nil"/>
                  </w:tcBorders>
                  <w:noWrap w:val="0"/>
                  <w:vAlign w:val="center"/>
                </w:tcPr>
                <w:p w14:paraId="1673F8D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w:t>
                  </w:r>
                </w:p>
                <w:p w14:paraId="711F4B7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15893CEB">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φ600mm/φ324×12</w:t>
                  </w:r>
                </w:p>
                <w:p w14:paraId="3AADDDF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H=17400mm</w:t>
                  </w:r>
                </w:p>
              </w:tc>
              <w:tc>
                <w:tcPr>
                  <w:tcW w:w="381" w:type="pct"/>
                  <w:tcBorders>
                    <w:tl2br w:val="nil"/>
                    <w:tr2bl w:val="nil"/>
                  </w:tcBorders>
                  <w:noWrap w:val="0"/>
                  <w:vAlign w:val="center"/>
                </w:tcPr>
                <w:p w14:paraId="7826735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0BB129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0243FDA9">
                  <w:pPr>
                    <w:pStyle w:val="88"/>
                    <w:keepNext w:val="0"/>
                    <w:keepLines w:val="0"/>
                    <w:pageBreakBefore w:val="0"/>
                    <w:widowControl w:val="0"/>
                    <w:numPr>
                      <w:ilvl w:val="2"/>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6135F2F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高纯氧蒸发器板式单元</w:t>
                  </w:r>
                </w:p>
              </w:tc>
              <w:tc>
                <w:tcPr>
                  <w:tcW w:w="1940" w:type="pct"/>
                  <w:gridSpan w:val="2"/>
                  <w:tcBorders>
                    <w:tl2br w:val="nil"/>
                    <w:tr2bl w:val="nil"/>
                  </w:tcBorders>
                  <w:noWrap w:val="0"/>
                  <w:vAlign w:val="center"/>
                </w:tcPr>
                <w:p w14:paraId="7BA9A15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型式：铝制板翅式、容器类别：类外</w:t>
                  </w:r>
                </w:p>
                <w:p w14:paraId="0964A07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设计温度：-196/+65℃、设计压力：0.3Mpa</w:t>
                  </w:r>
                </w:p>
              </w:tc>
              <w:tc>
                <w:tcPr>
                  <w:tcW w:w="1286" w:type="pct"/>
                  <w:tcBorders>
                    <w:tl2br w:val="nil"/>
                    <w:tr2bl w:val="nil"/>
                  </w:tcBorders>
                  <w:noWrap w:val="0"/>
                  <w:vAlign w:val="center"/>
                </w:tcPr>
                <w:p w14:paraId="6006FFA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主体材质：5083，3003</w:t>
                  </w:r>
                </w:p>
                <w:p w14:paraId="5FF0EB8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0241CE3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750×930×1800</w:t>
                  </w:r>
                </w:p>
              </w:tc>
              <w:tc>
                <w:tcPr>
                  <w:tcW w:w="381" w:type="pct"/>
                  <w:tcBorders>
                    <w:tl2br w:val="nil"/>
                    <w:tr2bl w:val="nil"/>
                  </w:tcBorders>
                  <w:noWrap w:val="0"/>
                  <w:vAlign w:val="center"/>
                </w:tcPr>
                <w:p w14:paraId="3F007E0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35EB51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5AB0053A">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1A124CF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残液蒸发器</w:t>
                  </w:r>
                </w:p>
              </w:tc>
              <w:tc>
                <w:tcPr>
                  <w:tcW w:w="1940" w:type="pct"/>
                  <w:gridSpan w:val="2"/>
                  <w:tcBorders>
                    <w:tl2br w:val="nil"/>
                    <w:tr2bl w:val="nil"/>
                  </w:tcBorders>
                  <w:noWrap w:val="0"/>
                  <w:vAlign w:val="center"/>
                </w:tcPr>
                <w:p w14:paraId="2717617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型式：风机式、容器类别：类外、设计温度：-196/+65℃、设计压力：0.09Mpa</w:t>
                  </w:r>
                </w:p>
              </w:tc>
              <w:tc>
                <w:tcPr>
                  <w:tcW w:w="1286" w:type="pct"/>
                  <w:tcBorders>
                    <w:tl2br w:val="nil"/>
                    <w:tr2bl w:val="nil"/>
                  </w:tcBorders>
                  <w:noWrap w:val="0"/>
                  <w:vAlign w:val="center"/>
                </w:tcPr>
                <w:p w14:paraId="1E69CFA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w:t>
                  </w:r>
                </w:p>
              </w:tc>
              <w:tc>
                <w:tcPr>
                  <w:tcW w:w="381" w:type="pct"/>
                  <w:tcBorders>
                    <w:tl2br w:val="nil"/>
                    <w:tr2bl w:val="nil"/>
                  </w:tcBorders>
                  <w:noWrap w:val="0"/>
                  <w:vAlign w:val="center"/>
                </w:tcPr>
                <w:p w14:paraId="0F3F2E9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4513CA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3836F2E8">
                  <w:pPr>
                    <w:pStyle w:val="88"/>
                    <w:keepNext w:val="0"/>
                    <w:keepLines w:val="0"/>
                    <w:pageBreakBefore w:val="0"/>
                    <w:widowControl w:val="0"/>
                    <w:numPr>
                      <w:ilvl w:val="2"/>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5734BED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残液风机</w:t>
                  </w:r>
                </w:p>
              </w:tc>
              <w:tc>
                <w:tcPr>
                  <w:tcW w:w="1940" w:type="pct"/>
                  <w:gridSpan w:val="2"/>
                  <w:tcBorders>
                    <w:tl2br w:val="nil"/>
                    <w:tr2bl w:val="nil"/>
                  </w:tcBorders>
                  <w:noWrap w:val="0"/>
                  <w:vAlign w:val="center"/>
                </w:tcPr>
                <w:p w14:paraId="1B0D8F2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型式：轴流风机、流量：56000m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w:t>
                  </w:r>
                </w:p>
                <w:p w14:paraId="6E273C3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P=500Pa、电机功率：18.5</w:t>
                  </w:r>
                  <w:r>
                    <w:rPr>
                      <w:rFonts w:hint="eastAsia" w:cs="Times New Roman"/>
                      <w:color w:val="auto"/>
                      <w:sz w:val="18"/>
                      <w:szCs w:val="18"/>
                      <w:lang w:eastAsia="zh-CN"/>
                    </w:rPr>
                    <w:t>kW</w:t>
                  </w:r>
                </w:p>
              </w:tc>
              <w:tc>
                <w:tcPr>
                  <w:tcW w:w="1286" w:type="pct"/>
                  <w:tcBorders>
                    <w:tl2br w:val="nil"/>
                    <w:tr2bl w:val="nil"/>
                  </w:tcBorders>
                  <w:noWrap w:val="0"/>
                  <w:vAlign w:val="center"/>
                </w:tcPr>
                <w:p w14:paraId="6D89A99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不锈钢、铸铝</w:t>
                  </w:r>
                </w:p>
              </w:tc>
              <w:tc>
                <w:tcPr>
                  <w:tcW w:w="381" w:type="pct"/>
                  <w:tcBorders>
                    <w:tl2br w:val="nil"/>
                    <w:tr2bl w:val="nil"/>
                  </w:tcBorders>
                  <w:noWrap w:val="0"/>
                  <w:vAlign w:val="center"/>
                </w:tcPr>
                <w:p w14:paraId="765959A9">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20A5A7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54" w:hRule="atLeast"/>
              </w:trPr>
              <w:tc>
                <w:tcPr>
                  <w:tcW w:w="324" w:type="pct"/>
                  <w:tcBorders>
                    <w:tl2br w:val="nil"/>
                    <w:tr2bl w:val="nil"/>
                  </w:tcBorders>
                  <w:noWrap w:val="0"/>
                  <w:vAlign w:val="center"/>
                </w:tcPr>
                <w:p w14:paraId="5E10D604">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17DB8C0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氮气膨胀后气液分离罐</w:t>
                  </w:r>
                </w:p>
              </w:tc>
              <w:tc>
                <w:tcPr>
                  <w:tcW w:w="1940" w:type="pct"/>
                  <w:gridSpan w:val="2"/>
                  <w:tcBorders>
                    <w:tl2br w:val="nil"/>
                    <w:tr2bl w:val="nil"/>
                  </w:tcBorders>
                  <w:noWrap w:val="0"/>
                  <w:vAlign w:val="center"/>
                </w:tcPr>
                <w:p w14:paraId="5C23727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容器类别：第</w:t>
                  </w:r>
                  <w:r>
                    <w:rPr>
                      <w:rFonts w:hint="eastAsia" w:cs="Times New Roman"/>
                      <w:color w:val="auto"/>
                      <w:sz w:val="18"/>
                      <w:szCs w:val="18"/>
                      <w:lang w:eastAsia="zh-CN"/>
                    </w:rPr>
                    <w:t>Ⅱ</w:t>
                  </w:r>
                  <w:r>
                    <w:rPr>
                      <w:rFonts w:hint="default" w:ascii="Times New Roman" w:hAnsi="Times New Roman" w:eastAsia="宋体" w:cs="Times New Roman"/>
                      <w:color w:val="auto"/>
                      <w:sz w:val="18"/>
                      <w:szCs w:val="18"/>
                      <w:lang w:eastAsia="zh-CN"/>
                    </w:rPr>
                    <w:t>类、设计压力：0.7MPa、</w:t>
                  </w:r>
                </w:p>
                <w:p w14:paraId="75A4857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设计温度：-196℃</w:t>
                  </w:r>
                </w:p>
              </w:tc>
              <w:tc>
                <w:tcPr>
                  <w:tcW w:w="1286" w:type="pct"/>
                  <w:tcBorders>
                    <w:tl2br w:val="nil"/>
                    <w:tr2bl w:val="nil"/>
                  </w:tcBorders>
                  <w:noWrap w:val="0"/>
                  <w:vAlign w:val="center"/>
                </w:tcPr>
                <w:p w14:paraId="7A11C07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w:t>
                  </w:r>
                </w:p>
                <w:p w14:paraId="6C82B4A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6B2E7E5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φ1000mm，H=1600mm</w:t>
                  </w:r>
                </w:p>
              </w:tc>
              <w:tc>
                <w:tcPr>
                  <w:tcW w:w="381" w:type="pct"/>
                  <w:tcBorders>
                    <w:tl2br w:val="nil"/>
                    <w:tr2bl w:val="nil"/>
                  </w:tcBorders>
                  <w:noWrap w:val="0"/>
                  <w:vAlign w:val="center"/>
                </w:tcPr>
                <w:p w14:paraId="3414B1C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5B6B59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6BC85F24">
                  <w:pPr>
                    <w:pStyle w:val="88"/>
                    <w:keepNext w:val="0"/>
                    <w:keepLines w:val="0"/>
                    <w:pageBreakBefore w:val="0"/>
                    <w:widowControl w:val="0"/>
                    <w:numPr>
                      <w:ilvl w:val="1"/>
                      <w:numId w:val="5"/>
                    </w:numPr>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p>
              </w:tc>
              <w:tc>
                <w:tcPr>
                  <w:tcW w:w="1067" w:type="pct"/>
                  <w:gridSpan w:val="2"/>
                  <w:tcBorders>
                    <w:tl2br w:val="nil"/>
                    <w:tr2bl w:val="nil"/>
                  </w:tcBorders>
                  <w:noWrap w:val="0"/>
                  <w:vAlign w:val="center"/>
                </w:tcPr>
                <w:p w14:paraId="4939E9C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液氮气液分离罐</w:t>
                  </w:r>
                </w:p>
              </w:tc>
              <w:tc>
                <w:tcPr>
                  <w:tcW w:w="1940" w:type="pct"/>
                  <w:gridSpan w:val="2"/>
                  <w:tcBorders>
                    <w:tl2br w:val="nil"/>
                    <w:tr2bl w:val="nil"/>
                  </w:tcBorders>
                  <w:noWrap w:val="0"/>
                  <w:vAlign w:val="center"/>
                </w:tcPr>
                <w:p w14:paraId="483EFA3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容器类别：第</w:t>
                  </w:r>
                  <w:r>
                    <w:rPr>
                      <w:rFonts w:hint="eastAsia" w:cs="Times New Roman"/>
                      <w:color w:val="auto"/>
                      <w:sz w:val="18"/>
                      <w:szCs w:val="18"/>
                      <w:lang w:eastAsia="zh-CN"/>
                    </w:rPr>
                    <w:t>Ⅱ</w:t>
                  </w:r>
                  <w:r>
                    <w:rPr>
                      <w:rFonts w:hint="default" w:ascii="Times New Roman" w:hAnsi="Times New Roman" w:eastAsia="宋体" w:cs="Times New Roman"/>
                      <w:color w:val="auto"/>
                      <w:sz w:val="18"/>
                      <w:szCs w:val="18"/>
                      <w:lang w:eastAsia="zh-CN"/>
                    </w:rPr>
                    <w:t>类、设计压力：0.3MPa</w:t>
                  </w:r>
                </w:p>
                <w:p w14:paraId="4495CC9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设计温度：-196℃</w:t>
                  </w:r>
                </w:p>
              </w:tc>
              <w:tc>
                <w:tcPr>
                  <w:tcW w:w="1286" w:type="pct"/>
                  <w:tcBorders>
                    <w:tl2br w:val="nil"/>
                    <w:tr2bl w:val="nil"/>
                  </w:tcBorders>
                  <w:noWrap w:val="0"/>
                  <w:vAlign w:val="center"/>
                </w:tcPr>
                <w:p w14:paraId="583D34F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主体材质：5083</w:t>
                  </w:r>
                </w:p>
                <w:p w14:paraId="399DB80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7AC919A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φ800mm，H=1600mm</w:t>
                  </w:r>
                </w:p>
              </w:tc>
              <w:tc>
                <w:tcPr>
                  <w:tcW w:w="381" w:type="pct"/>
                  <w:tcBorders>
                    <w:tl2br w:val="nil"/>
                    <w:tr2bl w:val="nil"/>
                  </w:tcBorders>
                  <w:noWrap w:val="0"/>
                  <w:vAlign w:val="center"/>
                </w:tcPr>
                <w:p w14:paraId="1074CAF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7728AF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22A9ACA3">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w:t>
                  </w:r>
                </w:p>
              </w:tc>
              <w:tc>
                <w:tcPr>
                  <w:tcW w:w="4675" w:type="pct"/>
                  <w:gridSpan w:val="6"/>
                  <w:tcBorders>
                    <w:tl2br w:val="nil"/>
                    <w:tr2bl w:val="nil"/>
                  </w:tcBorders>
                  <w:noWrap w:val="0"/>
                  <w:vAlign w:val="center"/>
                </w:tcPr>
                <w:p w14:paraId="698129C0">
                  <w:pPr>
                    <w:keepNext w:val="0"/>
                    <w:keepLines w:val="0"/>
                    <w:pageBreakBefore w:val="0"/>
                    <w:widowControl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循环水系统</w:t>
                  </w:r>
                </w:p>
              </w:tc>
            </w:tr>
            <w:tr w14:paraId="027F01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29" w:hRule="atLeast"/>
              </w:trPr>
              <w:tc>
                <w:tcPr>
                  <w:tcW w:w="324" w:type="pct"/>
                  <w:tcBorders>
                    <w:tl2br w:val="nil"/>
                    <w:tr2bl w:val="nil"/>
                  </w:tcBorders>
                  <w:noWrap w:val="0"/>
                  <w:vAlign w:val="center"/>
                </w:tcPr>
                <w:p w14:paraId="5F1E0666">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12.1.</w:t>
                  </w:r>
                </w:p>
              </w:tc>
              <w:tc>
                <w:tcPr>
                  <w:tcW w:w="1067" w:type="pct"/>
                  <w:gridSpan w:val="2"/>
                  <w:tcBorders>
                    <w:tl2br w:val="nil"/>
                    <w:tr2bl w:val="nil"/>
                  </w:tcBorders>
                  <w:noWrap w:val="0"/>
                  <w:vAlign w:val="center"/>
                </w:tcPr>
                <w:p w14:paraId="7DFDA0D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凉水塔</w:t>
                  </w:r>
                </w:p>
              </w:tc>
              <w:tc>
                <w:tcPr>
                  <w:tcW w:w="1940" w:type="pct"/>
                  <w:gridSpan w:val="2"/>
                  <w:tcBorders>
                    <w:tl2br w:val="nil"/>
                    <w:tr2bl w:val="nil"/>
                  </w:tcBorders>
                  <w:noWrap w:val="0"/>
                  <w:vAlign w:val="center"/>
                </w:tcPr>
                <w:p w14:paraId="2948AAB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单台处理水量：1150T/h、型式：开式</w:t>
                  </w:r>
                </w:p>
                <w:p w14:paraId="22047AB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进/出塔水温：40/32℃、轴功率/电机功率：42/55</w:t>
                  </w:r>
                  <w:r>
                    <w:rPr>
                      <w:rFonts w:hint="eastAsia" w:cs="Times New Roman"/>
                      <w:color w:val="auto"/>
                      <w:sz w:val="18"/>
                      <w:szCs w:val="18"/>
                      <w:lang w:eastAsia="zh-CN"/>
                    </w:rPr>
                    <w:t>kW</w:t>
                  </w:r>
                </w:p>
              </w:tc>
              <w:tc>
                <w:tcPr>
                  <w:tcW w:w="1286" w:type="pct"/>
                  <w:tcBorders>
                    <w:tl2br w:val="nil"/>
                    <w:tr2bl w:val="nil"/>
                  </w:tcBorders>
                  <w:noWrap w:val="0"/>
                  <w:vAlign w:val="center"/>
                </w:tcPr>
                <w:p w14:paraId="05C98A2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w:t>
                  </w:r>
                </w:p>
                <w:p w14:paraId="359F52C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8000×8800×6300mm</w:t>
                  </w:r>
                </w:p>
              </w:tc>
              <w:tc>
                <w:tcPr>
                  <w:tcW w:w="381" w:type="pct"/>
                  <w:tcBorders>
                    <w:tl2br w:val="nil"/>
                    <w:tr2bl w:val="nil"/>
                  </w:tcBorders>
                  <w:noWrap w:val="0"/>
                  <w:vAlign w:val="center"/>
                </w:tcPr>
                <w:p w14:paraId="2026815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3</w:t>
                  </w:r>
                </w:p>
              </w:tc>
            </w:tr>
            <w:tr w14:paraId="348D93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2" w:hRule="atLeast"/>
              </w:trPr>
              <w:tc>
                <w:tcPr>
                  <w:tcW w:w="324" w:type="pct"/>
                  <w:tcBorders>
                    <w:tl2br w:val="nil"/>
                    <w:tr2bl w:val="nil"/>
                  </w:tcBorders>
                  <w:noWrap w:val="0"/>
                  <w:vAlign w:val="center"/>
                </w:tcPr>
                <w:p w14:paraId="6CB47147">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12.2.</w:t>
                  </w:r>
                </w:p>
              </w:tc>
              <w:tc>
                <w:tcPr>
                  <w:tcW w:w="1067" w:type="pct"/>
                  <w:gridSpan w:val="2"/>
                  <w:tcBorders>
                    <w:tl2br w:val="nil"/>
                    <w:tr2bl w:val="nil"/>
                  </w:tcBorders>
                  <w:noWrap w:val="0"/>
                  <w:vAlign w:val="center"/>
                </w:tcPr>
                <w:p w14:paraId="2A78AABB">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循环水泵</w:t>
                  </w:r>
                </w:p>
              </w:tc>
              <w:tc>
                <w:tcPr>
                  <w:tcW w:w="1940" w:type="pct"/>
                  <w:gridSpan w:val="2"/>
                  <w:tcBorders>
                    <w:tl2br w:val="nil"/>
                    <w:tr2bl w:val="nil"/>
                  </w:tcBorders>
                  <w:noWrap w:val="0"/>
                  <w:vAlign w:val="center"/>
                </w:tcPr>
                <w:p w14:paraId="607B2BA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型式：卧式单吸、流量：750T/h、扬程：32m、电压：380V、轴功率/电机功率：79.2/90</w:t>
                  </w:r>
                  <w:r>
                    <w:rPr>
                      <w:rFonts w:hint="eastAsia" w:cs="Times New Roman"/>
                      <w:color w:val="auto"/>
                      <w:sz w:val="18"/>
                      <w:szCs w:val="18"/>
                      <w:lang w:eastAsia="zh-CN"/>
                    </w:rPr>
                    <w:t>kW</w:t>
                  </w:r>
                </w:p>
              </w:tc>
              <w:tc>
                <w:tcPr>
                  <w:tcW w:w="1286" w:type="pct"/>
                  <w:tcBorders>
                    <w:tl2br w:val="nil"/>
                    <w:tr2bl w:val="nil"/>
                  </w:tcBorders>
                  <w:noWrap w:val="0"/>
                  <w:vAlign w:val="center"/>
                </w:tcPr>
                <w:p w14:paraId="3718F4F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主体材质：铸铁</w:t>
                  </w:r>
                </w:p>
              </w:tc>
              <w:tc>
                <w:tcPr>
                  <w:tcW w:w="381" w:type="pct"/>
                  <w:tcBorders>
                    <w:tl2br w:val="nil"/>
                    <w:tr2bl w:val="nil"/>
                  </w:tcBorders>
                  <w:noWrap w:val="0"/>
                  <w:vAlign w:val="center"/>
                </w:tcPr>
                <w:p w14:paraId="5EF1AC9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4</w:t>
                  </w:r>
                </w:p>
              </w:tc>
            </w:tr>
            <w:tr w14:paraId="4C7C2E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7DA1460A">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12.3.</w:t>
                  </w:r>
                </w:p>
              </w:tc>
              <w:tc>
                <w:tcPr>
                  <w:tcW w:w="1067" w:type="pct"/>
                  <w:gridSpan w:val="2"/>
                  <w:tcBorders>
                    <w:tl2br w:val="nil"/>
                    <w:tr2bl w:val="nil"/>
                  </w:tcBorders>
                  <w:noWrap w:val="0"/>
                  <w:vAlign w:val="center"/>
                </w:tcPr>
                <w:p w14:paraId="01827C6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旁滤&amp;加药装置</w:t>
                  </w:r>
                </w:p>
              </w:tc>
              <w:tc>
                <w:tcPr>
                  <w:tcW w:w="1940" w:type="pct"/>
                  <w:gridSpan w:val="2"/>
                  <w:tcBorders>
                    <w:tl2br w:val="nil"/>
                    <w:tr2bl w:val="nil"/>
                  </w:tcBorders>
                  <w:noWrap w:val="0"/>
                  <w:vAlign w:val="center"/>
                </w:tcPr>
                <w:p w14:paraId="653337E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单套处理流量：100T/h、单罐处理流量：50T/h、过滤精度：50~100μm</w:t>
                  </w:r>
                </w:p>
              </w:tc>
              <w:tc>
                <w:tcPr>
                  <w:tcW w:w="1286" w:type="pct"/>
                  <w:tcBorders>
                    <w:tl2br w:val="nil"/>
                    <w:tr2bl w:val="nil"/>
                  </w:tcBorders>
                  <w:noWrap w:val="0"/>
                  <w:vAlign w:val="center"/>
                </w:tcPr>
                <w:p w14:paraId="5B28180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外形尺寸（单罐）：</w:t>
                  </w:r>
                </w:p>
                <w:p w14:paraId="6BB289D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φ1500mm，H=2850mm</w:t>
                  </w:r>
                </w:p>
              </w:tc>
              <w:tc>
                <w:tcPr>
                  <w:tcW w:w="381" w:type="pct"/>
                  <w:tcBorders>
                    <w:tl2br w:val="nil"/>
                    <w:tr2bl w:val="nil"/>
                  </w:tcBorders>
                  <w:noWrap w:val="0"/>
                  <w:vAlign w:val="center"/>
                </w:tcPr>
                <w:p w14:paraId="7C6AE5D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w:t>
                  </w:r>
                </w:p>
              </w:tc>
            </w:tr>
            <w:tr w14:paraId="4B3855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9" w:hRule="atLeast"/>
              </w:trPr>
              <w:tc>
                <w:tcPr>
                  <w:tcW w:w="324" w:type="pct"/>
                  <w:tcBorders>
                    <w:tl2br w:val="nil"/>
                    <w:tr2bl w:val="nil"/>
                  </w:tcBorders>
                  <w:noWrap w:val="0"/>
                  <w:vAlign w:val="center"/>
                </w:tcPr>
                <w:p w14:paraId="6041A015">
                  <w:pPr>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13.</w:t>
                  </w:r>
                </w:p>
              </w:tc>
              <w:tc>
                <w:tcPr>
                  <w:tcW w:w="4675" w:type="pct"/>
                  <w:gridSpan w:val="6"/>
                  <w:tcBorders>
                    <w:tl2br w:val="nil"/>
                    <w:tr2bl w:val="nil"/>
                  </w:tcBorders>
                  <w:noWrap w:val="0"/>
                  <w:vAlign w:val="center"/>
                </w:tcPr>
                <w:p w14:paraId="542E579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eastAsia="宋体" w:cs="Times New Roman"/>
                      <w:b/>
                      <w:bCs/>
                      <w:color w:val="auto"/>
                      <w:sz w:val="18"/>
                      <w:szCs w:val="18"/>
                      <w:lang w:eastAsia="zh-CN"/>
                    </w:rPr>
                    <w:t>后备系统</w:t>
                  </w:r>
                </w:p>
              </w:tc>
            </w:tr>
            <w:tr w14:paraId="7CE4E6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550EAABC">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13.1.</w:t>
                  </w:r>
                </w:p>
              </w:tc>
              <w:tc>
                <w:tcPr>
                  <w:tcW w:w="1067" w:type="pct"/>
                  <w:gridSpan w:val="2"/>
                  <w:tcBorders>
                    <w:tl2br w:val="nil"/>
                    <w:tr2bl w:val="nil"/>
                  </w:tcBorders>
                  <w:noWrap w:val="0"/>
                  <w:vAlign w:val="center"/>
                </w:tcPr>
                <w:p w14:paraId="5C54E97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3000m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液氧贮槽</w:t>
                  </w:r>
                </w:p>
              </w:tc>
              <w:tc>
                <w:tcPr>
                  <w:tcW w:w="1940" w:type="pct"/>
                  <w:gridSpan w:val="2"/>
                  <w:tcBorders>
                    <w:tl2br w:val="nil"/>
                    <w:tr2bl w:val="nil"/>
                  </w:tcBorders>
                  <w:noWrap w:val="0"/>
                  <w:vAlign w:val="center"/>
                </w:tcPr>
                <w:p w14:paraId="47704F7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型式：珠光砂堆积粉末绝热、容量：3000m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vertAlign w:val="baseline"/>
                      <w:lang w:eastAsia="zh-CN"/>
                    </w:rPr>
                    <w:t>、</w:t>
                  </w:r>
                  <w:r>
                    <w:rPr>
                      <w:rFonts w:hint="default" w:ascii="Times New Roman" w:hAnsi="Times New Roman" w:eastAsia="宋体" w:cs="Times New Roman"/>
                      <w:color w:val="auto"/>
                      <w:sz w:val="18"/>
                      <w:szCs w:val="18"/>
                      <w:lang w:eastAsia="zh-CN"/>
                    </w:rPr>
                    <w:t>设计压力：25Kpa</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G</w:t>
                  </w:r>
                  <w:r>
                    <w:rPr>
                      <w:rFonts w:hint="eastAsia" w:cs="Times New Roman"/>
                      <w:color w:val="auto"/>
                      <w:sz w:val="18"/>
                      <w:szCs w:val="18"/>
                      <w:lang w:eastAsia="zh-CN"/>
                    </w:rPr>
                    <w:t>）</w:t>
                  </w:r>
                </w:p>
              </w:tc>
              <w:tc>
                <w:tcPr>
                  <w:tcW w:w="2192" w:type="dxa"/>
                  <w:tcBorders>
                    <w:tl2br w:val="nil"/>
                    <w:tr2bl w:val="nil"/>
                  </w:tcBorders>
                  <w:noWrap w:val="0"/>
                  <w:vAlign w:val="center"/>
                </w:tcPr>
                <w:p w14:paraId="028ECA2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外壳：Q245R/Q345R</w:t>
                  </w:r>
                </w:p>
                <w:p w14:paraId="51F8BF5F">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内容器：S30408</w:t>
                  </w:r>
                </w:p>
              </w:tc>
              <w:tc>
                <w:tcPr>
                  <w:tcW w:w="381" w:type="pct"/>
                  <w:tcBorders>
                    <w:tl2br w:val="nil"/>
                    <w:tr2bl w:val="nil"/>
                  </w:tcBorders>
                  <w:noWrap w:val="0"/>
                  <w:vAlign w:val="center"/>
                </w:tcPr>
                <w:p w14:paraId="7DEC1ED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r>
            <w:tr w14:paraId="34BEE1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92" w:hRule="atLeast"/>
              </w:trPr>
              <w:tc>
                <w:tcPr>
                  <w:tcW w:w="324" w:type="pct"/>
                  <w:tcBorders>
                    <w:tl2br w:val="nil"/>
                    <w:tr2bl w:val="nil"/>
                  </w:tcBorders>
                  <w:noWrap w:val="0"/>
                  <w:vAlign w:val="center"/>
                </w:tcPr>
                <w:p w14:paraId="178D083D">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13.2.</w:t>
                  </w:r>
                </w:p>
              </w:tc>
              <w:tc>
                <w:tcPr>
                  <w:tcW w:w="1067" w:type="pct"/>
                  <w:gridSpan w:val="2"/>
                  <w:tcBorders>
                    <w:tl2br w:val="nil"/>
                    <w:tr2bl w:val="nil"/>
                  </w:tcBorders>
                  <w:noWrap w:val="0"/>
                  <w:vAlign w:val="center"/>
                </w:tcPr>
                <w:p w14:paraId="50E0C2A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液氧充车泵</w:t>
                  </w:r>
                </w:p>
              </w:tc>
              <w:tc>
                <w:tcPr>
                  <w:tcW w:w="1940" w:type="pct"/>
                  <w:gridSpan w:val="2"/>
                  <w:tcBorders>
                    <w:tl2br w:val="nil"/>
                    <w:tr2bl w:val="nil"/>
                  </w:tcBorders>
                  <w:noWrap w:val="0"/>
                  <w:vAlign w:val="center"/>
                </w:tcPr>
                <w:p w14:paraId="3EF748D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型式：离心，机械密封、流量：40m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w:t>
                  </w:r>
                </w:p>
                <w:p w14:paraId="15F0BDA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出口压力：0.8Mpa、电机功率：22</w:t>
                  </w:r>
                  <w:r>
                    <w:rPr>
                      <w:rFonts w:hint="eastAsia" w:cs="Times New Roman"/>
                      <w:color w:val="auto"/>
                      <w:sz w:val="18"/>
                      <w:szCs w:val="18"/>
                      <w:lang w:eastAsia="zh-CN"/>
                    </w:rPr>
                    <w:t>kW</w:t>
                  </w:r>
                </w:p>
              </w:tc>
              <w:tc>
                <w:tcPr>
                  <w:tcW w:w="2192" w:type="dxa"/>
                  <w:tcBorders>
                    <w:tl2br w:val="nil"/>
                    <w:tr2bl w:val="nil"/>
                  </w:tcBorders>
                  <w:noWrap w:val="0"/>
                  <w:vAlign w:val="center"/>
                </w:tcPr>
                <w:p w14:paraId="5ED36F2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主体材质</w:t>
                  </w:r>
                  <w:r>
                    <w:rPr>
                      <w:rFonts w:hint="eastAsia" w:cs="Times New Roman"/>
                      <w:color w:val="000000"/>
                      <w:sz w:val="18"/>
                      <w:szCs w:val="18"/>
                      <w:lang w:eastAsia="zh-CN"/>
                    </w:rPr>
                    <w:t>：</w:t>
                  </w:r>
                  <w:r>
                    <w:rPr>
                      <w:rFonts w:hint="default" w:ascii="Times New Roman" w:hAnsi="Times New Roman" w:eastAsia="宋体" w:cs="Times New Roman"/>
                      <w:color w:val="000000"/>
                      <w:sz w:val="18"/>
                      <w:szCs w:val="18"/>
                      <w:lang w:eastAsia="zh-CN"/>
                    </w:rPr>
                    <w:t>铸铁</w:t>
                  </w:r>
                  <w:r>
                    <w:rPr>
                      <w:rFonts w:hint="eastAsia" w:cs="Times New Roman"/>
                      <w:color w:val="000000"/>
                      <w:sz w:val="18"/>
                      <w:szCs w:val="18"/>
                      <w:lang w:val="en-US" w:eastAsia="zh-CN"/>
                    </w:rPr>
                    <w:t>/不锈钢</w:t>
                  </w:r>
                </w:p>
              </w:tc>
              <w:tc>
                <w:tcPr>
                  <w:tcW w:w="381" w:type="pct"/>
                  <w:tcBorders>
                    <w:tl2br w:val="nil"/>
                    <w:tr2bl w:val="nil"/>
                  </w:tcBorders>
                  <w:noWrap w:val="0"/>
                  <w:vAlign w:val="center"/>
                </w:tcPr>
                <w:p w14:paraId="35EE962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2</w:t>
                  </w:r>
                </w:p>
              </w:tc>
            </w:tr>
            <w:tr w14:paraId="083B6F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2528642A">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13.3.</w:t>
                  </w:r>
                </w:p>
              </w:tc>
              <w:tc>
                <w:tcPr>
                  <w:tcW w:w="1067" w:type="pct"/>
                  <w:gridSpan w:val="2"/>
                  <w:tcBorders>
                    <w:tl2br w:val="nil"/>
                    <w:tr2bl w:val="nil"/>
                  </w:tcBorders>
                  <w:noWrap w:val="0"/>
                  <w:vAlign w:val="center"/>
                </w:tcPr>
                <w:p w14:paraId="6E7401D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3000m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液氮贮槽</w:t>
                  </w:r>
                </w:p>
              </w:tc>
              <w:tc>
                <w:tcPr>
                  <w:tcW w:w="1940" w:type="pct"/>
                  <w:gridSpan w:val="2"/>
                  <w:tcBorders>
                    <w:tl2br w:val="nil"/>
                    <w:tr2bl w:val="nil"/>
                  </w:tcBorders>
                  <w:noWrap w:val="0"/>
                  <w:vAlign w:val="center"/>
                </w:tcPr>
                <w:p w14:paraId="2BDFD6D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型式：珠光砂堆积粉末绝热、容量：3000m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、设计压力：25Kpa</w:t>
                  </w:r>
                  <w:r>
                    <w:rPr>
                      <w:rFonts w:hint="eastAsia" w:cs="Times New Roman"/>
                      <w:color w:val="auto"/>
                      <w:sz w:val="18"/>
                      <w:szCs w:val="18"/>
                      <w:lang w:eastAsia="zh-CN"/>
                    </w:rPr>
                    <w:t>（</w:t>
                  </w:r>
                  <w:r>
                    <w:rPr>
                      <w:rFonts w:hint="default" w:ascii="Times New Roman" w:hAnsi="Times New Roman" w:eastAsia="宋体" w:cs="Times New Roman"/>
                      <w:color w:val="auto"/>
                      <w:sz w:val="18"/>
                      <w:szCs w:val="18"/>
                      <w:lang w:eastAsia="zh-CN"/>
                    </w:rPr>
                    <w:t>G</w:t>
                  </w:r>
                  <w:r>
                    <w:rPr>
                      <w:rFonts w:hint="eastAsia" w:cs="Times New Roman"/>
                      <w:color w:val="auto"/>
                      <w:sz w:val="18"/>
                      <w:szCs w:val="18"/>
                      <w:lang w:eastAsia="zh-CN"/>
                    </w:rPr>
                    <w:t>）</w:t>
                  </w:r>
                </w:p>
              </w:tc>
              <w:tc>
                <w:tcPr>
                  <w:tcW w:w="2192" w:type="dxa"/>
                  <w:tcBorders>
                    <w:tl2br w:val="nil"/>
                    <w:tr2bl w:val="nil"/>
                  </w:tcBorders>
                  <w:noWrap w:val="0"/>
                  <w:vAlign w:val="center"/>
                </w:tcPr>
                <w:p w14:paraId="423481D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外壳：Q245R/Q345R</w:t>
                  </w:r>
                </w:p>
                <w:p w14:paraId="260C854D">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内容器：S30408</w:t>
                  </w:r>
                </w:p>
              </w:tc>
              <w:tc>
                <w:tcPr>
                  <w:tcW w:w="381" w:type="pct"/>
                  <w:tcBorders>
                    <w:tl2br w:val="nil"/>
                    <w:tr2bl w:val="nil"/>
                  </w:tcBorders>
                  <w:noWrap w:val="0"/>
                  <w:vAlign w:val="center"/>
                </w:tcPr>
                <w:p w14:paraId="599F40AF">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1</w:t>
                  </w:r>
                </w:p>
              </w:tc>
            </w:tr>
            <w:tr w14:paraId="3EA5D0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79FE56FE">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13.4.</w:t>
                  </w:r>
                </w:p>
              </w:tc>
              <w:tc>
                <w:tcPr>
                  <w:tcW w:w="1067" w:type="pct"/>
                  <w:gridSpan w:val="2"/>
                  <w:tcBorders>
                    <w:tl2br w:val="nil"/>
                    <w:tr2bl w:val="nil"/>
                  </w:tcBorders>
                  <w:noWrap w:val="0"/>
                  <w:vAlign w:val="center"/>
                </w:tcPr>
                <w:p w14:paraId="5428959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液氮充车泵</w:t>
                  </w:r>
                </w:p>
              </w:tc>
              <w:tc>
                <w:tcPr>
                  <w:tcW w:w="1940" w:type="pct"/>
                  <w:gridSpan w:val="2"/>
                  <w:tcBorders>
                    <w:tl2br w:val="nil"/>
                    <w:tr2bl w:val="nil"/>
                  </w:tcBorders>
                  <w:noWrap w:val="0"/>
                  <w:vAlign w:val="center"/>
                </w:tcPr>
                <w:p w14:paraId="3FDEBC7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型式：离心，机械密封、流量：40m</w:t>
                  </w:r>
                  <w:r>
                    <w:rPr>
                      <w:rFonts w:hint="default" w:ascii="Times New Roman" w:hAnsi="Times New Roman" w:eastAsia="宋体" w:cs="Times New Roman"/>
                      <w:color w:val="auto"/>
                      <w:sz w:val="18"/>
                      <w:szCs w:val="18"/>
                      <w:vertAlign w:val="superscript"/>
                      <w:lang w:eastAsia="zh-CN"/>
                    </w:rPr>
                    <w:t>3</w:t>
                  </w:r>
                  <w:r>
                    <w:rPr>
                      <w:rFonts w:hint="default" w:ascii="Times New Roman" w:hAnsi="Times New Roman" w:eastAsia="宋体" w:cs="Times New Roman"/>
                      <w:color w:val="auto"/>
                      <w:sz w:val="18"/>
                      <w:szCs w:val="18"/>
                      <w:lang w:eastAsia="zh-CN"/>
                    </w:rPr>
                    <w:t>/h</w:t>
                  </w:r>
                </w:p>
                <w:p w14:paraId="674146D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出口压力：0.8Mpa、电机功率：22</w:t>
                  </w:r>
                  <w:r>
                    <w:rPr>
                      <w:rFonts w:hint="eastAsia" w:cs="Times New Roman"/>
                      <w:color w:val="auto"/>
                      <w:sz w:val="18"/>
                      <w:szCs w:val="18"/>
                      <w:lang w:eastAsia="zh-CN"/>
                    </w:rPr>
                    <w:t>kW</w:t>
                  </w:r>
                </w:p>
              </w:tc>
              <w:tc>
                <w:tcPr>
                  <w:tcW w:w="2192" w:type="dxa"/>
                  <w:tcBorders>
                    <w:tl2br w:val="nil"/>
                    <w:tr2bl w:val="nil"/>
                  </w:tcBorders>
                  <w:noWrap w:val="0"/>
                  <w:vAlign w:val="center"/>
                </w:tcPr>
                <w:p w14:paraId="7FA7D213">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主体材质</w:t>
                  </w:r>
                  <w:r>
                    <w:rPr>
                      <w:rFonts w:hint="eastAsia" w:cs="Times New Roman"/>
                      <w:color w:val="000000"/>
                      <w:sz w:val="18"/>
                      <w:szCs w:val="18"/>
                      <w:lang w:eastAsia="zh-CN"/>
                    </w:rPr>
                    <w:t>：</w:t>
                  </w:r>
                  <w:r>
                    <w:rPr>
                      <w:rFonts w:hint="default" w:ascii="Times New Roman" w:hAnsi="Times New Roman" w:eastAsia="宋体" w:cs="Times New Roman"/>
                      <w:color w:val="000000"/>
                      <w:sz w:val="18"/>
                      <w:szCs w:val="18"/>
                      <w:lang w:eastAsia="zh-CN"/>
                    </w:rPr>
                    <w:t>铸铁</w:t>
                  </w:r>
                  <w:r>
                    <w:rPr>
                      <w:rFonts w:hint="eastAsia" w:cs="Times New Roman"/>
                      <w:color w:val="000000"/>
                      <w:sz w:val="18"/>
                      <w:szCs w:val="18"/>
                      <w:lang w:val="en-US" w:eastAsia="zh-CN"/>
                    </w:rPr>
                    <w:t>/不锈钢</w:t>
                  </w:r>
                </w:p>
              </w:tc>
              <w:tc>
                <w:tcPr>
                  <w:tcW w:w="381" w:type="pct"/>
                  <w:tcBorders>
                    <w:tl2br w:val="nil"/>
                    <w:tr2bl w:val="nil"/>
                  </w:tcBorders>
                  <w:noWrap w:val="0"/>
                  <w:vAlign w:val="center"/>
                </w:tcPr>
                <w:p w14:paraId="6D9D9945">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w:t>
                  </w:r>
                </w:p>
              </w:tc>
            </w:tr>
            <w:tr w14:paraId="2148A7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5000" w:type="pct"/>
                  <w:gridSpan w:val="7"/>
                  <w:tcBorders>
                    <w:tl2br w:val="nil"/>
                    <w:tr2bl w:val="nil"/>
                  </w:tcBorders>
                  <w:noWrap w:val="0"/>
                  <w:vAlign w:val="center"/>
                </w:tcPr>
                <w:p w14:paraId="0B3449B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气体充装线</w:t>
                  </w:r>
                </w:p>
              </w:tc>
            </w:tr>
            <w:tr w14:paraId="083883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2E504D5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序号</w:t>
                  </w:r>
                </w:p>
              </w:tc>
              <w:tc>
                <w:tcPr>
                  <w:tcW w:w="885" w:type="pct"/>
                  <w:tcBorders>
                    <w:tl2br w:val="nil"/>
                    <w:tr2bl w:val="nil"/>
                  </w:tcBorders>
                  <w:noWrap w:val="0"/>
                  <w:vAlign w:val="center"/>
                </w:tcPr>
                <w:p w14:paraId="263B091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设备名称</w:t>
                  </w:r>
                </w:p>
              </w:tc>
              <w:tc>
                <w:tcPr>
                  <w:tcW w:w="1564" w:type="pct"/>
                  <w:gridSpan w:val="2"/>
                  <w:tcBorders>
                    <w:tl2br w:val="nil"/>
                    <w:tr2bl w:val="nil"/>
                  </w:tcBorders>
                  <w:noWrap w:val="0"/>
                  <w:vAlign w:val="center"/>
                </w:tcPr>
                <w:p w14:paraId="5328AC7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设备规格/ 技术参数</w:t>
                  </w:r>
                </w:p>
              </w:tc>
              <w:tc>
                <w:tcPr>
                  <w:tcW w:w="557" w:type="pct"/>
                  <w:tcBorders>
                    <w:tl2br w:val="nil"/>
                    <w:tr2bl w:val="nil"/>
                  </w:tcBorders>
                  <w:noWrap w:val="0"/>
                  <w:vAlign w:val="center"/>
                </w:tcPr>
                <w:p w14:paraId="18A926C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数量</w:t>
                  </w:r>
                </w:p>
              </w:tc>
              <w:tc>
                <w:tcPr>
                  <w:tcW w:w="1286" w:type="pct"/>
                  <w:tcBorders>
                    <w:tl2br w:val="nil"/>
                    <w:tr2bl w:val="nil"/>
                  </w:tcBorders>
                  <w:noWrap w:val="0"/>
                  <w:vAlign w:val="center"/>
                </w:tcPr>
                <w:p w14:paraId="7E44C369">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材质</w:t>
                  </w:r>
                </w:p>
              </w:tc>
              <w:tc>
                <w:tcPr>
                  <w:tcW w:w="381" w:type="pct"/>
                  <w:tcBorders>
                    <w:tl2br w:val="nil"/>
                    <w:tr2bl w:val="nil"/>
                  </w:tcBorders>
                  <w:noWrap w:val="0"/>
                  <w:vAlign w:val="center"/>
                </w:tcPr>
                <w:p w14:paraId="3577925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备注</w:t>
                  </w:r>
                </w:p>
              </w:tc>
            </w:tr>
            <w:tr w14:paraId="6E1A1B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36C8150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一</w:t>
                  </w:r>
                </w:p>
              </w:tc>
              <w:tc>
                <w:tcPr>
                  <w:tcW w:w="4675" w:type="pct"/>
                  <w:gridSpan w:val="6"/>
                  <w:tcBorders>
                    <w:tl2br w:val="nil"/>
                    <w:tr2bl w:val="nil"/>
                  </w:tcBorders>
                  <w:noWrap w:val="0"/>
                  <w:vAlign w:val="center"/>
                </w:tcPr>
                <w:p w14:paraId="59C77100">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工业氧气充装线</w:t>
                  </w:r>
                </w:p>
              </w:tc>
            </w:tr>
            <w:tr w14:paraId="34CD96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5F746448">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885" w:type="pct"/>
                  <w:tcBorders>
                    <w:tl2br w:val="nil"/>
                    <w:tr2bl w:val="nil"/>
                  </w:tcBorders>
                  <w:noWrap w:val="0"/>
                  <w:vAlign w:val="center"/>
                </w:tcPr>
                <w:p w14:paraId="227372AB">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工业液氧储罐</w:t>
                  </w:r>
                </w:p>
              </w:tc>
              <w:tc>
                <w:tcPr>
                  <w:tcW w:w="1564" w:type="pct"/>
                  <w:gridSpan w:val="2"/>
                  <w:tcBorders>
                    <w:tl2br w:val="nil"/>
                    <w:tr2bl w:val="nil"/>
                  </w:tcBorders>
                  <w:noWrap w:val="0"/>
                  <w:vAlign w:val="center"/>
                </w:tcPr>
                <w:p w14:paraId="1B318DE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V=50m³；</w:t>
                  </w:r>
                </w:p>
                <w:p w14:paraId="662DDF6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设计温度：内容器-196℃，外壳50℃</w:t>
                  </w:r>
                </w:p>
                <w:p w14:paraId="27AC424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设计压力：内容器0.80MPa，外壳-0.1MPa</w:t>
                  </w:r>
                </w:p>
              </w:tc>
              <w:tc>
                <w:tcPr>
                  <w:tcW w:w="557" w:type="pct"/>
                  <w:tcBorders>
                    <w:tl2br w:val="nil"/>
                    <w:tr2bl w:val="nil"/>
                  </w:tcBorders>
                  <w:noWrap w:val="0"/>
                  <w:vAlign w:val="center"/>
                </w:tcPr>
                <w:p w14:paraId="61D2FD0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1台</w:t>
                  </w:r>
                </w:p>
              </w:tc>
              <w:tc>
                <w:tcPr>
                  <w:tcW w:w="1286" w:type="pct"/>
                  <w:tcBorders>
                    <w:tl2br w:val="nil"/>
                    <w:tr2bl w:val="nil"/>
                  </w:tcBorders>
                  <w:noWrap w:val="0"/>
                  <w:vAlign w:val="center"/>
                </w:tcPr>
                <w:p w14:paraId="725C409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外壳：Q245R/Q345R</w:t>
                  </w:r>
                </w:p>
                <w:p w14:paraId="4B32A3B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内容器：S30408</w:t>
                  </w:r>
                </w:p>
              </w:tc>
              <w:tc>
                <w:tcPr>
                  <w:tcW w:w="381" w:type="pct"/>
                  <w:tcBorders>
                    <w:tl2br w:val="nil"/>
                    <w:tr2bl w:val="nil"/>
                  </w:tcBorders>
                  <w:noWrap w:val="0"/>
                  <w:vAlign w:val="center"/>
                </w:tcPr>
                <w:p w14:paraId="6EF9D46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外购</w:t>
                  </w:r>
                </w:p>
              </w:tc>
            </w:tr>
            <w:tr w14:paraId="1B4C6B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7A3B725A">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885" w:type="pct"/>
                  <w:tcBorders>
                    <w:tl2br w:val="nil"/>
                    <w:tr2bl w:val="nil"/>
                  </w:tcBorders>
                  <w:noWrap w:val="0"/>
                  <w:vAlign w:val="center"/>
                </w:tcPr>
                <w:p w14:paraId="699D963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both"/>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工业液氧输送泵</w:t>
                  </w:r>
                </w:p>
              </w:tc>
              <w:tc>
                <w:tcPr>
                  <w:tcW w:w="1564" w:type="pct"/>
                  <w:gridSpan w:val="2"/>
                  <w:tcBorders>
                    <w:tl2br w:val="nil"/>
                    <w:tr2bl w:val="nil"/>
                  </w:tcBorders>
                  <w:noWrap w:val="0"/>
                  <w:vAlign w:val="center"/>
                </w:tcPr>
                <w:p w14:paraId="2E6D116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型号：YQB15-5；</w:t>
                  </w:r>
                </w:p>
                <w:p w14:paraId="3C689F2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配套电机型号：YB132S-4，5.5</w:t>
                  </w:r>
                  <w:r>
                    <w:rPr>
                      <w:rFonts w:hint="eastAsia" w:cs="Times New Roman"/>
                      <w:color w:val="auto"/>
                      <w:sz w:val="18"/>
                      <w:szCs w:val="18"/>
                      <w:lang w:eastAsia="zh-CN"/>
                    </w:rPr>
                    <w:t>kW</w:t>
                  </w:r>
                  <w:r>
                    <w:rPr>
                      <w:rFonts w:hint="default" w:ascii="Times New Roman" w:hAnsi="Times New Roman" w:eastAsia="宋体" w:cs="Times New Roman"/>
                      <w:color w:val="auto"/>
                      <w:sz w:val="18"/>
                      <w:szCs w:val="18"/>
                      <w:lang w:eastAsia="zh-CN"/>
                    </w:rPr>
                    <w:t>；卧式；</w:t>
                  </w:r>
                </w:p>
                <w:p w14:paraId="0E07AD5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额定转速：1440r/min；流量：Q=15m³/h；</w:t>
                  </w:r>
                </w:p>
              </w:tc>
              <w:tc>
                <w:tcPr>
                  <w:tcW w:w="557" w:type="pct"/>
                  <w:tcBorders>
                    <w:tl2br w:val="nil"/>
                    <w:tr2bl w:val="nil"/>
                  </w:tcBorders>
                  <w:noWrap w:val="0"/>
                  <w:vAlign w:val="center"/>
                </w:tcPr>
                <w:p w14:paraId="2B443DE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1台</w:t>
                  </w:r>
                </w:p>
              </w:tc>
              <w:tc>
                <w:tcPr>
                  <w:tcW w:w="2192" w:type="dxa"/>
                  <w:tcBorders>
                    <w:tl2br w:val="nil"/>
                    <w:tr2bl w:val="nil"/>
                  </w:tcBorders>
                  <w:noWrap w:val="0"/>
                  <w:vAlign w:val="center"/>
                </w:tcPr>
                <w:p w14:paraId="2F0F7117">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主体材质</w:t>
                  </w:r>
                  <w:r>
                    <w:rPr>
                      <w:rFonts w:hint="eastAsia" w:cs="Times New Roman"/>
                      <w:color w:val="000000"/>
                      <w:sz w:val="18"/>
                      <w:szCs w:val="18"/>
                      <w:lang w:eastAsia="zh-CN"/>
                    </w:rPr>
                    <w:t>：</w:t>
                  </w:r>
                  <w:r>
                    <w:rPr>
                      <w:rFonts w:hint="default" w:ascii="Times New Roman" w:hAnsi="Times New Roman" w:eastAsia="宋体" w:cs="Times New Roman"/>
                      <w:color w:val="000000"/>
                      <w:sz w:val="18"/>
                      <w:szCs w:val="18"/>
                      <w:lang w:eastAsia="zh-CN"/>
                    </w:rPr>
                    <w:t>铸铁</w:t>
                  </w:r>
                  <w:r>
                    <w:rPr>
                      <w:rFonts w:hint="eastAsia" w:cs="Times New Roman"/>
                      <w:color w:val="000000"/>
                      <w:sz w:val="18"/>
                      <w:szCs w:val="18"/>
                      <w:lang w:val="en-US" w:eastAsia="zh-CN"/>
                    </w:rPr>
                    <w:t>/不锈钢</w:t>
                  </w:r>
                </w:p>
              </w:tc>
              <w:tc>
                <w:tcPr>
                  <w:tcW w:w="381" w:type="pct"/>
                  <w:tcBorders>
                    <w:tl2br w:val="nil"/>
                    <w:tr2bl w:val="nil"/>
                  </w:tcBorders>
                  <w:noWrap w:val="0"/>
                  <w:vAlign w:val="center"/>
                </w:tcPr>
                <w:p w14:paraId="2738227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外购</w:t>
                  </w:r>
                </w:p>
              </w:tc>
            </w:tr>
            <w:tr w14:paraId="4473BD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6ED6F03F">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885" w:type="pct"/>
                  <w:tcBorders>
                    <w:tl2br w:val="nil"/>
                    <w:tr2bl w:val="nil"/>
                  </w:tcBorders>
                  <w:noWrap w:val="0"/>
                  <w:vAlign w:val="center"/>
                </w:tcPr>
                <w:p w14:paraId="2FE0ECD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工业液氧汽化器</w:t>
                  </w:r>
                </w:p>
              </w:tc>
              <w:tc>
                <w:tcPr>
                  <w:tcW w:w="1564" w:type="pct"/>
                  <w:gridSpan w:val="2"/>
                  <w:tcBorders>
                    <w:tl2br w:val="nil"/>
                    <w:tr2bl w:val="nil"/>
                  </w:tcBorders>
                  <w:noWrap w:val="0"/>
                  <w:vAlign w:val="center"/>
                </w:tcPr>
                <w:p w14:paraId="496AF46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汽化</w:t>
                  </w:r>
                  <w:r>
                    <w:rPr>
                      <w:rFonts w:hint="eastAsia" w:cs="Times New Roman"/>
                      <w:color w:val="auto"/>
                      <w:sz w:val="18"/>
                      <w:szCs w:val="18"/>
                      <w:lang w:eastAsia="zh-CN"/>
                    </w:rPr>
                    <w:t>量Q</w:t>
                  </w:r>
                  <w:r>
                    <w:rPr>
                      <w:rFonts w:hint="default" w:ascii="Times New Roman" w:hAnsi="Times New Roman" w:eastAsia="宋体" w:cs="Times New Roman"/>
                      <w:color w:val="auto"/>
                      <w:sz w:val="18"/>
                      <w:szCs w:val="18"/>
                      <w:lang w:eastAsia="zh-CN"/>
                    </w:rPr>
                    <w:t>=1000Nm³/h；最高工作压力：25MPa</w:t>
                  </w:r>
                </w:p>
              </w:tc>
              <w:tc>
                <w:tcPr>
                  <w:tcW w:w="557" w:type="pct"/>
                  <w:tcBorders>
                    <w:tl2br w:val="nil"/>
                    <w:tr2bl w:val="nil"/>
                  </w:tcBorders>
                  <w:noWrap w:val="0"/>
                  <w:vAlign w:val="center"/>
                </w:tcPr>
                <w:p w14:paraId="5A92DE1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1台</w:t>
                  </w:r>
                </w:p>
              </w:tc>
              <w:tc>
                <w:tcPr>
                  <w:tcW w:w="2192" w:type="dxa"/>
                  <w:tcBorders>
                    <w:tl2br w:val="nil"/>
                    <w:tr2bl w:val="nil"/>
                  </w:tcBorders>
                  <w:noWrap w:val="0"/>
                  <w:vAlign w:val="center"/>
                </w:tcPr>
                <w:p w14:paraId="239B7E7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主体材质：</w:t>
                  </w:r>
                  <w:r>
                    <w:rPr>
                      <w:rFonts w:hint="eastAsia" w:cs="Times New Roman"/>
                      <w:color w:val="000000"/>
                      <w:sz w:val="18"/>
                      <w:szCs w:val="18"/>
                      <w:lang w:val="en-US" w:eastAsia="zh-CN"/>
                    </w:rPr>
                    <w:t>铝合金</w:t>
                  </w:r>
                </w:p>
                <w:p w14:paraId="0F9BACE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外形尺寸：</w:t>
                  </w:r>
                </w:p>
                <w:p w14:paraId="6542F537">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000000"/>
                      <w:kern w:val="2"/>
                      <w:sz w:val="18"/>
                      <w:szCs w:val="18"/>
                      <w:lang w:val="en-US" w:eastAsia="zh-CN" w:bidi="ar-SA"/>
                    </w:rPr>
                  </w:pPr>
                  <w:r>
                    <w:rPr>
                      <w:rFonts w:hint="eastAsia" w:cs="Times New Roman"/>
                      <w:color w:val="000000"/>
                      <w:sz w:val="18"/>
                      <w:szCs w:val="18"/>
                      <w:lang w:val="en-US" w:eastAsia="zh-CN"/>
                    </w:rPr>
                    <w:t>1690</w:t>
                  </w:r>
                  <w:r>
                    <w:rPr>
                      <w:rFonts w:hint="default" w:ascii="Times New Roman" w:hAnsi="Times New Roman" w:eastAsia="宋体" w:cs="Times New Roman"/>
                      <w:color w:val="000000"/>
                      <w:sz w:val="18"/>
                      <w:szCs w:val="18"/>
                      <w:lang w:eastAsia="zh-CN"/>
                    </w:rPr>
                    <w:t>×</w:t>
                  </w:r>
                  <w:r>
                    <w:rPr>
                      <w:rFonts w:hint="eastAsia" w:cs="Times New Roman"/>
                      <w:color w:val="000000"/>
                      <w:sz w:val="18"/>
                      <w:szCs w:val="18"/>
                      <w:lang w:val="en-US" w:eastAsia="zh-CN"/>
                    </w:rPr>
                    <w:t>113</w:t>
                  </w:r>
                  <w:r>
                    <w:rPr>
                      <w:rFonts w:hint="default" w:ascii="Times New Roman" w:hAnsi="Times New Roman" w:eastAsia="宋体" w:cs="Times New Roman"/>
                      <w:color w:val="000000"/>
                      <w:sz w:val="18"/>
                      <w:szCs w:val="18"/>
                      <w:lang w:eastAsia="zh-CN"/>
                    </w:rPr>
                    <w:t>0×</w:t>
                  </w:r>
                  <w:r>
                    <w:rPr>
                      <w:rFonts w:hint="eastAsia" w:cs="Times New Roman"/>
                      <w:color w:val="000000"/>
                      <w:sz w:val="18"/>
                      <w:szCs w:val="18"/>
                      <w:lang w:val="en-US" w:eastAsia="zh-CN"/>
                    </w:rPr>
                    <w:t>42</w:t>
                  </w:r>
                  <w:r>
                    <w:rPr>
                      <w:rFonts w:hint="default" w:ascii="Times New Roman" w:hAnsi="Times New Roman" w:eastAsia="宋体" w:cs="Times New Roman"/>
                      <w:color w:val="000000"/>
                      <w:sz w:val="18"/>
                      <w:szCs w:val="18"/>
                      <w:lang w:eastAsia="zh-CN"/>
                    </w:rPr>
                    <w:t>00</w:t>
                  </w:r>
                  <w:r>
                    <w:rPr>
                      <w:rFonts w:hint="eastAsia" w:cs="Times New Roman"/>
                      <w:color w:val="000000"/>
                      <w:sz w:val="18"/>
                      <w:szCs w:val="18"/>
                      <w:lang w:val="en-US" w:eastAsia="zh-CN"/>
                    </w:rPr>
                    <w:t>mm</w:t>
                  </w:r>
                </w:p>
              </w:tc>
              <w:tc>
                <w:tcPr>
                  <w:tcW w:w="381" w:type="pct"/>
                  <w:tcBorders>
                    <w:tl2br w:val="nil"/>
                    <w:tr2bl w:val="nil"/>
                  </w:tcBorders>
                  <w:noWrap w:val="0"/>
                  <w:vAlign w:val="center"/>
                </w:tcPr>
                <w:p w14:paraId="72B07AB5">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外购</w:t>
                  </w:r>
                </w:p>
              </w:tc>
            </w:tr>
            <w:tr w14:paraId="4FB3D8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6D209D18">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p>
              </w:tc>
              <w:tc>
                <w:tcPr>
                  <w:tcW w:w="885" w:type="pct"/>
                  <w:tcBorders>
                    <w:tl2br w:val="nil"/>
                    <w:tr2bl w:val="nil"/>
                  </w:tcBorders>
                  <w:noWrap w:val="0"/>
                  <w:vAlign w:val="center"/>
                </w:tcPr>
                <w:p w14:paraId="43D43AC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工业氧气充装排</w:t>
                  </w:r>
                  <w:r>
                    <w:rPr>
                      <w:rFonts w:hint="eastAsia" w:cs="Times New Roman"/>
                      <w:color w:val="auto"/>
                      <w:sz w:val="18"/>
                      <w:szCs w:val="18"/>
                      <w:lang w:val="en-US" w:eastAsia="zh-CN"/>
                    </w:rPr>
                    <w:t>架</w:t>
                  </w:r>
                </w:p>
              </w:tc>
              <w:tc>
                <w:tcPr>
                  <w:tcW w:w="1564" w:type="pct"/>
                  <w:gridSpan w:val="2"/>
                  <w:tcBorders>
                    <w:tl2br w:val="nil"/>
                    <w:tr2bl w:val="nil"/>
                  </w:tcBorders>
                  <w:noWrap w:val="0"/>
                  <w:vAlign w:val="center"/>
                </w:tcPr>
                <w:p w14:paraId="269FBBB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设计压力：16.5MPa；设计温度：-40~60℃；</w:t>
                  </w:r>
                </w:p>
                <w:p w14:paraId="7370877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最高工作压力：15MPa</w:t>
                  </w:r>
                </w:p>
              </w:tc>
              <w:tc>
                <w:tcPr>
                  <w:tcW w:w="557" w:type="pct"/>
                  <w:tcBorders>
                    <w:tl2br w:val="nil"/>
                    <w:tr2bl w:val="nil"/>
                  </w:tcBorders>
                  <w:noWrap w:val="0"/>
                  <w:vAlign w:val="center"/>
                </w:tcPr>
                <w:p w14:paraId="6082B87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20头×2</w:t>
                  </w:r>
                </w:p>
              </w:tc>
              <w:tc>
                <w:tcPr>
                  <w:tcW w:w="1286" w:type="pct"/>
                  <w:tcBorders>
                    <w:tl2br w:val="nil"/>
                    <w:tr2bl w:val="nil"/>
                  </w:tcBorders>
                  <w:noWrap w:val="0"/>
                  <w:vAlign w:val="center"/>
                </w:tcPr>
                <w:p w14:paraId="613019A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不锈钢</w:t>
                  </w:r>
                </w:p>
              </w:tc>
              <w:tc>
                <w:tcPr>
                  <w:tcW w:w="381" w:type="pct"/>
                  <w:tcBorders>
                    <w:tl2br w:val="nil"/>
                    <w:tr2bl w:val="nil"/>
                  </w:tcBorders>
                  <w:noWrap w:val="0"/>
                  <w:vAlign w:val="center"/>
                </w:tcPr>
                <w:p w14:paraId="1F83776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外购</w:t>
                  </w:r>
                </w:p>
              </w:tc>
            </w:tr>
            <w:tr w14:paraId="170061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7305F491">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二</w:t>
                  </w:r>
                </w:p>
              </w:tc>
              <w:tc>
                <w:tcPr>
                  <w:tcW w:w="4675" w:type="pct"/>
                  <w:gridSpan w:val="6"/>
                  <w:tcBorders>
                    <w:tl2br w:val="nil"/>
                    <w:tr2bl w:val="nil"/>
                  </w:tcBorders>
                  <w:noWrap w:val="0"/>
                  <w:vAlign w:val="center"/>
                </w:tcPr>
                <w:p w14:paraId="179CC40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医用氧气充装线</w:t>
                  </w:r>
                </w:p>
              </w:tc>
            </w:tr>
            <w:tr w14:paraId="28930E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71F5440C">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885" w:type="pct"/>
                  <w:tcBorders>
                    <w:tl2br w:val="nil"/>
                    <w:tr2bl w:val="nil"/>
                  </w:tcBorders>
                  <w:noWrap w:val="0"/>
                  <w:vAlign w:val="center"/>
                </w:tcPr>
                <w:p w14:paraId="58D2AF2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医用液氧储罐</w:t>
                  </w:r>
                </w:p>
              </w:tc>
              <w:tc>
                <w:tcPr>
                  <w:tcW w:w="1564" w:type="pct"/>
                  <w:gridSpan w:val="2"/>
                  <w:tcBorders>
                    <w:tl2br w:val="nil"/>
                    <w:tr2bl w:val="nil"/>
                  </w:tcBorders>
                  <w:noWrap w:val="0"/>
                  <w:vAlign w:val="center"/>
                </w:tcPr>
                <w:p w14:paraId="70055DC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V=30m³；</w:t>
                  </w:r>
                </w:p>
                <w:p w14:paraId="43A3B01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设计温度：内容器-196℃，</w:t>
                  </w:r>
                  <w:r>
                    <w:rPr>
                      <w:rFonts w:hint="eastAsia" w:cs="Times New Roman"/>
                      <w:color w:val="auto"/>
                      <w:sz w:val="18"/>
                      <w:szCs w:val="18"/>
                      <w:lang w:eastAsia="zh-CN"/>
                    </w:rPr>
                    <w:t>外壳50</w:t>
                  </w:r>
                  <w:r>
                    <w:rPr>
                      <w:rFonts w:hint="default" w:ascii="Times New Roman" w:hAnsi="Times New Roman" w:eastAsia="宋体" w:cs="Times New Roman"/>
                      <w:color w:val="auto"/>
                      <w:sz w:val="18"/>
                      <w:szCs w:val="18"/>
                      <w:lang w:eastAsia="zh-CN"/>
                    </w:rPr>
                    <w:t>℃</w:t>
                  </w:r>
                </w:p>
                <w:p w14:paraId="0D41B05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设计压力：内</w:t>
                  </w:r>
                  <w:r>
                    <w:rPr>
                      <w:rFonts w:hint="eastAsia" w:cs="Times New Roman"/>
                      <w:color w:val="auto"/>
                      <w:sz w:val="18"/>
                      <w:szCs w:val="18"/>
                      <w:lang w:eastAsia="zh-CN"/>
                    </w:rPr>
                    <w:t>容器1.64</w:t>
                  </w:r>
                  <w:r>
                    <w:rPr>
                      <w:rFonts w:hint="default" w:ascii="Times New Roman" w:hAnsi="Times New Roman" w:eastAsia="宋体" w:cs="Times New Roman"/>
                      <w:color w:val="auto"/>
                      <w:sz w:val="18"/>
                      <w:szCs w:val="18"/>
                      <w:lang w:eastAsia="zh-CN"/>
                    </w:rPr>
                    <w:t>MPa，外壳-0.1MPa</w:t>
                  </w:r>
                </w:p>
              </w:tc>
              <w:tc>
                <w:tcPr>
                  <w:tcW w:w="557" w:type="pct"/>
                  <w:tcBorders>
                    <w:tl2br w:val="nil"/>
                    <w:tr2bl w:val="nil"/>
                  </w:tcBorders>
                  <w:noWrap w:val="0"/>
                  <w:vAlign w:val="center"/>
                </w:tcPr>
                <w:p w14:paraId="3D8748C4">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1台</w:t>
                  </w:r>
                </w:p>
              </w:tc>
              <w:tc>
                <w:tcPr>
                  <w:tcW w:w="1286" w:type="pct"/>
                  <w:tcBorders>
                    <w:tl2br w:val="nil"/>
                    <w:tr2bl w:val="nil"/>
                  </w:tcBorders>
                  <w:noWrap w:val="0"/>
                  <w:vAlign w:val="center"/>
                </w:tcPr>
                <w:p w14:paraId="6983F5D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外壳：Q245R/Q345R</w:t>
                  </w:r>
                </w:p>
                <w:p w14:paraId="602A787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内容器：S30408</w:t>
                  </w:r>
                </w:p>
              </w:tc>
              <w:tc>
                <w:tcPr>
                  <w:tcW w:w="381" w:type="pct"/>
                  <w:tcBorders>
                    <w:tl2br w:val="nil"/>
                    <w:tr2bl w:val="nil"/>
                  </w:tcBorders>
                  <w:noWrap w:val="0"/>
                  <w:vAlign w:val="center"/>
                </w:tcPr>
                <w:p w14:paraId="3287D4C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7E4236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2D3EF5A8">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885" w:type="pct"/>
                  <w:tcBorders>
                    <w:tl2br w:val="nil"/>
                    <w:tr2bl w:val="nil"/>
                  </w:tcBorders>
                  <w:noWrap w:val="0"/>
                  <w:vAlign w:val="center"/>
                </w:tcPr>
                <w:p w14:paraId="50FC693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医用液氧输送泵</w:t>
                  </w:r>
                </w:p>
              </w:tc>
              <w:tc>
                <w:tcPr>
                  <w:tcW w:w="1564" w:type="pct"/>
                  <w:gridSpan w:val="2"/>
                  <w:tcBorders>
                    <w:tl2br w:val="nil"/>
                    <w:tr2bl w:val="nil"/>
                  </w:tcBorders>
                  <w:noWrap w:val="0"/>
                  <w:vAlign w:val="center"/>
                </w:tcPr>
                <w:p w14:paraId="32F3EBC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型号：YQB15-5；</w:t>
                  </w:r>
                </w:p>
                <w:p w14:paraId="4BC6CA9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配套电机型号：YB132S-4，5.5</w:t>
                  </w:r>
                  <w:r>
                    <w:rPr>
                      <w:rFonts w:hint="eastAsia" w:cs="Times New Roman"/>
                      <w:color w:val="auto"/>
                      <w:sz w:val="18"/>
                      <w:szCs w:val="18"/>
                      <w:lang w:eastAsia="zh-CN"/>
                    </w:rPr>
                    <w:t>kW</w:t>
                  </w:r>
                  <w:r>
                    <w:rPr>
                      <w:rFonts w:hint="default" w:ascii="Times New Roman" w:hAnsi="Times New Roman" w:eastAsia="宋体" w:cs="Times New Roman"/>
                      <w:color w:val="auto"/>
                      <w:sz w:val="18"/>
                      <w:szCs w:val="18"/>
                      <w:lang w:eastAsia="zh-CN"/>
                    </w:rPr>
                    <w:t>；卧式；</w:t>
                  </w:r>
                </w:p>
                <w:p w14:paraId="0B8AE43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额定转速：1440r/min；流量：Q=15m³/h；</w:t>
                  </w:r>
                </w:p>
              </w:tc>
              <w:tc>
                <w:tcPr>
                  <w:tcW w:w="557" w:type="pct"/>
                  <w:tcBorders>
                    <w:tl2br w:val="nil"/>
                    <w:tr2bl w:val="nil"/>
                  </w:tcBorders>
                  <w:noWrap w:val="0"/>
                  <w:vAlign w:val="center"/>
                </w:tcPr>
                <w:p w14:paraId="51299A0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1台</w:t>
                  </w:r>
                </w:p>
              </w:tc>
              <w:tc>
                <w:tcPr>
                  <w:tcW w:w="1286" w:type="pct"/>
                  <w:tcBorders>
                    <w:tl2br w:val="nil"/>
                    <w:tr2bl w:val="nil"/>
                  </w:tcBorders>
                  <w:noWrap w:val="0"/>
                  <w:vAlign w:val="center"/>
                </w:tcPr>
                <w:p w14:paraId="6B9D2B0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铸铁</w:t>
                  </w:r>
                </w:p>
              </w:tc>
              <w:tc>
                <w:tcPr>
                  <w:tcW w:w="381" w:type="pct"/>
                  <w:tcBorders>
                    <w:tl2br w:val="nil"/>
                    <w:tr2bl w:val="nil"/>
                  </w:tcBorders>
                  <w:noWrap w:val="0"/>
                  <w:vAlign w:val="center"/>
                </w:tcPr>
                <w:p w14:paraId="3F2F506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3FCB24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02E9D080">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885" w:type="pct"/>
                  <w:tcBorders>
                    <w:tl2br w:val="nil"/>
                    <w:tr2bl w:val="nil"/>
                  </w:tcBorders>
                  <w:noWrap w:val="0"/>
                  <w:vAlign w:val="center"/>
                </w:tcPr>
                <w:p w14:paraId="220D51B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医用液氧汽化器</w:t>
                  </w:r>
                </w:p>
              </w:tc>
              <w:tc>
                <w:tcPr>
                  <w:tcW w:w="1564" w:type="pct"/>
                  <w:gridSpan w:val="2"/>
                  <w:tcBorders>
                    <w:tl2br w:val="nil"/>
                    <w:tr2bl w:val="nil"/>
                  </w:tcBorders>
                  <w:noWrap w:val="0"/>
                  <w:vAlign w:val="center"/>
                </w:tcPr>
                <w:p w14:paraId="3EAFA8B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汽化</w:t>
                  </w:r>
                  <w:r>
                    <w:rPr>
                      <w:rFonts w:hint="eastAsia" w:cs="Times New Roman"/>
                      <w:color w:val="auto"/>
                      <w:sz w:val="18"/>
                      <w:szCs w:val="18"/>
                      <w:lang w:eastAsia="zh-CN"/>
                    </w:rPr>
                    <w:t>量Q</w:t>
                  </w:r>
                  <w:r>
                    <w:rPr>
                      <w:rFonts w:hint="default" w:ascii="Times New Roman" w:hAnsi="Times New Roman" w:eastAsia="宋体" w:cs="Times New Roman"/>
                      <w:color w:val="auto"/>
                      <w:sz w:val="18"/>
                      <w:szCs w:val="18"/>
                      <w:lang w:eastAsia="zh-CN"/>
                    </w:rPr>
                    <w:t>=300Nm³/h；最高工作压力：15MPa</w:t>
                  </w:r>
                </w:p>
              </w:tc>
              <w:tc>
                <w:tcPr>
                  <w:tcW w:w="557" w:type="pct"/>
                  <w:tcBorders>
                    <w:tl2br w:val="nil"/>
                    <w:tr2bl w:val="nil"/>
                  </w:tcBorders>
                  <w:noWrap w:val="0"/>
                  <w:vAlign w:val="center"/>
                </w:tcPr>
                <w:p w14:paraId="057405BE">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1台</w:t>
                  </w:r>
                </w:p>
              </w:tc>
              <w:tc>
                <w:tcPr>
                  <w:tcW w:w="1286" w:type="pct"/>
                  <w:tcBorders>
                    <w:tl2br w:val="nil"/>
                    <w:tr2bl w:val="nil"/>
                  </w:tcBorders>
                  <w:noWrap w:val="0"/>
                  <w:vAlign w:val="center"/>
                </w:tcPr>
                <w:p w14:paraId="1FEBD6A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铝合金</w:t>
                  </w:r>
                </w:p>
              </w:tc>
              <w:tc>
                <w:tcPr>
                  <w:tcW w:w="381" w:type="pct"/>
                  <w:tcBorders>
                    <w:tl2br w:val="nil"/>
                    <w:tr2bl w:val="nil"/>
                  </w:tcBorders>
                  <w:noWrap w:val="0"/>
                  <w:vAlign w:val="center"/>
                </w:tcPr>
                <w:p w14:paraId="3BE77B09">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74530E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0DF75814">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p>
              </w:tc>
              <w:tc>
                <w:tcPr>
                  <w:tcW w:w="885" w:type="pct"/>
                  <w:tcBorders>
                    <w:tl2br w:val="nil"/>
                    <w:tr2bl w:val="nil"/>
                  </w:tcBorders>
                  <w:noWrap w:val="0"/>
                  <w:vAlign w:val="center"/>
                </w:tcPr>
                <w:p w14:paraId="3EBA9D8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医用氧气充装排</w:t>
                  </w:r>
                  <w:r>
                    <w:rPr>
                      <w:rFonts w:hint="eastAsia" w:cs="Times New Roman"/>
                      <w:color w:val="auto"/>
                      <w:sz w:val="18"/>
                      <w:szCs w:val="18"/>
                      <w:lang w:val="en-US" w:eastAsia="zh-CN"/>
                    </w:rPr>
                    <w:t>架</w:t>
                  </w:r>
                </w:p>
              </w:tc>
              <w:tc>
                <w:tcPr>
                  <w:tcW w:w="1564" w:type="pct"/>
                  <w:gridSpan w:val="2"/>
                  <w:tcBorders>
                    <w:tl2br w:val="nil"/>
                    <w:tr2bl w:val="nil"/>
                  </w:tcBorders>
                  <w:noWrap w:val="0"/>
                  <w:vAlign w:val="center"/>
                </w:tcPr>
                <w:p w14:paraId="5D2D4D6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设计压力：16.5MPa；设计温度：-40~60℃；</w:t>
                  </w:r>
                </w:p>
                <w:p w14:paraId="28CE8C0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最高工作压力：15MPa</w:t>
                  </w:r>
                </w:p>
              </w:tc>
              <w:tc>
                <w:tcPr>
                  <w:tcW w:w="557" w:type="pct"/>
                  <w:tcBorders>
                    <w:tl2br w:val="nil"/>
                    <w:tr2bl w:val="nil"/>
                  </w:tcBorders>
                  <w:noWrap w:val="0"/>
                  <w:vAlign w:val="center"/>
                </w:tcPr>
                <w:p w14:paraId="13EA0EA6">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15</w:t>
                  </w:r>
                  <w:r>
                    <w:rPr>
                      <w:rFonts w:hint="default" w:ascii="Times New Roman" w:hAnsi="Times New Roman" w:eastAsia="宋体" w:cs="Times New Roman"/>
                      <w:color w:val="auto"/>
                      <w:sz w:val="18"/>
                      <w:szCs w:val="18"/>
                      <w:lang w:eastAsia="zh-CN"/>
                    </w:rPr>
                    <w:t>头×2</w:t>
                  </w:r>
                </w:p>
              </w:tc>
              <w:tc>
                <w:tcPr>
                  <w:tcW w:w="1286" w:type="pct"/>
                  <w:tcBorders>
                    <w:tl2br w:val="nil"/>
                    <w:tr2bl w:val="nil"/>
                  </w:tcBorders>
                  <w:noWrap w:val="0"/>
                  <w:vAlign w:val="center"/>
                </w:tcPr>
                <w:p w14:paraId="684CD7C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不锈钢</w:t>
                  </w:r>
                </w:p>
              </w:tc>
              <w:tc>
                <w:tcPr>
                  <w:tcW w:w="381" w:type="pct"/>
                  <w:tcBorders>
                    <w:tl2br w:val="nil"/>
                    <w:tr2bl w:val="nil"/>
                  </w:tcBorders>
                  <w:noWrap w:val="0"/>
                  <w:vAlign w:val="center"/>
                </w:tcPr>
                <w:p w14:paraId="0AB30DE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464752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304D45B7">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三</w:t>
                  </w:r>
                </w:p>
              </w:tc>
              <w:tc>
                <w:tcPr>
                  <w:tcW w:w="4675" w:type="pct"/>
                  <w:gridSpan w:val="6"/>
                  <w:tcBorders>
                    <w:tl2br w:val="nil"/>
                    <w:tr2bl w:val="nil"/>
                  </w:tcBorders>
                  <w:noWrap w:val="0"/>
                  <w:vAlign w:val="center"/>
                </w:tcPr>
                <w:p w14:paraId="6EB9480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氮气充装线</w:t>
                  </w:r>
                </w:p>
              </w:tc>
            </w:tr>
            <w:tr w14:paraId="18BB10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10728D01">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885" w:type="pct"/>
                  <w:tcBorders>
                    <w:tl2br w:val="nil"/>
                    <w:tr2bl w:val="nil"/>
                  </w:tcBorders>
                  <w:noWrap w:val="0"/>
                  <w:vAlign w:val="center"/>
                </w:tcPr>
                <w:p w14:paraId="319BF65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液氮储罐</w:t>
                  </w:r>
                </w:p>
              </w:tc>
              <w:tc>
                <w:tcPr>
                  <w:tcW w:w="1564" w:type="pct"/>
                  <w:gridSpan w:val="2"/>
                  <w:tcBorders>
                    <w:tl2br w:val="nil"/>
                    <w:tr2bl w:val="nil"/>
                  </w:tcBorders>
                  <w:noWrap w:val="0"/>
                  <w:vAlign w:val="center"/>
                </w:tcPr>
                <w:p w14:paraId="51FB3BB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V=50m³；</w:t>
                  </w:r>
                </w:p>
                <w:p w14:paraId="30432AF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设计温度：-196℃；设计压力：1.64MPa</w:t>
                  </w:r>
                </w:p>
              </w:tc>
              <w:tc>
                <w:tcPr>
                  <w:tcW w:w="557" w:type="pct"/>
                  <w:tcBorders>
                    <w:tl2br w:val="nil"/>
                    <w:tr2bl w:val="nil"/>
                  </w:tcBorders>
                  <w:noWrap w:val="0"/>
                  <w:vAlign w:val="center"/>
                </w:tcPr>
                <w:p w14:paraId="4C83A76D">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1台</w:t>
                  </w:r>
                </w:p>
              </w:tc>
              <w:tc>
                <w:tcPr>
                  <w:tcW w:w="1286" w:type="pct"/>
                  <w:tcBorders>
                    <w:tl2br w:val="nil"/>
                    <w:tr2bl w:val="nil"/>
                  </w:tcBorders>
                  <w:noWrap w:val="0"/>
                  <w:vAlign w:val="center"/>
                </w:tcPr>
                <w:p w14:paraId="60D3C435">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外壳：Q245R/Q345R</w:t>
                  </w:r>
                </w:p>
                <w:p w14:paraId="0B82773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内容器：S30408</w:t>
                  </w:r>
                </w:p>
              </w:tc>
              <w:tc>
                <w:tcPr>
                  <w:tcW w:w="381" w:type="pct"/>
                  <w:tcBorders>
                    <w:tl2br w:val="nil"/>
                    <w:tr2bl w:val="nil"/>
                  </w:tcBorders>
                  <w:noWrap w:val="0"/>
                  <w:vAlign w:val="center"/>
                </w:tcPr>
                <w:p w14:paraId="2213B0F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1581D9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37409351">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885" w:type="pct"/>
                  <w:tcBorders>
                    <w:tl2br w:val="nil"/>
                    <w:tr2bl w:val="nil"/>
                  </w:tcBorders>
                  <w:noWrap w:val="0"/>
                  <w:vAlign w:val="center"/>
                </w:tcPr>
                <w:p w14:paraId="61BE50E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液氮输送泵</w:t>
                  </w:r>
                </w:p>
              </w:tc>
              <w:tc>
                <w:tcPr>
                  <w:tcW w:w="1564" w:type="pct"/>
                  <w:gridSpan w:val="2"/>
                  <w:tcBorders>
                    <w:tl2br w:val="nil"/>
                    <w:tr2bl w:val="nil"/>
                  </w:tcBorders>
                  <w:noWrap w:val="0"/>
                  <w:vAlign w:val="center"/>
                </w:tcPr>
                <w:p w14:paraId="54A2102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型号：YQB15-5；</w:t>
                  </w:r>
                </w:p>
                <w:p w14:paraId="3012CA4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配套电机型号：YB132S-4，5.5</w:t>
                  </w:r>
                  <w:r>
                    <w:rPr>
                      <w:rFonts w:hint="eastAsia" w:cs="Times New Roman"/>
                      <w:color w:val="auto"/>
                      <w:sz w:val="18"/>
                      <w:szCs w:val="18"/>
                      <w:lang w:eastAsia="zh-CN"/>
                    </w:rPr>
                    <w:t>kW</w:t>
                  </w:r>
                  <w:r>
                    <w:rPr>
                      <w:rFonts w:hint="default" w:ascii="Times New Roman" w:hAnsi="Times New Roman" w:eastAsia="宋体" w:cs="Times New Roman"/>
                      <w:color w:val="auto"/>
                      <w:sz w:val="18"/>
                      <w:szCs w:val="18"/>
                      <w:lang w:eastAsia="zh-CN"/>
                    </w:rPr>
                    <w:t>；卧式；</w:t>
                  </w:r>
                </w:p>
                <w:p w14:paraId="71D6EF8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额定转速：1440r/min；流量：Q=15m³/h；</w:t>
                  </w:r>
                </w:p>
              </w:tc>
              <w:tc>
                <w:tcPr>
                  <w:tcW w:w="557" w:type="pct"/>
                  <w:tcBorders>
                    <w:tl2br w:val="nil"/>
                    <w:tr2bl w:val="nil"/>
                  </w:tcBorders>
                  <w:noWrap w:val="0"/>
                  <w:vAlign w:val="center"/>
                </w:tcPr>
                <w:p w14:paraId="24D30BC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1台</w:t>
                  </w:r>
                </w:p>
              </w:tc>
              <w:tc>
                <w:tcPr>
                  <w:tcW w:w="1286" w:type="pct"/>
                  <w:tcBorders>
                    <w:tl2br w:val="nil"/>
                    <w:tr2bl w:val="nil"/>
                  </w:tcBorders>
                  <w:noWrap w:val="0"/>
                  <w:vAlign w:val="center"/>
                </w:tcPr>
                <w:p w14:paraId="463A533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铸铁</w:t>
                  </w:r>
                </w:p>
              </w:tc>
              <w:tc>
                <w:tcPr>
                  <w:tcW w:w="381" w:type="pct"/>
                  <w:tcBorders>
                    <w:tl2br w:val="nil"/>
                    <w:tr2bl w:val="nil"/>
                  </w:tcBorders>
                  <w:noWrap w:val="0"/>
                  <w:vAlign w:val="center"/>
                </w:tcPr>
                <w:p w14:paraId="227DFC7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1DB0A9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1D62BB5C">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885" w:type="pct"/>
                  <w:tcBorders>
                    <w:tl2br w:val="nil"/>
                    <w:tr2bl w:val="nil"/>
                  </w:tcBorders>
                  <w:noWrap w:val="0"/>
                  <w:vAlign w:val="center"/>
                </w:tcPr>
                <w:p w14:paraId="79312D7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液氮汽化器</w:t>
                  </w:r>
                </w:p>
              </w:tc>
              <w:tc>
                <w:tcPr>
                  <w:tcW w:w="1564" w:type="pct"/>
                  <w:gridSpan w:val="2"/>
                  <w:tcBorders>
                    <w:tl2br w:val="nil"/>
                    <w:tr2bl w:val="nil"/>
                  </w:tcBorders>
                  <w:noWrap w:val="0"/>
                  <w:vAlign w:val="center"/>
                </w:tcPr>
                <w:p w14:paraId="7D61DCD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汽化</w:t>
                  </w:r>
                  <w:r>
                    <w:rPr>
                      <w:rFonts w:hint="eastAsia" w:cs="Times New Roman"/>
                      <w:color w:val="auto"/>
                      <w:sz w:val="18"/>
                      <w:szCs w:val="18"/>
                      <w:lang w:eastAsia="zh-CN"/>
                    </w:rPr>
                    <w:t>量Q</w:t>
                  </w:r>
                  <w:r>
                    <w:rPr>
                      <w:rFonts w:hint="default" w:ascii="Times New Roman" w:hAnsi="Times New Roman" w:eastAsia="宋体" w:cs="Times New Roman"/>
                      <w:color w:val="auto"/>
                      <w:sz w:val="18"/>
                      <w:szCs w:val="18"/>
                      <w:lang w:eastAsia="zh-CN"/>
                    </w:rPr>
                    <w:t>=500Nm³/h；最高工作压力：25MPa</w:t>
                  </w:r>
                </w:p>
              </w:tc>
              <w:tc>
                <w:tcPr>
                  <w:tcW w:w="557" w:type="pct"/>
                  <w:tcBorders>
                    <w:tl2br w:val="nil"/>
                    <w:tr2bl w:val="nil"/>
                  </w:tcBorders>
                  <w:noWrap w:val="0"/>
                  <w:vAlign w:val="center"/>
                </w:tcPr>
                <w:p w14:paraId="174C5DCF">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1台</w:t>
                  </w:r>
                </w:p>
              </w:tc>
              <w:tc>
                <w:tcPr>
                  <w:tcW w:w="1286" w:type="pct"/>
                  <w:tcBorders>
                    <w:tl2br w:val="nil"/>
                    <w:tr2bl w:val="nil"/>
                  </w:tcBorders>
                  <w:noWrap w:val="0"/>
                  <w:vAlign w:val="center"/>
                </w:tcPr>
                <w:p w14:paraId="5AB68244">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主体材质：铝合金</w:t>
                  </w:r>
                </w:p>
                <w:p w14:paraId="003098A7">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外形尺寸：</w:t>
                  </w:r>
                </w:p>
                <w:p w14:paraId="0C1DEF29">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1690×1130×4200mm</w:t>
                  </w:r>
                </w:p>
              </w:tc>
              <w:tc>
                <w:tcPr>
                  <w:tcW w:w="381" w:type="pct"/>
                  <w:tcBorders>
                    <w:tl2br w:val="nil"/>
                    <w:tr2bl w:val="nil"/>
                  </w:tcBorders>
                  <w:noWrap w:val="0"/>
                  <w:vAlign w:val="center"/>
                </w:tcPr>
                <w:p w14:paraId="1AA8EFF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757051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01BD7B0F">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p>
              </w:tc>
              <w:tc>
                <w:tcPr>
                  <w:tcW w:w="885" w:type="pct"/>
                  <w:tcBorders>
                    <w:tl2br w:val="nil"/>
                    <w:tr2bl w:val="nil"/>
                  </w:tcBorders>
                  <w:noWrap w:val="0"/>
                  <w:vAlign w:val="center"/>
                </w:tcPr>
                <w:p w14:paraId="47E3E1B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氮气充装排</w:t>
                  </w:r>
                  <w:r>
                    <w:rPr>
                      <w:rFonts w:hint="eastAsia" w:cs="Times New Roman"/>
                      <w:color w:val="auto"/>
                      <w:sz w:val="18"/>
                      <w:szCs w:val="18"/>
                      <w:lang w:val="en-US" w:eastAsia="zh-CN"/>
                    </w:rPr>
                    <w:t>架</w:t>
                  </w:r>
                </w:p>
              </w:tc>
              <w:tc>
                <w:tcPr>
                  <w:tcW w:w="1564" w:type="pct"/>
                  <w:gridSpan w:val="2"/>
                  <w:tcBorders>
                    <w:tl2br w:val="nil"/>
                    <w:tr2bl w:val="nil"/>
                  </w:tcBorders>
                  <w:noWrap w:val="0"/>
                  <w:vAlign w:val="center"/>
                </w:tcPr>
                <w:p w14:paraId="2492F9A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设计压力：27MPa；设计温度：-40~60℃；最高工作压力：25MPa</w:t>
                  </w:r>
                </w:p>
              </w:tc>
              <w:tc>
                <w:tcPr>
                  <w:tcW w:w="557" w:type="pct"/>
                  <w:tcBorders>
                    <w:tl2br w:val="nil"/>
                    <w:tr2bl w:val="nil"/>
                  </w:tcBorders>
                  <w:noWrap w:val="0"/>
                  <w:vAlign w:val="center"/>
                </w:tcPr>
                <w:p w14:paraId="6248573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15</w:t>
                  </w:r>
                  <w:r>
                    <w:rPr>
                      <w:rFonts w:hint="default" w:ascii="Times New Roman" w:hAnsi="Times New Roman" w:eastAsia="宋体" w:cs="Times New Roman"/>
                      <w:color w:val="auto"/>
                      <w:sz w:val="18"/>
                      <w:szCs w:val="18"/>
                      <w:lang w:eastAsia="zh-CN"/>
                    </w:rPr>
                    <w:t>头×2</w:t>
                  </w:r>
                </w:p>
              </w:tc>
              <w:tc>
                <w:tcPr>
                  <w:tcW w:w="1286" w:type="pct"/>
                  <w:tcBorders>
                    <w:tl2br w:val="nil"/>
                    <w:tr2bl w:val="nil"/>
                  </w:tcBorders>
                  <w:noWrap w:val="0"/>
                  <w:vAlign w:val="center"/>
                </w:tcPr>
                <w:p w14:paraId="692F28D7">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不锈钢</w:t>
                  </w:r>
                </w:p>
              </w:tc>
              <w:tc>
                <w:tcPr>
                  <w:tcW w:w="381" w:type="pct"/>
                  <w:tcBorders>
                    <w:tl2br w:val="nil"/>
                    <w:tr2bl w:val="nil"/>
                  </w:tcBorders>
                  <w:noWrap w:val="0"/>
                  <w:vAlign w:val="center"/>
                </w:tcPr>
                <w:p w14:paraId="32AD9A5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284037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13C0B809">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四</w:t>
                  </w:r>
                </w:p>
              </w:tc>
              <w:tc>
                <w:tcPr>
                  <w:tcW w:w="4675" w:type="pct"/>
                  <w:gridSpan w:val="6"/>
                  <w:tcBorders>
                    <w:tl2br w:val="nil"/>
                    <w:tr2bl w:val="nil"/>
                  </w:tcBorders>
                  <w:noWrap w:val="0"/>
                  <w:vAlign w:val="center"/>
                </w:tcPr>
                <w:p w14:paraId="769BC827">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氩气充装线</w:t>
                  </w:r>
                </w:p>
              </w:tc>
            </w:tr>
            <w:tr w14:paraId="30E163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6075B8FF">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885" w:type="pct"/>
                  <w:tcBorders>
                    <w:tl2br w:val="nil"/>
                    <w:tr2bl w:val="nil"/>
                  </w:tcBorders>
                  <w:noWrap w:val="0"/>
                  <w:vAlign w:val="center"/>
                </w:tcPr>
                <w:p w14:paraId="648EC6D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液氩储罐</w:t>
                  </w:r>
                </w:p>
              </w:tc>
              <w:tc>
                <w:tcPr>
                  <w:tcW w:w="1564" w:type="pct"/>
                  <w:gridSpan w:val="2"/>
                  <w:tcBorders>
                    <w:tl2br w:val="nil"/>
                    <w:tr2bl w:val="nil"/>
                  </w:tcBorders>
                  <w:noWrap w:val="0"/>
                  <w:vAlign w:val="center"/>
                </w:tcPr>
                <w:p w14:paraId="0569C37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V=50m³；</w:t>
                  </w:r>
                </w:p>
                <w:p w14:paraId="61D0B4B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设计温度：-196℃；设计压力：1.64MPa</w:t>
                  </w:r>
                </w:p>
              </w:tc>
              <w:tc>
                <w:tcPr>
                  <w:tcW w:w="557" w:type="pct"/>
                  <w:tcBorders>
                    <w:tl2br w:val="nil"/>
                    <w:tr2bl w:val="nil"/>
                  </w:tcBorders>
                  <w:noWrap w:val="0"/>
                  <w:vAlign w:val="center"/>
                </w:tcPr>
                <w:p w14:paraId="63C4E45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3台</w:t>
                  </w:r>
                </w:p>
              </w:tc>
              <w:tc>
                <w:tcPr>
                  <w:tcW w:w="1286" w:type="pct"/>
                  <w:tcBorders>
                    <w:tl2br w:val="nil"/>
                    <w:tr2bl w:val="nil"/>
                  </w:tcBorders>
                  <w:noWrap w:val="0"/>
                  <w:vAlign w:val="center"/>
                </w:tcPr>
                <w:p w14:paraId="0D452E6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外壳：Q245R/Q345R</w:t>
                  </w:r>
                </w:p>
                <w:p w14:paraId="1329D03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内容器：S30408</w:t>
                  </w:r>
                </w:p>
              </w:tc>
              <w:tc>
                <w:tcPr>
                  <w:tcW w:w="381" w:type="pct"/>
                  <w:tcBorders>
                    <w:tl2br w:val="nil"/>
                    <w:tr2bl w:val="nil"/>
                  </w:tcBorders>
                  <w:noWrap w:val="0"/>
                  <w:vAlign w:val="center"/>
                </w:tcPr>
                <w:p w14:paraId="2841B05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047561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07DF8D47">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885" w:type="pct"/>
                  <w:tcBorders>
                    <w:tl2br w:val="nil"/>
                    <w:tr2bl w:val="nil"/>
                  </w:tcBorders>
                  <w:noWrap w:val="0"/>
                  <w:vAlign w:val="center"/>
                </w:tcPr>
                <w:p w14:paraId="7302A83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液氩输送泵</w:t>
                  </w:r>
                </w:p>
              </w:tc>
              <w:tc>
                <w:tcPr>
                  <w:tcW w:w="1564" w:type="pct"/>
                  <w:gridSpan w:val="2"/>
                  <w:tcBorders>
                    <w:tl2br w:val="nil"/>
                    <w:tr2bl w:val="nil"/>
                  </w:tcBorders>
                  <w:noWrap w:val="0"/>
                  <w:vAlign w:val="center"/>
                </w:tcPr>
                <w:p w14:paraId="5BF3D1EB">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型号：YQB15-5；</w:t>
                  </w:r>
                </w:p>
                <w:p w14:paraId="100A446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配套电机型号：YB132S-4，5.5</w:t>
                  </w:r>
                  <w:r>
                    <w:rPr>
                      <w:rFonts w:hint="eastAsia" w:cs="Times New Roman"/>
                      <w:color w:val="auto"/>
                      <w:sz w:val="18"/>
                      <w:szCs w:val="18"/>
                      <w:lang w:eastAsia="zh-CN"/>
                    </w:rPr>
                    <w:t>kW</w:t>
                  </w:r>
                  <w:r>
                    <w:rPr>
                      <w:rFonts w:hint="default" w:ascii="Times New Roman" w:hAnsi="Times New Roman" w:eastAsia="宋体" w:cs="Times New Roman"/>
                      <w:color w:val="auto"/>
                      <w:sz w:val="18"/>
                      <w:szCs w:val="18"/>
                      <w:lang w:eastAsia="zh-CN"/>
                    </w:rPr>
                    <w:t>；卧式；额定转速：1440r/min；流量：Q=15m³/h；</w:t>
                  </w:r>
                </w:p>
              </w:tc>
              <w:tc>
                <w:tcPr>
                  <w:tcW w:w="557" w:type="pct"/>
                  <w:tcBorders>
                    <w:tl2br w:val="nil"/>
                    <w:tr2bl w:val="nil"/>
                  </w:tcBorders>
                  <w:noWrap w:val="0"/>
                  <w:vAlign w:val="center"/>
                </w:tcPr>
                <w:p w14:paraId="794DCFA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1台</w:t>
                  </w:r>
                </w:p>
              </w:tc>
              <w:tc>
                <w:tcPr>
                  <w:tcW w:w="1286" w:type="pct"/>
                  <w:tcBorders>
                    <w:tl2br w:val="nil"/>
                    <w:tr2bl w:val="nil"/>
                  </w:tcBorders>
                  <w:noWrap w:val="0"/>
                  <w:vAlign w:val="center"/>
                </w:tcPr>
                <w:p w14:paraId="417C1796">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铸铁</w:t>
                  </w:r>
                </w:p>
              </w:tc>
              <w:tc>
                <w:tcPr>
                  <w:tcW w:w="381" w:type="pct"/>
                  <w:tcBorders>
                    <w:tl2br w:val="nil"/>
                    <w:tr2bl w:val="nil"/>
                  </w:tcBorders>
                  <w:noWrap w:val="0"/>
                  <w:vAlign w:val="center"/>
                </w:tcPr>
                <w:p w14:paraId="7FA069D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473003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3BD32B0B">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885" w:type="pct"/>
                  <w:tcBorders>
                    <w:tl2br w:val="nil"/>
                    <w:tr2bl w:val="nil"/>
                  </w:tcBorders>
                  <w:noWrap w:val="0"/>
                  <w:vAlign w:val="center"/>
                </w:tcPr>
                <w:p w14:paraId="59A3B1C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液氩汽化器</w:t>
                  </w:r>
                </w:p>
              </w:tc>
              <w:tc>
                <w:tcPr>
                  <w:tcW w:w="1564" w:type="pct"/>
                  <w:gridSpan w:val="2"/>
                  <w:tcBorders>
                    <w:tl2br w:val="nil"/>
                    <w:tr2bl w:val="nil"/>
                  </w:tcBorders>
                  <w:noWrap w:val="0"/>
                  <w:vAlign w:val="center"/>
                </w:tcPr>
                <w:p w14:paraId="0C48F4E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汽化</w:t>
                  </w:r>
                  <w:r>
                    <w:rPr>
                      <w:rFonts w:hint="eastAsia" w:cs="Times New Roman"/>
                      <w:color w:val="auto"/>
                      <w:sz w:val="18"/>
                      <w:szCs w:val="18"/>
                      <w:lang w:eastAsia="zh-CN"/>
                    </w:rPr>
                    <w:t>量Q</w:t>
                  </w:r>
                  <w:r>
                    <w:rPr>
                      <w:rFonts w:hint="default" w:ascii="Times New Roman" w:hAnsi="Times New Roman" w:eastAsia="宋体" w:cs="Times New Roman"/>
                      <w:color w:val="auto"/>
                      <w:sz w:val="18"/>
                      <w:szCs w:val="18"/>
                      <w:lang w:eastAsia="zh-CN"/>
                    </w:rPr>
                    <w:t>=500Nm³/h；最高工作压力：25MPa</w:t>
                  </w:r>
                </w:p>
              </w:tc>
              <w:tc>
                <w:tcPr>
                  <w:tcW w:w="557" w:type="pct"/>
                  <w:tcBorders>
                    <w:tl2br w:val="nil"/>
                    <w:tr2bl w:val="nil"/>
                  </w:tcBorders>
                  <w:noWrap w:val="0"/>
                  <w:vAlign w:val="center"/>
                </w:tcPr>
                <w:p w14:paraId="3CBF51D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1台</w:t>
                  </w:r>
                </w:p>
              </w:tc>
              <w:tc>
                <w:tcPr>
                  <w:tcW w:w="1286" w:type="pct"/>
                  <w:tcBorders>
                    <w:tl2br w:val="nil"/>
                    <w:tr2bl w:val="nil"/>
                  </w:tcBorders>
                  <w:noWrap w:val="0"/>
                  <w:vAlign w:val="center"/>
                </w:tcPr>
                <w:p w14:paraId="36EDB14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主体材质：</w:t>
                  </w:r>
                  <w:r>
                    <w:rPr>
                      <w:rFonts w:hint="eastAsia" w:cs="Times New Roman"/>
                      <w:color w:val="000000"/>
                      <w:sz w:val="18"/>
                      <w:szCs w:val="18"/>
                      <w:lang w:val="en-US" w:eastAsia="zh-CN"/>
                    </w:rPr>
                    <w:t>铝合金</w:t>
                  </w:r>
                </w:p>
                <w:p w14:paraId="63F0A67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000000"/>
                      <w:sz w:val="18"/>
                      <w:szCs w:val="18"/>
                      <w:lang w:eastAsia="zh-CN"/>
                    </w:rPr>
                  </w:pPr>
                  <w:r>
                    <w:rPr>
                      <w:rFonts w:hint="default" w:ascii="Times New Roman" w:hAnsi="Times New Roman" w:eastAsia="宋体" w:cs="Times New Roman"/>
                      <w:color w:val="000000"/>
                      <w:sz w:val="18"/>
                      <w:szCs w:val="18"/>
                      <w:lang w:eastAsia="zh-CN"/>
                    </w:rPr>
                    <w:t>外形尺寸：</w:t>
                  </w:r>
                </w:p>
                <w:p w14:paraId="39B510FC">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eastAsia" w:cs="Times New Roman"/>
                      <w:color w:val="000000"/>
                      <w:sz w:val="18"/>
                      <w:szCs w:val="18"/>
                      <w:lang w:val="en-US" w:eastAsia="zh-CN"/>
                    </w:rPr>
                    <w:t>1690</w:t>
                  </w:r>
                  <w:r>
                    <w:rPr>
                      <w:rFonts w:hint="default" w:ascii="Times New Roman" w:hAnsi="Times New Roman" w:eastAsia="宋体" w:cs="Times New Roman"/>
                      <w:color w:val="000000"/>
                      <w:sz w:val="18"/>
                      <w:szCs w:val="18"/>
                      <w:lang w:eastAsia="zh-CN"/>
                    </w:rPr>
                    <w:t>×</w:t>
                  </w:r>
                  <w:r>
                    <w:rPr>
                      <w:rFonts w:hint="eastAsia" w:cs="Times New Roman"/>
                      <w:color w:val="000000"/>
                      <w:sz w:val="18"/>
                      <w:szCs w:val="18"/>
                      <w:lang w:val="en-US" w:eastAsia="zh-CN"/>
                    </w:rPr>
                    <w:t>113</w:t>
                  </w:r>
                  <w:r>
                    <w:rPr>
                      <w:rFonts w:hint="default" w:ascii="Times New Roman" w:hAnsi="Times New Roman" w:eastAsia="宋体" w:cs="Times New Roman"/>
                      <w:color w:val="000000"/>
                      <w:sz w:val="18"/>
                      <w:szCs w:val="18"/>
                      <w:lang w:eastAsia="zh-CN"/>
                    </w:rPr>
                    <w:t>0×</w:t>
                  </w:r>
                  <w:r>
                    <w:rPr>
                      <w:rFonts w:hint="eastAsia" w:cs="Times New Roman"/>
                      <w:color w:val="000000"/>
                      <w:sz w:val="18"/>
                      <w:szCs w:val="18"/>
                      <w:lang w:val="en-US" w:eastAsia="zh-CN"/>
                    </w:rPr>
                    <w:t>42</w:t>
                  </w:r>
                  <w:r>
                    <w:rPr>
                      <w:rFonts w:hint="default" w:ascii="Times New Roman" w:hAnsi="Times New Roman" w:eastAsia="宋体" w:cs="Times New Roman"/>
                      <w:color w:val="000000"/>
                      <w:sz w:val="18"/>
                      <w:szCs w:val="18"/>
                      <w:lang w:eastAsia="zh-CN"/>
                    </w:rPr>
                    <w:t>00</w:t>
                  </w:r>
                  <w:r>
                    <w:rPr>
                      <w:rFonts w:hint="eastAsia" w:cs="Times New Roman"/>
                      <w:color w:val="000000"/>
                      <w:sz w:val="18"/>
                      <w:szCs w:val="18"/>
                      <w:lang w:val="en-US" w:eastAsia="zh-CN"/>
                    </w:rPr>
                    <w:t>mm</w:t>
                  </w:r>
                </w:p>
              </w:tc>
              <w:tc>
                <w:tcPr>
                  <w:tcW w:w="381" w:type="pct"/>
                  <w:tcBorders>
                    <w:tl2br w:val="nil"/>
                    <w:tr2bl w:val="nil"/>
                  </w:tcBorders>
                  <w:noWrap w:val="0"/>
                  <w:vAlign w:val="center"/>
                </w:tcPr>
                <w:p w14:paraId="7930C9B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1ACBF0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584724BC">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p>
              </w:tc>
              <w:tc>
                <w:tcPr>
                  <w:tcW w:w="885" w:type="pct"/>
                  <w:tcBorders>
                    <w:tl2br w:val="nil"/>
                    <w:tr2bl w:val="nil"/>
                  </w:tcBorders>
                  <w:noWrap w:val="0"/>
                  <w:vAlign w:val="center"/>
                </w:tcPr>
                <w:p w14:paraId="42221AA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氩气充装排</w:t>
                  </w:r>
                  <w:r>
                    <w:rPr>
                      <w:rFonts w:hint="eastAsia" w:cs="Times New Roman"/>
                      <w:color w:val="auto"/>
                      <w:sz w:val="18"/>
                      <w:szCs w:val="18"/>
                      <w:lang w:val="en-US" w:eastAsia="zh-CN"/>
                    </w:rPr>
                    <w:t>架</w:t>
                  </w:r>
                </w:p>
              </w:tc>
              <w:tc>
                <w:tcPr>
                  <w:tcW w:w="1564" w:type="pct"/>
                  <w:gridSpan w:val="2"/>
                  <w:tcBorders>
                    <w:tl2br w:val="nil"/>
                    <w:tr2bl w:val="nil"/>
                  </w:tcBorders>
                  <w:noWrap w:val="0"/>
                  <w:vAlign w:val="center"/>
                </w:tcPr>
                <w:p w14:paraId="7B3C8C9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设计压力：27MPa；设计温度：-40~60℃；最高工作压力：25MPa</w:t>
                  </w:r>
                </w:p>
              </w:tc>
              <w:tc>
                <w:tcPr>
                  <w:tcW w:w="557" w:type="pct"/>
                  <w:tcBorders>
                    <w:tl2br w:val="nil"/>
                    <w:tr2bl w:val="nil"/>
                  </w:tcBorders>
                  <w:noWrap w:val="0"/>
                  <w:vAlign w:val="center"/>
                </w:tcPr>
                <w:p w14:paraId="33D59217">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15</w:t>
                  </w:r>
                  <w:r>
                    <w:rPr>
                      <w:rFonts w:hint="default" w:ascii="Times New Roman" w:hAnsi="Times New Roman" w:eastAsia="宋体" w:cs="Times New Roman"/>
                      <w:color w:val="auto"/>
                      <w:sz w:val="18"/>
                      <w:szCs w:val="18"/>
                      <w:lang w:eastAsia="zh-CN"/>
                    </w:rPr>
                    <w:t>头×2</w:t>
                  </w:r>
                </w:p>
              </w:tc>
              <w:tc>
                <w:tcPr>
                  <w:tcW w:w="1286" w:type="pct"/>
                  <w:tcBorders>
                    <w:tl2br w:val="nil"/>
                    <w:tr2bl w:val="nil"/>
                  </w:tcBorders>
                  <w:noWrap w:val="0"/>
                  <w:vAlign w:val="center"/>
                </w:tcPr>
                <w:p w14:paraId="7744A91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不锈钢</w:t>
                  </w:r>
                </w:p>
              </w:tc>
              <w:tc>
                <w:tcPr>
                  <w:tcW w:w="381" w:type="pct"/>
                  <w:tcBorders>
                    <w:tl2br w:val="nil"/>
                    <w:tr2bl w:val="nil"/>
                  </w:tcBorders>
                  <w:noWrap w:val="0"/>
                  <w:vAlign w:val="center"/>
                </w:tcPr>
                <w:p w14:paraId="089B4BC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634EEE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5430D9B0">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五</w:t>
                  </w:r>
                </w:p>
              </w:tc>
              <w:tc>
                <w:tcPr>
                  <w:tcW w:w="4675" w:type="pct"/>
                  <w:gridSpan w:val="6"/>
                  <w:tcBorders>
                    <w:tl2br w:val="nil"/>
                    <w:tr2bl w:val="nil"/>
                  </w:tcBorders>
                  <w:noWrap w:val="0"/>
                  <w:vAlign w:val="center"/>
                </w:tcPr>
                <w:p w14:paraId="76F4AD9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液态二氧化碳充装线</w:t>
                  </w:r>
                </w:p>
              </w:tc>
            </w:tr>
            <w:tr w14:paraId="59C758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20ACAEBA">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885" w:type="pct"/>
                  <w:tcBorders>
                    <w:tl2br w:val="nil"/>
                    <w:tr2bl w:val="nil"/>
                  </w:tcBorders>
                  <w:noWrap w:val="0"/>
                  <w:vAlign w:val="center"/>
                </w:tcPr>
                <w:p w14:paraId="531ECF47">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液态二氧化碳储</w:t>
                  </w:r>
                </w:p>
                <w:p w14:paraId="4F7BCC9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罐</w:t>
                  </w:r>
                </w:p>
              </w:tc>
              <w:tc>
                <w:tcPr>
                  <w:tcW w:w="1564" w:type="pct"/>
                  <w:gridSpan w:val="2"/>
                  <w:tcBorders>
                    <w:tl2br w:val="nil"/>
                    <w:tr2bl w:val="nil"/>
                  </w:tcBorders>
                  <w:noWrap w:val="0"/>
                  <w:vAlign w:val="center"/>
                </w:tcPr>
                <w:p w14:paraId="2B8ABE2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V=50m³；</w:t>
                  </w:r>
                </w:p>
                <w:p w14:paraId="188B2A54">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设计温度：-40℃；设计压力：2.2MPa</w:t>
                  </w:r>
                </w:p>
              </w:tc>
              <w:tc>
                <w:tcPr>
                  <w:tcW w:w="557" w:type="pct"/>
                  <w:tcBorders>
                    <w:tl2br w:val="nil"/>
                    <w:tr2bl w:val="nil"/>
                  </w:tcBorders>
                  <w:noWrap w:val="0"/>
                  <w:vAlign w:val="center"/>
                </w:tcPr>
                <w:p w14:paraId="5D49400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1台</w:t>
                  </w:r>
                </w:p>
              </w:tc>
              <w:tc>
                <w:tcPr>
                  <w:tcW w:w="1286" w:type="pct"/>
                  <w:tcBorders>
                    <w:tl2br w:val="nil"/>
                    <w:tr2bl w:val="nil"/>
                  </w:tcBorders>
                  <w:noWrap w:val="0"/>
                  <w:vAlign w:val="center"/>
                </w:tcPr>
                <w:p w14:paraId="0C03189B">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外壳：Q245R/Q345R</w:t>
                  </w:r>
                </w:p>
                <w:p w14:paraId="7FBD84F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内容器：S30408</w:t>
                  </w:r>
                </w:p>
              </w:tc>
              <w:tc>
                <w:tcPr>
                  <w:tcW w:w="381" w:type="pct"/>
                  <w:tcBorders>
                    <w:tl2br w:val="nil"/>
                    <w:tr2bl w:val="nil"/>
                  </w:tcBorders>
                  <w:noWrap w:val="0"/>
                  <w:vAlign w:val="center"/>
                </w:tcPr>
                <w:p w14:paraId="0A613A9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0D38A8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43FC3D31">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885" w:type="pct"/>
                  <w:tcBorders>
                    <w:tl2br w:val="nil"/>
                    <w:tr2bl w:val="nil"/>
                  </w:tcBorders>
                  <w:noWrap w:val="0"/>
                  <w:vAlign w:val="center"/>
                </w:tcPr>
                <w:p w14:paraId="057ECA4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液态二氧化碳输</w:t>
                  </w:r>
                </w:p>
                <w:p w14:paraId="5425EAB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送泵</w:t>
                  </w:r>
                </w:p>
              </w:tc>
              <w:tc>
                <w:tcPr>
                  <w:tcW w:w="1564" w:type="pct"/>
                  <w:gridSpan w:val="2"/>
                  <w:tcBorders>
                    <w:tl2br w:val="nil"/>
                    <w:tr2bl w:val="nil"/>
                  </w:tcBorders>
                  <w:noWrap w:val="0"/>
                  <w:vAlign w:val="center"/>
                </w:tcPr>
                <w:p w14:paraId="6D64FC4A">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型号：YQB15-5；</w:t>
                  </w:r>
                </w:p>
                <w:p w14:paraId="0567151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配套电机型号：YB132S-4，5.5</w:t>
                  </w:r>
                  <w:r>
                    <w:rPr>
                      <w:rFonts w:hint="eastAsia" w:cs="Times New Roman"/>
                      <w:color w:val="auto"/>
                      <w:sz w:val="18"/>
                      <w:szCs w:val="18"/>
                      <w:lang w:eastAsia="zh-CN"/>
                    </w:rPr>
                    <w:t>kW</w:t>
                  </w:r>
                  <w:r>
                    <w:rPr>
                      <w:rFonts w:hint="default" w:ascii="Times New Roman" w:hAnsi="Times New Roman" w:eastAsia="宋体" w:cs="Times New Roman"/>
                      <w:color w:val="auto"/>
                      <w:sz w:val="18"/>
                      <w:szCs w:val="18"/>
                      <w:lang w:eastAsia="zh-CN"/>
                    </w:rPr>
                    <w:t>；卧式；</w:t>
                  </w:r>
                </w:p>
                <w:p w14:paraId="48141B42">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额定转速：1440r/min；流量：Q=15m³/h；</w:t>
                  </w:r>
                </w:p>
              </w:tc>
              <w:tc>
                <w:tcPr>
                  <w:tcW w:w="557" w:type="pct"/>
                  <w:tcBorders>
                    <w:tl2br w:val="nil"/>
                    <w:tr2bl w:val="nil"/>
                  </w:tcBorders>
                  <w:noWrap w:val="0"/>
                  <w:vAlign w:val="center"/>
                </w:tcPr>
                <w:p w14:paraId="58BCDFED">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1台</w:t>
                  </w:r>
                </w:p>
              </w:tc>
              <w:tc>
                <w:tcPr>
                  <w:tcW w:w="1286" w:type="pct"/>
                  <w:tcBorders>
                    <w:tl2br w:val="nil"/>
                    <w:tr2bl w:val="nil"/>
                  </w:tcBorders>
                  <w:noWrap w:val="0"/>
                  <w:vAlign w:val="center"/>
                </w:tcPr>
                <w:p w14:paraId="4CC95E5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铸铁</w:t>
                  </w:r>
                </w:p>
              </w:tc>
              <w:tc>
                <w:tcPr>
                  <w:tcW w:w="381" w:type="pct"/>
                  <w:tcBorders>
                    <w:tl2br w:val="nil"/>
                    <w:tr2bl w:val="nil"/>
                  </w:tcBorders>
                  <w:noWrap w:val="0"/>
                  <w:vAlign w:val="center"/>
                </w:tcPr>
                <w:p w14:paraId="2855646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438FD8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1BBC6E39">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885" w:type="pct"/>
                  <w:tcBorders>
                    <w:tl2br w:val="nil"/>
                    <w:tr2bl w:val="nil"/>
                  </w:tcBorders>
                  <w:noWrap w:val="0"/>
                  <w:vAlign w:val="center"/>
                </w:tcPr>
                <w:p w14:paraId="7C8AC9BB">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二氧化碳灌装</w:t>
                  </w:r>
                  <w:r>
                    <w:rPr>
                      <w:rFonts w:hint="eastAsia" w:cs="Times New Roman"/>
                      <w:color w:val="auto"/>
                      <w:sz w:val="18"/>
                      <w:szCs w:val="18"/>
                      <w:lang w:val="en-US" w:eastAsia="zh-CN"/>
                    </w:rPr>
                    <w:t>秤</w:t>
                  </w:r>
                </w:p>
              </w:tc>
              <w:tc>
                <w:tcPr>
                  <w:tcW w:w="1564" w:type="pct"/>
                  <w:gridSpan w:val="2"/>
                  <w:tcBorders>
                    <w:tl2br w:val="nil"/>
                    <w:tr2bl w:val="nil"/>
                  </w:tcBorders>
                  <w:noWrap w:val="0"/>
                  <w:vAlign w:val="center"/>
                </w:tcPr>
                <w:p w14:paraId="6CF3903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p>
              </w:tc>
              <w:tc>
                <w:tcPr>
                  <w:tcW w:w="557" w:type="pct"/>
                  <w:tcBorders>
                    <w:tl2br w:val="nil"/>
                    <w:tr2bl w:val="nil"/>
                  </w:tcBorders>
                  <w:noWrap w:val="0"/>
                  <w:vAlign w:val="center"/>
                </w:tcPr>
                <w:p w14:paraId="5EB41AB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4套</w:t>
                  </w:r>
                </w:p>
              </w:tc>
              <w:tc>
                <w:tcPr>
                  <w:tcW w:w="1286" w:type="pct"/>
                  <w:tcBorders>
                    <w:tl2br w:val="nil"/>
                    <w:tr2bl w:val="nil"/>
                  </w:tcBorders>
                  <w:noWrap w:val="0"/>
                  <w:vAlign w:val="center"/>
                </w:tcPr>
                <w:p w14:paraId="30CA332B">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381" w:type="pct"/>
                  <w:tcBorders>
                    <w:tl2br w:val="nil"/>
                    <w:tr2bl w:val="nil"/>
                  </w:tcBorders>
                  <w:noWrap w:val="0"/>
                  <w:vAlign w:val="center"/>
                </w:tcPr>
                <w:p w14:paraId="6295954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6D8F6D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0125C7A1">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六</w:t>
                  </w:r>
                </w:p>
              </w:tc>
              <w:tc>
                <w:tcPr>
                  <w:tcW w:w="4675" w:type="pct"/>
                  <w:gridSpan w:val="6"/>
                  <w:tcBorders>
                    <w:tl2br w:val="nil"/>
                    <w:tr2bl w:val="nil"/>
                  </w:tcBorders>
                  <w:noWrap w:val="0"/>
                  <w:vAlign w:val="center"/>
                </w:tcPr>
                <w:p w14:paraId="4141A4F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混合气体充装线</w:t>
                  </w:r>
                </w:p>
              </w:tc>
            </w:tr>
            <w:tr w14:paraId="62C9A3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6BE5EDE6">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885" w:type="pct"/>
                  <w:tcBorders>
                    <w:tl2br w:val="nil"/>
                    <w:tr2bl w:val="nil"/>
                  </w:tcBorders>
                  <w:noWrap w:val="0"/>
                  <w:vAlign w:val="center"/>
                </w:tcPr>
                <w:p w14:paraId="52042EE3">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充装排</w:t>
                  </w:r>
                  <w:r>
                    <w:rPr>
                      <w:rFonts w:hint="eastAsia" w:cs="Times New Roman"/>
                      <w:color w:val="auto"/>
                      <w:sz w:val="18"/>
                      <w:szCs w:val="18"/>
                      <w:lang w:val="en-US" w:eastAsia="zh-CN"/>
                    </w:rPr>
                    <w:t>架</w:t>
                  </w:r>
                </w:p>
              </w:tc>
              <w:tc>
                <w:tcPr>
                  <w:tcW w:w="1564" w:type="pct"/>
                  <w:gridSpan w:val="2"/>
                  <w:tcBorders>
                    <w:tl2br w:val="nil"/>
                    <w:tr2bl w:val="nil"/>
                  </w:tcBorders>
                  <w:noWrap w:val="0"/>
                  <w:vAlign w:val="center"/>
                </w:tcPr>
                <w:p w14:paraId="6F30ACA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设计压力：27MPa；设计温度：-40~60℃；最高工作压力：25MPa</w:t>
                  </w:r>
                </w:p>
              </w:tc>
              <w:tc>
                <w:tcPr>
                  <w:tcW w:w="557" w:type="pct"/>
                  <w:tcBorders>
                    <w:tl2br w:val="nil"/>
                    <w:tr2bl w:val="nil"/>
                  </w:tcBorders>
                  <w:noWrap w:val="0"/>
                  <w:vAlign w:val="center"/>
                </w:tcPr>
                <w:p w14:paraId="4C7565A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15</w:t>
                  </w:r>
                  <w:r>
                    <w:rPr>
                      <w:rFonts w:hint="default" w:ascii="Times New Roman" w:hAnsi="Times New Roman" w:eastAsia="宋体" w:cs="Times New Roman"/>
                      <w:color w:val="auto"/>
                      <w:sz w:val="18"/>
                      <w:szCs w:val="18"/>
                      <w:lang w:eastAsia="zh-CN"/>
                    </w:rPr>
                    <w:t>头×2</w:t>
                  </w:r>
                </w:p>
              </w:tc>
              <w:tc>
                <w:tcPr>
                  <w:tcW w:w="1286" w:type="pct"/>
                  <w:tcBorders>
                    <w:tl2br w:val="nil"/>
                    <w:tr2bl w:val="nil"/>
                  </w:tcBorders>
                  <w:noWrap w:val="0"/>
                  <w:vAlign w:val="center"/>
                </w:tcPr>
                <w:p w14:paraId="421738E3">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不锈钢</w:t>
                  </w:r>
                </w:p>
              </w:tc>
              <w:tc>
                <w:tcPr>
                  <w:tcW w:w="381" w:type="pct"/>
                  <w:tcBorders>
                    <w:tl2br w:val="nil"/>
                    <w:tr2bl w:val="nil"/>
                  </w:tcBorders>
                  <w:noWrap w:val="0"/>
                  <w:vAlign w:val="center"/>
                </w:tcPr>
                <w:p w14:paraId="6855DABC">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3C412D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5000" w:type="pct"/>
                  <w:gridSpan w:val="7"/>
                  <w:tcBorders>
                    <w:tl2br w:val="nil"/>
                    <w:tr2bl w:val="nil"/>
                  </w:tcBorders>
                  <w:noWrap w:val="0"/>
                  <w:vAlign w:val="center"/>
                </w:tcPr>
                <w:p w14:paraId="02149FC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both"/>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备注：混合气体由二氧化碳20%，氩气80%组成，故采用氩气及二氧化碳的充装设备。</w:t>
                  </w:r>
                </w:p>
              </w:tc>
            </w:tr>
            <w:tr w14:paraId="0828DA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0B0020CA">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七</w:t>
                  </w:r>
                </w:p>
              </w:tc>
              <w:tc>
                <w:tcPr>
                  <w:tcW w:w="4675" w:type="pct"/>
                  <w:gridSpan w:val="6"/>
                  <w:tcBorders>
                    <w:tl2br w:val="nil"/>
                    <w:tr2bl w:val="nil"/>
                  </w:tcBorders>
                  <w:noWrap w:val="0"/>
                  <w:vAlign w:val="center"/>
                </w:tcPr>
                <w:p w14:paraId="23D8F670">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丙烷充装</w:t>
                  </w:r>
                  <w:r>
                    <w:rPr>
                      <w:rFonts w:hint="eastAsia" w:cs="Times New Roman"/>
                      <w:color w:val="auto"/>
                      <w:sz w:val="18"/>
                      <w:szCs w:val="18"/>
                      <w:lang w:val="en-US" w:eastAsia="zh-CN"/>
                    </w:rPr>
                    <w:t>线</w:t>
                  </w:r>
                </w:p>
              </w:tc>
            </w:tr>
            <w:tr w14:paraId="5F1307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3A3401FF">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885" w:type="pct"/>
                  <w:tcBorders>
                    <w:tl2br w:val="nil"/>
                    <w:tr2bl w:val="nil"/>
                  </w:tcBorders>
                  <w:noWrap w:val="0"/>
                  <w:vAlign w:val="center"/>
                </w:tcPr>
                <w:p w14:paraId="7113EB0B">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 xml:space="preserve">丙烷储罐 </w:t>
                  </w:r>
                </w:p>
              </w:tc>
              <w:tc>
                <w:tcPr>
                  <w:tcW w:w="1564" w:type="pct"/>
                  <w:gridSpan w:val="2"/>
                  <w:tcBorders>
                    <w:tl2br w:val="nil"/>
                    <w:tr2bl w:val="nil"/>
                  </w:tcBorders>
                  <w:noWrap w:val="0"/>
                  <w:vAlign w:val="center"/>
                </w:tcPr>
                <w:p w14:paraId="0838A1F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V=50m³；</w:t>
                  </w:r>
                </w:p>
              </w:tc>
              <w:tc>
                <w:tcPr>
                  <w:tcW w:w="557" w:type="pct"/>
                  <w:tcBorders>
                    <w:tl2br w:val="nil"/>
                    <w:tr2bl w:val="nil"/>
                  </w:tcBorders>
                  <w:noWrap w:val="0"/>
                  <w:vAlign w:val="center"/>
                </w:tcPr>
                <w:p w14:paraId="0EE95D1D">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2台</w:t>
                  </w:r>
                </w:p>
              </w:tc>
              <w:tc>
                <w:tcPr>
                  <w:tcW w:w="1286" w:type="pct"/>
                  <w:tcBorders>
                    <w:tl2br w:val="nil"/>
                    <w:tr2bl w:val="nil"/>
                  </w:tcBorders>
                  <w:noWrap w:val="0"/>
                  <w:vAlign w:val="center"/>
                </w:tcPr>
                <w:p w14:paraId="46F9B55F">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Q345R</w:t>
                  </w:r>
                </w:p>
              </w:tc>
              <w:tc>
                <w:tcPr>
                  <w:tcW w:w="381" w:type="pct"/>
                  <w:tcBorders>
                    <w:tl2br w:val="nil"/>
                    <w:tr2bl w:val="nil"/>
                  </w:tcBorders>
                  <w:noWrap w:val="0"/>
                  <w:vAlign w:val="center"/>
                </w:tcPr>
                <w:p w14:paraId="00A1BF2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4C47A5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4" w:hRule="atLeast"/>
              </w:trPr>
              <w:tc>
                <w:tcPr>
                  <w:tcW w:w="324" w:type="pct"/>
                  <w:tcBorders>
                    <w:tl2br w:val="nil"/>
                    <w:tr2bl w:val="nil"/>
                  </w:tcBorders>
                  <w:noWrap w:val="0"/>
                  <w:vAlign w:val="center"/>
                </w:tcPr>
                <w:p w14:paraId="351C9865">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885" w:type="pct"/>
                  <w:tcBorders>
                    <w:tl2br w:val="nil"/>
                    <w:tr2bl w:val="nil"/>
                  </w:tcBorders>
                  <w:noWrap w:val="0"/>
                  <w:vAlign w:val="center"/>
                </w:tcPr>
                <w:p w14:paraId="7F08ED8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丙烷压缩机</w:t>
                  </w:r>
                </w:p>
              </w:tc>
              <w:tc>
                <w:tcPr>
                  <w:tcW w:w="1564" w:type="pct"/>
                  <w:gridSpan w:val="2"/>
                  <w:tcBorders>
                    <w:tl2br w:val="nil"/>
                    <w:tr2bl w:val="nil"/>
                  </w:tcBorders>
                  <w:noWrap w:val="0"/>
                  <w:vAlign w:val="center"/>
                </w:tcPr>
                <w:p w14:paraId="5190223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容积流量：0.95m³/min；进气压力：1.0MPa；</w:t>
                  </w:r>
                </w:p>
                <w:p w14:paraId="119DA479">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排气压力：1.5MPa；电机功率：15</w:t>
                  </w:r>
                  <w:r>
                    <w:rPr>
                      <w:rFonts w:hint="eastAsia" w:cs="Times New Roman"/>
                      <w:color w:val="auto"/>
                      <w:sz w:val="18"/>
                      <w:szCs w:val="18"/>
                      <w:lang w:eastAsia="zh-CN"/>
                    </w:rPr>
                    <w:t>kW</w:t>
                  </w:r>
                  <w:r>
                    <w:rPr>
                      <w:rFonts w:hint="default" w:ascii="Times New Roman" w:hAnsi="Times New Roman" w:eastAsia="宋体" w:cs="Times New Roman"/>
                      <w:color w:val="auto"/>
                      <w:sz w:val="18"/>
                      <w:szCs w:val="18"/>
                      <w:lang w:eastAsia="zh-CN"/>
                    </w:rPr>
                    <w:t>；附防爆电机.</w:t>
                  </w:r>
                </w:p>
              </w:tc>
              <w:tc>
                <w:tcPr>
                  <w:tcW w:w="557" w:type="pct"/>
                  <w:tcBorders>
                    <w:tl2br w:val="nil"/>
                    <w:tr2bl w:val="nil"/>
                  </w:tcBorders>
                  <w:noWrap w:val="0"/>
                  <w:vAlign w:val="center"/>
                </w:tcPr>
                <w:p w14:paraId="7A73246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1台</w:t>
                  </w:r>
                </w:p>
              </w:tc>
              <w:tc>
                <w:tcPr>
                  <w:tcW w:w="1286" w:type="pct"/>
                  <w:tcBorders>
                    <w:tl2br w:val="nil"/>
                    <w:tr2bl w:val="nil"/>
                  </w:tcBorders>
                  <w:noWrap w:val="0"/>
                  <w:vAlign w:val="center"/>
                </w:tcPr>
                <w:p w14:paraId="57D6FBF8">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碳钢</w:t>
                  </w:r>
                </w:p>
              </w:tc>
              <w:tc>
                <w:tcPr>
                  <w:tcW w:w="381" w:type="pct"/>
                  <w:tcBorders>
                    <w:tl2br w:val="nil"/>
                    <w:tr2bl w:val="nil"/>
                  </w:tcBorders>
                  <w:noWrap w:val="0"/>
                  <w:vAlign w:val="center"/>
                </w:tcPr>
                <w:p w14:paraId="130ECD24">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2F2807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728A0ED5">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885" w:type="pct"/>
                  <w:tcBorders>
                    <w:tl2br w:val="nil"/>
                    <w:tr2bl w:val="nil"/>
                  </w:tcBorders>
                  <w:noWrap w:val="0"/>
                  <w:vAlign w:val="center"/>
                </w:tcPr>
                <w:p w14:paraId="1CB7D3BE">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工业丙烷泵</w:t>
                  </w:r>
                </w:p>
              </w:tc>
              <w:tc>
                <w:tcPr>
                  <w:tcW w:w="1564" w:type="pct"/>
                  <w:gridSpan w:val="2"/>
                  <w:tcBorders>
                    <w:tl2br w:val="nil"/>
                    <w:tr2bl w:val="nil"/>
                  </w:tcBorders>
                  <w:noWrap w:val="0"/>
                  <w:vAlign w:val="center"/>
                </w:tcPr>
                <w:p w14:paraId="7C8D5430">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型号：YQB15-5；</w:t>
                  </w:r>
                </w:p>
              </w:tc>
              <w:tc>
                <w:tcPr>
                  <w:tcW w:w="557" w:type="pct"/>
                  <w:tcBorders>
                    <w:tl2br w:val="nil"/>
                    <w:tr2bl w:val="nil"/>
                  </w:tcBorders>
                  <w:noWrap w:val="0"/>
                  <w:vAlign w:val="center"/>
                </w:tcPr>
                <w:p w14:paraId="084161C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1台</w:t>
                  </w:r>
                </w:p>
              </w:tc>
              <w:tc>
                <w:tcPr>
                  <w:tcW w:w="1286" w:type="pct"/>
                  <w:tcBorders>
                    <w:tl2br w:val="nil"/>
                    <w:tr2bl w:val="nil"/>
                  </w:tcBorders>
                  <w:noWrap w:val="0"/>
                  <w:vAlign w:val="center"/>
                </w:tcPr>
                <w:p w14:paraId="7B77BC2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碳钢</w:t>
                  </w:r>
                </w:p>
              </w:tc>
              <w:tc>
                <w:tcPr>
                  <w:tcW w:w="381" w:type="pct"/>
                  <w:tcBorders>
                    <w:tl2br w:val="nil"/>
                    <w:tr2bl w:val="nil"/>
                  </w:tcBorders>
                  <w:noWrap w:val="0"/>
                  <w:vAlign w:val="center"/>
                </w:tcPr>
                <w:p w14:paraId="36A262E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346EE2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5C9453B3">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p>
              </w:tc>
              <w:tc>
                <w:tcPr>
                  <w:tcW w:w="885" w:type="pct"/>
                  <w:tcBorders>
                    <w:tl2br w:val="nil"/>
                    <w:tr2bl w:val="nil"/>
                  </w:tcBorders>
                  <w:noWrap w:val="0"/>
                  <w:vAlign w:val="center"/>
                </w:tcPr>
                <w:p w14:paraId="7F72399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鹤管</w:t>
                  </w:r>
                </w:p>
              </w:tc>
              <w:tc>
                <w:tcPr>
                  <w:tcW w:w="1564" w:type="pct"/>
                  <w:gridSpan w:val="2"/>
                  <w:tcBorders>
                    <w:tl2br w:val="nil"/>
                    <w:tr2bl w:val="nil"/>
                  </w:tcBorders>
                  <w:noWrap w:val="0"/>
                  <w:vAlign w:val="center"/>
                </w:tcPr>
                <w:p w14:paraId="0FDC7A53">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DN50</w:t>
                  </w:r>
                </w:p>
              </w:tc>
              <w:tc>
                <w:tcPr>
                  <w:tcW w:w="557" w:type="pct"/>
                  <w:tcBorders>
                    <w:tl2br w:val="nil"/>
                    <w:tr2bl w:val="nil"/>
                  </w:tcBorders>
                  <w:noWrap w:val="0"/>
                  <w:vAlign w:val="center"/>
                </w:tcPr>
                <w:p w14:paraId="63B4A2F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1台</w:t>
                  </w:r>
                </w:p>
              </w:tc>
              <w:tc>
                <w:tcPr>
                  <w:tcW w:w="1286" w:type="pct"/>
                  <w:tcBorders>
                    <w:tl2br w:val="nil"/>
                    <w:tr2bl w:val="nil"/>
                  </w:tcBorders>
                  <w:noWrap w:val="0"/>
                  <w:vAlign w:val="center"/>
                </w:tcPr>
                <w:p w14:paraId="3AACA4D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sz w:val="18"/>
                      <w:szCs w:val="18"/>
                      <w:lang w:eastAsia="zh-CN"/>
                    </w:rPr>
                  </w:pPr>
                  <w:r>
                    <w:rPr>
                      <w:rFonts w:hint="eastAsia" w:cs="Times New Roman"/>
                      <w:color w:val="auto"/>
                      <w:sz w:val="18"/>
                      <w:szCs w:val="18"/>
                      <w:lang w:val="en-US" w:eastAsia="zh-CN"/>
                    </w:rPr>
                    <w:t>碳钢</w:t>
                  </w:r>
                </w:p>
              </w:tc>
              <w:tc>
                <w:tcPr>
                  <w:tcW w:w="381" w:type="pct"/>
                  <w:tcBorders>
                    <w:tl2br w:val="nil"/>
                    <w:tr2bl w:val="nil"/>
                  </w:tcBorders>
                  <w:noWrap w:val="0"/>
                  <w:vAlign w:val="center"/>
                </w:tcPr>
                <w:p w14:paraId="77D8B79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0450C7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692606D2">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八</w:t>
                  </w:r>
                </w:p>
              </w:tc>
              <w:tc>
                <w:tcPr>
                  <w:tcW w:w="4675" w:type="pct"/>
                  <w:gridSpan w:val="6"/>
                  <w:tcBorders>
                    <w:tl2br w:val="nil"/>
                    <w:tr2bl w:val="nil"/>
                  </w:tcBorders>
                  <w:noWrap w:val="0"/>
                  <w:vAlign w:val="center"/>
                </w:tcPr>
                <w:p w14:paraId="68F5C4A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液化石油气充装</w:t>
                  </w:r>
                  <w:r>
                    <w:rPr>
                      <w:rFonts w:hint="eastAsia" w:cs="Times New Roman"/>
                      <w:color w:val="auto"/>
                      <w:sz w:val="18"/>
                      <w:szCs w:val="18"/>
                      <w:lang w:val="en-US" w:eastAsia="zh-CN"/>
                    </w:rPr>
                    <w:t>线</w:t>
                  </w:r>
                </w:p>
              </w:tc>
            </w:tr>
            <w:tr w14:paraId="2E9F77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782D5773">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885" w:type="pct"/>
                  <w:tcBorders>
                    <w:tl2br w:val="nil"/>
                    <w:tr2bl w:val="nil"/>
                  </w:tcBorders>
                  <w:noWrap w:val="0"/>
                  <w:vAlign w:val="center"/>
                </w:tcPr>
                <w:p w14:paraId="04C042BA">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 xml:space="preserve">液化石油气储罐 </w:t>
                  </w:r>
                </w:p>
              </w:tc>
              <w:tc>
                <w:tcPr>
                  <w:tcW w:w="1564" w:type="pct"/>
                  <w:gridSpan w:val="2"/>
                  <w:tcBorders>
                    <w:tl2br w:val="nil"/>
                    <w:tr2bl w:val="nil"/>
                  </w:tcBorders>
                  <w:noWrap w:val="0"/>
                  <w:vAlign w:val="center"/>
                </w:tcPr>
                <w:p w14:paraId="0C63A7A4">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V=50m³；</w:t>
                  </w:r>
                </w:p>
              </w:tc>
              <w:tc>
                <w:tcPr>
                  <w:tcW w:w="557" w:type="pct"/>
                  <w:tcBorders>
                    <w:tl2br w:val="nil"/>
                    <w:tr2bl w:val="nil"/>
                  </w:tcBorders>
                  <w:noWrap w:val="0"/>
                  <w:vAlign w:val="center"/>
                </w:tcPr>
                <w:p w14:paraId="5C3FA13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2台</w:t>
                  </w:r>
                </w:p>
              </w:tc>
              <w:tc>
                <w:tcPr>
                  <w:tcW w:w="1286" w:type="pct"/>
                  <w:tcBorders>
                    <w:tl2br w:val="nil"/>
                    <w:tr2bl w:val="nil"/>
                  </w:tcBorders>
                  <w:noWrap w:val="0"/>
                  <w:vAlign w:val="center"/>
                </w:tcPr>
                <w:p w14:paraId="5A216066">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Q345R</w:t>
                  </w:r>
                </w:p>
              </w:tc>
              <w:tc>
                <w:tcPr>
                  <w:tcW w:w="381" w:type="pct"/>
                  <w:tcBorders>
                    <w:tl2br w:val="nil"/>
                    <w:tr2bl w:val="nil"/>
                  </w:tcBorders>
                  <w:noWrap w:val="0"/>
                  <w:vAlign w:val="center"/>
                </w:tcPr>
                <w:p w14:paraId="7C39388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6C51AC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1B3A5743">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885" w:type="pct"/>
                  <w:tcBorders>
                    <w:tl2br w:val="nil"/>
                    <w:tr2bl w:val="nil"/>
                  </w:tcBorders>
                  <w:noWrap w:val="0"/>
                  <w:vAlign w:val="center"/>
                </w:tcPr>
                <w:p w14:paraId="40BF094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液化石油气压缩机</w:t>
                  </w:r>
                </w:p>
              </w:tc>
              <w:tc>
                <w:tcPr>
                  <w:tcW w:w="1564" w:type="pct"/>
                  <w:gridSpan w:val="2"/>
                  <w:tcBorders>
                    <w:tl2br w:val="nil"/>
                    <w:tr2bl w:val="nil"/>
                  </w:tcBorders>
                  <w:noWrap w:val="0"/>
                  <w:vAlign w:val="center"/>
                </w:tcPr>
                <w:p w14:paraId="2A643961">
                  <w:pPr>
                    <w:keepNext w:val="0"/>
                    <w:keepLines w:val="0"/>
                    <w:pageBreakBefore w:val="0"/>
                    <w:widowControl w:val="0"/>
                    <w:kinsoku/>
                    <w:wordWrap/>
                    <w:overflowPunct/>
                    <w:topLinePunct w:val="0"/>
                    <w:autoSpaceDE/>
                    <w:autoSpaceDN/>
                    <w:bidi w:val="0"/>
                    <w:adjustRightInd/>
                    <w:snapToGrid/>
                    <w:spacing w:after="0" w:line="240" w:lineRule="auto"/>
                    <w:ind w:left="0" w:firstLine="0" w:firstLineChars="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容积流量：0.95m³/min；进气压力：1.0MPa；</w:t>
                  </w:r>
                </w:p>
                <w:p w14:paraId="59175080">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排气压力：1.5MPa；电机功率：15</w:t>
                  </w:r>
                  <w:r>
                    <w:rPr>
                      <w:rFonts w:hint="eastAsia" w:cs="Times New Roman"/>
                      <w:color w:val="auto"/>
                      <w:sz w:val="18"/>
                      <w:szCs w:val="18"/>
                      <w:lang w:eastAsia="zh-CN"/>
                    </w:rPr>
                    <w:t>kW</w:t>
                  </w:r>
                  <w:r>
                    <w:rPr>
                      <w:rFonts w:hint="default" w:ascii="Times New Roman" w:hAnsi="Times New Roman" w:eastAsia="宋体" w:cs="Times New Roman"/>
                      <w:color w:val="auto"/>
                      <w:sz w:val="18"/>
                      <w:szCs w:val="18"/>
                      <w:lang w:eastAsia="zh-CN"/>
                    </w:rPr>
                    <w:t>；附防爆电机.</w:t>
                  </w:r>
                </w:p>
              </w:tc>
              <w:tc>
                <w:tcPr>
                  <w:tcW w:w="557" w:type="pct"/>
                  <w:tcBorders>
                    <w:tl2br w:val="nil"/>
                    <w:tr2bl w:val="nil"/>
                  </w:tcBorders>
                  <w:noWrap w:val="0"/>
                  <w:vAlign w:val="center"/>
                </w:tcPr>
                <w:p w14:paraId="42C95287">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1台</w:t>
                  </w:r>
                </w:p>
              </w:tc>
              <w:tc>
                <w:tcPr>
                  <w:tcW w:w="1286" w:type="pct"/>
                  <w:tcBorders>
                    <w:tl2br w:val="nil"/>
                    <w:tr2bl w:val="nil"/>
                  </w:tcBorders>
                  <w:noWrap w:val="0"/>
                  <w:vAlign w:val="center"/>
                </w:tcPr>
                <w:p w14:paraId="1D93D068">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碳钢</w:t>
                  </w:r>
                </w:p>
              </w:tc>
              <w:tc>
                <w:tcPr>
                  <w:tcW w:w="381" w:type="pct"/>
                  <w:tcBorders>
                    <w:tl2br w:val="nil"/>
                    <w:tr2bl w:val="nil"/>
                  </w:tcBorders>
                  <w:noWrap w:val="0"/>
                  <w:vAlign w:val="center"/>
                </w:tcPr>
                <w:p w14:paraId="3680A910">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3A5C44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700E143D">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885" w:type="pct"/>
                  <w:tcBorders>
                    <w:tl2br w:val="nil"/>
                    <w:tr2bl w:val="nil"/>
                  </w:tcBorders>
                  <w:noWrap w:val="0"/>
                  <w:vAlign w:val="center"/>
                </w:tcPr>
                <w:p w14:paraId="2EE826D2">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液化石油气泵</w:t>
                  </w:r>
                </w:p>
              </w:tc>
              <w:tc>
                <w:tcPr>
                  <w:tcW w:w="1564" w:type="pct"/>
                  <w:gridSpan w:val="2"/>
                  <w:tcBorders>
                    <w:tl2br w:val="nil"/>
                    <w:tr2bl w:val="nil"/>
                  </w:tcBorders>
                  <w:noWrap w:val="0"/>
                  <w:vAlign w:val="center"/>
                </w:tcPr>
                <w:p w14:paraId="2C69C654">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型号：YQB15-5；</w:t>
                  </w:r>
                </w:p>
              </w:tc>
              <w:tc>
                <w:tcPr>
                  <w:tcW w:w="557" w:type="pct"/>
                  <w:tcBorders>
                    <w:tl2br w:val="nil"/>
                    <w:tr2bl w:val="nil"/>
                  </w:tcBorders>
                  <w:noWrap w:val="0"/>
                  <w:vAlign w:val="center"/>
                </w:tcPr>
                <w:p w14:paraId="7AB42C5B">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1台</w:t>
                  </w:r>
                </w:p>
              </w:tc>
              <w:tc>
                <w:tcPr>
                  <w:tcW w:w="1286" w:type="pct"/>
                  <w:tcBorders>
                    <w:tl2br w:val="nil"/>
                    <w:tr2bl w:val="nil"/>
                  </w:tcBorders>
                  <w:noWrap w:val="0"/>
                  <w:vAlign w:val="center"/>
                </w:tcPr>
                <w:p w14:paraId="7FA54C25">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碳钢</w:t>
                  </w:r>
                </w:p>
              </w:tc>
              <w:tc>
                <w:tcPr>
                  <w:tcW w:w="381" w:type="pct"/>
                  <w:tcBorders>
                    <w:tl2br w:val="nil"/>
                    <w:tr2bl w:val="nil"/>
                  </w:tcBorders>
                  <w:noWrap w:val="0"/>
                  <w:vAlign w:val="center"/>
                </w:tcPr>
                <w:p w14:paraId="6E14B78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r w14:paraId="3DB293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trPr>
              <w:tc>
                <w:tcPr>
                  <w:tcW w:w="324" w:type="pct"/>
                  <w:tcBorders>
                    <w:tl2br w:val="nil"/>
                    <w:tr2bl w:val="nil"/>
                  </w:tcBorders>
                  <w:noWrap w:val="0"/>
                  <w:vAlign w:val="center"/>
                </w:tcPr>
                <w:p w14:paraId="02C268E0">
                  <w:pPr>
                    <w:pStyle w:val="88"/>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p>
              </w:tc>
              <w:tc>
                <w:tcPr>
                  <w:tcW w:w="885" w:type="pct"/>
                  <w:tcBorders>
                    <w:tl2br w:val="nil"/>
                    <w:tr2bl w:val="nil"/>
                  </w:tcBorders>
                  <w:noWrap w:val="0"/>
                  <w:vAlign w:val="center"/>
                </w:tcPr>
                <w:p w14:paraId="4973B20B">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鹤管</w:t>
                  </w:r>
                </w:p>
              </w:tc>
              <w:tc>
                <w:tcPr>
                  <w:tcW w:w="1564" w:type="pct"/>
                  <w:gridSpan w:val="2"/>
                  <w:tcBorders>
                    <w:tl2br w:val="nil"/>
                    <w:tr2bl w:val="nil"/>
                  </w:tcBorders>
                  <w:noWrap w:val="0"/>
                  <w:vAlign w:val="center"/>
                </w:tcPr>
                <w:p w14:paraId="5AE36929">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DN50</w:t>
                  </w:r>
                </w:p>
              </w:tc>
              <w:tc>
                <w:tcPr>
                  <w:tcW w:w="557" w:type="pct"/>
                  <w:tcBorders>
                    <w:tl2br w:val="nil"/>
                    <w:tr2bl w:val="nil"/>
                  </w:tcBorders>
                  <w:noWrap w:val="0"/>
                  <w:vAlign w:val="center"/>
                </w:tcPr>
                <w:p w14:paraId="40C394DB">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1台</w:t>
                  </w:r>
                </w:p>
              </w:tc>
              <w:tc>
                <w:tcPr>
                  <w:tcW w:w="1286" w:type="pct"/>
                  <w:tcBorders>
                    <w:tl2br w:val="nil"/>
                    <w:tr2bl w:val="nil"/>
                  </w:tcBorders>
                  <w:noWrap w:val="0"/>
                  <w:vAlign w:val="center"/>
                </w:tcPr>
                <w:p w14:paraId="7B9F4D31">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碳钢</w:t>
                  </w:r>
                </w:p>
              </w:tc>
              <w:tc>
                <w:tcPr>
                  <w:tcW w:w="381" w:type="pct"/>
                  <w:tcBorders>
                    <w:tl2br w:val="nil"/>
                    <w:tr2bl w:val="nil"/>
                  </w:tcBorders>
                  <w:noWrap w:val="0"/>
                  <w:vAlign w:val="center"/>
                </w:tcPr>
                <w:p w14:paraId="74A9C1B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sz w:val="18"/>
                      <w:szCs w:val="18"/>
                      <w:lang w:eastAsia="zh-CN"/>
                    </w:rPr>
                  </w:pPr>
                </w:p>
              </w:tc>
            </w:tr>
          </w:tbl>
          <w:p w14:paraId="02FC2812">
            <w:pPr>
              <w:bidi w:val="0"/>
              <w:rPr>
                <w:rFonts w:hint="default"/>
                <w:b/>
                <w:bCs/>
                <w:color w:val="auto"/>
                <w:lang w:eastAsia="zh-CN"/>
              </w:rPr>
            </w:pPr>
            <w:r>
              <w:rPr>
                <w:rFonts w:hint="default"/>
                <w:b/>
                <w:bCs/>
                <w:color w:val="auto"/>
                <w:lang w:eastAsia="zh-CN"/>
              </w:rPr>
              <w:t>六</w:t>
            </w:r>
            <w:r>
              <w:rPr>
                <w:rFonts w:hint="default"/>
                <w:b/>
                <w:bCs/>
                <w:color w:val="auto"/>
              </w:rPr>
              <w:t>、</w:t>
            </w:r>
            <w:r>
              <w:rPr>
                <w:rFonts w:hint="default"/>
                <w:b/>
                <w:bCs/>
                <w:color w:val="auto"/>
                <w:lang w:eastAsia="zh-CN"/>
              </w:rPr>
              <w:t>项目给排水</w:t>
            </w:r>
          </w:p>
          <w:p w14:paraId="29EEA2C9">
            <w:pPr>
              <w:spacing w:line="360" w:lineRule="auto"/>
              <w:ind w:firstLine="480" w:firstLineChars="200"/>
              <w:rPr>
                <w:rFonts w:hint="eastAsia" w:eastAsia="宋体"/>
                <w:color w:val="auto"/>
                <w:sz w:val="24"/>
                <w:lang w:val="en-US" w:eastAsia="zh-CN"/>
              </w:rPr>
            </w:pPr>
            <w:r>
              <w:rPr>
                <w:color w:val="auto"/>
                <w:sz w:val="24"/>
              </w:rPr>
              <w:t>本项目用水来源为</w:t>
            </w:r>
            <w:r>
              <w:rPr>
                <w:rFonts w:hint="eastAsia"/>
                <w:color w:val="auto"/>
                <w:sz w:val="24"/>
                <w:lang w:val="en-US" w:eastAsia="zh-CN"/>
              </w:rPr>
              <w:t>井水</w:t>
            </w:r>
            <w:r>
              <w:rPr>
                <w:color w:val="auto"/>
                <w:sz w:val="24"/>
              </w:rPr>
              <w:t>。用水主要包括生活用水和生产用水</w:t>
            </w:r>
            <w:r>
              <w:rPr>
                <w:rFonts w:hint="eastAsia"/>
                <w:color w:val="auto"/>
                <w:sz w:val="24"/>
              </w:rPr>
              <w:t>。根据</w:t>
            </w:r>
            <w:r>
              <w:rPr>
                <w:rFonts w:hint="eastAsia"/>
                <w:color w:val="auto"/>
                <w:sz w:val="24"/>
                <w:lang w:val="en-US" w:eastAsia="zh-CN"/>
              </w:rPr>
              <w:t>项目</w:t>
            </w:r>
            <w:r>
              <w:rPr>
                <w:rFonts w:hint="eastAsia"/>
                <w:color w:val="auto"/>
                <w:sz w:val="24"/>
              </w:rPr>
              <w:t>初步设计说明</w:t>
            </w:r>
            <w:r>
              <w:rPr>
                <w:rFonts w:hint="eastAsia"/>
                <w:color w:val="auto"/>
                <w:sz w:val="24"/>
                <w:lang w:val="en-US" w:eastAsia="zh-CN"/>
              </w:rPr>
              <w:t>及</w:t>
            </w:r>
            <w:r>
              <w:rPr>
                <w:rFonts w:hint="eastAsia"/>
                <w:color w:val="auto"/>
                <w:sz w:val="24"/>
              </w:rPr>
              <w:t>安全设施设计专篇，本项目</w:t>
            </w:r>
            <w:r>
              <w:rPr>
                <w:rFonts w:hint="eastAsia"/>
                <w:color w:val="auto"/>
                <w:sz w:val="24"/>
                <w:lang w:val="en-US" w:eastAsia="zh-CN"/>
              </w:rPr>
              <w:t>生产用水主要为空气分离设备</w:t>
            </w:r>
            <w:r>
              <w:rPr>
                <w:rFonts w:hint="eastAsia"/>
                <w:color w:val="auto"/>
                <w:sz w:val="24"/>
              </w:rPr>
              <w:t>循环冷却系统用水</w:t>
            </w:r>
            <w:r>
              <w:rPr>
                <w:rFonts w:hint="eastAsia"/>
                <w:color w:val="auto"/>
                <w:sz w:val="24"/>
                <w:lang w:val="en-US" w:eastAsia="zh-CN"/>
              </w:rPr>
              <w:t>，气体充装线</w:t>
            </w:r>
            <w:r>
              <w:rPr>
                <w:rFonts w:hint="eastAsia"/>
                <w:color w:val="auto"/>
                <w:lang w:val="en-US" w:eastAsia="zh-CN"/>
              </w:rPr>
              <w:t>洗瓶用水</w:t>
            </w:r>
            <w:r>
              <w:rPr>
                <w:rFonts w:hint="eastAsia"/>
                <w:color w:val="auto"/>
                <w:sz w:val="24"/>
                <w:lang w:val="en-US" w:eastAsia="zh-CN"/>
              </w:rPr>
              <w:t>和厂区消防用水及初期雨水。</w:t>
            </w:r>
          </w:p>
          <w:p w14:paraId="4969E2FD">
            <w:pPr>
              <w:spacing w:line="360" w:lineRule="auto"/>
              <w:ind w:firstLine="480" w:firstLineChars="200"/>
              <w:rPr>
                <w:color w:val="auto"/>
                <w:sz w:val="24"/>
              </w:rPr>
            </w:pPr>
            <w:r>
              <w:rPr>
                <w:color w:val="auto"/>
                <w:sz w:val="24"/>
              </w:rPr>
              <w:t>①生活用水</w:t>
            </w:r>
          </w:p>
          <w:p w14:paraId="1501720B">
            <w:pPr>
              <w:adjustRightInd w:val="0"/>
              <w:snapToGrid w:val="0"/>
              <w:spacing w:line="360" w:lineRule="auto"/>
              <w:ind w:firstLine="480" w:firstLineChars="200"/>
              <w:rPr>
                <w:rFonts w:hint="eastAsia" w:eastAsia="宋体"/>
                <w:color w:val="auto"/>
                <w:sz w:val="24"/>
                <w:lang w:eastAsia="zh-CN"/>
              </w:rPr>
            </w:pPr>
            <w:r>
              <w:rPr>
                <w:rFonts w:hint="eastAsia"/>
                <w:color w:val="auto"/>
                <w:sz w:val="24"/>
                <w:lang w:val="en-US" w:eastAsia="zh-CN"/>
              </w:rPr>
              <w:t>本</w:t>
            </w:r>
            <w:r>
              <w:rPr>
                <w:color w:val="auto"/>
                <w:sz w:val="24"/>
              </w:rPr>
              <w:t>项目劳动定员</w:t>
            </w:r>
            <w:r>
              <w:rPr>
                <w:rFonts w:hint="eastAsia"/>
                <w:color w:val="auto"/>
                <w:sz w:val="24"/>
                <w:lang w:val="en-US" w:eastAsia="zh-CN"/>
              </w:rPr>
              <w:t>60</w:t>
            </w:r>
            <w:r>
              <w:rPr>
                <w:color w:val="auto"/>
                <w:sz w:val="24"/>
              </w:rPr>
              <w:t>人，年工作3</w:t>
            </w:r>
            <w:r>
              <w:rPr>
                <w:rFonts w:hint="eastAsia"/>
                <w:color w:val="auto"/>
                <w:sz w:val="24"/>
                <w:lang w:val="en-US" w:eastAsia="zh-CN"/>
              </w:rPr>
              <w:t>3</w:t>
            </w:r>
            <w:r>
              <w:rPr>
                <w:color w:val="auto"/>
                <w:sz w:val="24"/>
              </w:rPr>
              <w:t>0天。</w:t>
            </w:r>
            <w:r>
              <w:rPr>
                <w:rFonts w:hint="eastAsia"/>
                <w:color w:val="auto"/>
                <w:sz w:val="24"/>
              </w:rPr>
              <w:t>用水定额取70L/（人•d）[数据参照《陕西省行业用水定额》（DB 61/T943-2020）中居民生活-农村</w:t>
            </w:r>
            <w:r>
              <w:rPr>
                <w:rFonts w:hint="eastAsia"/>
                <w:color w:val="auto"/>
                <w:sz w:val="24"/>
                <w:lang w:val="en-US" w:eastAsia="zh-CN"/>
              </w:rPr>
              <w:t>]</w:t>
            </w:r>
            <w:r>
              <w:rPr>
                <w:color w:val="auto"/>
                <w:sz w:val="24"/>
              </w:rPr>
              <w:t>，则职工生活用水量为</w:t>
            </w:r>
            <w:r>
              <w:rPr>
                <w:rFonts w:hint="eastAsia"/>
                <w:color w:val="auto"/>
                <w:sz w:val="24"/>
                <w:lang w:val="en-US" w:eastAsia="zh-CN"/>
              </w:rPr>
              <w:t>4.2</w:t>
            </w:r>
            <w:r>
              <w:rPr>
                <w:color w:val="auto"/>
                <w:sz w:val="24"/>
              </w:rPr>
              <w:t>m</w:t>
            </w:r>
            <w:r>
              <w:rPr>
                <w:color w:val="auto"/>
                <w:sz w:val="24"/>
                <w:vertAlign w:val="superscript"/>
              </w:rPr>
              <w:t>3</w:t>
            </w:r>
            <w:r>
              <w:rPr>
                <w:color w:val="auto"/>
                <w:sz w:val="24"/>
              </w:rPr>
              <w:t>/d，</w:t>
            </w:r>
            <w:r>
              <w:rPr>
                <w:rFonts w:hint="eastAsia"/>
                <w:color w:val="auto"/>
                <w:sz w:val="24"/>
                <w:lang w:val="en-US" w:eastAsia="zh-CN"/>
              </w:rPr>
              <w:t>1386</w:t>
            </w:r>
            <w:r>
              <w:rPr>
                <w:color w:val="auto"/>
                <w:sz w:val="24"/>
              </w:rPr>
              <w:t>m</w:t>
            </w:r>
            <w:r>
              <w:rPr>
                <w:color w:val="auto"/>
                <w:sz w:val="24"/>
                <w:vertAlign w:val="superscript"/>
              </w:rPr>
              <w:t>3</w:t>
            </w:r>
            <w:r>
              <w:rPr>
                <w:color w:val="auto"/>
                <w:sz w:val="24"/>
              </w:rPr>
              <w:t>/a。排水量按用水量80%计，污水产生量为</w:t>
            </w:r>
            <w:r>
              <w:rPr>
                <w:rFonts w:hint="eastAsia"/>
                <w:color w:val="auto"/>
                <w:sz w:val="24"/>
                <w:lang w:val="en-US" w:eastAsia="zh-CN"/>
              </w:rPr>
              <w:t>3.36</w:t>
            </w:r>
            <w:r>
              <w:rPr>
                <w:color w:val="auto"/>
                <w:sz w:val="24"/>
              </w:rPr>
              <w:t>m</w:t>
            </w:r>
            <w:r>
              <w:rPr>
                <w:color w:val="auto"/>
                <w:sz w:val="24"/>
                <w:vertAlign w:val="superscript"/>
              </w:rPr>
              <w:t>3</w:t>
            </w:r>
            <w:r>
              <w:rPr>
                <w:color w:val="auto"/>
                <w:sz w:val="24"/>
              </w:rPr>
              <w:t>/d，</w:t>
            </w:r>
            <w:r>
              <w:rPr>
                <w:rFonts w:hint="eastAsia"/>
                <w:color w:val="auto"/>
                <w:sz w:val="24"/>
                <w:lang w:val="en-US" w:eastAsia="zh-CN"/>
              </w:rPr>
              <w:t>1108.8</w:t>
            </w:r>
            <w:r>
              <w:rPr>
                <w:color w:val="auto"/>
                <w:sz w:val="24"/>
              </w:rPr>
              <w:t>m</w:t>
            </w:r>
            <w:r>
              <w:rPr>
                <w:color w:val="auto"/>
                <w:sz w:val="24"/>
                <w:vertAlign w:val="superscript"/>
              </w:rPr>
              <w:t>3</w:t>
            </w:r>
            <w:r>
              <w:rPr>
                <w:color w:val="auto"/>
                <w:sz w:val="24"/>
              </w:rPr>
              <w:t>/a，</w:t>
            </w:r>
            <w:r>
              <w:rPr>
                <w:rFonts w:hint="eastAsia"/>
                <w:color w:val="auto"/>
                <w:sz w:val="24"/>
              </w:rPr>
              <w:t>生活污水经化粪池收集后</w:t>
            </w:r>
            <w:r>
              <w:rPr>
                <w:rFonts w:hint="eastAsia"/>
                <w:color w:val="auto"/>
                <w:sz w:val="24"/>
                <w:lang w:eastAsia="zh-CN"/>
              </w:rPr>
              <w:t>接管排入园区污水管网再进入</w:t>
            </w:r>
            <w:r>
              <w:rPr>
                <w:rFonts w:hint="eastAsia"/>
                <w:color w:val="auto"/>
                <w:sz w:val="24"/>
              </w:rPr>
              <w:t>长青工业园区污水处理厂进一步处理</w:t>
            </w:r>
            <w:r>
              <w:rPr>
                <w:rFonts w:hint="eastAsia"/>
                <w:color w:val="auto"/>
                <w:sz w:val="24"/>
                <w:lang w:eastAsia="zh-CN"/>
              </w:rPr>
              <w:t>。</w:t>
            </w:r>
          </w:p>
          <w:p w14:paraId="6335EE62">
            <w:pPr>
              <w:spacing w:line="360" w:lineRule="auto"/>
              <w:ind w:firstLine="480" w:firstLineChars="200"/>
              <w:rPr>
                <w:color w:val="auto"/>
                <w:sz w:val="24"/>
              </w:rPr>
            </w:pPr>
            <w:r>
              <w:rPr>
                <w:color w:val="auto"/>
                <w:sz w:val="24"/>
              </w:rPr>
              <w:t>②</w:t>
            </w:r>
            <w:r>
              <w:rPr>
                <w:rFonts w:hint="eastAsia"/>
                <w:color w:val="auto"/>
                <w:sz w:val="24"/>
              </w:rPr>
              <w:t>设备冷却</w:t>
            </w:r>
            <w:r>
              <w:rPr>
                <w:color w:val="auto"/>
                <w:sz w:val="24"/>
              </w:rPr>
              <w:t>用水</w:t>
            </w:r>
          </w:p>
          <w:p w14:paraId="63663ED3">
            <w:pPr>
              <w:pStyle w:val="92"/>
              <w:spacing w:line="360" w:lineRule="auto"/>
              <w:rPr>
                <w:rFonts w:hint="eastAsia"/>
                <w:color w:val="auto"/>
                <w:sz w:val="24"/>
                <w:szCs w:val="24"/>
                <w:lang w:val="en-US" w:eastAsia="zh-CN"/>
              </w:rPr>
            </w:pPr>
            <w:r>
              <w:rPr>
                <w:rFonts w:hint="eastAsia"/>
                <w:color w:val="auto"/>
                <w:sz w:val="24"/>
                <w:szCs w:val="24"/>
                <w:lang w:val="en-US"/>
              </w:rPr>
              <w:t>本项目设</w:t>
            </w:r>
            <w:r>
              <w:rPr>
                <w:rFonts w:hint="eastAsia"/>
                <w:color w:val="auto"/>
                <w:sz w:val="24"/>
                <w:szCs w:val="24"/>
                <w:lang w:val="en-US" w:eastAsia="zh-CN"/>
              </w:rPr>
              <w:t>备</w:t>
            </w:r>
            <w:r>
              <w:rPr>
                <w:rFonts w:hint="eastAsia"/>
                <w:color w:val="auto"/>
                <w:sz w:val="24"/>
                <w:szCs w:val="24"/>
                <w:lang w:val="en-US"/>
              </w:rPr>
              <w:t>冷却循环水系统，主要供空气压缩机、</w:t>
            </w:r>
            <w:r>
              <w:rPr>
                <w:rFonts w:hint="default"/>
                <w:color w:val="auto"/>
                <w:sz w:val="24"/>
                <w:szCs w:val="24"/>
              </w:rPr>
              <w:t>循环氮压机、氮气喂气机、预冷系统（空冷塔、水冷塔、冷水机组）</w:t>
            </w:r>
            <w:r>
              <w:rPr>
                <w:rFonts w:hint="eastAsia"/>
                <w:color w:val="auto"/>
                <w:sz w:val="24"/>
                <w:szCs w:val="24"/>
                <w:lang w:val="en-US"/>
              </w:rPr>
              <w:t>、膨胀机等工序及设备用冷却用水。</w:t>
            </w:r>
            <w:r>
              <w:rPr>
                <w:rFonts w:hint="eastAsia" w:hAnsi="Times New Roman" w:cs="Times New Roman"/>
                <w:color w:val="auto"/>
                <w:szCs w:val="24"/>
              </w:rPr>
              <w:t>项目设置循环水池及循环水泵</w:t>
            </w:r>
            <w:r>
              <w:rPr>
                <w:rFonts w:hint="eastAsia"/>
                <w:color w:val="auto"/>
                <w:sz w:val="24"/>
                <w:szCs w:val="24"/>
                <w:lang w:val="en-US"/>
              </w:rPr>
              <w:t>房，</w:t>
            </w:r>
            <w:r>
              <w:rPr>
                <w:rFonts w:hint="eastAsia" w:hAnsi="Times New Roman" w:cs="Times New Roman"/>
                <w:color w:val="auto"/>
                <w:szCs w:val="24"/>
              </w:rPr>
              <w:t>设</w:t>
            </w:r>
            <w:r>
              <w:rPr>
                <w:rFonts w:hint="eastAsia" w:hAnsi="Times New Roman" w:cs="Times New Roman"/>
                <w:color w:val="auto"/>
                <w:szCs w:val="24"/>
                <w:lang w:val="en-US" w:eastAsia="zh-CN"/>
              </w:rPr>
              <w:t>1</w:t>
            </w:r>
            <w:r>
              <w:rPr>
                <w:rFonts w:hint="default" w:hAnsi="Times New Roman" w:cs="Times New Roman"/>
                <w:color w:val="auto"/>
                <w:szCs w:val="24"/>
                <w:lang w:eastAsia="zh-CN"/>
              </w:rPr>
              <w:t>150</w:t>
            </w:r>
            <w:r>
              <w:rPr>
                <w:rFonts w:hint="eastAsia" w:hAnsi="Times New Roman" w:cs="Times New Roman"/>
                <w:color w:val="auto"/>
                <w:szCs w:val="24"/>
              </w:rPr>
              <w:t>m</w:t>
            </w:r>
            <w:r>
              <w:rPr>
                <w:rFonts w:hint="eastAsia" w:hAnsi="Times New Roman" w:cs="Times New Roman"/>
                <w:color w:val="auto"/>
                <w:szCs w:val="24"/>
                <w:vertAlign w:val="superscript"/>
              </w:rPr>
              <w:t>3</w:t>
            </w:r>
            <w:r>
              <w:rPr>
                <w:rFonts w:hint="eastAsia" w:hAnsi="Times New Roman" w:cs="Times New Roman"/>
                <w:color w:val="auto"/>
                <w:szCs w:val="24"/>
              </w:rPr>
              <w:t>/h玻璃钢逆流式冷却塔3台</w:t>
            </w:r>
            <w:r>
              <w:rPr>
                <w:rFonts w:hint="eastAsia" w:hAnsi="Times New Roman" w:cs="Times New Roman"/>
                <w:color w:val="auto"/>
                <w:szCs w:val="24"/>
                <w:lang w:eastAsia="zh-CN"/>
              </w:rPr>
              <w:t>，</w:t>
            </w:r>
            <w:r>
              <w:rPr>
                <w:rFonts w:hint="eastAsia"/>
                <w:color w:val="auto"/>
                <w:sz w:val="24"/>
                <w:szCs w:val="24"/>
                <w:lang w:val="en-US"/>
              </w:rPr>
              <w:t>新增冷却塔3台（采用开式逆流型机械通风冷却塔，2用1备），循环水泵</w:t>
            </w:r>
            <w:r>
              <w:rPr>
                <w:rFonts w:hint="default"/>
                <w:color w:val="auto"/>
                <w:sz w:val="24"/>
                <w:szCs w:val="24"/>
              </w:rPr>
              <w:t>4</w:t>
            </w:r>
            <w:r>
              <w:rPr>
                <w:rFonts w:hint="eastAsia"/>
                <w:color w:val="auto"/>
                <w:sz w:val="24"/>
                <w:szCs w:val="24"/>
                <w:lang w:val="en-US"/>
              </w:rPr>
              <w:t>台</w:t>
            </w:r>
            <w:r>
              <w:rPr>
                <w:rFonts w:hint="default"/>
                <w:color w:val="auto"/>
                <w:sz w:val="24"/>
                <w:szCs w:val="24"/>
              </w:rPr>
              <w:t>（3用1备）</w:t>
            </w:r>
            <w:r>
              <w:rPr>
                <w:rFonts w:hint="eastAsia"/>
                <w:color w:val="auto"/>
                <w:sz w:val="24"/>
                <w:szCs w:val="24"/>
                <w:lang w:val="en-US"/>
              </w:rPr>
              <w:t>，</w:t>
            </w:r>
            <w:r>
              <w:rPr>
                <w:rFonts w:hint="default"/>
                <w:color w:val="auto"/>
                <w:sz w:val="24"/>
                <w:szCs w:val="24"/>
              </w:rPr>
              <w:t>单台</w:t>
            </w:r>
            <w:r>
              <w:rPr>
                <w:rFonts w:hint="eastAsia"/>
                <w:color w:val="auto"/>
                <w:sz w:val="24"/>
                <w:szCs w:val="24"/>
                <w:lang w:val="en-US"/>
              </w:rPr>
              <w:t>循环水泵流量</w:t>
            </w:r>
            <w:r>
              <w:rPr>
                <w:rFonts w:hint="default"/>
                <w:color w:val="auto"/>
                <w:sz w:val="24"/>
                <w:szCs w:val="24"/>
              </w:rPr>
              <w:t>75</w:t>
            </w:r>
            <w:r>
              <w:rPr>
                <w:rFonts w:hint="eastAsia"/>
                <w:color w:val="auto"/>
                <w:sz w:val="24"/>
                <w:szCs w:val="24"/>
                <w:lang w:val="en-US"/>
              </w:rPr>
              <w:t>0m</w:t>
            </w:r>
            <w:r>
              <w:rPr>
                <w:rFonts w:hint="eastAsia"/>
                <w:color w:val="auto"/>
                <w:sz w:val="24"/>
                <w:szCs w:val="24"/>
                <w:vertAlign w:val="superscript"/>
                <w:lang w:val="en-US"/>
              </w:rPr>
              <w:t>3</w:t>
            </w:r>
            <w:r>
              <w:rPr>
                <w:rFonts w:hint="eastAsia"/>
                <w:color w:val="auto"/>
                <w:sz w:val="24"/>
                <w:szCs w:val="24"/>
                <w:lang w:val="en-US"/>
              </w:rPr>
              <w:t>/h、扬程</w:t>
            </w:r>
            <w:r>
              <w:rPr>
                <w:rFonts w:hint="default"/>
                <w:color w:val="auto"/>
                <w:sz w:val="24"/>
                <w:szCs w:val="24"/>
              </w:rPr>
              <w:t>32</w:t>
            </w:r>
            <w:r>
              <w:rPr>
                <w:rFonts w:hint="eastAsia"/>
                <w:color w:val="auto"/>
                <w:sz w:val="24"/>
                <w:szCs w:val="24"/>
                <w:lang w:val="en-US"/>
              </w:rPr>
              <w:t>m。</w:t>
            </w:r>
            <w:r>
              <w:rPr>
                <w:rFonts w:hint="eastAsia" w:hAnsi="Times New Roman" w:cs="Times New Roman"/>
                <w:color w:val="auto"/>
                <w:szCs w:val="24"/>
              </w:rPr>
              <w:t>循环回水利用余压压入冷却塔，经冷却塔冷却后由循环水泵加压后送至各用水点。循环水供水温度为</w:t>
            </w:r>
            <w:r>
              <w:rPr>
                <w:rFonts w:hint="default" w:hAnsi="Times New Roman" w:cs="Times New Roman"/>
                <w:color w:val="auto"/>
                <w:szCs w:val="24"/>
              </w:rPr>
              <w:t>32</w:t>
            </w:r>
            <w:r>
              <w:rPr>
                <w:rFonts w:hint="eastAsia" w:hAnsi="Times New Roman" w:cs="Times New Roman"/>
                <w:color w:val="auto"/>
                <w:szCs w:val="24"/>
              </w:rPr>
              <w:t>℃，回水温度为</w:t>
            </w:r>
            <w:r>
              <w:rPr>
                <w:rFonts w:hint="default" w:hAnsi="Times New Roman" w:cs="Times New Roman"/>
                <w:color w:val="auto"/>
                <w:szCs w:val="24"/>
              </w:rPr>
              <w:t>40</w:t>
            </w:r>
            <w:r>
              <w:rPr>
                <w:rFonts w:hint="eastAsia" w:hAnsi="Times New Roman" w:cs="Times New Roman"/>
                <w:color w:val="auto"/>
                <w:szCs w:val="24"/>
              </w:rPr>
              <w:t>℃，水压为0.</w:t>
            </w:r>
            <w:r>
              <w:rPr>
                <w:rFonts w:hint="default" w:hAnsi="Times New Roman" w:cs="Times New Roman"/>
                <w:color w:val="auto"/>
                <w:szCs w:val="24"/>
              </w:rPr>
              <w:t>32</w:t>
            </w:r>
            <w:r>
              <w:rPr>
                <w:rFonts w:hint="eastAsia" w:hAnsi="Times New Roman" w:cs="Times New Roman"/>
                <w:color w:val="auto"/>
                <w:szCs w:val="24"/>
              </w:rPr>
              <w:t>MPa（G）。循环水供水总管上设旁滤，浅层式过滤器1台，</w:t>
            </w:r>
            <w:r>
              <w:rPr>
                <w:rFonts w:hint="default" w:hAnsi="Times New Roman" w:cs="Times New Roman"/>
                <w:color w:val="auto"/>
                <w:szCs w:val="24"/>
              </w:rPr>
              <w:t>100</w:t>
            </w:r>
            <w:r>
              <w:rPr>
                <w:rFonts w:hint="eastAsia" w:hAnsi="Times New Roman" w:cs="Times New Roman"/>
                <w:color w:val="auto"/>
                <w:szCs w:val="24"/>
              </w:rPr>
              <w:t>m</w:t>
            </w:r>
            <w:r>
              <w:rPr>
                <w:rFonts w:hint="eastAsia" w:hAnsi="Times New Roman" w:cs="Times New Roman"/>
                <w:color w:val="auto"/>
                <w:szCs w:val="24"/>
                <w:vertAlign w:val="superscript"/>
              </w:rPr>
              <w:t>3</w:t>
            </w:r>
            <w:r>
              <w:rPr>
                <w:rFonts w:hint="eastAsia" w:hAnsi="Times New Roman" w:cs="Times New Roman"/>
                <w:color w:val="auto"/>
                <w:szCs w:val="24"/>
              </w:rPr>
              <w:t>/h。</w:t>
            </w:r>
            <w:r>
              <w:rPr>
                <w:rFonts w:hint="eastAsia"/>
                <w:color w:val="auto"/>
                <w:sz w:val="24"/>
                <w:szCs w:val="24"/>
                <w:lang w:val="en-US"/>
              </w:rPr>
              <w:t>冷却水在循环使用过程中，由于不断蒸发，使水中含盐浓度和污垢逐渐增多，</w:t>
            </w:r>
            <w:r>
              <w:rPr>
                <w:rFonts w:hint="eastAsia"/>
                <w:color w:val="auto"/>
                <w:sz w:val="24"/>
                <w:szCs w:val="24"/>
                <w:lang w:val="en-US" w:eastAsia="zh-CN"/>
              </w:rPr>
              <w:t>为了保证水质的清洁卫生，延长设备和水管的使用寿命，提高循环水池的使用效率，需定期往循环水池中加入除菌剂和阻垢剂。</w:t>
            </w:r>
          </w:p>
          <w:p w14:paraId="5A3A6DD5">
            <w:pPr>
              <w:pStyle w:val="92"/>
              <w:spacing w:line="360" w:lineRule="auto"/>
              <w:rPr>
                <w:rFonts w:hint="eastAsia" w:hAnsi="Times New Roman" w:cs="Times New Roman"/>
                <w:color w:val="auto"/>
                <w:szCs w:val="24"/>
              </w:rPr>
            </w:pPr>
            <w:r>
              <w:rPr>
                <w:rFonts w:hint="eastAsia"/>
                <w:color w:val="auto"/>
                <w:sz w:val="24"/>
                <w:szCs w:val="24"/>
                <w:lang w:val="en-US" w:eastAsia="zh-CN"/>
              </w:rPr>
              <w:t>循环水利用冷却塔进行处理，同时定期对</w:t>
            </w:r>
            <w:r>
              <w:rPr>
                <w:rFonts w:hint="eastAsia"/>
                <w:color w:val="auto"/>
                <w:sz w:val="24"/>
                <w:szCs w:val="24"/>
                <w:lang w:val="en-US"/>
              </w:rPr>
              <w:t>循环水系统中</w:t>
            </w:r>
            <w:r>
              <w:rPr>
                <w:rFonts w:hint="eastAsia"/>
                <w:color w:val="auto"/>
                <w:sz w:val="24"/>
                <w:szCs w:val="24"/>
                <w:lang w:val="en-US" w:eastAsia="zh-CN"/>
              </w:rPr>
              <w:t>水质进行检测，</w:t>
            </w:r>
            <w:r>
              <w:rPr>
                <w:rFonts w:hint="eastAsia"/>
                <w:color w:val="auto"/>
                <w:sz w:val="24"/>
                <w:szCs w:val="24"/>
                <w:lang w:val="en-US"/>
              </w:rPr>
              <w:t>当循环水的</w:t>
            </w:r>
            <w:r>
              <w:rPr>
                <w:rFonts w:hint="eastAsia"/>
                <w:color w:val="auto"/>
                <w:sz w:val="24"/>
                <w:szCs w:val="24"/>
                <w:lang w:val="en-US" w:eastAsia="zh-CN"/>
              </w:rPr>
              <w:t>水质不满足使用需求</w:t>
            </w:r>
            <w:r>
              <w:rPr>
                <w:rFonts w:hint="eastAsia"/>
                <w:color w:val="auto"/>
                <w:sz w:val="24"/>
                <w:szCs w:val="24"/>
                <w:lang w:val="en-US"/>
              </w:rPr>
              <w:t>时，需排放部分循环水，补充新鲜水。根据本项目初步设计资料，</w:t>
            </w:r>
            <w:r>
              <w:rPr>
                <w:rFonts w:hint="eastAsia" w:hAnsi="Times New Roman" w:cs="Times New Roman"/>
                <w:color w:val="auto"/>
                <w:szCs w:val="24"/>
              </w:rPr>
              <w:t>本项目设计循环水量</w:t>
            </w:r>
            <w:r>
              <w:rPr>
                <w:rFonts w:hint="eastAsia" w:hAnsi="Times New Roman" w:cs="Times New Roman"/>
                <w:color w:val="auto"/>
                <w:szCs w:val="24"/>
                <w:lang w:val="en-US" w:eastAsia="zh-CN"/>
              </w:rPr>
              <w:t>2250</w:t>
            </w:r>
            <w:r>
              <w:rPr>
                <w:rFonts w:hint="eastAsia" w:hAnsi="Times New Roman" w:cs="Times New Roman"/>
                <w:color w:val="auto"/>
                <w:szCs w:val="24"/>
              </w:rPr>
              <w:t>m</w:t>
            </w:r>
            <w:r>
              <w:rPr>
                <w:rFonts w:hint="eastAsia" w:hAnsi="Times New Roman" w:cs="Times New Roman"/>
                <w:color w:val="auto"/>
                <w:szCs w:val="24"/>
                <w:vertAlign w:val="superscript"/>
              </w:rPr>
              <w:t>3</w:t>
            </w:r>
            <w:r>
              <w:rPr>
                <w:rFonts w:hint="eastAsia" w:hAnsi="Times New Roman" w:cs="Times New Roman"/>
                <w:color w:val="auto"/>
                <w:szCs w:val="24"/>
              </w:rPr>
              <w:t>/h设计，项目循环过程蒸发量为循环水量的1%，排污量为循环水量的0.</w:t>
            </w:r>
            <w:r>
              <w:rPr>
                <w:rFonts w:hint="eastAsia" w:hAnsi="Times New Roman" w:cs="Times New Roman"/>
                <w:color w:val="auto"/>
                <w:szCs w:val="24"/>
                <w:lang w:val="en-US" w:eastAsia="zh-CN"/>
              </w:rPr>
              <w:t>4</w:t>
            </w:r>
            <w:r>
              <w:rPr>
                <w:rFonts w:hint="eastAsia" w:hAnsi="Times New Roman" w:cs="Times New Roman"/>
                <w:color w:val="auto"/>
                <w:szCs w:val="24"/>
              </w:rPr>
              <w:t>‰，则项目蒸发量为</w:t>
            </w:r>
            <w:r>
              <w:rPr>
                <w:rFonts w:hint="eastAsia" w:hAnsi="Times New Roman" w:cs="Times New Roman"/>
                <w:color w:val="auto"/>
                <w:szCs w:val="24"/>
                <w:lang w:val="en-US" w:eastAsia="zh-CN"/>
              </w:rPr>
              <w:t>22.5</w:t>
            </w:r>
            <w:r>
              <w:rPr>
                <w:rFonts w:hint="eastAsia" w:hAnsi="Times New Roman" w:cs="Times New Roman"/>
                <w:color w:val="auto"/>
                <w:szCs w:val="24"/>
              </w:rPr>
              <w:t>m</w:t>
            </w:r>
            <w:r>
              <w:rPr>
                <w:rFonts w:hint="eastAsia" w:hAnsi="Times New Roman" w:cs="Times New Roman"/>
                <w:color w:val="auto"/>
                <w:szCs w:val="24"/>
                <w:vertAlign w:val="superscript"/>
              </w:rPr>
              <w:t>3</w:t>
            </w:r>
            <w:r>
              <w:rPr>
                <w:rFonts w:hint="eastAsia" w:hAnsi="Times New Roman" w:cs="Times New Roman"/>
                <w:color w:val="auto"/>
                <w:szCs w:val="24"/>
              </w:rPr>
              <w:t>/h，排污量为</w:t>
            </w:r>
            <w:r>
              <w:rPr>
                <w:rFonts w:hint="eastAsia" w:hAnsi="Times New Roman" w:cs="Times New Roman"/>
                <w:color w:val="auto"/>
                <w:szCs w:val="24"/>
                <w:lang w:val="en-US" w:eastAsia="zh-CN"/>
              </w:rPr>
              <w:t>0.9</w:t>
            </w:r>
            <w:r>
              <w:rPr>
                <w:rFonts w:hint="eastAsia" w:hAnsi="Times New Roman" w:cs="Times New Roman"/>
                <w:color w:val="auto"/>
                <w:szCs w:val="24"/>
              </w:rPr>
              <w:t>m</w:t>
            </w:r>
            <w:r>
              <w:rPr>
                <w:rFonts w:hint="eastAsia" w:hAnsi="Times New Roman" w:cs="Times New Roman"/>
                <w:color w:val="auto"/>
                <w:szCs w:val="24"/>
                <w:vertAlign w:val="superscript"/>
              </w:rPr>
              <w:t>3</w:t>
            </w:r>
            <w:r>
              <w:rPr>
                <w:rFonts w:hint="eastAsia" w:hAnsi="Times New Roman" w:cs="Times New Roman"/>
                <w:color w:val="auto"/>
                <w:szCs w:val="24"/>
              </w:rPr>
              <w:t>/h，补水量为</w:t>
            </w:r>
            <w:r>
              <w:rPr>
                <w:rFonts w:hint="eastAsia" w:hAnsi="Times New Roman" w:cs="Times New Roman"/>
                <w:color w:val="auto"/>
                <w:szCs w:val="24"/>
                <w:lang w:val="en-US" w:eastAsia="zh-CN"/>
              </w:rPr>
              <w:t>23.4</w:t>
            </w:r>
            <w:r>
              <w:rPr>
                <w:rFonts w:hint="eastAsia" w:hAnsi="Times New Roman" w:cs="Times New Roman"/>
                <w:color w:val="auto"/>
                <w:szCs w:val="24"/>
              </w:rPr>
              <w:t>m</w:t>
            </w:r>
            <w:r>
              <w:rPr>
                <w:rFonts w:hint="eastAsia" w:hAnsi="Times New Roman" w:cs="Times New Roman"/>
                <w:color w:val="auto"/>
                <w:szCs w:val="24"/>
                <w:vertAlign w:val="superscript"/>
              </w:rPr>
              <w:t>3</w:t>
            </w:r>
            <w:r>
              <w:rPr>
                <w:rFonts w:hint="eastAsia" w:hAnsi="Times New Roman" w:cs="Times New Roman"/>
                <w:color w:val="auto"/>
                <w:szCs w:val="24"/>
              </w:rPr>
              <w:t>/h。循环冷却水系统排污水</w:t>
            </w:r>
            <w:r>
              <w:rPr>
                <w:rFonts w:hint="eastAsia" w:hAnsi="Times New Roman" w:cs="Times New Roman"/>
                <w:color w:val="auto"/>
                <w:szCs w:val="24"/>
                <w:lang w:val="en-US" w:eastAsia="zh-CN"/>
              </w:rPr>
              <w:t>排放至园区污水管线进入长青工业园污水处理厂（宝鸡天龙污水处理有限公司）处理</w:t>
            </w:r>
            <w:r>
              <w:rPr>
                <w:rFonts w:hint="eastAsia" w:hAnsi="Times New Roman" w:cs="Times New Roman"/>
                <w:color w:val="auto"/>
                <w:szCs w:val="24"/>
              </w:rPr>
              <w:t>。</w:t>
            </w:r>
          </w:p>
          <w:p w14:paraId="7DA20532">
            <w:pPr>
              <w:pStyle w:val="92"/>
              <w:spacing w:line="360" w:lineRule="auto"/>
              <w:rPr>
                <w:rFonts w:hint="eastAsia" w:hAnsi="Times New Roman" w:cs="Times New Roman"/>
                <w:color w:val="auto"/>
                <w:szCs w:val="24"/>
              </w:rPr>
            </w:pPr>
            <w:r>
              <w:rPr>
                <w:rFonts w:hint="eastAsia" w:hAnsi="Times New Roman" w:cs="Times New Roman"/>
                <w:color w:val="auto"/>
                <w:szCs w:val="24"/>
              </w:rPr>
              <w:t>本项目空压机等主要生产设备位于厂房内，全厂地面进行清扫、擦拭，不进行地坪冲洗，项目无地坪冲洗废水。</w:t>
            </w:r>
          </w:p>
          <w:p w14:paraId="47908B0C">
            <w:pPr>
              <w:bidi w:val="0"/>
              <w:rPr>
                <w:rFonts w:hint="eastAsia"/>
                <w:color w:val="auto"/>
                <w:lang w:val="en-US" w:eastAsia="zh-CN"/>
              </w:rPr>
            </w:pPr>
            <w:r>
              <w:rPr>
                <w:rFonts w:hint="eastAsia"/>
                <w:color w:val="auto"/>
                <w:lang w:val="en-US" w:eastAsia="zh-CN"/>
              </w:rPr>
              <w:t>③洗瓶用水：项目洗瓶主要是洗瓶外壁，根据建设单位提供资料，项目钢瓶周转量约</w:t>
            </w:r>
            <w:r>
              <w:rPr>
                <w:rFonts w:hint="eastAsia"/>
                <w:color w:val="FF0000"/>
                <w:lang w:val="en-US" w:eastAsia="zh-CN"/>
              </w:rPr>
              <w:t>5000个</w:t>
            </w:r>
            <w:r>
              <w:rPr>
                <w:rFonts w:hint="eastAsia"/>
                <w:color w:val="auto"/>
                <w:lang w:val="en-US" w:eastAsia="zh-CN"/>
              </w:rPr>
              <w:t>，这些钢瓶以一年清洗一次计算，每瓶每次用水量约4L，项目所需洗瓶用水量为20m</w:t>
            </w:r>
            <w:r>
              <w:rPr>
                <w:rFonts w:hint="eastAsia"/>
                <w:color w:val="auto"/>
                <w:vertAlign w:val="superscript"/>
                <w:lang w:val="en-US" w:eastAsia="zh-CN"/>
              </w:rPr>
              <w:t>3</w:t>
            </w:r>
            <w:r>
              <w:rPr>
                <w:rFonts w:hint="eastAsia"/>
                <w:color w:val="auto"/>
                <w:lang w:val="en-US" w:eastAsia="zh-CN"/>
              </w:rPr>
              <w:t>/a，清洗过程中蒸发量按用水量的1%计，则洗瓶废水产生量约19.8m</w:t>
            </w:r>
            <w:r>
              <w:rPr>
                <w:rFonts w:hint="eastAsia"/>
                <w:color w:val="auto"/>
                <w:vertAlign w:val="superscript"/>
                <w:lang w:val="en-US" w:eastAsia="zh-CN"/>
              </w:rPr>
              <w:t>3</w:t>
            </w:r>
            <w:r>
              <w:rPr>
                <w:rFonts w:hint="eastAsia"/>
                <w:color w:val="auto"/>
                <w:lang w:val="en-US" w:eastAsia="zh-CN"/>
              </w:rPr>
              <w:t>/a，这部分水主要污染因子为悬浮物，洗瓶废水用于厂区洒扫。</w:t>
            </w:r>
          </w:p>
          <w:p w14:paraId="129FFCA9">
            <w:pPr>
              <w:bidi w:val="0"/>
              <w:rPr>
                <w:rFonts w:hint="eastAsia"/>
                <w:color w:val="auto"/>
                <w:lang w:val="en-US" w:eastAsia="zh-CN"/>
              </w:rPr>
            </w:pPr>
            <w:r>
              <w:rPr>
                <w:rFonts w:hint="eastAsia"/>
                <w:color w:val="auto"/>
                <w:lang w:val="en-US" w:eastAsia="zh-CN"/>
              </w:rPr>
              <w:t>④消防用水</w:t>
            </w:r>
          </w:p>
          <w:p w14:paraId="3138609A">
            <w:pPr>
              <w:bidi w:val="0"/>
              <w:rPr>
                <w:rFonts w:hint="eastAsia"/>
                <w:color w:val="auto"/>
                <w:lang w:val="en-US" w:eastAsia="zh-CN"/>
              </w:rPr>
            </w:pPr>
            <w:r>
              <w:rPr>
                <w:rFonts w:hint="eastAsia"/>
                <w:color w:val="auto"/>
                <w:lang w:val="en-US" w:eastAsia="zh-CN"/>
              </w:rPr>
              <w:t>本项目工程占地50319平方米，小于100公顷，按照《建筑设计防火规范》（GB50016-2014）（2018年版）及《消防给水及消火栓系统技术规范》（GB50974-2014）规定，同一时间内火灾次数按照一次考虑。根据项目初步设计说明及安全设施设计专篇，消防用水量最大点为罐区，消防冷却用水设计流量为30L/s，火灾延续供水时间6h，一次火灾消防用水量648m³。另外，丙烷及液化石油气罐区设有高压注水装置，高压注水泵设计水量为5L/s，延续供水时间3h，一次事故注水用量54m³。</w:t>
            </w:r>
          </w:p>
          <w:p w14:paraId="0923587E">
            <w:pPr>
              <w:bidi w:val="0"/>
              <w:rPr>
                <w:rFonts w:hint="eastAsia"/>
                <w:color w:val="auto"/>
                <w:lang w:val="en-US" w:eastAsia="zh-CN"/>
              </w:rPr>
            </w:pPr>
            <w:r>
              <w:rPr>
                <w:rFonts w:hint="eastAsia"/>
                <w:color w:val="auto"/>
                <w:lang w:val="en-US" w:eastAsia="zh-CN"/>
              </w:rPr>
              <w:t>本项目消防水源依托于厂区消防水池、消防泵房。消防水池有效容积为972m³，消防水池补水水源为厂区自备水井。消防水泵设置两台电动泵，一用一备，单台水泵流量为30L/s，扬程72m，采用自灌水引水系统。</w:t>
            </w:r>
          </w:p>
          <w:p w14:paraId="3E80F814">
            <w:pPr>
              <w:bidi w:val="0"/>
              <w:rPr>
                <w:rFonts w:hint="default"/>
                <w:color w:val="auto"/>
                <w:lang w:val="en-US" w:eastAsia="zh-CN"/>
              </w:rPr>
            </w:pPr>
            <w:r>
              <w:rPr>
                <w:rFonts w:hint="eastAsia"/>
                <w:color w:val="auto"/>
                <w:lang w:val="en-US" w:eastAsia="zh-CN"/>
              </w:rPr>
              <w:t>⑤初期雨水</w:t>
            </w:r>
          </w:p>
          <w:p w14:paraId="0010371A">
            <w:pPr>
              <w:bidi w:val="0"/>
              <w:rPr>
                <w:rFonts w:hint="eastAsia"/>
                <w:color w:val="auto"/>
                <w:lang w:val="en-US" w:eastAsia="zh-CN"/>
              </w:rPr>
            </w:pPr>
            <w:r>
              <w:rPr>
                <w:rFonts w:hint="eastAsia"/>
                <w:color w:val="auto"/>
                <w:lang w:val="en-US" w:eastAsia="zh-CN"/>
              </w:rPr>
              <w:t>厂区办公区域收集的雨水均为屋面水，屋面无污染物，其冲刷雨水无污染性，经屋檐雨水管网收集后直接排至厂区外的道路雨水沟；项目储罐区设置露天，但储罐区四周修建围堰（高度约1.2m），因此，本次评价仅考虑对生产厂房、进场道路等区域的初期雨水进行收集，项目厂区修建雨水沟，收集的雨水进入到初雨水收集池。</w:t>
            </w:r>
          </w:p>
          <w:p w14:paraId="030BF2A0">
            <w:pPr>
              <w:bidi w:val="0"/>
              <w:rPr>
                <w:rFonts w:hint="eastAsia"/>
                <w:color w:val="auto"/>
                <w:lang w:val="en-US" w:eastAsia="zh-CN"/>
              </w:rPr>
            </w:pPr>
            <w:r>
              <w:rPr>
                <w:rFonts w:hint="eastAsia"/>
                <w:color w:val="auto"/>
                <w:lang w:val="en-US" w:eastAsia="zh-CN"/>
              </w:rPr>
              <w:t>初期雨水收集量参照宝鸡地区暴雨强度公式计算：</w:t>
            </w:r>
          </w:p>
          <w:p w14:paraId="5A87DD77">
            <w:pPr>
              <w:bidi w:val="0"/>
              <w:jc w:val="center"/>
              <w:rPr>
                <w:rFonts w:hint="eastAsia"/>
                <w:color w:val="auto"/>
                <w:lang w:val="en-US" w:eastAsia="zh-CN"/>
              </w:rPr>
            </w:pPr>
            <w:r>
              <w:rPr>
                <w:rFonts w:hint="eastAsia"/>
                <w:color w:val="auto"/>
                <w:lang w:val="en-US" w:eastAsia="zh-CN"/>
              </w:rPr>
              <w:t>Q</w:t>
            </w:r>
            <w:r>
              <w:rPr>
                <w:rFonts w:hint="eastAsia"/>
                <w:color w:val="auto"/>
                <w:vertAlign w:val="subscript"/>
                <w:lang w:val="en-US" w:eastAsia="zh-CN"/>
              </w:rPr>
              <w:t xml:space="preserve">洪 </w:t>
            </w:r>
            <w:r>
              <w:rPr>
                <w:rFonts w:hint="eastAsia"/>
                <w:color w:val="auto"/>
                <w:lang w:val="en-US" w:eastAsia="zh-CN"/>
              </w:rPr>
              <w:t>= Ф*q*f</w:t>
            </w:r>
          </w:p>
          <w:p w14:paraId="4F4B960D">
            <w:pPr>
              <w:bidi w:val="0"/>
              <w:jc w:val="center"/>
              <w:rPr>
                <w:rFonts w:hint="eastAsia"/>
                <w:color w:val="auto"/>
                <w:lang w:val="en-US" w:eastAsia="zh-CN"/>
              </w:rPr>
            </w:pPr>
            <w:r>
              <w:rPr>
                <w:rFonts w:hint="eastAsia"/>
                <w:color w:val="auto"/>
                <w:lang w:val="en-US" w:eastAsia="zh-CN"/>
              </w:rPr>
              <w:t>q = 1835.37（1+0.94lgP）/（t+12）</w:t>
            </w:r>
            <w:r>
              <w:rPr>
                <w:rFonts w:hint="eastAsia"/>
                <w:color w:val="auto"/>
                <w:vertAlign w:val="superscript"/>
                <w:lang w:val="en-US" w:eastAsia="zh-CN"/>
              </w:rPr>
              <w:t>0.932</w:t>
            </w:r>
            <w:r>
              <w:rPr>
                <w:rFonts w:hint="eastAsia"/>
                <w:color w:val="auto"/>
                <w:lang w:val="en-US" w:eastAsia="zh-CN"/>
              </w:rPr>
              <w:t>（l/s·ha）</w:t>
            </w:r>
          </w:p>
          <w:p w14:paraId="66F3F768">
            <w:pPr>
              <w:bidi w:val="0"/>
              <w:rPr>
                <w:rFonts w:hint="eastAsia"/>
                <w:color w:val="auto"/>
                <w:lang w:val="en-US" w:eastAsia="zh-CN"/>
              </w:rPr>
            </w:pPr>
            <w:r>
              <w:rPr>
                <w:rFonts w:hint="eastAsia"/>
                <w:color w:val="auto"/>
                <w:lang w:val="en-US" w:eastAsia="zh-CN"/>
              </w:rPr>
              <w:t>式中：P——设计重现期，P=3a；</w:t>
            </w:r>
          </w:p>
          <w:p w14:paraId="0DD40E92">
            <w:pPr>
              <w:bidi w:val="0"/>
              <w:ind w:firstLine="1200" w:firstLineChars="500"/>
              <w:rPr>
                <w:rFonts w:hint="default"/>
                <w:color w:val="auto"/>
                <w:lang w:val="en-US" w:eastAsia="zh-CN"/>
              </w:rPr>
            </w:pPr>
            <w:r>
              <w:rPr>
                <w:rFonts w:hint="eastAsia"/>
                <w:color w:val="auto"/>
                <w:lang w:val="en-US" w:eastAsia="zh-CN"/>
              </w:rPr>
              <w:t>t——集水时间，t=15min；</w:t>
            </w:r>
          </w:p>
          <w:p w14:paraId="0017932F">
            <w:pPr>
              <w:bidi w:val="0"/>
              <w:rPr>
                <w:rFonts w:hint="eastAsia"/>
                <w:color w:val="auto"/>
                <w:lang w:val="en-US" w:eastAsia="zh-CN"/>
              </w:rPr>
            </w:pPr>
            <w:r>
              <w:rPr>
                <w:rFonts w:hint="eastAsia"/>
                <w:color w:val="auto"/>
                <w:lang w:val="en-US" w:eastAsia="zh-CN"/>
              </w:rPr>
              <w:t xml:space="preserve">      f——汇水面积，按厂区围墙内面积49109.85m²；</w:t>
            </w:r>
          </w:p>
          <w:p w14:paraId="6E553C70">
            <w:pPr>
              <w:bidi w:val="0"/>
              <w:rPr>
                <w:rFonts w:hint="default"/>
                <w:color w:val="auto"/>
                <w:lang w:val="en-US" w:eastAsia="zh-CN"/>
              </w:rPr>
            </w:pPr>
            <w:r>
              <w:rPr>
                <w:rFonts w:hint="eastAsia"/>
                <w:color w:val="auto"/>
                <w:lang w:val="en-US" w:eastAsia="zh-CN"/>
              </w:rPr>
              <w:t xml:space="preserve">      Ф——径流系数，综合取0.65；</w:t>
            </w:r>
          </w:p>
          <w:p w14:paraId="2939F1AF">
            <w:pPr>
              <w:bidi w:val="0"/>
              <w:rPr>
                <w:rFonts w:hint="eastAsia"/>
                <w:color w:val="auto"/>
                <w:lang w:val="en-US" w:eastAsia="zh-CN"/>
              </w:rPr>
            </w:pPr>
            <w:r>
              <w:rPr>
                <w:rFonts w:hint="eastAsia"/>
                <w:color w:val="auto"/>
                <w:lang w:val="en-US" w:eastAsia="zh-CN"/>
              </w:rPr>
              <w:t>计算厂区下雨初期的15分钟降雨量，计算得厂区初期雨水量约为354m³。</w:t>
            </w:r>
          </w:p>
          <w:p w14:paraId="38EEB469">
            <w:pPr>
              <w:bidi w:val="0"/>
              <w:rPr>
                <w:rFonts w:hint="eastAsia"/>
                <w:color w:val="auto"/>
                <w:lang w:val="en-US" w:eastAsia="zh-CN"/>
              </w:rPr>
            </w:pPr>
            <w:r>
              <w:rPr>
                <w:rFonts w:hint="eastAsia"/>
                <w:color w:val="auto"/>
                <w:lang w:val="en-US" w:eastAsia="zh-CN"/>
              </w:rPr>
              <w:t>项目厂区生产站房区域、进场道路两侧设置截排水沟实行“雨污分流”，厂区雨水由路面雨水口收集，项目收集前15分钟的初期雨水，15分钟后的雨水较为洁净，可直接通过厂区雨水沟收集并排至厂区外的道路雨水沟。</w:t>
            </w:r>
          </w:p>
          <w:p w14:paraId="23B972D5">
            <w:pPr>
              <w:bidi w:val="0"/>
              <w:rPr>
                <w:rFonts w:hint="eastAsia"/>
                <w:color w:val="auto"/>
                <w:lang w:val="en-US" w:eastAsia="zh-CN"/>
              </w:rPr>
            </w:pPr>
            <w:r>
              <w:rPr>
                <w:rFonts w:hint="eastAsia"/>
                <w:color w:val="auto"/>
                <w:lang w:val="en-US" w:eastAsia="zh-CN"/>
              </w:rPr>
              <w:t>本项目建设应急事故池兼初期雨水池一座，用于储存事故状态下的废水及初期雨水。水池总有效容积为1400m³。初期雨水经收集池收集沉淀后排入园区雨水管网。</w:t>
            </w:r>
          </w:p>
          <w:p w14:paraId="592EFC8F">
            <w:pPr>
              <w:bidi w:val="0"/>
              <w:ind w:left="0" w:leftChars="0" w:firstLine="0" w:firstLineChars="0"/>
              <w:jc w:val="center"/>
              <w:rPr>
                <w:rFonts w:hint="eastAsia"/>
                <w:color w:val="auto"/>
                <w:lang w:val="en-US" w:eastAsia="zh-CN"/>
              </w:rPr>
            </w:pPr>
            <w:r>
              <w:rPr>
                <w:rFonts w:hint="eastAsia"/>
                <w:color w:val="auto"/>
                <w:lang w:val="en-US" w:eastAsia="zh-CN"/>
              </w:rPr>
              <w:drawing>
                <wp:inline distT="0" distB="0" distL="114300" distR="114300">
                  <wp:extent cx="2098040" cy="3302635"/>
                  <wp:effectExtent l="0" t="0" r="16510" b="12065"/>
                  <wp:docPr id="3" name="图片 315" descr="53d0a7a5734fd8c7e63491f203c4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5" descr="53d0a7a5734fd8c7e63491f203c4c70"/>
                          <pic:cNvPicPr>
                            <a:picLocks noChangeAspect="1"/>
                          </pic:cNvPicPr>
                        </pic:nvPicPr>
                        <pic:blipFill>
                          <a:blip r:embed="rId18"/>
                          <a:srcRect l="-485" t="873" r="970" b="1038"/>
                          <a:stretch>
                            <a:fillRect/>
                          </a:stretch>
                        </pic:blipFill>
                        <pic:spPr>
                          <a:xfrm>
                            <a:off x="0" y="0"/>
                            <a:ext cx="2098040" cy="3302635"/>
                          </a:xfrm>
                          <a:prstGeom prst="rect">
                            <a:avLst/>
                          </a:prstGeom>
                          <a:noFill/>
                          <a:ln>
                            <a:noFill/>
                          </a:ln>
                        </pic:spPr>
                      </pic:pic>
                    </a:graphicData>
                  </a:graphic>
                </wp:inline>
              </w:drawing>
            </w:r>
          </w:p>
          <w:p w14:paraId="7DFC82D5">
            <w:pPr>
              <w:bidi w:val="0"/>
              <w:rPr>
                <w:rFonts w:hint="default"/>
                <w:color w:val="auto"/>
                <w:lang w:eastAsia="zh-CN"/>
              </w:rPr>
            </w:pPr>
            <w:r>
              <w:rPr>
                <w:rFonts w:hint="default"/>
                <w:color w:val="auto"/>
                <w:lang w:eastAsia="zh-CN"/>
              </w:rPr>
              <w:t>项目水平衡一览表见表</w:t>
            </w:r>
            <w:r>
              <w:rPr>
                <w:rFonts w:hint="default"/>
                <w:color w:val="auto"/>
                <w:lang w:val="en-US" w:eastAsia="zh-CN"/>
              </w:rPr>
              <w:t>2-</w:t>
            </w:r>
            <w:r>
              <w:rPr>
                <w:rFonts w:hint="eastAsia"/>
                <w:color w:val="auto"/>
                <w:lang w:val="en-US" w:eastAsia="zh-CN"/>
              </w:rPr>
              <w:t>12</w:t>
            </w:r>
            <w:r>
              <w:rPr>
                <w:rFonts w:hint="default"/>
                <w:color w:val="auto"/>
                <w:lang w:eastAsia="zh-CN"/>
              </w:rPr>
              <w:t>。项目水平衡图见图</w:t>
            </w:r>
            <w:r>
              <w:rPr>
                <w:rFonts w:hint="default"/>
                <w:color w:val="auto"/>
                <w:lang w:val="en-US" w:eastAsia="zh-CN"/>
              </w:rPr>
              <w:t>2-1</w:t>
            </w:r>
            <w:r>
              <w:rPr>
                <w:rFonts w:hint="default"/>
                <w:color w:val="auto"/>
                <w:lang w:eastAsia="zh-CN"/>
              </w:rPr>
              <w:t>。</w:t>
            </w:r>
          </w:p>
          <w:p w14:paraId="4CB5CF1D">
            <w:pPr>
              <w:pStyle w:val="85"/>
              <w:bidi w:val="0"/>
              <w:rPr>
                <w:b/>
                <w:bCs/>
                <w:color w:val="auto"/>
                <w:sz w:val="21"/>
                <w:szCs w:val="21"/>
              </w:rPr>
            </w:pPr>
            <w:r>
              <w:rPr>
                <w:b/>
                <w:bCs/>
                <w:color w:val="auto"/>
                <w:sz w:val="21"/>
                <w:szCs w:val="21"/>
              </w:rPr>
              <w:t>表</w:t>
            </w:r>
            <w:r>
              <w:rPr>
                <w:rFonts w:hint="eastAsia"/>
                <w:b/>
                <w:bCs/>
                <w:color w:val="auto"/>
                <w:sz w:val="21"/>
                <w:szCs w:val="21"/>
              </w:rPr>
              <w:t>2-</w:t>
            </w:r>
            <w:r>
              <w:rPr>
                <w:rFonts w:hint="eastAsia"/>
                <w:b/>
                <w:bCs/>
                <w:color w:val="auto"/>
                <w:sz w:val="21"/>
                <w:szCs w:val="21"/>
                <w:lang w:val="en-US" w:eastAsia="zh-CN"/>
              </w:rPr>
              <w:t xml:space="preserve">12 </w:t>
            </w:r>
            <w:r>
              <w:rPr>
                <w:b/>
                <w:bCs/>
                <w:color w:val="auto"/>
                <w:sz w:val="21"/>
                <w:szCs w:val="21"/>
              </w:rPr>
              <w:t xml:space="preserve">  项目给排水估算一览表   单位：m</w:t>
            </w:r>
            <w:r>
              <w:rPr>
                <w:b/>
                <w:bCs/>
                <w:color w:val="auto"/>
                <w:sz w:val="21"/>
                <w:szCs w:val="21"/>
                <w:vertAlign w:val="superscript"/>
              </w:rPr>
              <w:t>3</w:t>
            </w:r>
            <w:r>
              <w:rPr>
                <w:b/>
                <w:bCs/>
                <w:color w:val="auto"/>
                <w:sz w:val="21"/>
                <w:szCs w:val="21"/>
              </w:rPr>
              <w:t>/d</w:t>
            </w:r>
          </w:p>
          <w:tbl>
            <w:tblPr>
              <w:tblStyle w:val="31"/>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685"/>
              <w:gridCol w:w="561"/>
              <w:gridCol w:w="694"/>
              <w:gridCol w:w="780"/>
              <w:gridCol w:w="700"/>
              <w:gridCol w:w="842"/>
              <w:gridCol w:w="787"/>
              <w:gridCol w:w="2827"/>
            </w:tblGrid>
            <w:tr w14:paraId="1D50D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noWrap w:val="0"/>
                  <w:vAlign w:val="center"/>
                </w:tcPr>
                <w:p w14:paraId="18321B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b/>
                      <w:bCs/>
                      <w:color w:val="auto"/>
                      <w:kern w:val="2"/>
                      <w:sz w:val="20"/>
                      <w:szCs w:val="20"/>
                      <w:lang w:val="en-US" w:eastAsia="zh-CN" w:bidi="ar-SA"/>
                    </w:rPr>
                  </w:pPr>
                  <w:r>
                    <w:rPr>
                      <w:rFonts w:hint="eastAsia"/>
                      <w:b/>
                      <w:bCs/>
                      <w:color w:val="auto"/>
                      <w:sz w:val="20"/>
                      <w:szCs w:val="20"/>
                      <w:lang w:val="en-US" w:eastAsia="zh-CN"/>
                    </w:rPr>
                    <w:t>名称</w:t>
                  </w:r>
                </w:p>
              </w:tc>
              <w:tc>
                <w:tcPr>
                  <w:tcW w:w="401" w:type="pct"/>
                  <w:tcBorders>
                    <w:tl2br w:val="nil"/>
                    <w:tr2bl w:val="nil"/>
                  </w:tcBorders>
                  <w:noWrap w:val="0"/>
                  <w:vAlign w:val="center"/>
                </w:tcPr>
                <w:p w14:paraId="5DB1A3C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
                      <w:bCs/>
                      <w:color w:val="auto"/>
                      <w:kern w:val="2"/>
                      <w:sz w:val="20"/>
                      <w:szCs w:val="20"/>
                      <w:lang w:val="en-US" w:eastAsia="zh-CN" w:bidi="ar-SA"/>
                    </w:rPr>
                  </w:pPr>
                  <w:r>
                    <w:rPr>
                      <w:rFonts w:hint="eastAsia"/>
                      <w:b/>
                      <w:bCs/>
                      <w:color w:val="auto"/>
                      <w:sz w:val="20"/>
                      <w:szCs w:val="20"/>
                      <w:lang w:val="en-US" w:eastAsia="zh-CN"/>
                    </w:rPr>
                    <w:t>用水定额</w:t>
                  </w:r>
                </w:p>
              </w:tc>
              <w:tc>
                <w:tcPr>
                  <w:tcW w:w="329" w:type="pct"/>
                  <w:tcBorders>
                    <w:tl2br w:val="nil"/>
                    <w:tr2bl w:val="nil"/>
                  </w:tcBorders>
                  <w:noWrap w:val="0"/>
                  <w:vAlign w:val="center"/>
                </w:tcPr>
                <w:p w14:paraId="2E291F5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b/>
                      <w:bCs/>
                      <w:color w:val="auto"/>
                      <w:kern w:val="2"/>
                      <w:sz w:val="20"/>
                      <w:szCs w:val="20"/>
                      <w:lang w:val="en-US" w:eastAsia="zh-CN" w:bidi="ar-SA"/>
                    </w:rPr>
                  </w:pPr>
                  <w:r>
                    <w:rPr>
                      <w:rFonts w:hint="eastAsia"/>
                      <w:b/>
                      <w:bCs/>
                      <w:color w:val="auto"/>
                      <w:sz w:val="20"/>
                      <w:szCs w:val="20"/>
                      <w:lang w:val="en-US" w:eastAsia="zh-CN"/>
                    </w:rPr>
                    <w:t>指标</w:t>
                  </w:r>
                </w:p>
              </w:tc>
              <w:tc>
                <w:tcPr>
                  <w:tcW w:w="407" w:type="pct"/>
                  <w:tcBorders>
                    <w:tl2br w:val="nil"/>
                    <w:tr2bl w:val="nil"/>
                  </w:tcBorders>
                  <w:noWrap w:val="0"/>
                  <w:vAlign w:val="center"/>
                </w:tcPr>
                <w:p w14:paraId="15AB13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
                      <w:bCs/>
                      <w:color w:val="auto"/>
                      <w:kern w:val="2"/>
                      <w:sz w:val="20"/>
                      <w:szCs w:val="20"/>
                      <w:lang w:val="en-US" w:eastAsia="zh-CN" w:bidi="ar-SA"/>
                    </w:rPr>
                  </w:pPr>
                  <w:r>
                    <w:rPr>
                      <w:rFonts w:hint="eastAsia"/>
                      <w:b/>
                      <w:bCs/>
                      <w:color w:val="auto"/>
                      <w:sz w:val="20"/>
                      <w:szCs w:val="20"/>
                      <w:lang w:val="en-US" w:eastAsia="zh-CN"/>
                    </w:rPr>
                    <w:t>年用水日</w:t>
                  </w:r>
                </w:p>
              </w:tc>
              <w:tc>
                <w:tcPr>
                  <w:tcW w:w="458" w:type="pct"/>
                  <w:tcBorders>
                    <w:tl2br w:val="nil"/>
                    <w:tr2bl w:val="nil"/>
                  </w:tcBorders>
                  <w:noWrap w:val="0"/>
                  <w:vAlign w:val="center"/>
                </w:tcPr>
                <w:p w14:paraId="13037BC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
                      <w:bCs/>
                      <w:color w:val="auto"/>
                      <w:kern w:val="2"/>
                      <w:sz w:val="20"/>
                      <w:szCs w:val="20"/>
                      <w:lang w:val="en-US" w:eastAsia="zh-CN" w:bidi="ar-SA"/>
                    </w:rPr>
                  </w:pPr>
                  <w:r>
                    <w:rPr>
                      <w:rFonts w:hint="eastAsia"/>
                      <w:b/>
                      <w:bCs/>
                      <w:color w:val="auto"/>
                      <w:sz w:val="20"/>
                      <w:szCs w:val="20"/>
                      <w:lang w:val="en-US" w:eastAsia="zh-CN"/>
                    </w:rPr>
                    <w:t>新鲜水</w:t>
                  </w:r>
                  <w:r>
                    <w:rPr>
                      <w:rFonts w:ascii="Times New Roman" w:hAnsi="Times New Roman"/>
                      <w:b/>
                      <w:bCs w:val="0"/>
                      <w:caps/>
                      <w:color w:val="auto"/>
                      <w:sz w:val="20"/>
                      <w:szCs w:val="20"/>
                      <w:highlight w:val="none"/>
                    </w:rPr>
                    <w:t>用量</w:t>
                  </w:r>
                </w:p>
              </w:tc>
              <w:tc>
                <w:tcPr>
                  <w:tcW w:w="411" w:type="pct"/>
                  <w:tcBorders>
                    <w:tl2br w:val="nil"/>
                    <w:tr2bl w:val="nil"/>
                  </w:tcBorders>
                  <w:noWrap w:val="0"/>
                  <w:vAlign w:val="center"/>
                </w:tcPr>
                <w:p w14:paraId="42A41D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
                      <w:bCs/>
                      <w:color w:val="auto"/>
                      <w:kern w:val="2"/>
                      <w:sz w:val="20"/>
                      <w:szCs w:val="20"/>
                      <w:lang w:val="en-US" w:eastAsia="zh-CN" w:bidi="ar-SA"/>
                    </w:rPr>
                  </w:pPr>
                  <w:r>
                    <w:rPr>
                      <w:rFonts w:hint="eastAsia"/>
                      <w:b/>
                      <w:bCs/>
                      <w:color w:val="auto"/>
                      <w:sz w:val="20"/>
                      <w:szCs w:val="20"/>
                      <w:lang w:val="en-US" w:eastAsia="zh-CN"/>
                    </w:rPr>
                    <w:t>用水总量</w:t>
                  </w:r>
                </w:p>
              </w:tc>
              <w:tc>
                <w:tcPr>
                  <w:tcW w:w="494" w:type="pct"/>
                  <w:tcBorders>
                    <w:tl2br w:val="nil"/>
                    <w:tr2bl w:val="nil"/>
                  </w:tcBorders>
                  <w:noWrap w:val="0"/>
                  <w:vAlign w:val="center"/>
                </w:tcPr>
                <w:p w14:paraId="707390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b/>
                      <w:bCs/>
                      <w:color w:val="auto"/>
                      <w:kern w:val="2"/>
                      <w:sz w:val="20"/>
                      <w:szCs w:val="20"/>
                      <w:lang w:val="en-US" w:eastAsia="zh-CN" w:bidi="ar-SA"/>
                    </w:rPr>
                  </w:pPr>
                  <w:r>
                    <w:rPr>
                      <w:rFonts w:hint="eastAsia"/>
                      <w:b/>
                      <w:bCs w:val="0"/>
                      <w:caps/>
                      <w:color w:val="auto"/>
                      <w:sz w:val="20"/>
                      <w:szCs w:val="20"/>
                      <w:highlight w:val="none"/>
                      <w:lang w:val="en-US" w:eastAsia="zh-CN"/>
                    </w:rPr>
                    <w:t>消耗量</w:t>
                  </w:r>
                </w:p>
              </w:tc>
              <w:tc>
                <w:tcPr>
                  <w:tcW w:w="462" w:type="pct"/>
                  <w:tcBorders>
                    <w:tl2br w:val="nil"/>
                    <w:tr2bl w:val="nil"/>
                  </w:tcBorders>
                  <w:noWrap w:val="0"/>
                  <w:vAlign w:val="center"/>
                </w:tcPr>
                <w:p w14:paraId="305AA5B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b/>
                      <w:bCs/>
                      <w:color w:val="auto"/>
                      <w:kern w:val="2"/>
                      <w:sz w:val="20"/>
                      <w:szCs w:val="20"/>
                      <w:lang w:val="en-US" w:eastAsia="zh-CN" w:bidi="ar-SA"/>
                    </w:rPr>
                  </w:pPr>
                  <w:r>
                    <w:rPr>
                      <w:rFonts w:hint="eastAsia"/>
                      <w:b/>
                      <w:bCs/>
                      <w:color w:val="auto"/>
                      <w:sz w:val="20"/>
                      <w:szCs w:val="20"/>
                      <w:lang w:val="en-US" w:eastAsia="zh-CN"/>
                    </w:rPr>
                    <w:t>废水总量</w:t>
                  </w:r>
                </w:p>
              </w:tc>
              <w:tc>
                <w:tcPr>
                  <w:tcW w:w="1659" w:type="pct"/>
                  <w:tcBorders>
                    <w:tl2br w:val="nil"/>
                    <w:tr2bl w:val="nil"/>
                  </w:tcBorders>
                  <w:noWrap w:val="0"/>
                  <w:vAlign w:val="center"/>
                </w:tcPr>
                <w:p w14:paraId="010FB6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b/>
                      <w:bCs/>
                      <w:color w:val="auto"/>
                      <w:kern w:val="2"/>
                      <w:sz w:val="20"/>
                      <w:szCs w:val="20"/>
                      <w:lang w:val="en-US" w:eastAsia="zh-CN" w:bidi="ar-SA"/>
                    </w:rPr>
                  </w:pPr>
                  <w:r>
                    <w:rPr>
                      <w:rFonts w:hint="eastAsia"/>
                      <w:b/>
                      <w:bCs/>
                      <w:color w:val="auto"/>
                      <w:sz w:val="20"/>
                      <w:szCs w:val="20"/>
                      <w:lang w:val="en-US" w:eastAsia="zh-CN"/>
                    </w:rPr>
                    <w:t>去向</w:t>
                  </w:r>
                </w:p>
              </w:tc>
            </w:tr>
            <w:tr w14:paraId="3A106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noWrap w:val="0"/>
                  <w:vAlign w:val="center"/>
                </w:tcPr>
                <w:p w14:paraId="083117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2"/>
                      <w:sz w:val="20"/>
                      <w:szCs w:val="20"/>
                      <w:lang w:val="en-US" w:eastAsia="zh-CN" w:bidi="ar-SA"/>
                    </w:rPr>
                  </w:pPr>
                  <w:r>
                    <w:rPr>
                      <w:color w:val="auto"/>
                      <w:sz w:val="20"/>
                      <w:szCs w:val="20"/>
                    </w:rPr>
                    <w:t>生活用水</w:t>
                  </w:r>
                </w:p>
              </w:tc>
              <w:tc>
                <w:tcPr>
                  <w:tcW w:w="401" w:type="pct"/>
                  <w:tcBorders>
                    <w:tl2br w:val="nil"/>
                    <w:tr2bl w:val="nil"/>
                  </w:tcBorders>
                  <w:noWrap w:val="0"/>
                  <w:vAlign w:val="center"/>
                </w:tcPr>
                <w:p w14:paraId="19A67C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70L/（人•d）</w:t>
                  </w:r>
                </w:p>
              </w:tc>
              <w:tc>
                <w:tcPr>
                  <w:tcW w:w="329" w:type="pct"/>
                  <w:tcBorders>
                    <w:tl2br w:val="nil"/>
                    <w:tr2bl w:val="nil"/>
                  </w:tcBorders>
                  <w:noWrap w:val="0"/>
                  <w:vAlign w:val="center"/>
                </w:tcPr>
                <w:p w14:paraId="4488E7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60人</w:t>
                  </w:r>
                </w:p>
              </w:tc>
              <w:tc>
                <w:tcPr>
                  <w:tcW w:w="407" w:type="pct"/>
                  <w:tcBorders>
                    <w:tl2br w:val="nil"/>
                    <w:tr2bl w:val="nil"/>
                  </w:tcBorders>
                  <w:noWrap w:val="0"/>
                  <w:vAlign w:val="center"/>
                </w:tcPr>
                <w:p w14:paraId="612C3D6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330</w:t>
                  </w:r>
                </w:p>
              </w:tc>
              <w:tc>
                <w:tcPr>
                  <w:tcW w:w="458" w:type="pct"/>
                  <w:tcBorders>
                    <w:tl2br w:val="nil"/>
                    <w:tr2bl w:val="nil"/>
                  </w:tcBorders>
                  <w:noWrap w:val="0"/>
                  <w:vAlign w:val="center"/>
                </w:tcPr>
                <w:p w14:paraId="38FCDC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4.2</w:t>
                  </w:r>
                </w:p>
              </w:tc>
              <w:tc>
                <w:tcPr>
                  <w:tcW w:w="411" w:type="pct"/>
                  <w:tcBorders>
                    <w:tl2br w:val="nil"/>
                    <w:tr2bl w:val="nil"/>
                  </w:tcBorders>
                  <w:noWrap w:val="0"/>
                  <w:vAlign w:val="center"/>
                </w:tcPr>
                <w:p w14:paraId="0553EEF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4.2</w:t>
                  </w:r>
                </w:p>
              </w:tc>
              <w:tc>
                <w:tcPr>
                  <w:tcW w:w="494" w:type="pct"/>
                  <w:tcBorders>
                    <w:tl2br w:val="nil"/>
                    <w:tr2bl w:val="nil"/>
                  </w:tcBorders>
                  <w:noWrap w:val="0"/>
                  <w:vAlign w:val="center"/>
                </w:tcPr>
                <w:p w14:paraId="407F16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0.84</w:t>
                  </w:r>
                </w:p>
              </w:tc>
              <w:tc>
                <w:tcPr>
                  <w:tcW w:w="462" w:type="pct"/>
                  <w:tcBorders>
                    <w:tl2br w:val="nil"/>
                    <w:tr2bl w:val="nil"/>
                  </w:tcBorders>
                  <w:noWrap w:val="0"/>
                  <w:vAlign w:val="center"/>
                </w:tcPr>
                <w:p w14:paraId="1F14BD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eastAsia="宋体"/>
                      <w:color w:val="auto"/>
                      <w:sz w:val="20"/>
                      <w:szCs w:val="20"/>
                      <w:lang w:val="en-US" w:eastAsia="zh-CN"/>
                    </w:rPr>
                    <w:t>3.36</w:t>
                  </w:r>
                </w:p>
              </w:tc>
              <w:tc>
                <w:tcPr>
                  <w:tcW w:w="1659" w:type="pct"/>
                  <w:tcBorders>
                    <w:tl2br w:val="nil"/>
                    <w:tr2bl w:val="nil"/>
                  </w:tcBorders>
                  <w:noWrap w:val="0"/>
                  <w:vAlign w:val="center"/>
                </w:tcPr>
                <w:p w14:paraId="3E544AE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生活污水经化粪池收集后接管排入园区污水管网再进入长青工业园区污水处理厂进一步处理</w:t>
                  </w:r>
                </w:p>
              </w:tc>
            </w:tr>
            <w:tr w14:paraId="59F07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noWrap w:val="0"/>
                  <w:vAlign w:val="center"/>
                </w:tcPr>
                <w:p w14:paraId="09FE01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循环冷却</w:t>
                  </w:r>
                  <w:r>
                    <w:rPr>
                      <w:rFonts w:hint="eastAsia" w:cs="Times New Roman"/>
                      <w:color w:val="auto"/>
                      <w:sz w:val="20"/>
                      <w:szCs w:val="20"/>
                      <w:lang w:val="en-US" w:eastAsia="zh-CN"/>
                    </w:rPr>
                    <w:t>水</w:t>
                  </w:r>
                  <w:r>
                    <w:rPr>
                      <w:rFonts w:hint="eastAsia" w:ascii="Times New Roman" w:hAnsi="Times New Roman" w:eastAsia="宋体" w:cs="Times New Roman"/>
                      <w:color w:val="auto"/>
                      <w:sz w:val="20"/>
                      <w:szCs w:val="20"/>
                      <w:lang w:val="en-US" w:eastAsia="zh-CN"/>
                    </w:rPr>
                    <w:t>补水</w:t>
                  </w:r>
                </w:p>
              </w:tc>
              <w:tc>
                <w:tcPr>
                  <w:tcW w:w="401" w:type="pct"/>
                  <w:tcBorders>
                    <w:tl2br w:val="nil"/>
                    <w:tr2bl w:val="nil"/>
                  </w:tcBorders>
                  <w:noWrap w:val="0"/>
                  <w:vAlign w:val="center"/>
                </w:tcPr>
                <w:p w14:paraId="0774AD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kern w:val="2"/>
                      <w:sz w:val="20"/>
                      <w:szCs w:val="20"/>
                      <w:lang w:val="en-US" w:eastAsia="zh-CN" w:bidi="ar-SA"/>
                    </w:rPr>
                  </w:pPr>
                  <w:r>
                    <w:rPr>
                      <w:rFonts w:hint="eastAsia" w:eastAsia="宋体"/>
                      <w:color w:val="auto"/>
                      <w:sz w:val="20"/>
                      <w:szCs w:val="20"/>
                      <w:lang w:val="en-US" w:eastAsia="zh-CN"/>
                    </w:rPr>
                    <w:t>/</w:t>
                  </w:r>
                </w:p>
              </w:tc>
              <w:tc>
                <w:tcPr>
                  <w:tcW w:w="329" w:type="pct"/>
                  <w:tcBorders>
                    <w:tl2br w:val="nil"/>
                    <w:tr2bl w:val="nil"/>
                  </w:tcBorders>
                  <w:noWrap w:val="0"/>
                  <w:vAlign w:val="center"/>
                </w:tcPr>
                <w:p w14:paraId="61064F6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eastAsia="宋体"/>
                      <w:color w:val="auto"/>
                      <w:sz w:val="20"/>
                      <w:szCs w:val="20"/>
                      <w:lang w:val="en-US" w:eastAsia="zh-CN"/>
                    </w:rPr>
                    <w:t>/</w:t>
                  </w:r>
                </w:p>
              </w:tc>
              <w:tc>
                <w:tcPr>
                  <w:tcW w:w="407" w:type="pct"/>
                  <w:tcBorders>
                    <w:tl2br w:val="nil"/>
                    <w:tr2bl w:val="nil"/>
                  </w:tcBorders>
                  <w:noWrap w:val="0"/>
                  <w:vAlign w:val="center"/>
                </w:tcPr>
                <w:p w14:paraId="392E8A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330</w:t>
                  </w:r>
                </w:p>
              </w:tc>
              <w:tc>
                <w:tcPr>
                  <w:tcW w:w="458" w:type="pct"/>
                  <w:tcBorders>
                    <w:tl2br w:val="nil"/>
                    <w:tr2bl w:val="nil"/>
                  </w:tcBorders>
                  <w:noWrap w:val="0"/>
                  <w:vAlign w:val="center"/>
                </w:tcPr>
                <w:p w14:paraId="1A65B2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561.6</w:t>
                  </w:r>
                </w:p>
              </w:tc>
              <w:tc>
                <w:tcPr>
                  <w:tcW w:w="411" w:type="pct"/>
                  <w:tcBorders>
                    <w:tl2br w:val="nil"/>
                    <w:tr2bl w:val="nil"/>
                  </w:tcBorders>
                  <w:noWrap w:val="0"/>
                  <w:vAlign w:val="center"/>
                </w:tcPr>
                <w:p w14:paraId="485FCA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561.6</w:t>
                  </w:r>
                </w:p>
              </w:tc>
              <w:tc>
                <w:tcPr>
                  <w:tcW w:w="494" w:type="pct"/>
                  <w:tcBorders>
                    <w:tl2br w:val="nil"/>
                    <w:tr2bl w:val="nil"/>
                  </w:tcBorders>
                  <w:noWrap w:val="0"/>
                  <w:vAlign w:val="center"/>
                </w:tcPr>
                <w:p w14:paraId="3FCD20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540</w:t>
                  </w:r>
                </w:p>
              </w:tc>
              <w:tc>
                <w:tcPr>
                  <w:tcW w:w="462" w:type="pct"/>
                  <w:tcBorders>
                    <w:tl2br w:val="nil"/>
                    <w:tr2bl w:val="nil"/>
                  </w:tcBorders>
                  <w:noWrap w:val="0"/>
                  <w:vAlign w:val="center"/>
                </w:tcPr>
                <w:p w14:paraId="2D66B6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eastAsia="宋体"/>
                      <w:color w:val="auto"/>
                      <w:sz w:val="20"/>
                      <w:szCs w:val="20"/>
                      <w:lang w:val="en-US" w:eastAsia="zh-CN"/>
                    </w:rPr>
                    <w:t>21.6</w:t>
                  </w:r>
                </w:p>
              </w:tc>
              <w:tc>
                <w:tcPr>
                  <w:tcW w:w="1659" w:type="pct"/>
                  <w:tcBorders>
                    <w:tl2br w:val="nil"/>
                    <w:tr2bl w:val="nil"/>
                  </w:tcBorders>
                  <w:noWrap w:val="0"/>
                  <w:vAlign w:val="center"/>
                </w:tcPr>
                <w:p w14:paraId="7CF23B4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kern w:val="2"/>
                      <w:sz w:val="20"/>
                      <w:szCs w:val="20"/>
                      <w:lang w:val="en-US" w:eastAsia="zh-CN" w:bidi="ar-SA"/>
                    </w:rPr>
                  </w:pPr>
                  <w:r>
                    <w:rPr>
                      <w:rFonts w:hint="eastAsia"/>
                      <w:color w:val="auto"/>
                      <w:sz w:val="20"/>
                      <w:szCs w:val="20"/>
                    </w:rPr>
                    <w:t>循环冷却水系统排污水进入园区污水管线进入长青工业园污水处理厂（宝鸡天龙污水处理有限公司）处理</w:t>
                  </w:r>
                </w:p>
              </w:tc>
            </w:tr>
            <w:tr w14:paraId="674E1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5" w:type="pct"/>
                  <w:tcBorders>
                    <w:tl2br w:val="nil"/>
                    <w:tr2bl w:val="nil"/>
                  </w:tcBorders>
                  <w:noWrap w:val="0"/>
                  <w:vAlign w:val="center"/>
                </w:tcPr>
                <w:p w14:paraId="2D3DC49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洗瓶用水</w:t>
                  </w:r>
                </w:p>
              </w:tc>
              <w:tc>
                <w:tcPr>
                  <w:tcW w:w="401" w:type="pct"/>
                  <w:tcBorders>
                    <w:tl2br w:val="nil"/>
                    <w:tr2bl w:val="nil"/>
                  </w:tcBorders>
                  <w:noWrap w:val="0"/>
                  <w:vAlign w:val="center"/>
                </w:tcPr>
                <w:p w14:paraId="5A1227E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0"/>
                      <w:szCs w:val="20"/>
                      <w:lang w:val="en-US" w:eastAsia="zh-CN"/>
                    </w:rPr>
                  </w:pPr>
                  <w:r>
                    <w:rPr>
                      <w:rFonts w:hint="eastAsia"/>
                      <w:color w:val="auto"/>
                      <w:sz w:val="20"/>
                      <w:szCs w:val="20"/>
                    </w:rPr>
                    <w:t>4L</w:t>
                  </w:r>
                  <w:r>
                    <w:rPr>
                      <w:rFonts w:hint="eastAsia"/>
                      <w:color w:val="auto"/>
                      <w:sz w:val="20"/>
                      <w:szCs w:val="20"/>
                      <w:lang w:val="en-US" w:eastAsia="zh-CN"/>
                    </w:rPr>
                    <w:t>/（瓶•次）</w:t>
                  </w:r>
                </w:p>
              </w:tc>
              <w:tc>
                <w:tcPr>
                  <w:tcW w:w="329" w:type="pct"/>
                  <w:tcBorders>
                    <w:tl2br w:val="nil"/>
                    <w:tr2bl w:val="nil"/>
                  </w:tcBorders>
                  <w:noWrap w:val="0"/>
                  <w:vAlign w:val="center"/>
                </w:tcPr>
                <w:p w14:paraId="56A494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0"/>
                      <w:szCs w:val="20"/>
                      <w:lang w:val="en-US" w:eastAsia="zh-CN"/>
                    </w:rPr>
                  </w:pPr>
                  <w:r>
                    <w:rPr>
                      <w:rFonts w:hint="eastAsia" w:eastAsia="宋体"/>
                      <w:color w:val="auto"/>
                      <w:sz w:val="20"/>
                      <w:szCs w:val="20"/>
                      <w:lang w:val="en-US" w:eastAsia="zh-CN"/>
                    </w:rPr>
                    <w:t>5000个</w:t>
                  </w:r>
                </w:p>
              </w:tc>
              <w:tc>
                <w:tcPr>
                  <w:tcW w:w="407" w:type="pct"/>
                  <w:tcBorders>
                    <w:tl2br w:val="nil"/>
                    <w:tr2bl w:val="nil"/>
                  </w:tcBorders>
                  <w:noWrap w:val="0"/>
                  <w:vAlign w:val="center"/>
                </w:tcPr>
                <w:p w14:paraId="2BE71DC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0"/>
                      <w:szCs w:val="20"/>
                      <w:lang w:val="en-US" w:eastAsia="zh-CN"/>
                    </w:rPr>
                  </w:pPr>
                  <w:r>
                    <w:rPr>
                      <w:rFonts w:hint="eastAsia"/>
                      <w:color w:val="auto"/>
                      <w:sz w:val="20"/>
                      <w:szCs w:val="20"/>
                      <w:lang w:val="en-US" w:eastAsia="zh-CN"/>
                    </w:rPr>
                    <w:t>330</w:t>
                  </w:r>
                </w:p>
              </w:tc>
              <w:tc>
                <w:tcPr>
                  <w:tcW w:w="458" w:type="pct"/>
                  <w:tcBorders>
                    <w:tl2br w:val="nil"/>
                    <w:tr2bl w:val="nil"/>
                  </w:tcBorders>
                  <w:noWrap w:val="0"/>
                  <w:vAlign w:val="center"/>
                </w:tcPr>
                <w:p w14:paraId="5EE2846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0"/>
                      <w:szCs w:val="20"/>
                      <w:lang w:val="en-US" w:eastAsia="zh-CN"/>
                    </w:rPr>
                  </w:pPr>
                  <w:r>
                    <w:rPr>
                      <w:rFonts w:hint="eastAsia"/>
                      <w:color w:val="auto"/>
                      <w:sz w:val="20"/>
                      <w:szCs w:val="20"/>
                      <w:lang w:val="en-US" w:eastAsia="zh-CN"/>
                    </w:rPr>
                    <w:t>0.0606</w:t>
                  </w:r>
                </w:p>
              </w:tc>
              <w:tc>
                <w:tcPr>
                  <w:tcW w:w="411" w:type="pct"/>
                  <w:tcBorders>
                    <w:tl2br w:val="nil"/>
                    <w:tr2bl w:val="nil"/>
                  </w:tcBorders>
                  <w:noWrap w:val="0"/>
                  <w:vAlign w:val="center"/>
                </w:tcPr>
                <w:p w14:paraId="390919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0"/>
                      <w:szCs w:val="20"/>
                      <w:lang w:val="en-US" w:eastAsia="zh-CN"/>
                    </w:rPr>
                  </w:pPr>
                  <w:r>
                    <w:rPr>
                      <w:rFonts w:hint="eastAsia"/>
                      <w:color w:val="auto"/>
                      <w:sz w:val="20"/>
                      <w:szCs w:val="20"/>
                      <w:lang w:val="en-US" w:eastAsia="zh-CN"/>
                    </w:rPr>
                    <w:t>0.0606</w:t>
                  </w:r>
                </w:p>
              </w:tc>
              <w:tc>
                <w:tcPr>
                  <w:tcW w:w="494" w:type="pct"/>
                  <w:tcBorders>
                    <w:tl2br w:val="nil"/>
                    <w:tr2bl w:val="nil"/>
                  </w:tcBorders>
                  <w:noWrap w:val="0"/>
                  <w:vAlign w:val="center"/>
                </w:tcPr>
                <w:p w14:paraId="49A157A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0"/>
                      <w:szCs w:val="20"/>
                      <w:lang w:val="en-US" w:eastAsia="zh-CN"/>
                    </w:rPr>
                  </w:pPr>
                  <w:r>
                    <w:rPr>
                      <w:rFonts w:hint="eastAsia"/>
                      <w:color w:val="auto"/>
                      <w:sz w:val="20"/>
                      <w:szCs w:val="20"/>
                      <w:lang w:val="en-US" w:eastAsia="zh-CN"/>
                    </w:rPr>
                    <w:t>0.0006</w:t>
                  </w:r>
                </w:p>
              </w:tc>
              <w:tc>
                <w:tcPr>
                  <w:tcW w:w="462" w:type="pct"/>
                  <w:tcBorders>
                    <w:tl2br w:val="nil"/>
                    <w:tr2bl w:val="nil"/>
                  </w:tcBorders>
                  <w:noWrap w:val="0"/>
                  <w:vAlign w:val="center"/>
                </w:tcPr>
                <w:p w14:paraId="524263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0"/>
                      <w:szCs w:val="20"/>
                      <w:lang w:val="en-US" w:eastAsia="zh-CN"/>
                    </w:rPr>
                  </w:pPr>
                  <w:r>
                    <w:rPr>
                      <w:rFonts w:hint="eastAsia" w:eastAsia="宋体"/>
                      <w:color w:val="auto"/>
                      <w:sz w:val="20"/>
                      <w:szCs w:val="20"/>
                      <w:lang w:val="en-US" w:eastAsia="zh-CN"/>
                    </w:rPr>
                    <w:t>0.06</w:t>
                  </w:r>
                </w:p>
              </w:tc>
              <w:tc>
                <w:tcPr>
                  <w:tcW w:w="1659" w:type="pct"/>
                  <w:tcBorders>
                    <w:tl2br w:val="nil"/>
                    <w:tr2bl w:val="nil"/>
                  </w:tcBorders>
                  <w:noWrap w:val="0"/>
                  <w:vAlign w:val="center"/>
                </w:tcPr>
                <w:p w14:paraId="1224F2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0"/>
                      <w:szCs w:val="20"/>
                    </w:rPr>
                  </w:pPr>
                  <w:r>
                    <w:rPr>
                      <w:rFonts w:hint="eastAsia"/>
                      <w:color w:val="auto"/>
                      <w:sz w:val="20"/>
                      <w:szCs w:val="20"/>
                    </w:rPr>
                    <w:t>这部分水主要污染因子为悬浮物，洗瓶废水用于厂区洒扫。</w:t>
                  </w:r>
                </w:p>
              </w:tc>
            </w:tr>
            <w:tr w14:paraId="0C3B0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7" w:type="pct"/>
                  <w:gridSpan w:val="2"/>
                  <w:tcBorders>
                    <w:tl2br w:val="nil"/>
                    <w:tr2bl w:val="nil"/>
                  </w:tcBorders>
                  <w:noWrap w:val="0"/>
                  <w:vAlign w:val="center"/>
                </w:tcPr>
                <w:p w14:paraId="04DDD3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kern w:val="2"/>
                      <w:sz w:val="20"/>
                      <w:szCs w:val="20"/>
                      <w:lang w:val="en-US" w:eastAsia="zh-CN" w:bidi="ar-SA"/>
                    </w:rPr>
                  </w:pPr>
                  <w:r>
                    <w:rPr>
                      <w:color w:val="auto"/>
                      <w:sz w:val="20"/>
                      <w:szCs w:val="20"/>
                    </w:rPr>
                    <w:t>合计</w:t>
                  </w:r>
                </w:p>
              </w:tc>
              <w:tc>
                <w:tcPr>
                  <w:tcW w:w="329" w:type="pct"/>
                  <w:tcBorders>
                    <w:tl2br w:val="nil"/>
                    <w:tr2bl w:val="nil"/>
                  </w:tcBorders>
                  <w:noWrap w:val="0"/>
                  <w:vAlign w:val="center"/>
                </w:tcPr>
                <w:p w14:paraId="4F31F22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w:t>
                  </w:r>
                </w:p>
              </w:tc>
              <w:tc>
                <w:tcPr>
                  <w:tcW w:w="407" w:type="pct"/>
                  <w:tcBorders>
                    <w:tl2br w:val="nil"/>
                    <w:tr2bl w:val="nil"/>
                  </w:tcBorders>
                  <w:noWrap w:val="0"/>
                  <w:vAlign w:val="center"/>
                </w:tcPr>
                <w:p w14:paraId="5D4D11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w:t>
                  </w:r>
                </w:p>
              </w:tc>
              <w:tc>
                <w:tcPr>
                  <w:tcW w:w="458" w:type="pct"/>
                  <w:tcBorders>
                    <w:tl2br w:val="nil"/>
                    <w:tr2bl w:val="nil"/>
                  </w:tcBorders>
                  <w:noWrap w:val="0"/>
                  <w:vAlign w:val="center"/>
                </w:tcPr>
                <w:p w14:paraId="73C067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565.8606</w:t>
                  </w:r>
                </w:p>
              </w:tc>
              <w:tc>
                <w:tcPr>
                  <w:tcW w:w="411" w:type="pct"/>
                  <w:tcBorders>
                    <w:tl2br w:val="nil"/>
                    <w:tr2bl w:val="nil"/>
                  </w:tcBorders>
                  <w:noWrap w:val="0"/>
                  <w:vAlign w:val="center"/>
                </w:tcPr>
                <w:p w14:paraId="672C55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565.8606</w:t>
                  </w:r>
                </w:p>
              </w:tc>
              <w:tc>
                <w:tcPr>
                  <w:tcW w:w="494" w:type="pct"/>
                  <w:tcBorders>
                    <w:tl2br w:val="nil"/>
                    <w:tr2bl w:val="nil"/>
                  </w:tcBorders>
                  <w:noWrap w:val="0"/>
                  <w:vAlign w:val="center"/>
                </w:tcPr>
                <w:p w14:paraId="4A9B76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540.8406</w:t>
                  </w:r>
                </w:p>
              </w:tc>
              <w:tc>
                <w:tcPr>
                  <w:tcW w:w="462" w:type="pct"/>
                  <w:tcBorders>
                    <w:tl2br w:val="nil"/>
                    <w:tr2bl w:val="nil"/>
                  </w:tcBorders>
                  <w:noWrap w:val="0"/>
                  <w:vAlign w:val="center"/>
                </w:tcPr>
                <w:p w14:paraId="303E579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kern w:val="2"/>
                      <w:sz w:val="20"/>
                      <w:szCs w:val="20"/>
                      <w:lang w:val="en-US" w:eastAsia="zh-CN" w:bidi="ar-SA"/>
                    </w:rPr>
                  </w:pPr>
                  <w:r>
                    <w:rPr>
                      <w:rFonts w:hint="eastAsia"/>
                      <w:color w:val="auto"/>
                      <w:sz w:val="20"/>
                      <w:szCs w:val="20"/>
                      <w:lang w:val="en-US" w:eastAsia="zh-CN"/>
                    </w:rPr>
                    <w:t>25.02</w:t>
                  </w:r>
                </w:p>
              </w:tc>
              <w:tc>
                <w:tcPr>
                  <w:tcW w:w="1659" w:type="pct"/>
                  <w:tcBorders>
                    <w:tl2br w:val="nil"/>
                    <w:tr2bl w:val="nil"/>
                  </w:tcBorders>
                  <w:noWrap w:val="0"/>
                  <w:vAlign w:val="center"/>
                </w:tcPr>
                <w:p w14:paraId="5ABBEB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olor w:val="auto"/>
                      <w:kern w:val="2"/>
                      <w:sz w:val="20"/>
                      <w:szCs w:val="20"/>
                      <w:lang w:val="en-US" w:eastAsia="zh-CN" w:bidi="ar-SA"/>
                    </w:rPr>
                  </w:pPr>
                  <w:r>
                    <w:rPr>
                      <w:color w:val="auto"/>
                      <w:sz w:val="20"/>
                      <w:szCs w:val="20"/>
                    </w:rPr>
                    <w:t>/</w:t>
                  </w:r>
                </w:p>
              </w:tc>
            </w:tr>
          </w:tbl>
          <w:p w14:paraId="3C1330A9">
            <w:pPr>
              <w:pStyle w:val="79"/>
              <w:bidi w:val="0"/>
              <w:rPr>
                <w:color w:val="auto"/>
              </w:rPr>
            </w:pPr>
            <w:r>
              <w:rPr>
                <w:rFonts w:hint="eastAsia"/>
                <w:color w:val="auto"/>
                <w:lang w:val="en-US"/>
              </w:rPr>
              <w:object>
                <v:shape id="_x0000_i1025" o:spt="75" type="#_x0000_t75" style="height:166.35pt;width:416.05pt;" o:ole="t" filled="f" o:preferrelative="t" stroked="f" coordsize="21600,21600">
                  <v:path/>
                  <v:fill on="f" focussize="0,0"/>
                  <v:stroke on="f"/>
                  <v:imagedata r:id="rId20" o:title=""/>
                  <o:lock v:ext="edit" aspectratio="f"/>
                  <w10:wrap type="none"/>
                  <w10:anchorlock/>
                </v:shape>
                <o:OLEObject Type="Embed" ProgID="Visio.Drawing.11" ShapeID="_x0000_i1025" DrawAspect="Content" ObjectID="_1468075725" r:id="rId19">
                  <o:LockedField>false</o:LockedField>
                </o:OLEObject>
              </w:object>
            </w:r>
          </w:p>
          <w:p w14:paraId="42542C69">
            <w:pPr>
              <w:spacing w:line="360" w:lineRule="auto"/>
              <w:ind w:left="480" w:leftChars="200"/>
              <w:jc w:val="center"/>
              <w:rPr>
                <w:b/>
                <w:bCs/>
                <w:color w:val="auto"/>
                <w:sz w:val="21"/>
                <w:szCs w:val="21"/>
              </w:rPr>
            </w:pPr>
            <w:r>
              <w:rPr>
                <w:b/>
                <w:bCs/>
                <w:color w:val="auto"/>
                <w:sz w:val="21"/>
                <w:szCs w:val="21"/>
              </w:rPr>
              <w:t>图2</w:t>
            </w:r>
            <w:r>
              <w:rPr>
                <w:rFonts w:hint="eastAsia"/>
                <w:b/>
                <w:bCs/>
                <w:color w:val="auto"/>
                <w:sz w:val="21"/>
                <w:szCs w:val="21"/>
              </w:rPr>
              <w:t>-</w:t>
            </w:r>
            <w:r>
              <w:rPr>
                <w:rFonts w:hint="eastAsia"/>
                <w:b/>
                <w:bCs/>
                <w:color w:val="auto"/>
                <w:sz w:val="21"/>
                <w:szCs w:val="21"/>
                <w:lang w:val="en-US" w:eastAsia="zh-CN"/>
              </w:rPr>
              <w:t>1</w:t>
            </w:r>
            <w:r>
              <w:rPr>
                <w:b/>
                <w:bCs/>
                <w:color w:val="auto"/>
                <w:sz w:val="21"/>
                <w:szCs w:val="21"/>
              </w:rPr>
              <w:t xml:space="preserve">   本项目水平衡图</w:t>
            </w:r>
            <w:r>
              <w:rPr>
                <w:rFonts w:hint="eastAsia"/>
                <w:b/>
                <w:bCs/>
                <w:color w:val="auto"/>
                <w:sz w:val="21"/>
                <w:szCs w:val="21"/>
                <w:lang w:val="en-US" w:eastAsia="zh-CN"/>
              </w:rPr>
              <w:t xml:space="preserve">    </w:t>
            </w:r>
            <w:r>
              <w:rPr>
                <w:b/>
                <w:bCs/>
                <w:color w:val="auto"/>
                <w:sz w:val="21"/>
                <w:szCs w:val="21"/>
              </w:rPr>
              <w:t>（单位：m</w:t>
            </w:r>
            <w:r>
              <w:rPr>
                <w:b/>
                <w:bCs/>
                <w:color w:val="auto"/>
                <w:sz w:val="21"/>
                <w:szCs w:val="21"/>
                <w:vertAlign w:val="superscript"/>
              </w:rPr>
              <w:t>3</w:t>
            </w:r>
            <w:r>
              <w:rPr>
                <w:b/>
                <w:bCs/>
                <w:color w:val="auto"/>
                <w:sz w:val="21"/>
                <w:szCs w:val="21"/>
              </w:rPr>
              <w:t>/d）</w:t>
            </w:r>
          </w:p>
          <w:p w14:paraId="27135B0B">
            <w:pPr>
              <w:bidi w:val="0"/>
              <w:rPr>
                <w:rFonts w:hint="default"/>
                <w:b/>
                <w:bCs/>
                <w:color w:val="auto"/>
              </w:rPr>
            </w:pPr>
            <w:r>
              <w:rPr>
                <w:rFonts w:hint="default" w:ascii="Times New Roman" w:hAnsi="Times New Roman" w:eastAsia="宋体" w:cs="Times New Roman"/>
                <w:b/>
                <w:bCs/>
                <w:color w:val="auto"/>
                <w:spacing w:val="0"/>
                <w:position w:val="0"/>
                <w:sz w:val="24"/>
                <w:lang w:eastAsia="zh-CN"/>
              </w:rPr>
              <w:t>八、</w:t>
            </w:r>
            <w:r>
              <w:rPr>
                <w:rFonts w:hint="default"/>
                <w:b/>
                <w:bCs/>
                <w:color w:val="auto"/>
              </w:rPr>
              <w:t>劳动定员及工作制度</w:t>
            </w:r>
          </w:p>
          <w:p w14:paraId="047348F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auto"/>
                <w:highlight w:val="none"/>
                <w:lang w:val="en-US"/>
              </w:rPr>
            </w:pPr>
            <w:r>
              <w:rPr>
                <w:color w:val="auto"/>
                <w:sz w:val="24"/>
                <w:highlight w:val="none"/>
              </w:rPr>
              <w:t>项目劳动定员</w:t>
            </w:r>
            <w:r>
              <w:rPr>
                <w:rFonts w:hint="eastAsia"/>
                <w:color w:val="auto"/>
                <w:sz w:val="24"/>
                <w:highlight w:val="none"/>
                <w:lang w:val="en-US" w:eastAsia="zh-CN"/>
              </w:rPr>
              <w:t>60人，</w:t>
            </w:r>
            <w:r>
              <w:rPr>
                <w:rFonts w:hint="eastAsia" w:ascii="Times New Roman" w:hAnsi="Times New Roman" w:eastAsia="宋体" w:cs="Times New Roman"/>
                <w:color w:val="auto"/>
                <w:spacing w:val="0"/>
                <w:position w:val="0"/>
                <w:sz w:val="24"/>
                <w:highlight w:val="none"/>
                <w:lang w:val="en-US" w:eastAsia="zh-CN"/>
              </w:rPr>
              <w:t>项目年工作时间330天，实行四班制三运转制度，厂区提供</w:t>
            </w:r>
            <w:r>
              <w:rPr>
                <w:rFonts w:hint="eastAsia" w:cs="Times New Roman"/>
                <w:color w:val="auto"/>
                <w:spacing w:val="0"/>
                <w:position w:val="0"/>
                <w:sz w:val="24"/>
                <w:highlight w:val="none"/>
                <w:lang w:val="en-US" w:eastAsia="zh-CN"/>
              </w:rPr>
              <w:t>三餐，不提供住宿</w:t>
            </w:r>
            <w:r>
              <w:rPr>
                <w:rFonts w:hint="eastAsia" w:ascii="Times New Roman" w:hAnsi="Times New Roman" w:eastAsia="宋体" w:cs="Times New Roman"/>
                <w:color w:val="auto"/>
                <w:spacing w:val="0"/>
                <w:position w:val="0"/>
                <w:sz w:val="24"/>
                <w:highlight w:val="none"/>
                <w:lang w:val="en-US" w:eastAsia="zh-CN"/>
              </w:rPr>
              <w:t>。</w:t>
            </w:r>
          </w:p>
          <w:p w14:paraId="699E30D6">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九、</w:t>
            </w:r>
            <w:r>
              <w:rPr>
                <w:rFonts w:hint="default" w:ascii="Times New Roman" w:hAnsi="Times New Roman" w:eastAsia="宋体" w:cs="Times New Roman"/>
                <w:b/>
                <w:bCs/>
                <w:color w:val="auto"/>
                <w:sz w:val="24"/>
                <w:szCs w:val="24"/>
                <w:highlight w:val="none"/>
              </w:rPr>
              <w:t>平面布置</w:t>
            </w:r>
          </w:p>
          <w:p w14:paraId="29939648">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本项目呈不规则梯形布置，厂区大门设在东北侧，大门面向厂外道路，道路东北侧（距离围墙 50 米）有一变电站。厂区西北侧围墙外为防洪渠，防洪渠西北侧为厂外道路，道路西北侧为陕西橘子实业有限公司。厂区西南侧为陕西秦景建材有限公司、东南侧围墙外为农田，厂区外东南侧有一条10kV（杆高 12m）架空电力</w:t>
            </w:r>
            <w:r>
              <w:rPr>
                <w:rFonts w:hint="eastAsia" w:cs="Times New Roman"/>
                <w:b w:val="0"/>
                <w:bCs w:val="0"/>
                <w:color w:val="auto"/>
                <w:sz w:val="24"/>
                <w:lang w:val="en-US" w:eastAsia="zh-CN"/>
              </w:rPr>
              <w:t>线</w:t>
            </w:r>
            <w:r>
              <w:rPr>
                <w:rFonts w:hint="eastAsia" w:ascii="Times New Roman" w:hAnsi="Times New Roman" w:cs="Times New Roman"/>
                <w:b w:val="0"/>
                <w:bCs w:val="0"/>
                <w:color w:val="auto"/>
                <w:sz w:val="24"/>
                <w:lang w:val="en-US" w:eastAsia="zh-CN"/>
              </w:rPr>
              <w:t>穿过，与围墙平行有一条（110kV）杆高25m架空电力线。厂区北侧设置两个出入口，西侧出入口为人行出入口，并设置门卫；东侧出入口为物流出入口，均与电厂路衔接。</w:t>
            </w:r>
          </w:p>
          <w:p w14:paraId="482A5052">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本项目可划分为5个功能区（见附图3），即办公区、空分装置区、气体充装区、配件储存区及储罐区。其中空分装置区包含</w:t>
            </w:r>
            <w:r>
              <w:rPr>
                <w:rFonts w:hint="default" w:ascii="Times New Roman" w:hAnsi="Times New Roman" w:cs="Times New Roman"/>
                <w:b w:val="0"/>
                <w:bCs w:val="0"/>
                <w:color w:val="auto"/>
                <w:sz w:val="24"/>
              </w:rPr>
              <w:t>主厂房、空分设备</w:t>
            </w:r>
            <w:r>
              <w:rPr>
                <w:rFonts w:hint="eastAsia"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循环水泵房、循环水池</w:t>
            </w:r>
            <w:r>
              <w:rPr>
                <w:rFonts w:hint="eastAsia" w:cs="Times New Roman"/>
                <w:b w:val="0"/>
                <w:bCs w:val="0"/>
                <w:color w:val="auto"/>
                <w:sz w:val="24"/>
                <w:lang w:val="en-US" w:eastAsia="zh-CN"/>
              </w:rPr>
              <w:t>等</w:t>
            </w:r>
            <w:r>
              <w:rPr>
                <w:rFonts w:hint="eastAsia" w:ascii="Times New Roman" w:hAnsi="Times New Roman" w:cs="Times New Roman"/>
                <w:b w:val="0"/>
                <w:bCs w:val="0"/>
                <w:color w:val="auto"/>
                <w:sz w:val="24"/>
                <w:lang w:eastAsia="zh-CN"/>
              </w:rPr>
              <w:t>。</w:t>
            </w:r>
            <w:r>
              <w:rPr>
                <w:rFonts w:hint="eastAsia" w:ascii="Times New Roman" w:hAnsi="Times New Roman" w:cs="Times New Roman"/>
                <w:b w:val="0"/>
                <w:bCs w:val="0"/>
                <w:color w:val="auto"/>
                <w:sz w:val="24"/>
                <w:lang w:val="en-US" w:eastAsia="zh-CN"/>
              </w:rPr>
              <w:t>空分装置区设在厂区东南侧，</w:t>
            </w:r>
            <w:r>
              <w:rPr>
                <w:rFonts w:hint="default" w:ascii="Times New Roman" w:hAnsi="Times New Roman" w:cs="Times New Roman"/>
                <w:b w:val="0"/>
                <w:bCs w:val="0"/>
                <w:color w:val="auto"/>
                <w:sz w:val="24"/>
              </w:rPr>
              <w:t>主厂房</w:t>
            </w:r>
            <w:r>
              <w:rPr>
                <w:rFonts w:hint="eastAsia" w:ascii="Times New Roman" w:hAnsi="Times New Roman" w:cs="Times New Roman"/>
                <w:b w:val="0"/>
                <w:bCs w:val="0"/>
                <w:color w:val="auto"/>
                <w:sz w:val="24"/>
                <w:lang w:val="en-US" w:eastAsia="zh-CN"/>
              </w:rPr>
              <w:t>设在空分装置区北侧，</w:t>
            </w:r>
            <w:r>
              <w:rPr>
                <w:rFonts w:hint="default" w:ascii="Times New Roman" w:hAnsi="Times New Roman" w:cs="Times New Roman"/>
                <w:b w:val="0"/>
                <w:bCs w:val="0"/>
                <w:color w:val="auto"/>
                <w:sz w:val="24"/>
              </w:rPr>
              <w:t>循环水泵房</w:t>
            </w:r>
            <w:r>
              <w:rPr>
                <w:rFonts w:hint="eastAsia" w:ascii="Times New Roman" w:hAnsi="Times New Roman" w:cs="Times New Roman"/>
                <w:b w:val="0"/>
                <w:bCs w:val="0"/>
                <w:color w:val="auto"/>
                <w:sz w:val="24"/>
                <w:lang w:val="en-US" w:eastAsia="zh-CN"/>
              </w:rPr>
              <w:t>和</w:t>
            </w:r>
            <w:r>
              <w:rPr>
                <w:rFonts w:hint="default" w:ascii="Times New Roman" w:hAnsi="Times New Roman" w:cs="Times New Roman"/>
                <w:b w:val="0"/>
                <w:bCs w:val="0"/>
                <w:color w:val="auto"/>
                <w:sz w:val="24"/>
              </w:rPr>
              <w:t>循环水池</w:t>
            </w:r>
            <w:r>
              <w:rPr>
                <w:rFonts w:hint="eastAsia" w:ascii="Times New Roman" w:hAnsi="Times New Roman" w:cs="Times New Roman"/>
                <w:b w:val="0"/>
                <w:bCs w:val="0"/>
                <w:color w:val="auto"/>
                <w:sz w:val="24"/>
                <w:lang w:val="en-US" w:eastAsia="zh-CN"/>
              </w:rPr>
              <w:t>设在空分装置区东南侧。气体充装区包含充装车间和甲类仓库。气体充装车间（氧气充装站、惰性气体充装站）设在厂区西南侧、甲类仓库设在充装车间（惰性气体充装站）西侧（厂区西南角）、丙烷及液化石油气充装站设在厂区西侧、丁类仓库设在厂区东侧；配件储存区包含辅助用房一（储存新气瓶）和辅助用房二（用于储存各项配件），辅助用房一位于综合楼的西侧，辅助用房二位于综合楼的南侧；丙烷和液化石油气储罐区设在丙烷及液化石油气充装站的西侧。</w:t>
            </w:r>
          </w:p>
          <w:p w14:paraId="037A97DC">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（1）办公区</w:t>
            </w:r>
          </w:p>
          <w:p w14:paraId="5593310C">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综合楼：位于厂区东北面，综合楼为一栋3层办公楼，建筑面积1051.17m</w:t>
            </w:r>
            <w:r>
              <w:rPr>
                <w:rFonts w:hint="eastAsia" w:ascii="Times New Roman" w:hAnsi="Times New Roman" w:cs="Times New Roman"/>
                <w:b w:val="0"/>
                <w:bCs w:val="0"/>
                <w:color w:val="auto"/>
                <w:sz w:val="24"/>
                <w:vertAlign w:val="superscript"/>
                <w:lang w:val="en-US" w:eastAsia="zh-CN"/>
              </w:rPr>
              <w:t>2</w:t>
            </w:r>
            <w:r>
              <w:rPr>
                <w:rFonts w:hint="eastAsia" w:ascii="Times New Roman" w:hAnsi="Times New Roman" w:cs="Times New Roman"/>
                <w:b w:val="0"/>
                <w:bCs w:val="0"/>
                <w:color w:val="auto"/>
                <w:sz w:val="24"/>
                <w:vertAlign w:val="baseline"/>
                <w:lang w:val="en-US" w:eastAsia="zh-CN"/>
              </w:rPr>
              <w:t>，</w:t>
            </w:r>
            <w:r>
              <w:rPr>
                <w:rFonts w:hint="eastAsia" w:ascii="Times New Roman" w:hAnsi="Times New Roman" w:cs="Times New Roman"/>
                <w:b w:val="0"/>
                <w:bCs w:val="0"/>
                <w:color w:val="auto"/>
                <w:sz w:val="24"/>
                <w:lang w:val="en-US" w:eastAsia="zh-CN"/>
              </w:rPr>
              <w:t>高度为11.1m；火灾危险性类别为民建，耐火等级为二级，拟为行政、办公、辅助生产等使用场所。</w:t>
            </w:r>
          </w:p>
          <w:p w14:paraId="23CD07C7">
            <w:pPr>
              <w:keepNext w:val="0"/>
              <w:keepLines w:val="0"/>
              <w:pageBreakBefore w:val="0"/>
              <w:widowControl w:val="0"/>
              <w:numPr>
                <w:ilvl w:val="0"/>
                <w:numId w:val="6"/>
              </w:numPr>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空分装置区</w:t>
            </w:r>
          </w:p>
          <w:p w14:paraId="00DBD0D9">
            <w:pPr>
              <w:keepNext w:val="0"/>
              <w:keepLines w:val="0"/>
              <w:pageBreakBefore w:val="0"/>
              <w:widowControl w:val="0"/>
              <w:numPr>
                <w:ilvl w:val="0"/>
                <w:numId w:val="0"/>
              </w:numPr>
              <w:tabs>
                <w:tab w:val="left" w:pos="3150"/>
                <w:tab w:val="left" w:pos="4305"/>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 xml:space="preserve">     空分装置区设在厂区东南侧，包含</w:t>
            </w:r>
            <w:r>
              <w:rPr>
                <w:rFonts w:hint="default" w:ascii="Times New Roman" w:hAnsi="Times New Roman" w:cs="Times New Roman"/>
                <w:b w:val="0"/>
                <w:bCs w:val="0"/>
                <w:color w:val="auto"/>
                <w:sz w:val="24"/>
              </w:rPr>
              <w:t>主厂房、空分设备</w:t>
            </w:r>
            <w:r>
              <w:rPr>
                <w:rFonts w:hint="eastAsia"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循环水泵房、循环水池</w:t>
            </w:r>
            <w:r>
              <w:rPr>
                <w:rFonts w:hint="eastAsia" w:cs="Times New Roman"/>
                <w:b w:val="0"/>
                <w:bCs w:val="0"/>
                <w:color w:val="auto"/>
                <w:sz w:val="24"/>
                <w:lang w:val="en-US" w:eastAsia="zh-CN"/>
              </w:rPr>
              <w:t>等</w:t>
            </w:r>
            <w:r>
              <w:rPr>
                <w:rFonts w:hint="eastAsia"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主厂房</w:t>
            </w:r>
            <w:r>
              <w:rPr>
                <w:rFonts w:hint="eastAsia" w:ascii="Times New Roman" w:hAnsi="Times New Roman" w:cs="Times New Roman"/>
                <w:b w:val="0"/>
                <w:bCs w:val="0"/>
                <w:color w:val="auto"/>
                <w:sz w:val="24"/>
                <w:lang w:val="en-US" w:eastAsia="zh-CN"/>
              </w:rPr>
              <w:t>设在空分装置区北侧，为一栋1层钢筋混凝土框架结构，建筑面积1805.5m</w:t>
            </w:r>
            <w:r>
              <w:rPr>
                <w:rFonts w:hint="eastAsia" w:ascii="Times New Roman" w:hAnsi="Times New Roman" w:cs="Times New Roman"/>
                <w:b w:val="0"/>
                <w:bCs w:val="0"/>
                <w:color w:val="auto"/>
                <w:sz w:val="24"/>
                <w:vertAlign w:val="superscript"/>
                <w:lang w:val="en-US" w:eastAsia="zh-CN"/>
              </w:rPr>
              <w:t>2</w:t>
            </w:r>
            <w:r>
              <w:rPr>
                <w:rFonts w:hint="eastAsia" w:ascii="Times New Roman" w:hAnsi="Times New Roman" w:cs="Times New Roman"/>
                <w:b w:val="0"/>
                <w:bCs w:val="0"/>
                <w:color w:val="auto"/>
                <w:sz w:val="24"/>
                <w:vertAlign w:val="baseline"/>
                <w:lang w:val="en-US" w:eastAsia="zh-CN"/>
              </w:rPr>
              <w:t>，</w:t>
            </w:r>
            <w:r>
              <w:rPr>
                <w:rFonts w:hint="eastAsia" w:ascii="Times New Roman" w:hAnsi="Times New Roman" w:cs="Times New Roman"/>
                <w:b w:val="0"/>
                <w:bCs w:val="0"/>
                <w:color w:val="auto"/>
                <w:sz w:val="24"/>
                <w:lang w:val="en-US" w:eastAsia="zh-CN"/>
              </w:rPr>
              <w:t>高度为14.4m；火灾危险性类别为民建，耐火等级为丁类，拟安装</w:t>
            </w:r>
            <w:r>
              <w:rPr>
                <w:rFonts w:hint="default" w:ascii="Times New Roman" w:hAnsi="Times New Roman" w:cs="Times New Roman"/>
                <w:b w:val="0"/>
                <w:bCs w:val="0"/>
                <w:color w:val="auto"/>
                <w:sz w:val="24"/>
              </w:rPr>
              <w:t>自洁式空气过滤器</w:t>
            </w:r>
            <w:r>
              <w:rPr>
                <w:rFonts w:hint="eastAsia" w:ascii="Times New Roman" w:hAnsi="Times New Roman" w:cs="Times New Roman"/>
                <w:b w:val="0"/>
                <w:bCs w:val="0"/>
                <w:color w:val="auto"/>
                <w:sz w:val="24"/>
                <w:lang w:eastAsia="zh-CN"/>
              </w:rPr>
              <w:t>、</w:t>
            </w:r>
            <w:r>
              <w:rPr>
                <w:rFonts w:hint="eastAsia" w:ascii="Times New Roman" w:hAnsi="Times New Roman" w:cs="Times New Roman"/>
                <w:b w:val="0"/>
                <w:bCs w:val="0"/>
                <w:color w:val="auto"/>
                <w:sz w:val="24"/>
                <w:lang w:val="en-US" w:eastAsia="zh-CN"/>
              </w:rPr>
              <w:t>空压机、空冷塔等空气分离设施设备。</w:t>
            </w:r>
            <w:r>
              <w:rPr>
                <w:rFonts w:hint="default" w:ascii="Times New Roman" w:hAnsi="Times New Roman" w:cs="Times New Roman"/>
                <w:b w:val="0"/>
                <w:bCs w:val="0"/>
                <w:color w:val="auto"/>
                <w:sz w:val="24"/>
              </w:rPr>
              <w:t>循环水泵房</w:t>
            </w:r>
            <w:r>
              <w:rPr>
                <w:rFonts w:hint="eastAsia" w:ascii="Times New Roman" w:hAnsi="Times New Roman" w:cs="Times New Roman"/>
                <w:b w:val="0"/>
                <w:bCs w:val="0"/>
                <w:color w:val="auto"/>
                <w:sz w:val="24"/>
                <w:lang w:val="en-US" w:eastAsia="zh-CN"/>
              </w:rPr>
              <w:t>和</w:t>
            </w:r>
            <w:r>
              <w:rPr>
                <w:rFonts w:hint="default" w:ascii="Times New Roman" w:hAnsi="Times New Roman" w:cs="Times New Roman"/>
                <w:b w:val="0"/>
                <w:bCs w:val="0"/>
                <w:color w:val="auto"/>
                <w:sz w:val="24"/>
              </w:rPr>
              <w:t>循环水池</w:t>
            </w:r>
            <w:r>
              <w:rPr>
                <w:rFonts w:hint="eastAsia" w:ascii="Times New Roman" w:hAnsi="Times New Roman" w:cs="Times New Roman"/>
                <w:b w:val="0"/>
                <w:bCs w:val="0"/>
                <w:color w:val="auto"/>
                <w:sz w:val="24"/>
                <w:lang w:val="en-US" w:eastAsia="zh-CN"/>
              </w:rPr>
              <w:t>设在空分装置区东南侧，占地面积分别为216m</w:t>
            </w:r>
            <w:r>
              <w:rPr>
                <w:rFonts w:hint="eastAsia" w:ascii="Times New Roman" w:hAnsi="Times New Roman" w:cs="Times New Roman"/>
                <w:b w:val="0"/>
                <w:bCs w:val="0"/>
                <w:color w:val="auto"/>
                <w:sz w:val="24"/>
                <w:vertAlign w:val="superscript"/>
                <w:lang w:val="en-US" w:eastAsia="zh-CN"/>
              </w:rPr>
              <w:t>2</w:t>
            </w:r>
            <w:r>
              <w:rPr>
                <w:rFonts w:hint="eastAsia" w:ascii="Times New Roman" w:hAnsi="Times New Roman" w:cs="Times New Roman"/>
                <w:b w:val="0"/>
                <w:bCs w:val="0"/>
                <w:color w:val="auto"/>
                <w:sz w:val="24"/>
                <w:lang w:val="en-US" w:eastAsia="zh-CN"/>
              </w:rPr>
              <w:t>和352.41m</w:t>
            </w:r>
            <w:r>
              <w:rPr>
                <w:rFonts w:hint="eastAsia" w:ascii="Times New Roman" w:hAnsi="Times New Roman" w:cs="Times New Roman"/>
                <w:b w:val="0"/>
                <w:bCs w:val="0"/>
                <w:color w:val="auto"/>
                <w:sz w:val="24"/>
                <w:vertAlign w:val="superscript"/>
                <w:lang w:val="en-US" w:eastAsia="zh-CN"/>
              </w:rPr>
              <w:t>2</w:t>
            </w:r>
            <w:r>
              <w:rPr>
                <w:rFonts w:hint="eastAsia" w:ascii="Times New Roman" w:hAnsi="Times New Roman" w:cs="Times New Roman"/>
                <w:b w:val="0"/>
                <w:bCs w:val="0"/>
                <w:color w:val="auto"/>
                <w:sz w:val="24"/>
                <w:vertAlign w:val="baseline"/>
                <w:lang w:val="en-US" w:eastAsia="zh-CN"/>
              </w:rPr>
              <w:t>，耐火等级为丁类和戊类</w:t>
            </w:r>
            <w:r>
              <w:rPr>
                <w:rFonts w:hint="eastAsia" w:ascii="Times New Roman" w:hAnsi="Times New Roman" w:cs="Times New Roman"/>
                <w:b w:val="0"/>
                <w:bCs w:val="0"/>
                <w:color w:val="auto"/>
                <w:sz w:val="24"/>
                <w:lang w:val="en-US" w:eastAsia="zh-CN"/>
              </w:rPr>
              <w:t>。</w:t>
            </w:r>
          </w:p>
          <w:p w14:paraId="0756FCAD">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（3）气体充装区</w:t>
            </w:r>
          </w:p>
          <w:p w14:paraId="467BAAB9">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①氧气和惰性气体充装站：厂区西南侧，单层建筑，占地面积为1745.7m</w:t>
            </w:r>
            <w:r>
              <w:rPr>
                <w:rFonts w:hint="eastAsia" w:ascii="Times New Roman" w:hAnsi="Times New Roman" w:cs="Times New Roman"/>
                <w:b w:val="0"/>
                <w:bCs w:val="0"/>
                <w:color w:val="auto"/>
                <w:sz w:val="24"/>
                <w:vertAlign w:val="superscript"/>
                <w:lang w:val="en-US" w:eastAsia="zh-CN"/>
              </w:rPr>
              <w:t>2</w:t>
            </w:r>
            <w:r>
              <w:rPr>
                <w:rFonts w:hint="eastAsia" w:ascii="Times New Roman" w:hAnsi="Times New Roman" w:cs="Times New Roman"/>
                <w:b w:val="0"/>
                <w:bCs w:val="0"/>
                <w:color w:val="auto"/>
                <w:sz w:val="24"/>
                <w:lang w:val="en-US" w:eastAsia="zh-CN"/>
              </w:rPr>
              <w:t>，火灾危险性类别为乙类，耐火等级</w:t>
            </w:r>
            <w:r>
              <w:rPr>
                <w:rFonts w:hint="eastAsia" w:cs="Times New Roman"/>
                <w:b w:val="0"/>
                <w:bCs w:val="0"/>
                <w:color w:val="auto"/>
                <w:sz w:val="24"/>
                <w:lang w:val="en-US" w:eastAsia="zh-CN"/>
              </w:rPr>
              <w:t>为</w:t>
            </w:r>
            <w:r>
              <w:rPr>
                <w:rFonts w:hint="eastAsia" w:ascii="Times New Roman" w:hAnsi="Times New Roman" w:cs="Times New Roman"/>
                <w:b w:val="0"/>
                <w:bCs w:val="0"/>
                <w:color w:val="auto"/>
                <w:sz w:val="24"/>
                <w:lang w:val="en-US" w:eastAsia="zh-CN"/>
              </w:rPr>
              <w:t>二级，高度为6.8m，拟为医用氧气、工业氧气、二氧化碳、氮气、氩气和混合气体气瓶充装场所。充装车间内安装有台秤等辅助设备。</w:t>
            </w:r>
          </w:p>
          <w:p w14:paraId="78DFE18C">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②甲类仓库（丙烷和液化石油气，储存量＜10t）：位于惰性气体充装站西侧（厂区西南角），单层建筑，占地面积为728m</w:t>
            </w:r>
            <w:r>
              <w:rPr>
                <w:rFonts w:hint="eastAsia" w:ascii="Times New Roman" w:hAnsi="Times New Roman" w:cs="Times New Roman"/>
                <w:b w:val="0"/>
                <w:bCs w:val="0"/>
                <w:color w:val="auto"/>
                <w:sz w:val="24"/>
                <w:vertAlign w:val="superscript"/>
                <w:lang w:val="en-US" w:eastAsia="zh-CN"/>
              </w:rPr>
              <w:t>2</w:t>
            </w:r>
            <w:r>
              <w:rPr>
                <w:rFonts w:hint="eastAsia" w:ascii="Times New Roman" w:hAnsi="Times New Roman" w:cs="Times New Roman"/>
                <w:b w:val="0"/>
                <w:bCs w:val="0"/>
                <w:color w:val="auto"/>
                <w:sz w:val="24"/>
                <w:lang w:val="en-US" w:eastAsia="zh-CN"/>
              </w:rPr>
              <w:t>，火灾危险性类别为甲类，耐火等级为二级，高度为6.0m，</w:t>
            </w:r>
            <w:r>
              <w:rPr>
                <w:rFonts w:hint="eastAsia" w:ascii="Times New Roman" w:hAnsi="Times New Roman" w:cs="Times New Roman"/>
                <w:b w:val="0"/>
                <w:bCs w:val="0"/>
                <w:color w:val="000000" w:themeColor="text1"/>
                <w:sz w:val="24"/>
                <w:lang w:val="en-US" w:eastAsia="zh-CN"/>
                <w14:textFill>
                  <w14:solidFill>
                    <w14:schemeClr w14:val="tx1"/>
                  </w14:solidFill>
                </w14:textFill>
              </w:rPr>
              <w:t>分为三个储存分区，拟分别储存瓶装丙烷</w:t>
            </w:r>
            <w:r>
              <w:rPr>
                <w:rFonts w:hint="eastAsia" w:cs="Times New Roman"/>
                <w:b w:val="0"/>
                <w:bCs w:val="0"/>
                <w:color w:val="000000" w:themeColor="text1"/>
                <w:sz w:val="24"/>
                <w:lang w:val="en-US" w:eastAsia="zh-CN"/>
                <w14:textFill>
                  <w14:solidFill>
                    <w14:schemeClr w14:val="tx1"/>
                  </w14:solidFill>
                </w14:textFill>
              </w:rPr>
              <w:t>和</w:t>
            </w:r>
            <w:r>
              <w:rPr>
                <w:rFonts w:hint="eastAsia" w:ascii="Times New Roman" w:hAnsi="Times New Roman" w:cs="Times New Roman"/>
                <w:b w:val="0"/>
                <w:bCs w:val="0"/>
                <w:color w:val="000000" w:themeColor="text1"/>
                <w:sz w:val="24"/>
                <w:lang w:val="en-US" w:eastAsia="zh-CN"/>
                <w14:textFill>
                  <w14:solidFill>
                    <w14:schemeClr w14:val="tx1"/>
                  </w14:solidFill>
                </w14:textFill>
              </w:rPr>
              <w:t>液化石油气</w:t>
            </w:r>
            <w:r>
              <w:rPr>
                <w:rFonts w:hint="eastAsia" w:cs="Times New Roman"/>
                <w:b w:val="0"/>
                <w:bCs w:val="0"/>
                <w:color w:val="000000" w:themeColor="text1"/>
                <w:sz w:val="24"/>
                <w:lang w:val="en-US" w:eastAsia="zh-CN"/>
                <w14:textFill>
                  <w14:solidFill>
                    <w14:schemeClr w14:val="tx1"/>
                  </w14:solidFill>
                </w14:textFill>
              </w:rPr>
              <w:t>气瓶、乙炔气瓶</w:t>
            </w:r>
            <w:r>
              <w:rPr>
                <w:rFonts w:hint="eastAsia" w:ascii="Times New Roman" w:hAnsi="Times New Roman" w:cs="Times New Roman"/>
                <w:b w:val="0"/>
                <w:bCs w:val="0"/>
                <w:color w:val="000000" w:themeColor="text1"/>
                <w:sz w:val="24"/>
                <w:lang w:val="en-US" w:eastAsia="zh-CN"/>
                <w14:textFill>
                  <w14:solidFill>
                    <w14:schemeClr w14:val="tx1"/>
                  </w14:solidFill>
                </w14:textFill>
              </w:rPr>
              <w:t>及润滑油等。甲类仓库共1座，满足相关货物的短</w:t>
            </w:r>
            <w:r>
              <w:rPr>
                <w:rFonts w:hint="eastAsia" w:ascii="Times New Roman" w:hAnsi="Times New Roman" w:cs="Times New Roman"/>
                <w:b w:val="0"/>
                <w:bCs w:val="0"/>
                <w:color w:val="auto"/>
                <w:sz w:val="24"/>
                <w:lang w:val="en-US" w:eastAsia="zh-CN"/>
              </w:rPr>
              <w:t>期堆放</w:t>
            </w:r>
            <w:r>
              <w:rPr>
                <w:rFonts w:hint="eastAsia"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存储、中转需求。</w:t>
            </w:r>
          </w:p>
          <w:p w14:paraId="3A0D5796">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w:t>
            </w:r>
            <w:r>
              <w:rPr>
                <w:rFonts w:hint="eastAsia" w:cs="Times New Roman"/>
                <w:b w:val="0"/>
                <w:bCs w:val="0"/>
                <w:color w:val="auto"/>
                <w:sz w:val="24"/>
                <w:lang w:val="en-US" w:eastAsia="zh-CN"/>
              </w:rPr>
              <w:t>4</w:t>
            </w:r>
            <w:r>
              <w:rPr>
                <w:rFonts w:hint="eastAsia" w:ascii="Times New Roman" w:hAnsi="Times New Roman" w:cs="Times New Roman"/>
                <w:b w:val="0"/>
                <w:bCs w:val="0"/>
                <w:color w:val="auto"/>
                <w:sz w:val="24"/>
                <w:lang w:val="en-US" w:eastAsia="zh-CN"/>
              </w:rPr>
              <w:t>）配件储存区</w:t>
            </w:r>
          </w:p>
          <w:p w14:paraId="3AE1EA34">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辅助用房一：位于综合楼的西侧，单层建筑，占地面积为390m</w:t>
            </w:r>
            <w:r>
              <w:rPr>
                <w:rFonts w:hint="eastAsia" w:ascii="Times New Roman" w:hAnsi="Times New Roman" w:cs="Times New Roman"/>
                <w:b w:val="0"/>
                <w:bCs w:val="0"/>
                <w:color w:val="auto"/>
                <w:sz w:val="24"/>
                <w:vertAlign w:val="superscript"/>
                <w:lang w:val="en-US" w:eastAsia="zh-CN"/>
              </w:rPr>
              <w:t>2</w:t>
            </w:r>
            <w:r>
              <w:rPr>
                <w:rFonts w:hint="eastAsia" w:ascii="Times New Roman" w:hAnsi="Times New Roman" w:cs="Times New Roman"/>
                <w:b w:val="0"/>
                <w:bCs w:val="0"/>
                <w:color w:val="auto"/>
                <w:sz w:val="24"/>
                <w:lang w:val="en-US" w:eastAsia="zh-CN"/>
              </w:rPr>
              <w:t>，火灾危险性类别为丁类，耐火等级</w:t>
            </w:r>
            <w:r>
              <w:rPr>
                <w:rFonts w:hint="eastAsia" w:cs="Times New Roman"/>
                <w:b w:val="0"/>
                <w:bCs w:val="0"/>
                <w:color w:val="auto"/>
                <w:sz w:val="24"/>
                <w:lang w:val="en-US" w:eastAsia="zh-CN"/>
              </w:rPr>
              <w:t>为</w:t>
            </w:r>
            <w:r>
              <w:rPr>
                <w:rFonts w:hint="eastAsia" w:ascii="Times New Roman" w:hAnsi="Times New Roman" w:cs="Times New Roman"/>
                <w:b w:val="0"/>
                <w:bCs w:val="0"/>
                <w:color w:val="auto"/>
                <w:sz w:val="24"/>
                <w:lang w:val="en-US" w:eastAsia="zh-CN"/>
              </w:rPr>
              <w:t>二级，主要用于储存新气瓶。</w:t>
            </w:r>
          </w:p>
          <w:p w14:paraId="77878C0D">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辅助用房二：位于综合楼的南侧，单层建筑，占地面积为232.7m</w:t>
            </w:r>
            <w:r>
              <w:rPr>
                <w:rFonts w:hint="eastAsia" w:ascii="Times New Roman" w:hAnsi="Times New Roman" w:cs="Times New Roman"/>
                <w:b w:val="0"/>
                <w:bCs w:val="0"/>
                <w:color w:val="auto"/>
                <w:sz w:val="24"/>
                <w:vertAlign w:val="superscript"/>
                <w:lang w:val="en-US" w:eastAsia="zh-CN"/>
              </w:rPr>
              <w:t>2</w:t>
            </w:r>
            <w:r>
              <w:rPr>
                <w:rFonts w:hint="eastAsia" w:ascii="Times New Roman" w:hAnsi="Times New Roman" w:cs="Times New Roman"/>
                <w:b w:val="0"/>
                <w:bCs w:val="0"/>
                <w:color w:val="auto"/>
                <w:sz w:val="24"/>
                <w:lang w:val="en-US" w:eastAsia="zh-CN"/>
              </w:rPr>
              <w:t>，火灾危险性类别为戊类，耐火等级</w:t>
            </w:r>
            <w:r>
              <w:rPr>
                <w:rFonts w:hint="eastAsia" w:cs="Times New Roman"/>
                <w:b w:val="0"/>
                <w:bCs w:val="0"/>
                <w:color w:val="auto"/>
                <w:sz w:val="24"/>
                <w:lang w:val="en-US" w:eastAsia="zh-CN"/>
              </w:rPr>
              <w:t>为</w:t>
            </w:r>
            <w:r>
              <w:rPr>
                <w:rFonts w:hint="eastAsia" w:ascii="Times New Roman" w:hAnsi="Times New Roman" w:cs="Times New Roman"/>
                <w:b w:val="0"/>
                <w:bCs w:val="0"/>
                <w:color w:val="auto"/>
                <w:sz w:val="24"/>
                <w:lang w:val="en-US" w:eastAsia="zh-CN"/>
              </w:rPr>
              <w:t>二级，主要用于五金工具和配件的存放和管理。</w:t>
            </w:r>
          </w:p>
          <w:p w14:paraId="0B81EBD5">
            <w:pPr>
              <w:keepNext w:val="0"/>
              <w:keepLines w:val="0"/>
              <w:pageBreakBefore w:val="0"/>
              <w:widowControl w:val="0"/>
              <w:numPr>
                <w:ilvl w:val="0"/>
                <w:numId w:val="0"/>
              </w:numPr>
              <w:tabs>
                <w:tab w:val="left" w:pos="3150"/>
                <w:tab w:val="left" w:pos="4305"/>
              </w:tabs>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w:t>
            </w:r>
            <w:r>
              <w:rPr>
                <w:rFonts w:hint="eastAsia" w:cs="Times New Roman"/>
                <w:b w:val="0"/>
                <w:bCs w:val="0"/>
                <w:color w:val="auto"/>
                <w:sz w:val="24"/>
                <w:lang w:val="en-US" w:eastAsia="zh-CN"/>
              </w:rPr>
              <w:t>5</w:t>
            </w:r>
            <w:r>
              <w:rPr>
                <w:rFonts w:hint="eastAsia" w:ascii="Times New Roman" w:hAnsi="Times New Roman" w:cs="Times New Roman"/>
                <w:b w:val="0"/>
                <w:bCs w:val="0"/>
                <w:color w:val="auto"/>
                <w:sz w:val="24"/>
                <w:lang w:val="en-US" w:eastAsia="zh-CN"/>
              </w:rPr>
              <w:t>）消防水池：拟建一座972m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消防水池，位于辅助用房一的北侧。</w:t>
            </w:r>
          </w:p>
          <w:p w14:paraId="3C6A3D0D">
            <w:pPr>
              <w:keepNext w:val="0"/>
              <w:keepLines w:val="0"/>
              <w:pageBreakBefore w:val="0"/>
              <w:widowControl w:val="0"/>
              <w:numPr>
                <w:ilvl w:val="0"/>
                <w:numId w:val="0"/>
              </w:numPr>
              <w:tabs>
                <w:tab w:val="left" w:pos="3150"/>
                <w:tab w:val="left" w:pos="4305"/>
              </w:tabs>
              <w:kinsoku/>
              <w:wordWrap/>
              <w:overflowPunct/>
              <w:topLinePunct w:val="0"/>
              <w:autoSpaceDE/>
              <w:autoSpaceDN/>
              <w:bidi w:val="0"/>
              <w:adjustRightInd w:val="0"/>
              <w:snapToGrid w:val="0"/>
              <w:spacing w:line="360" w:lineRule="auto"/>
              <w:ind w:left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w:t>
            </w:r>
            <w:r>
              <w:rPr>
                <w:rFonts w:hint="eastAsia" w:cs="Times New Roman"/>
                <w:b w:val="0"/>
                <w:bCs w:val="0"/>
                <w:color w:val="auto"/>
                <w:sz w:val="24"/>
                <w:lang w:val="en-US" w:eastAsia="zh-CN"/>
              </w:rPr>
              <w:t>6</w:t>
            </w:r>
            <w:r>
              <w:rPr>
                <w:rFonts w:hint="eastAsia" w:ascii="Times New Roman" w:hAnsi="Times New Roman" w:cs="Times New Roman"/>
                <w:b w:val="0"/>
                <w:bCs w:val="0"/>
                <w:color w:val="auto"/>
                <w:sz w:val="24"/>
                <w:lang w:val="en-US" w:eastAsia="zh-CN"/>
              </w:rPr>
              <w:t>）事故应急池：拟建一座1400m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事故应急池，位于厂区的西</w:t>
            </w:r>
            <w:r>
              <w:rPr>
                <w:rFonts w:hint="eastAsia" w:cs="Times New Roman"/>
                <w:b w:val="0"/>
                <w:bCs w:val="0"/>
                <w:color w:val="auto"/>
                <w:sz w:val="24"/>
                <w:lang w:val="en-US" w:eastAsia="zh-CN"/>
              </w:rPr>
              <w:t>北</w:t>
            </w:r>
            <w:r>
              <w:rPr>
                <w:rFonts w:hint="eastAsia" w:ascii="Times New Roman" w:hAnsi="Times New Roman" w:cs="Times New Roman"/>
                <w:b w:val="0"/>
                <w:bCs w:val="0"/>
                <w:color w:val="auto"/>
                <w:sz w:val="24"/>
                <w:lang w:val="en-US" w:eastAsia="zh-CN"/>
              </w:rPr>
              <w:t>侧（厂区</w:t>
            </w:r>
          </w:p>
          <w:p w14:paraId="6C074B5C">
            <w:pPr>
              <w:keepNext w:val="0"/>
              <w:keepLines w:val="0"/>
              <w:pageBreakBefore w:val="0"/>
              <w:widowControl w:val="0"/>
              <w:numPr>
                <w:ilvl w:val="0"/>
                <w:numId w:val="0"/>
              </w:numPr>
              <w:tabs>
                <w:tab w:val="left" w:pos="3150"/>
                <w:tab w:val="left" w:pos="4305"/>
              </w:tabs>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地势最低处）。</w:t>
            </w:r>
          </w:p>
          <w:p w14:paraId="205184D4">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w:t>
            </w:r>
            <w:r>
              <w:rPr>
                <w:rFonts w:hint="eastAsia" w:cs="Times New Roman"/>
                <w:b w:val="0"/>
                <w:bCs w:val="0"/>
                <w:color w:val="auto"/>
                <w:sz w:val="24"/>
                <w:lang w:val="en-US" w:eastAsia="zh-CN"/>
              </w:rPr>
              <w:t>7</w:t>
            </w:r>
            <w:r>
              <w:rPr>
                <w:rFonts w:hint="eastAsia" w:ascii="Times New Roman" w:hAnsi="Times New Roman" w:cs="Times New Roman"/>
                <w:b w:val="0"/>
                <w:bCs w:val="0"/>
                <w:color w:val="auto"/>
                <w:sz w:val="24"/>
                <w:lang w:val="en-US" w:eastAsia="zh-CN"/>
              </w:rPr>
              <w:t>）储罐区</w:t>
            </w:r>
          </w:p>
          <w:p w14:paraId="294EDBC3">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露天储罐区位于氧气（工业氧、医用氧）充装站和惰性气体充装站的</w:t>
            </w:r>
            <w:r>
              <w:rPr>
                <w:rFonts w:hint="eastAsia" w:cs="Times New Roman"/>
                <w:b w:val="0"/>
                <w:bCs w:val="0"/>
                <w:color w:val="auto"/>
                <w:sz w:val="24"/>
                <w:lang w:val="en-US" w:eastAsia="zh-CN"/>
              </w:rPr>
              <w:t>西</w:t>
            </w:r>
            <w:r>
              <w:rPr>
                <w:rFonts w:hint="eastAsia" w:ascii="Times New Roman" w:hAnsi="Times New Roman" w:cs="Times New Roman"/>
                <w:b w:val="0"/>
                <w:bCs w:val="0"/>
                <w:color w:val="auto"/>
                <w:sz w:val="24"/>
                <w:lang w:val="en-US" w:eastAsia="zh-CN"/>
              </w:rPr>
              <w:t>侧，共设置9个立式低温液体储罐，紧邻氧气（工业氧、医用氧）充装站南侧为1个50m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立式低温液体工业氧气储罐、1个30m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立式低温液体医用液氧储罐。紧邻惰性气体充装站西侧（从北向南）依次为1个50m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立式低温液氮储罐、1个50m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立式低温液体二氧化碳储罐、3个50m³立式低温液氩储罐。空分装置与氧气（工业氧、医用氧）充装站之间为1个3000m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立式低温液氧储罐和1个3000m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立式低温液氮储罐、1个30m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立式低温高纯液氧储罐。</w:t>
            </w:r>
          </w:p>
          <w:p w14:paraId="20832854">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埋地储罐区位于丙烷及液化石油气充装站的西侧，共设置5个卧式低温液体储罐，（从北向南）依次为2个50m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卧式低温液体丙烷储罐、2个50m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卧式低温液化石油气储罐和1个50m</w:t>
            </w:r>
            <w:r>
              <w:rPr>
                <w:rFonts w:hint="eastAsia" w:ascii="Times New Roman" w:hAnsi="Times New Roman" w:cs="Times New Roman"/>
                <w:b w:val="0"/>
                <w:bCs w:val="0"/>
                <w:color w:val="auto"/>
                <w:sz w:val="24"/>
                <w:vertAlign w:val="superscript"/>
                <w:lang w:val="en-US" w:eastAsia="zh-CN"/>
              </w:rPr>
              <w:t>3</w:t>
            </w:r>
            <w:r>
              <w:rPr>
                <w:rFonts w:hint="eastAsia" w:ascii="Times New Roman" w:hAnsi="Times New Roman" w:cs="Times New Roman"/>
                <w:b w:val="0"/>
                <w:bCs w:val="0"/>
                <w:color w:val="auto"/>
                <w:sz w:val="24"/>
                <w:lang w:val="en-US" w:eastAsia="zh-CN"/>
              </w:rPr>
              <w:t>卧式液化石油气残液储罐。</w:t>
            </w:r>
          </w:p>
          <w:p w14:paraId="6F6C74F3">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本项目全厂竖向布置上依据原有地形现状总体采用平坡式布置，室外道路坡向排水口，灌装间室内外高差1m；综合楼、门卫室室内外高差0.3m；甲类仓库室内外高差为0.2m、辅助用房一、辅助用房二、消防泵房、内外高差0.15m。建筑室内外</w:t>
            </w:r>
            <w:r>
              <w:rPr>
                <w:rFonts w:hint="eastAsia" w:cs="Times New Roman"/>
                <w:b w:val="0"/>
                <w:bCs w:val="0"/>
                <w:color w:val="auto"/>
                <w:sz w:val="24"/>
                <w:lang w:val="en-US" w:eastAsia="zh-CN"/>
              </w:rPr>
              <w:t>既</w:t>
            </w:r>
            <w:r>
              <w:rPr>
                <w:rFonts w:hint="eastAsia" w:ascii="Times New Roman" w:hAnsi="Times New Roman" w:cs="Times New Roman"/>
                <w:b w:val="0"/>
                <w:bCs w:val="0"/>
                <w:color w:val="auto"/>
                <w:sz w:val="24"/>
                <w:lang w:val="en-US" w:eastAsia="zh-CN"/>
              </w:rPr>
              <w:t>平顺衔接，又可有效防止内涝。</w:t>
            </w:r>
          </w:p>
          <w:p w14:paraId="5EA31A24">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厂区道路：厂区围绕主体建筑四周设置运输和消防共用的环形道路，道路均为城市型道路，混凝土路面，厂区道路宽度≥6m，转弯半径≥9m，道路净空高度≥5.0m，道路满足消防车荷载要求。本项目厂内道路路面平整、边坡整齐、排水良好，并有良好的照明设施。厂内道路不堆放其他物质，保持道路畅通无阻。</w:t>
            </w:r>
          </w:p>
          <w:p w14:paraId="2CB2F2B5">
            <w:pPr>
              <w:keepNext w:val="0"/>
              <w:keepLines w:val="0"/>
              <w:pageBreakBefore w:val="0"/>
              <w:widowControl w:val="0"/>
              <w:tabs>
                <w:tab w:val="left" w:pos="3150"/>
                <w:tab w:val="left" w:pos="4305"/>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b w:val="0"/>
                <w:bCs w:val="0"/>
                <w:color w:val="auto"/>
                <w:sz w:val="24"/>
                <w:lang w:val="en-US" w:eastAsia="zh-CN"/>
              </w:rPr>
              <w:t>综上，根据本项目安全设施设计专篇，项目厂区内部设施的安全距离均符合《液化石油气供应工程设计规范》</w:t>
            </w:r>
            <w:r>
              <w:rPr>
                <w:rFonts w:hint="eastAsia"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GB51142-2015</w:t>
            </w:r>
            <w:r>
              <w:rPr>
                <w:rFonts w:hint="eastAsia"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、《氧气站设计规范》</w:t>
            </w:r>
            <w:r>
              <w:rPr>
                <w:rFonts w:hint="eastAsia"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GB50030-2013</w:t>
            </w:r>
            <w:r>
              <w:rPr>
                <w:rFonts w:hint="eastAsia"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、《建筑设计防火规范》</w:t>
            </w:r>
            <w:r>
              <w:rPr>
                <w:rFonts w:hint="eastAsia"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GB50016-2014</w:t>
            </w:r>
            <w:r>
              <w:rPr>
                <w:rFonts w:hint="eastAsia"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（2018年版）的规定。</w:t>
            </w:r>
          </w:p>
        </w:tc>
      </w:tr>
      <w:tr w14:paraId="1BC5D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8" w:hRule="atLeast"/>
          <w:jc w:val="center"/>
        </w:trPr>
        <w:tc>
          <w:tcPr>
            <w:tcW w:w="783" w:type="dxa"/>
            <w:noWrap w:val="0"/>
            <w:vAlign w:val="center"/>
          </w:tcPr>
          <w:p w14:paraId="01208AD2">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4"/>
                <w:szCs w:val="24"/>
                <w:highlight w:val="none"/>
              </w:rPr>
              <w:t>工艺流程和产排污环节</w:t>
            </w:r>
          </w:p>
        </w:tc>
        <w:tc>
          <w:tcPr>
            <w:tcW w:w="8736" w:type="dxa"/>
            <w:noWrap w:val="0"/>
            <w:vAlign w:val="top"/>
          </w:tcPr>
          <w:p w14:paraId="1A33391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lang w:eastAsia="zh-CN"/>
              </w:rPr>
              <w:t>一、施工期工艺流程及产污环节</w:t>
            </w:r>
          </w:p>
          <w:p w14:paraId="495CAE80">
            <w:pPr>
              <w:pStyle w:val="101"/>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color w:val="auto"/>
                <w:lang w:val="en-US" w:eastAsia="zh-CN"/>
              </w:rPr>
              <w:t>本项目</w:t>
            </w:r>
            <w:r>
              <w:rPr>
                <w:rFonts w:hint="default"/>
                <w:color w:val="auto"/>
              </w:rPr>
              <w:t>在施工过程中采用机械施工和人工施工相结合的方法</w:t>
            </w:r>
            <w:r>
              <w:rPr>
                <w:rFonts w:hint="eastAsia"/>
                <w:color w:val="auto"/>
                <w:lang w:eastAsia="zh-CN"/>
              </w:rPr>
              <w:t>。</w:t>
            </w:r>
            <w:r>
              <w:rPr>
                <w:rFonts w:hint="eastAsia"/>
                <w:color w:val="auto"/>
                <w:lang w:val="en-US" w:eastAsia="zh-CN"/>
              </w:rPr>
              <w:t>主要施工工艺流程图如下：</w:t>
            </w:r>
          </w:p>
          <w:p w14:paraId="3C18A066">
            <w:pPr>
              <w:pStyle w:val="52"/>
              <w:bidi w:val="0"/>
              <w:rPr>
                <w:rFonts w:hint="default" w:ascii="Times New Roman" w:hAnsi="Times New Roman" w:eastAsia="宋体" w:cs="Times New Roman"/>
                <w:color w:val="auto"/>
                <w:sz w:val="24"/>
                <w:szCs w:val="24"/>
                <w:highlight w:val="green"/>
              </w:rPr>
            </w:pPr>
            <w:r>
              <w:rPr>
                <w:rFonts w:hint="default" w:ascii="Times New Roman" w:hAnsi="Times New Roman" w:eastAsia="宋体" w:cs="Times New Roman"/>
                <w:caps w:val="0"/>
                <w:color w:val="auto"/>
                <w:spacing w:val="0"/>
                <w:position w:val="0"/>
              </w:rPr>
              <w:object>
                <v:shape id="_x0000_i1026" o:spt="75" type="#_x0000_t75" style="height:243.05pt;width:404.4pt;" o:ole="t" filled="f" o:preferrelative="t" stroked="f" coordsize="21600,21600">
                  <v:path/>
                  <v:fill on="f" focussize="0,0"/>
                  <v:stroke on="f"/>
                  <v:imagedata r:id="rId22" o:title=""/>
                  <o:lock v:ext="edit" aspectratio="f"/>
                  <w10:wrap type="none"/>
                  <w10:anchorlock/>
                </v:shape>
                <o:OLEObject Type="Embed" ProgID="Visio.Drawing.11" ShapeID="_x0000_i1026" DrawAspect="Content" ObjectID="_1468075726" r:id="rId21">
                  <o:LockedField>false</o:LockedField>
                </o:OLEObject>
              </w:object>
            </w:r>
          </w:p>
          <w:p w14:paraId="6E686B81">
            <w:pPr>
              <w:pStyle w:val="85"/>
              <w:bidi w:val="0"/>
              <w:spacing w:line="360" w:lineRule="auto"/>
              <w:rPr>
                <w:rFonts w:hint="default"/>
                <w:color w:val="auto"/>
                <w:sz w:val="21"/>
                <w:szCs w:val="21"/>
              </w:rPr>
            </w:pPr>
            <w:r>
              <w:rPr>
                <w:rFonts w:hint="default"/>
                <w:color w:val="auto"/>
                <w:sz w:val="21"/>
                <w:szCs w:val="21"/>
              </w:rPr>
              <w:t>图2-</w:t>
            </w:r>
            <w:r>
              <w:rPr>
                <w:rFonts w:hint="eastAsia"/>
                <w:color w:val="auto"/>
                <w:sz w:val="21"/>
                <w:szCs w:val="21"/>
                <w:lang w:val="en-US" w:eastAsia="zh-CN"/>
              </w:rPr>
              <w:t>2</w:t>
            </w:r>
            <w:r>
              <w:rPr>
                <w:rFonts w:hint="default"/>
                <w:color w:val="auto"/>
                <w:sz w:val="21"/>
                <w:szCs w:val="21"/>
              </w:rPr>
              <w:t xml:space="preserve"> </w:t>
            </w:r>
            <w:r>
              <w:rPr>
                <w:rFonts w:hint="eastAsia"/>
                <w:color w:val="auto"/>
                <w:sz w:val="21"/>
                <w:szCs w:val="21"/>
                <w:lang w:val="en-US" w:eastAsia="zh-CN"/>
              </w:rPr>
              <w:t xml:space="preserve">  施工</w:t>
            </w:r>
            <w:r>
              <w:rPr>
                <w:rFonts w:hint="default"/>
                <w:color w:val="auto"/>
                <w:sz w:val="21"/>
                <w:szCs w:val="21"/>
              </w:rPr>
              <w:t>工艺流程及产污环节图</w:t>
            </w:r>
          </w:p>
          <w:p w14:paraId="02E78BBD">
            <w:pPr>
              <w:bidi w:val="0"/>
              <w:spacing w:line="360" w:lineRule="auto"/>
              <w:ind w:left="0" w:leftChars="0"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施工工艺流程简述</w:t>
            </w:r>
            <w:r>
              <w:rPr>
                <w:rFonts w:hint="eastAsia" w:cs="Times New Roman"/>
                <w:b w:val="0"/>
                <w:bCs w:val="0"/>
                <w:color w:val="auto"/>
                <w:sz w:val="24"/>
                <w:lang w:val="en-US" w:eastAsia="zh-CN"/>
              </w:rPr>
              <w:t>如下</w:t>
            </w:r>
            <w:r>
              <w:rPr>
                <w:rFonts w:hint="eastAsia" w:ascii="Times New Roman" w:hAnsi="Times New Roman" w:eastAsia="宋体" w:cs="Times New Roman"/>
                <w:b w:val="0"/>
                <w:bCs w:val="0"/>
                <w:color w:val="auto"/>
                <w:sz w:val="24"/>
                <w:lang w:val="en-US" w:eastAsia="zh-CN"/>
              </w:rPr>
              <w:t>：</w:t>
            </w:r>
          </w:p>
          <w:p w14:paraId="1310890F">
            <w:pPr>
              <w:bidi w:val="0"/>
              <w:ind w:left="0" w:leftChars="0"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 xml:space="preserve">（1）基础工程 </w:t>
            </w:r>
            <w:r>
              <w:rPr>
                <w:rFonts w:hint="eastAsia" w:cs="Times New Roman"/>
                <w:b w:val="0"/>
                <w:bCs w:val="0"/>
                <w:color w:val="auto"/>
                <w:sz w:val="24"/>
                <w:lang w:val="en-US" w:eastAsia="zh-CN"/>
              </w:rPr>
              <w:t>项目</w:t>
            </w:r>
            <w:r>
              <w:rPr>
                <w:rFonts w:hint="eastAsia" w:ascii="Times New Roman" w:hAnsi="Times New Roman" w:eastAsia="宋体" w:cs="Times New Roman"/>
                <w:b w:val="0"/>
                <w:bCs w:val="0"/>
                <w:color w:val="auto"/>
                <w:sz w:val="24"/>
                <w:lang w:val="en-US" w:eastAsia="zh-CN"/>
              </w:rPr>
              <w:t>基础工程主要为前期场地平整以及静压预应力混凝土管桩</w:t>
            </w:r>
            <w:r>
              <w:rPr>
                <w:rFonts w:hint="eastAsia" w:cs="Times New Roman"/>
                <w:b w:val="0"/>
                <w:bCs w:val="0"/>
                <w:color w:val="auto"/>
                <w:sz w:val="24"/>
                <w:lang w:val="en-US" w:eastAsia="zh-CN"/>
              </w:rPr>
              <w:t>等工程</w:t>
            </w:r>
            <w:r>
              <w:rPr>
                <w:rFonts w:hint="eastAsia" w:ascii="Times New Roman" w:hAnsi="Times New Roman" w:eastAsia="宋体" w:cs="Times New Roman"/>
                <w:b w:val="0"/>
                <w:bCs w:val="0"/>
                <w:color w:val="auto"/>
                <w:sz w:val="24"/>
                <w:lang w:val="en-US" w:eastAsia="zh-CN"/>
              </w:rPr>
              <w:t>。该工段主要污染物为施工机械产生的噪声、粉尘和排放的尾气。由于作业时间较短，粉尘和噪声只是对周围局部环境</w:t>
            </w:r>
            <w:r>
              <w:rPr>
                <w:rFonts w:hint="eastAsia" w:cs="Times New Roman"/>
                <w:b w:val="0"/>
                <w:bCs w:val="0"/>
                <w:color w:val="auto"/>
                <w:sz w:val="24"/>
                <w:lang w:val="en-US" w:eastAsia="zh-CN"/>
              </w:rPr>
              <w:t>造成</w:t>
            </w:r>
            <w:r>
              <w:rPr>
                <w:rFonts w:hint="eastAsia" w:ascii="Times New Roman" w:hAnsi="Times New Roman" w:eastAsia="宋体" w:cs="Times New Roman"/>
                <w:b w:val="0"/>
                <w:bCs w:val="0"/>
                <w:color w:val="auto"/>
                <w:sz w:val="24"/>
                <w:lang w:val="en-US" w:eastAsia="zh-CN"/>
              </w:rPr>
              <w:t>影响，从整个施工期</w:t>
            </w:r>
            <w:r>
              <w:rPr>
                <w:rFonts w:hint="eastAsia" w:cs="Times New Roman"/>
                <w:b w:val="0"/>
                <w:bCs w:val="0"/>
                <w:color w:val="auto"/>
                <w:sz w:val="24"/>
                <w:lang w:val="en-US" w:eastAsia="zh-CN"/>
              </w:rPr>
              <w:t>来</w:t>
            </w:r>
            <w:r>
              <w:rPr>
                <w:rFonts w:hint="eastAsia" w:ascii="Times New Roman" w:hAnsi="Times New Roman" w:eastAsia="宋体" w:cs="Times New Roman"/>
                <w:b w:val="0"/>
                <w:bCs w:val="0"/>
                <w:color w:val="auto"/>
                <w:sz w:val="24"/>
                <w:lang w:val="en-US" w:eastAsia="zh-CN"/>
              </w:rPr>
              <w:t>看，对周围环境影响较小。</w:t>
            </w:r>
          </w:p>
          <w:p w14:paraId="158FA598">
            <w:pPr>
              <w:bidi w:val="0"/>
              <w:ind w:left="0" w:leftChars="0"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（2）主体工程 项目主体工程主要为现浇钢砼柱、梁，砖墙砌筑。根据施工图纸，进行钢筋的配料和加工，安装于架好的模板之处，及时连续灌筑混凝土，并捣实使混凝土成型。项目在砖墙砌筑时，首先进行水泥砂浆的调配，然后再挂线砌筑。该工段工期较长，主要污染物为搅拌机产生的噪声、尾气，碎砖和废砂等固废。</w:t>
            </w:r>
          </w:p>
          <w:p w14:paraId="30CE512C">
            <w:pPr>
              <w:bidi w:val="0"/>
              <w:ind w:left="0" w:leftChars="0"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（3）装饰工程 利用各种加工机械对木材、铝合金等按图进行加工，同时进行屋面制作外墙面砖，然后对外露的铁件进行油漆施工，本工段时间较短，且使用的涂料和油漆量较少，有少量的有机废气挥发。为防止</w:t>
            </w:r>
            <w:r>
              <w:rPr>
                <w:rFonts w:hint="eastAsia" w:cs="Times New Roman"/>
                <w:b w:val="0"/>
                <w:bCs w:val="0"/>
                <w:color w:val="auto"/>
                <w:sz w:val="24"/>
                <w:lang w:val="en-US" w:eastAsia="zh-CN"/>
              </w:rPr>
              <w:t>和</w:t>
            </w:r>
            <w:r>
              <w:rPr>
                <w:rFonts w:hint="eastAsia" w:ascii="Times New Roman" w:hAnsi="Times New Roman" w:eastAsia="宋体" w:cs="Times New Roman"/>
                <w:b w:val="0"/>
                <w:bCs w:val="0"/>
                <w:color w:val="auto"/>
                <w:sz w:val="24"/>
                <w:lang w:val="en-US" w:eastAsia="zh-CN"/>
              </w:rPr>
              <w:t>减少施工的污染，建筑方应做到以下几个方面：施工阶段采用砂、石、砖、水泥、商品混凝土、预制构件和新型墙体材料等，其放射性指标限量应符合标准要求。涂料</w:t>
            </w:r>
            <w:r>
              <w:rPr>
                <w:rFonts w:hint="eastAsia" w:cs="Times New Roman"/>
                <w:b w:val="0"/>
                <w:bCs w:val="0"/>
                <w:color w:val="auto"/>
                <w:sz w:val="24"/>
                <w:lang w:val="en-US" w:eastAsia="zh-CN"/>
              </w:rPr>
              <w:t>胶黏剂</w:t>
            </w:r>
            <w:r>
              <w:rPr>
                <w:rFonts w:hint="eastAsia" w:ascii="Times New Roman" w:hAnsi="Times New Roman" w:eastAsia="宋体" w:cs="Times New Roman"/>
                <w:b w:val="0"/>
                <w:bCs w:val="0"/>
                <w:color w:val="auto"/>
                <w:sz w:val="24"/>
                <w:lang w:val="en-US" w:eastAsia="zh-CN"/>
              </w:rPr>
              <w:t>、阻燃剂、防水剂、防腐剂等的总挥发性有机化合物（TVOC）和游离甲醛含量应符合规定的要求。</w:t>
            </w:r>
          </w:p>
          <w:p w14:paraId="3EA42AFE">
            <w:pPr>
              <w:bidi w:val="0"/>
              <w:ind w:left="0" w:leftChars="0"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（4）设备安装 包括压缩机、膨胀机、冷箱（分馏塔）等空分设备的安装及储罐等安装，主要污染物是安装噪声等。</w:t>
            </w:r>
          </w:p>
          <w:p w14:paraId="2A7BA979">
            <w:pPr>
              <w:bidi w:val="0"/>
              <w:ind w:left="0" w:leftChars="0" w:firstLine="480" w:firstLineChars="200"/>
              <w:rPr>
                <w:rFonts w:hint="eastAsia"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（5）工程验收 项目建成后，检查工程是否按批准的设计文件建成，配套、辅助工程是否与主体工程同步建成。检查工程设备配套及设备安装、调试情况；检查环保、水保、劳动、安全、卫生、消防、防灾安全监控系统、安全防护、应急疏散通道、办公生产生活房屋等设施是否按批准的设计文件建成、合格，地质灾害整治及建筑抗震设防是否符合规定。验收通过后，即可投入使用。</w:t>
            </w:r>
          </w:p>
          <w:p w14:paraId="340DF2AE">
            <w:pPr>
              <w:bidi w:val="0"/>
              <w:ind w:left="0" w:leftChars="0" w:firstLine="0" w:firstLineChars="0"/>
              <w:rPr>
                <w:rFonts w:hint="default"/>
                <w:b/>
                <w:bCs/>
                <w:color w:val="auto"/>
                <w:lang w:eastAsia="zh-CN"/>
              </w:rPr>
            </w:pPr>
            <w:r>
              <w:rPr>
                <w:rFonts w:hint="eastAsia" w:ascii="Times New Roman" w:hAnsi="Times New Roman" w:eastAsia="宋体" w:cs="Times New Roman"/>
                <w:b/>
                <w:bCs/>
                <w:color w:val="auto"/>
                <w:sz w:val="24"/>
                <w:lang w:val="en-US" w:eastAsia="zh-CN"/>
              </w:rPr>
              <w:t>二</w:t>
            </w:r>
            <w:r>
              <w:rPr>
                <w:rFonts w:hint="default" w:ascii="Times New Roman" w:hAnsi="Times New Roman" w:eastAsia="宋体" w:cs="Times New Roman"/>
                <w:b/>
                <w:bCs/>
                <w:color w:val="auto"/>
                <w:sz w:val="24"/>
                <w:lang w:eastAsia="zh-CN"/>
              </w:rPr>
              <w:t>、</w:t>
            </w:r>
            <w:r>
              <w:rPr>
                <w:rFonts w:hint="default"/>
                <w:b/>
                <w:bCs/>
                <w:color w:val="auto"/>
                <w:lang w:eastAsia="zh-CN"/>
              </w:rPr>
              <w:t>运营期工艺流程及产污环节</w:t>
            </w:r>
          </w:p>
          <w:p w14:paraId="32E2554C">
            <w:p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1、液体空分装置的工艺流程</w:t>
            </w:r>
          </w:p>
          <w:p w14:paraId="323ECD91">
            <w:p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（1）工艺原理</w:t>
            </w:r>
          </w:p>
          <w:p w14:paraId="511BF7F4">
            <w:pPr>
              <w:spacing w:line="360" w:lineRule="auto"/>
              <w:ind w:firstLine="480" w:firstLineChars="200"/>
              <w:rPr>
                <w:rFonts w:hint="eastAsia"/>
                <w:b w:val="0"/>
                <w:bCs w:val="0"/>
                <w:color w:val="auto"/>
                <w:sz w:val="24"/>
                <w:szCs w:val="24"/>
                <w:lang w:val="en-US" w:eastAsia="zh-CN"/>
              </w:rPr>
            </w:pPr>
            <w:r>
              <w:rPr>
                <w:rFonts w:hint="eastAsia"/>
                <w:b w:val="0"/>
                <w:bCs w:val="0"/>
                <w:color w:val="auto"/>
                <w:sz w:val="24"/>
                <w:szCs w:val="24"/>
                <w:lang w:val="en-US" w:eastAsia="zh-CN"/>
              </w:rPr>
              <w:t xml:space="preserve">空分制氧/氮/氩是一种利用物理方法从空气中分离出氧气、氮气、氩气等组分的设备。它主要基于空气中各组分的沸点差异，通过低温精馏的方式进行分离。在这个过程中，空气首先被压缩、净化，然后冷却至液化温度，形成液态空气。接着，利用液态空气中各组分的沸点不同，通过多次蒸发和冷凝过程，逐步将氧气、氮气、氩气等组分进行分离。整个生产过程属于物理过程，不发生化学反应。 </w:t>
            </w:r>
          </w:p>
          <w:p w14:paraId="14ACB02F">
            <w:pPr>
              <w:spacing w:line="360" w:lineRule="auto"/>
              <w:ind w:firstLine="480" w:firstLineChars="200"/>
              <w:rPr>
                <w:rFonts w:hint="default"/>
                <w:b w:val="0"/>
                <w:bCs w:val="0"/>
                <w:color w:val="auto"/>
                <w:sz w:val="24"/>
                <w:szCs w:val="24"/>
                <w:lang w:val="en-US" w:eastAsia="zh-CN"/>
              </w:rPr>
            </w:pPr>
            <w:r>
              <w:rPr>
                <w:rFonts w:hint="eastAsia"/>
                <w:b w:val="0"/>
                <w:bCs w:val="0"/>
                <w:color w:val="auto"/>
                <w:sz w:val="24"/>
                <w:szCs w:val="24"/>
                <w:lang w:val="en-US" w:eastAsia="zh-CN"/>
              </w:rPr>
              <w:t>本项目由空分成套设备和后备贮存汽化系统组成，空分装置采用分子筛吸附净化、增压透平膨胀机制冷、规整填料塔流程。整套机组包括：自洁式空气过滤器、空气压缩系统、空气预冷系统、分子筛纯化系统、增压透平膨胀机系统、分馏塔系统、液体贮槽系统、仪控系统和电控系统等。</w:t>
            </w:r>
          </w:p>
          <w:p w14:paraId="4099B60D">
            <w:pPr>
              <w:spacing w:line="360" w:lineRule="auto"/>
              <w:ind w:firstLine="482" w:firstLineChars="200"/>
              <w:rPr>
                <w:rFonts w:hint="default"/>
                <w:b/>
                <w:bCs/>
                <w:color w:val="auto"/>
                <w:sz w:val="24"/>
                <w:szCs w:val="24"/>
                <w:lang w:val="en-US" w:eastAsia="zh-CN"/>
              </w:rPr>
            </w:pPr>
            <w:r>
              <w:rPr>
                <w:rFonts w:hint="eastAsia"/>
                <w:b/>
                <w:bCs/>
                <w:color w:val="auto"/>
                <w:sz w:val="24"/>
                <w:szCs w:val="24"/>
                <w:lang w:val="en-US" w:eastAsia="zh-CN"/>
              </w:rPr>
              <w:t>（2）工艺流程</w:t>
            </w:r>
          </w:p>
          <w:p w14:paraId="6CFBD915">
            <w:pPr>
              <w:bidi w:val="0"/>
              <w:rPr>
                <w:rFonts w:hint="eastAsia"/>
                <w:color w:val="auto"/>
                <w:lang w:val="en-US" w:eastAsia="zh-CN"/>
              </w:rPr>
            </w:pPr>
            <w:r>
              <w:rPr>
                <w:rFonts w:hint="eastAsia"/>
                <w:color w:val="auto"/>
                <w:sz w:val="24"/>
                <w:szCs w:val="24"/>
                <w:lang w:val="en-US" w:eastAsia="zh-CN"/>
              </w:rPr>
              <w:t>本</w:t>
            </w:r>
            <w:r>
              <w:rPr>
                <w:rFonts w:hint="eastAsia"/>
                <w:color w:val="auto"/>
                <w:sz w:val="24"/>
                <w:szCs w:val="24"/>
              </w:rPr>
              <w:t>项目以空气为原料，采用常温分子筛净化，增压透平膨胀机制冷，采用规整填料技术及全精馏无氢制氩的外压缩流程，其具体的</w:t>
            </w:r>
            <w:r>
              <w:rPr>
                <w:rFonts w:hint="eastAsia"/>
                <w:color w:val="auto"/>
                <w:sz w:val="24"/>
                <w:szCs w:val="24"/>
                <w:lang w:val="en-US" w:eastAsia="zh-CN"/>
              </w:rPr>
              <w:t>工艺流程如下</w:t>
            </w:r>
            <w:r>
              <w:rPr>
                <w:rFonts w:hint="eastAsia"/>
                <w:color w:val="auto"/>
                <w:sz w:val="24"/>
                <w:szCs w:val="24"/>
              </w:rPr>
              <w:t>：</w:t>
            </w:r>
          </w:p>
          <w:p w14:paraId="54CC9F66">
            <w:pPr>
              <w:bidi w:val="0"/>
              <w:rPr>
                <w:rFonts w:hint="default"/>
                <w:color w:val="auto"/>
                <w:lang w:val="en-US" w:eastAsia="zh-CN"/>
              </w:rPr>
            </w:pPr>
            <w:r>
              <w:rPr>
                <w:rFonts w:hint="eastAsia"/>
                <w:color w:val="auto"/>
                <w:lang w:val="en-US" w:eastAsia="zh-CN"/>
              </w:rPr>
              <w:t>1）空气压缩、纯化</w:t>
            </w:r>
          </w:p>
          <w:p w14:paraId="36D93CA5">
            <w:pPr>
              <w:bidi w:val="0"/>
              <w:rPr>
                <w:rFonts w:hint="eastAsia"/>
                <w:color w:val="auto"/>
                <w:lang w:val="en-US" w:eastAsia="zh-CN"/>
              </w:rPr>
            </w:pPr>
            <w:r>
              <w:rPr>
                <w:rFonts w:hint="eastAsia"/>
                <w:color w:val="auto"/>
                <w:lang w:val="en-US" w:eastAsia="zh-CN"/>
              </w:rPr>
              <w:t>①空气压缩系统</w:t>
            </w:r>
          </w:p>
          <w:p w14:paraId="424E690E">
            <w:pPr>
              <w:bidi w:val="0"/>
              <w:rPr>
                <w:rFonts w:hint="eastAsia"/>
                <w:color w:val="auto"/>
                <w:lang w:val="en-US" w:eastAsia="zh-CN"/>
              </w:rPr>
            </w:pPr>
            <w:r>
              <w:rPr>
                <w:rFonts w:hint="eastAsia"/>
                <w:color w:val="auto"/>
                <w:lang w:val="en-US" w:eastAsia="zh-CN"/>
              </w:rPr>
              <w:t>原料工艺空气经吸入口吸入，进入自洁式空气过滤器I和Ⅱ，滤去灰尘等机械杂质，然后进入空气压缩机I和Ⅱ进行压缩，压缩产生的热量被冷却水带走，压缩后空气温度升高至100℃左右。空气压缩机与管道阀门间设置有放散管，部分空气经消声器消声处理后直接外排，不属于废气。</w:t>
            </w:r>
          </w:p>
          <w:p w14:paraId="5CF705DF">
            <w:pPr>
              <w:bidi w:val="0"/>
              <w:rPr>
                <w:rFonts w:hint="eastAsia"/>
                <w:color w:val="auto"/>
                <w:lang w:val="en-US" w:eastAsia="zh-CN"/>
              </w:rPr>
            </w:pPr>
            <w:r>
              <w:rPr>
                <w:rFonts w:hint="eastAsia"/>
                <w:color w:val="auto"/>
                <w:lang w:val="en-US" w:eastAsia="zh-CN"/>
              </w:rPr>
              <w:t>该工序产生少量固废滤渣，空气冷凝水，设备运行噪声。</w:t>
            </w:r>
          </w:p>
          <w:p w14:paraId="2742B92E">
            <w:pPr>
              <w:bidi w:val="0"/>
              <w:rPr>
                <w:rFonts w:hint="eastAsia"/>
                <w:color w:val="auto"/>
                <w:lang w:val="en-US" w:eastAsia="zh-CN"/>
              </w:rPr>
            </w:pPr>
            <w:r>
              <w:rPr>
                <w:rFonts w:hint="eastAsia"/>
                <w:color w:val="auto"/>
                <w:lang w:val="en-US" w:eastAsia="zh-CN"/>
              </w:rPr>
              <w:t>②预冷系统</w:t>
            </w:r>
          </w:p>
          <w:p w14:paraId="2B012A66">
            <w:pPr>
              <w:bidi w:val="0"/>
              <w:rPr>
                <w:rFonts w:hint="eastAsia"/>
                <w:color w:val="auto"/>
                <w:lang w:val="en-US" w:eastAsia="zh-CN"/>
              </w:rPr>
            </w:pPr>
            <w:r>
              <w:rPr>
                <w:rFonts w:hint="eastAsia"/>
                <w:color w:val="auto"/>
                <w:lang w:val="en-US" w:eastAsia="zh-CN"/>
              </w:rPr>
              <w:t>空气经多级压缩后，送入预冷系统中进行冷却。</w:t>
            </w:r>
          </w:p>
          <w:p w14:paraId="1C92056E">
            <w:pPr>
              <w:bidi w:val="0"/>
              <w:rPr>
                <w:rFonts w:hint="eastAsia"/>
                <w:color w:val="auto"/>
                <w:lang w:val="en-US" w:eastAsia="zh-CN"/>
              </w:rPr>
            </w:pPr>
            <w:r>
              <w:rPr>
                <w:rFonts w:hint="eastAsia"/>
                <w:color w:val="auto"/>
                <w:lang w:val="en-US" w:eastAsia="zh-CN"/>
              </w:rPr>
              <w:t>预冷系统由空冷塔、水冷塔、冷冻水泵以及冷冻机组等组成。空冷塔下段为循环冷却水，上段为低温冷冻水，来自空气压缩系统的高温空气自下而上穿过空冷塔与冷却水进行热交换，在冷却的同时，又得到清洗。空气经空冷塔冷却后，温度降至13℃左右，送入分子筛纯化系统。</w:t>
            </w:r>
          </w:p>
          <w:p w14:paraId="50DBC857">
            <w:pPr>
              <w:bidi w:val="0"/>
              <w:rPr>
                <w:rFonts w:hint="eastAsia"/>
                <w:color w:val="auto"/>
                <w:lang w:val="en-US" w:eastAsia="zh-CN"/>
              </w:rPr>
            </w:pPr>
            <w:r>
              <w:rPr>
                <w:rFonts w:hint="eastAsia"/>
                <w:color w:val="auto"/>
                <w:lang w:val="en-US" w:eastAsia="zh-CN"/>
              </w:rPr>
              <w:t>水冷塔利用来自</w:t>
            </w:r>
            <w:r>
              <w:rPr>
                <w:rFonts w:hint="eastAsia"/>
                <w:color w:val="auto"/>
                <w:highlight w:val="none"/>
                <w:lang w:val="en-US" w:eastAsia="zh-CN"/>
              </w:rPr>
              <w:t>分馏塔</w:t>
            </w:r>
            <w:r>
              <w:rPr>
                <w:rFonts w:hint="eastAsia"/>
                <w:color w:val="auto"/>
                <w:lang w:val="en-US" w:eastAsia="zh-CN"/>
              </w:rPr>
              <w:t>系统污氮和纯氮气含水的不饱和温度差来冷却循环水，冷却后的循环水进入冷水机组再次冷却后为空冷塔上段提供冷冻水，使用后的氮气直接排空，不属于废气。</w:t>
            </w:r>
          </w:p>
          <w:p w14:paraId="02636547">
            <w:pPr>
              <w:bidi w:val="0"/>
              <w:rPr>
                <w:rFonts w:hint="eastAsia"/>
                <w:color w:val="auto"/>
                <w:lang w:val="en-US" w:eastAsia="zh-CN"/>
              </w:rPr>
            </w:pPr>
            <w:r>
              <w:rPr>
                <w:rFonts w:hint="eastAsia"/>
                <w:color w:val="auto"/>
                <w:lang w:val="en-US" w:eastAsia="zh-CN"/>
              </w:rPr>
              <w:t>该工序使用大量循环冷却水，有循环水系统排污，空气冷凝水，设备运行噪声。</w:t>
            </w:r>
          </w:p>
          <w:p w14:paraId="10EE6A0E">
            <w:pPr>
              <w:bidi w:val="0"/>
              <w:rPr>
                <w:rFonts w:hint="eastAsia"/>
                <w:color w:val="auto"/>
                <w:lang w:val="en-US" w:eastAsia="zh-CN"/>
              </w:rPr>
            </w:pPr>
            <w:r>
              <w:rPr>
                <w:rFonts w:hint="eastAsia"/>
                <w:color w:val="auto"/>
                <w:lang w:val="en-US" w:eastAsia="zh-CN"/>
              </w:rPr>
              <w:t>③分子筛纯化系统</w:t>
            </w:r>
          </w:p>
          <w:p w14:paraId="1C01D8C9">
            <w:pPr>
              <w:bidi w:val="0"/>
              <w:rPr>
                <w:rFonts w:hint="eastAsia"/>
                <w:color w:val="auto"/>
                <w:lang w:val="en-US" w:eastAsia="zh-CN"/>
              </w:rPr>
            </w:pPr>
            <w:r>
              <w:rPr>
                <w:rFonts w:hint="eastAsia"/>
                <w:color w:val="auto"/>
                <w:lang w:val="en-US" w:eastAsia="zh-CN"/>
              </w:rPr>
              <w:t>出预冷系统的工艺空气（0.56MPa.A，≤10℃，41000Nm</w:t>
            </w:r>
            <w:r>
              <w:rPr>
                <w:rFonts w:hint="eastAsia"/>
                <w:color w:val="auto"/>
                <w:vertAlign w:val="superscript"/>
                <w:lang w:val="en-US" w:eastAsia="zh-CN"/>
              </w:rPr>
              <w:t>3</w:t>
            </w:r>
            <w:r>
              <w:rPr>
                <w:rFonts w:hint="eastAsia"/>
                <w:color w:val="auto"/>
                <w:lang w:val="en-US" w:eastAsia="zh-CN"/>
              </w:rPr>
              <w:t>/h）进入用来吸附除去水分、二氧化碳、碳氢化合物的分子筛纯化系统。纯化系统中的两台分子筛吸附器采用卧式双层床结构，底部为活性氧化铝，上部为分子筛，当一台运行时，另一台则由来自冷箱中的污氮通过电加热器加热进行再生。</w:t>
            </w:r>
          </w:p>
          <w:p w14:paraId="4476D905">
            <w:pPr>
              <w:bidi w:val="0"/>
              <w:rPr>
                <w:rFonts w:hint="eastAsia"/>
                <w:color w:val="auto"/>
                <w:lang w:val="en-US" w:eastAsia="zh-CN"/>
              </w:rPr>
            </w:pPr>
            <w:r>
              <w:rPr>
                <w:rFonts w:hint="eastAsia"/>
                <w:color w:val="auto"/>
                <w:lang w:val="en-US" w:eastAsia="zh-CN"/>
              </w:rPr>
              <w:t>分子筛纯化系统由分子筛吸附器、电加热器、切换阀门、控制系统组成。分子筛纯化系统的吸附器由两台分子筛吸附器组成，两台分子筛吸附器一只工作，一只被加热的污氮气再生。</w:t>
            </w:r>
          </w:p>
          <w:p w14:paraId="3EFA7431">
            <w:pPr>
              <w:bidi w:val="0"/>
              <w:rPr>
                <w:rFonts w:hint="eastAsia"/>
                <w:color w:val="auto"/>
                <w:lang w:val="en-US" w:eastAsia="zh-CN"/>
              </w:rPr>
            </w:pPr>
            <w:r>
              <w:rPr>
                <w:rFonts w:hint="eastAsia"/>
                <w:color w:val="auto"/>
                <w:lang w:val="en-US" w:eastAsia="zh-CN"/>
              </w:rPr>
              <w:t>吸附和再生的原理为：用分子筛作吸附剂，把空气中的水分、CO</w:t>
            </w:r>
            <w:r>
              <w:rPr>
                <w:rFonts w:hint="eastAsia"/>
                <w:color w:val="auto"/>
                <w:vertAlign w:val="subscript"/>
                <w:lang w:val="en-US" w:eastAsia="zh-CN"/>
              </w:rPr>
              <w:t>2</w:t>
            </w:r>
            <w:r>
              <w:rPr>
                <w:rFonts w:hint="eastAsia"/>
                <w:color w:val="auto"/>
                <w:lang w:val="en-US" w:eastAsia="zh-CN"/>
              </w:rPr>
              <w:t>和一些碳氢化合物等杂质分离出来，浓聚在吸附剂的表面，从而达到净化空气的目的；再生的原理为利用被加热的污氮气吹扫，提高分子筛的温度从而使其吸附能力降低，脱除吸附的杂质，实现分子筛再生。</w:t>
            </w:r>
          </w:p>
          <w:p w14:paraId="663BB367">
            <w:pPr>
              <w:bidi w:val="0"/>
              <w:rPr>
                <w:rFonts w:hint="eastAsia"/>
                <w:color w:val="auto"/>
                <w:lang w:val="en-US" w:eastAsia="zh-CN"/>
              </w:rPr>
            </w:pPr>
            <w:r>
              <w:rPr>
                <w:rFonts w:hint="eastAsia"/>
                <w:color w:val="auto"/>
                <w:lang w:val="en-US" w:eastAsia="zh-CN"/>
              </w:rPr>
              <w:t>该工序向空气排放氮气、二氧化碳和水汽等，不属于废气。该工序有设备运行噪声。</w:t>
            </w:r>
          </w:p>
          <w:p w14:paraId="14F40D63">
            <w:pPr>
              <w:bidi w:val="0"/>
              <w:rPr>
                <w:rFonts w:hint="default"/>
                <w:color w:val="auto"/>
                <w:lang w:val="en-US" w:eastAsia="zh-CN"/>
              </w:rPr>
            </w:pPr>
            <w:r>
              <w:rPr>
                <w:rFonts w:hint="eastAsia"/>
                <w:color w:val="auto"/>
                <w:lang w:val="en-US" w:eastAsia="zh-CN"/>
              </w:rPr>
              <w:t>2）空气精馏系统</w:t>
            </w:r>
          </w:p>
          <w:p w14:paraId="18BC2879">
            <w:pPr>
              <w:bidi w:val="0"/>
              <w:rPr>
                <w:rFonts w:hint="eastAsia"/>
                <w:color w:val="auto"/>
                <w:lang w:val="en-US" w:eastAsia="zh-CN"/>
              </w:rPr>
            </w:pPr>
            <w:r>
              <w:rPr>
                <w:rFonts w:hint="eastAsia"/>
                <w:color w:val="auto"/>
                <w:lang w:val="en-US" w:eastAsia="zh-CN"/>
              </w:rPr>
              <w:t>空气精馏系统由冷箱、主换热器、过冷器、下塔（含主冷）、上塔、氩系统、阀门、管道等组成。</w:t>
            </w:r>
          </w:p>
          <w:p w14:paraId="439F9898">
            <w:pPr>
              <w:bidi w:val="0"/>
              <w:rPr>
                <w:rFonts w:hint="eastAsia"/>
                <w:color w:val="auto"/>
                <w:lang w:val="en-US" w:eastAsia="zh-CN"/>
              </w:rPr>
            </w:pPr>
            <w:r>
              <w:rPr>
                <w:rFonts w:hint="eastAsia"/>
                <w:color w:val="auto"/>
                <w:lang w:val="en-US" w:eastAsia="zh-CN"/>
              </w:rPr>
              <w:t>出空气纯化系统的洁净工艺空气进入冷箱内的主换热器，被返流出来的气体冷却，接近露点的空气进入下塔的底部，进行第一次精馏。在下塔中，上升气体与下流液体充分接触，传热传质后，上升气体中氮的浓度逐渐增加。纯氮气进入下塔顶部的主冷凝蒸发器被冷凝，在气氮冷凝的同时，主冷凝蒸发器中的液氧得到汽化。被冷凝的液氮一部分作为下塔的回流液参与下塔精馏，其余经过冷后节流后部分作为产品液氮抽出塔外，其余送入上塔作为上塔回流液。</w:t>
            </w:r>
          </w:p>
          <w:p w14:paraId="185056D6">
            <w:pPr>
              <w:bidi w:val="0"/>
              <w:rPr>
                <w:rFonts w:hint="eastAsia"/>
                <w:color w:val="auto"/>
                <w:lang w:val="en-US" w:eastAsia="zh-CN"/>
              </w:rPr>
            </w:pPr>
            <w:r>
              <w:rPr>
                <w:rFonts w:hint="eastAsia"/>
                <w:color w:val="auto"/>
                <w:lang w:val="en-US" w:eastAsia="zh-CN"/>
              </w:rPr>
              <w:t>利用不同气体沸点的差异进行精馏分离（氮沸点-196℃，氧沸点-183℃，氩沸点-185.7℃）。</w:t>
            </w:r>
          </w:p>
          <w:p w14:paraId="7F0C7FCC">
            <w:pPr>
              <w:bidi w:val="0"/>
              <w:rPr>
                <w:rFonts w:hint="eastAsia"/>
                <w:color w:val="auto"/>
                <w:lang w:val="en-US" w:eastAsia="zh-CN"/>
              </w:rPr>
            </w:pPr>
            <w:r>
              <w:rPr>
                <w:rFonts w:hint="eastAsia"/>
                <w:color w:val="auto"/>
                <w:lang w:val="en-US" w:eastAsia="zh-CN"/>
              </w:rPr>
              <w:t>在下塔中产生的液态空气也经过冷器过冷，节流后进入上塔参与精馏。在上塔内，经过再次精馏，得到产品液氧、污氮、氮气。</w:t>
            </w:r>
          </w:p>
          <w:p w14:paraId="1531A834">
            <w:pPr>
              <w:bidi w:val="0"/>
              <w:rPr>
                <w:rFonts w:hint="eastAsia"/>
                <w:color w:val="auto"/>
                <w:lang w:val="en-US" w:eastAsia="zh-CN"/>
              </w:rPr>
            </w:pPr>
            <w:r>
              <w:rPr>
                <w:rFonts w:hint="eastAsia"/>
                <w:color w:val="auto"/>
                <w:lang w:val="en-US" w:eastAsia="zh-CN"/>
              </w:rPr>
              <w:t>从上塔抽取的氮气和污氮经过冷器及主换热器复热后，一部分氮气去氮气喂气机，另一部分氮气送入水冷塔，污氮气则作为再生气进入纯化系统。</w:t>
            </w:r>
          </w:p>
          <w:p w14:paraId="05735B2F">
            <w:pPr>
              <w:bidi w:val="0"/>
              <w:rPr>
                <w:rFonts w:hint="eastAsia"/>
                <w:color w:val="auto"/>
                <w:lang w:val="en-US" w:eastAsia="zh-CN"/>
              </w:rPr>
            </w:pPr>
            <w:r>
              <w:rPr>
                <w:rFonts w:hint="eastAsia"/>
                <w:color w:val="auto"/>
                <w:lang w:val="en-US" w:eastAsia="zh-CN"/>
              </w:rPr>
              <w:t>3）氩的提纯</w:t>
            </w:r>
          </w:p>
          <w:p w14:paraId="107ED47E">
            <w:pPr>
              <w:bidi w:val="0"/>
              <w:rPr>
                <w:rFonts w:hint="eastAsia"/>
                <w:color w:val="auto"/>
                <w:lang w:val="en-US" w:eastAsia="zh-CN"/>
              </w:rPr>
            </w:pPr>
            <w:r>
              <w:rPr>
                <w:rFonts w:hint="eastAsia"/>
                <w:color w:val="auto"/>
                <w:lang w:val="en-US" w:eastAsia="zh-CN"/>
              </w:rPr>
              <w:t>氩的提取采用全精馏制氩技术，为了制取氩，从分馏塔上塔下部的适当位置引出一股氩馏分气送入粗氩塔I进行精馏，使氧的含量降低；粗氩塔I的回流液体是由粗氩塔Ⅱ底部引出经液体泵输送来的液态粗氩。从粗氩塔I顶部引出的气体进入粗氩塔Ⅱ并在其中进行深度氩氧分离。经过粗氩塔Ⅱ的精馏，在粗氩塔Ⅱ的顶部得到含氧量≤1.5PPm的粗氩气。粗氩塔Ⅱ的顶部装有粗氩冷凝器，以过冷器后引出的液空经节流后送入其中作为冷源。绝大部分的粗氩气经粗氩冷凝器冷凝后作为粗氩塔Ⅱ的回流液，其余部分由粗氩塔Ⅱ顶部引出含氧量≤1.5PPm的粗氩气并送入纯氩塔。纯氩塔的底部装有一台纯氩蒸发器，以过冷器后引出的液空作热源使液氩蒸发。在纯氩塔的顶部装有纯氩冷凝器，以过冷器后引出的液空作为冷源，使绝大部分上升气体冷凝作为纯氩塔的回流液，经过纯氩塔的精馏，在纯氩塔底部得到精液氩，引出冷箱作为产品液氩。</w:t>
            </w:r>
          </w:p>
          <w:p w14:paraId="202F6FA6">
            <w:pPr>
              <w:bidi w:val="0"/>
              <w:rPr>
                <w:rFonts w:hint="eastAsia"/>
                <w:color w:val="auto"/>
                <w:lang w:val="en-US" w:eastAsia="zh-CN"/>
              </w:rPr>
            </w:pPr>
            <w:r>
              <w:rPr>
                <w:rFonts w:hint="eastAsia"/>
                <w:color w:val="auto"/>
                <w:lang w:val="en-US" w:eastAsia="zh-CN"/>
              </w:rPr>
              <w:t>从粗氩塔I的下部抽取烃含量符合要求的液相高纯氧原料去高纯氧塔精馏，蒸发掉高纯氧的轻组分，从而在高纯氧塔底获得高纯液氧。高纯液氧产品靠静液柱的高差送去储罐。高纯氧蒸发器的热源采用下塔的压力氮气，氮气在高纯氧蒸发器中被液化后进入液氮气液分离罐。</w:t>
            </w:r>
          </w:p>
          <w:p w14:paraId="5E85985F">
            <w:pPr>
              <w:bidi w:val="0"/>
              <w:rPr>
                <w:rFonts w:hint="eastAsia"/>
                <w:color w:val="auto"/>
                <w:lang w:val="en-US" w:eastAsia="zh-CN"/>
              </w:rPr>
            </w:pPr>
            <w:r>
              <w:rPr>
                <w:rFonts w:hint="eastAsia"/>
                <w:color w:val="auto"/>
                <w:lang w:val="en-US" w:eastAsia="zh-CN"/>
              </w:rPr>
              <w:t>该工序有设备运行噪声。</w:t>
            </w:r>
          </w:p>
          <w:p w14:paraId="2F67D46F">
            <w:pPr>
              <w:bidi w:val="0"/>
              <w:rPr>
                <w:rFonts w:hint="eastAsia"/>
                <w:color w:val="auto"/>
                <w:lang w:val="en-US" w:eastAsia="zh-CN"/>
              </w:rPr>
            </w:pPr>
            <w:r>
              <w:rPr>
                <w:rFonts w:hint="eastAsia"/>
                <w:color w:val="auto"/>
                <w:lang w:val="en-US" w:eastAsia="zh-CN"/>
              </w:rPr>
              <w:t>4）冷量的制取</w:t>
            </w:r>
          </w:p>
          <w:p w14:paraId="6327CB7F">
            <w:pPr>
              <w:bidi w:val="0"/>
              <w:rPr>
                <w:rFonts w:hint="eastAsia"/>
                <w:color w:val="auto"/>
                <w:lang w:val="en-US" w:eastAsia="zh-CN"/>
              </w:rPr>
            </w:pPr>
            <w:r>
              <w:rPr>
                <w:rFonts w:hint="eastAsia"/>
                <w:color w:val="auto"/>
                <w:lang w:val="en-US" w:eastAsia="zh-CN"/>
              </w:rPr>
              <w:t>装置所需的大部分冷量由增压透平膨胀机提供。一部分低压氮气经氮气喂气机压缩后，与由膨胀后的中压氮气及下塔压力氮气汇合，经循环氮气压缩机进一步压缩后分为两股，一股进入主换热器中抽出来后进入热端膨胀机，膨胀后进入主换复热后入循环氮气压缩机进口；另一股分别经热端膨胀机和冷端膨胀机的增压端增压冷却后，进入主换热器冷却到适当的温度后，其中大部分气体进入冷端膨胀机进行膨胀，膨胀后的气体进入主换热器冷端复热后返回去循环氮气压缩机，其余部分高压氮气由主换热器冷端抽出后节流入下塔。在下塔的顶部抽出一部分压力氮气去主换热器与膨胀后的氮气一起复热后去循环氮气压缩机。</w:t>
            </w:r>
          </w:p>
          <w:p w14:paraId="345333BE">
            <w:pPr>
              <w:bidi w:val="0"/>
              <w:rPr>
                <w:rFonts w:hint="eastAsia"/>
                <w:color w:val="auto"/>
                <w:lang w:val="en-US" w:eastAsia="zh-CN"/>
              </w:rPr>
            </w:pPr>
            <w:r>
              <w:rPr>
                <w:rFonts w:hint="eastAsia"/>
                <w:color w:val="auto"/>
                <w:lang w:val="en-US" w:eastAsia="zh-CN"/>
              </w:rPr>
              <w:t>5）产品的分配</w:t>
            </w:r>
          </w:p>
          <w:p w14:paraId="39935F5C">
            <w:pPr>
              <w:bidi w:val="0"/>
              <w:rPr>
                <w:rFonts w:hint="eastAsia"/>
                <w:color w:val="auto"/>
                <w:lang w:val="en-US" w:eastAsia="zh-CN"/>
              </w:rPr>
            </w:pPr>
            <w:r>
              <w:rPr>
                <w:rFonts w:hint="eastAsia"/>
                <w:color w:val="auto"/>
                <w:lang w:val="en-US" w:eastAsia="zh-CN"/>
              </w:rPr>
              <w:t>①氮气</w:t>
            </w:r>
          </w:p>
          <w:p w14:paraId="48D12CBA">
            <w:pPr>
              <w:bidi w:val="0"/>
              <w:rPr>
                <w:rFonts w:hint="eastAsia"/>
                <w:color w:val="auto"/>
                <w:lang w:val="en-US" w:eastAsia="zh-CN"/>
              </w:rPr>
            </w:pPr>
            <w:r>
              <w:rPr>
                <w:rFonts w:hint="eastAsia"/>
                <w:color w:val="auto"/>
                <w:lang w:val="en-US" w:eastAsia="zh-CN"/>
              </w:rPr>
              <w:t>从上塔顶部引出氮气，经过冷器、主换热器复热后出冷箱，一部分去氮气喂气机；另外一部分作为预留氮气接口。</w:t>
            </w:r>
          </w:p>
          <w:p w14:paraId="684BC003">
            <w:pPr>
              <w:bidi w:val="0"/>
              <w:rPr>
                <w:rFonts w:hint="eastAsia"/>
                <w:color w:val="auto"/>
                <w:lang w:val="en-US" w:eastAsia="zh-CN"/>
              </w:rPr>
            </w:pPr>
            <w:r>
              <w:rPr>
                <w:rFonts w:hint="eastAsia"/>
                <w:color w:val="auto"/>
                <w:lang w:val="en-US" w:eastAsia="zh-CN"/>
              </w:rPr>
              <w:t>②污氮气</w:t>
            </w:r>
          </w:p>
          <w:p w14:paraId="301CE249">
            <w:pPr>
              <w:bidi w:val="0"/>
              <w:rPr>
                <w:rFonts w:hint="eastAsia"/>
                <w:color w:val="auto"/>
                <w:lang w:val="en-US" w:eastAsia="zh-CN"/>
              </w:rPr>
            </w:pPr>
            <w:r>
              <w:rPr>
                <w:rFonts w:hint="eastAsia"/>
                <w:color w:val="auto"/>
                <w:lang w:val="en-US" w:eastAsia="zh-CN"/>
              </w:rPr>
              <w:t>从上塔上部引出污氮气，经过冷器、主换热器复热后出冷箱（0.102MPa.A，32℃，7000Nm</w:t>
            </w:r>
            <w:r>
              <w:rPr>
                <w:rFonts w:hint="eastAsia"/>
                <w:color w:val="auto"/>
                <w:vertAlign w:val="superscript"/>
                <w:lang w:val="en-US" w:eastAsia="zh-CN"/>
              </w:rPr>
              <w:t>3</w:t>
            </w:r>
            <w:r>
              <w:rPr>
                <w:rFonts w:hint="eastAsia"/>
                <w:color w:val="auto"/>
                <w:lang w:val="en-US" w:eastAsia="zh-CN"/>
              </w:rPr>
              <w:t>/h），用于分子筛吸附器再生气。</w:t>
            </w:r>
          </w:p>
          <w:p w14:paraId="71E3D365">
            <w:pPr>
              <w:bidi w:val="0"/>
              <w:rPr>
                <w:rFonts w:hint="eastAsia"/>
                <w:color w:val="auto"/>
                <w:lang w:val="en-US" w:eastAsia="zh-CN"/>
              </w:rPr>
            </w:pPr>
            <w:r>
              <w:rPr>
                <w:rFonts w:hint="eastAsia"/>
                <w:color w:val="auto"/>
                <w:lang w:val="en-US" w:eastAsia="zh-CN"/>
              </w:rPr>
              <w:t>③液氧</w:t>
            </w:r>
          </w:p>
          <w:p w14:paraId="36FEBB19">
            <w:pPr>
              <w:bidi w:val="0"/>
              <w:rPr>
                <w:rFonts w:hint="eastAsia"/>
                <w:color w:val="auto"/>
                <w:lang w:val="en-US" w:eastAsia="zh-CN"/>
              </w:rPr>
            </w:pPr>
            <w:r>
              <w:rPr>
                <w:rFonts w:hint="eastAsia"/>
                <w:color w:val="auto"/>
                <w:lang w:val="en-US" w:eastAsia="zh-CN"/>
              </w:rPr>
              <w:t>通过冷箱送出进入3000m</w:t>
            </w:r>
            <w:r>
              <w:rPr>
                <w:rFonts w:hint="eastAsia"/>
                <w:color w:val="auto"/>
                <w:vertAlign w:val="superscript"/>
                <w:lang w:val="en-US" w:eastAsia="zh-CN"/>
              </w:rPr>
              <w:t>3</w:t>
            </w:r>
            <w:r>
              <w:rPr>
                <w:rFonts w:hint="eastAsia"/>
                <w:color w:val="auto"/>
                <w:lang w:val="en-US" w:eastAsia="zh-CN"/>
              </w:rPr>
              <w:t>液氧贮槽。</w:t>
            </w:r>
          </w:p>
          <w:p w14:paraId="24C0F812">
            <w:pPr>
              <w:bidi w:val="0"/>
              <w:rPr>
                <w:rFonts w:hint="eastAsia"/>
                <w:color w:val="auto"/>
                <w:lang w:val="en-US" w:eastAsia="zh-CN"/>
              </w:rPr>
            </w:pPr>
            <w:r>
              <w:rPr>
                <w:rFonts w:hint="eastAsia"/>
                <w:color w:val="auto"/>
                <w:lang w:val="en-US" w:eastAsia="zh-CN"/>
              </w:rPr>
              <w:t>液氧通过液氧充车泵充车，3000m</w:t>
            </w:r>
            <w:r>
              <w:rPr>
                <w:rFonts w:hint="eastAsia"/>
                <w:color w:val="auto"/>
                <w:vertAlign w:val="superscript"/>
                <w:lang w:val="en-US" w:eastAsia="zh-CN"/>
              </w:rPr>
              <w:t>3</w:t>
            </w:r>
            <w:r>
              <w:rPr>
                <w:rFonts w:hint="eastAsia"/>
                <w:color w:val="auto"/>
                <w:lang w:val="en-US" w:eastAsia="zh-CN"/>
              </w:rPr>
              <w:t>液氧贮槽预留自流充车口。</w:t>
            </w:r>
          </w:p>
          <w:p w14:paraId="7FC27719">
            <w:pPr>
              <w:bidi w:val="0"/>
              <w:rPr>
                <w:rFonts w:hint="eastAsia"/>
                <w:color w:val="auto"/>
                <w:lang w:val="en-US" w:eastAsia="zh-CN"/>
              </w:rPr>
            </w:pPr>
            <w:r>
              <w:rPr>
                <w:rFonts w:hint="eastAsia"/>
                <w:color w:val="auto"/>
                <w:lang w:val="en-US" w:eastAsia="zh-CN"/>
              </w:rPr>
              <w:t>④液氮</w:t>
            </w:r>
          </w:p>
          <w:p w14:paraId="0BD4CB64">
            <w:pPr>
              <w:bidi w:val="0"/>
              <w:rPr>
                <w:rFonts w:hint="eastAsia"/>
                <w:color w:val="auto"/>
                <w:lang w:val="en-US" w:eastAsia="zh-CN"/>
              </w:rPr>
            </w:pPr>
            <w:r>
              <w:rPr>
                <w:rFonts w:hint="eastAsia"/>
                <w:color w:val="auto"/>
                <w:lang w:val="en-US" w:eastAsia="zh-CN"/>
              </w:rPr>
              <w:t>通过冷箱送出进入3000m</w:t>
            </w:r>
            <w:r>
              <w:rPr>
                <w:rFonts w:hint="eastAsia"/>
                <w:color w:val="auto"/>
                <w:vertAlign w:val="superscript"/>
                <w:lang w:val="en-US" w:eastAsia="zh-CN"/>
              </w:rPr>
              <w:t>3</w:t>
            </w:r>
            <w:r>
              <w:rPr>
                <w:rFonts w:hint="eastAsia"/>
                <w:color w:val="auto"/>
                <w:lang w:val="en-US" w:eastAsia="zh-CN"/>
              </w:rPr>
              <w:t>液氮贮槽。</w:t>
            </w:r>
          </w:p>
          <w:p w14:paraId="7E20F98E">
            <w:pPr>
              <w:bidi w:val="0"/>
              <w:rPr>
                <w:rFonts w:hint="eastAsia"/>
                <w:color w:val="auto"/>
                <w:lang w:val="en-US" w:eastAsia="zh-CN"/>
              </w:rPr>
            </w:pPr>
            <w:r>
              <w:rPr>
                <w:rFonts w:hint="eastAsia"/>
                <w:color w:val="auto"/>
                <w:lang w:val="en-US" w:eastAsia="zh-CN"/>
              </w:rPr>
              <w:t>液氮通过液氮充车泵充车，3000m</w:t>
            </w:r>
            <w:r>
              <w:rPr>
                <w:rFonts w:hint="eastAsia"/>
                <w:color w:val="auto"/>
                <w:vertAlign w:val="superscript"/>
                <w:lang w:val="en-US" w:eastAsia="zh-CN"/>
              </w:rPr>
              <w:t>3</w:t>
            </w:r>
            <w:r>
              <w:rPr>
                <w:rFonts w:hint="eastAsia"/>
                <w:color w:val="auto"/>
                <w:lang w:val="en-US" w:eastAsia="zh-CN"/>
              </w:rPr>
              <w:t>液氮贮槽预留自流充车口。</w:t>
            </w:r>
          </w:p>
          <w:p w14:paraId="115016D0">
            <w:pPr>
              <w:bidi w:val="0"/>
              <w:rPr>
                <w:rFonts w:hint="eastAsia"/>
                <w:color w:val="auto"/>
                <w:lang w:val="en-US" w:eastAsia="zh-CN"/>
              </w:rPr>
            </w:pPr>
            <w:r>
              <w:rPr>
                <w:rFonts w:hint="eastAsia"/>
                <w:color w:val="auto"/>
                <w:lang w:val="en-US" w:eastAsia="zh-CN"/>
              </w:rPr>
              <w:t>⑤液氩</w:t>
            </w:r>
          </w:p>
          <w:p w14:paraId="07FD002D">
            <w:pPr>
              <w:bidi w:val="0"/>
              <w:rPr>
                <w:rFonts w:hint="eastAsia"/>
                <w:color w:val="auto"/>
                <w:lang w:val="en-US" w:eastAsia="zh-CN"/>
              </w:rPr>
            </w:pPr>
            <w:r>
              <w:rPr>
                <w:rFonts w:hint="eastAsia"/>
                <w:color w:val="auto"/>
                <w:lang w:val="en-US" w:eastAsia="zh-CN"/>
              </w:rPr>
              <w:t>通过冷箱送出进入液氩贮罐。</w:t>
            </w:r>
          </w:p>
          <w:p w14:paraId="060591F3">
            <w:pPr>
              <w:bidi w:val="0"/>
              <w:rPr>
                <w:rFonts w:hint="eastAsia"/>
                <w:color w:val="auto"/>
                <w:lang w:val="en-US" w:eastAsia="zh-CN"/>
              </w:rPr>
            </w:pPr>
            <w:r>
              <w:rPr>
                <w:rFonts w:hint="eastAsia"/>
                <w:color w:val="auto"/>
                <w:lang w:val="en-US" w:eastAsia="zh-CN"/>
              </w:rPr>
              <w:t xml:space="preserve">液氩通过液氩充车泵充车。 </w:t>
            </w:r>
          </w:p>
          <w:p w14:paraId="310CD1A1">
            <w:pPr>
              <w:bidi w:val="0"/>
              <w:rPr>
                <w:rFonts w:hint="eastAsia"/>
                <w:color w:val="auto"/>
                <w:lang w:val="en-US" w:eastAsia="zh-CN"/>
              </w:rPr>
            </w:pPr>
            <w:r>
              <w:rPr>
                <w:rFonts w:hint="eastAsia"/>
                <w:color w:val="auto"/>
                <w:lang w:val="en-US" w:eastAsia="zh-CN"/>
              </w:rPr>
              <w:t>⑥高纯液氧</w:t>
            </w:r>
          </w:p>
          <w:p w14:paraId="2ADF08E8">
            <w:pPr>
              <w:bidi w:val="0"/>
              <w:rPr>
                <w:rFonts w:hint="eastAsia"/>
                <w:color w:val="auto"/>
                <w:lang w:val="en-US" w:eastAsia="zh-CN"/>
              </w:rPr>
            </w:pPr>
            <w:r>
              <w:rPr>
                <w:rFonts w:hint="eastAsia"/>
                <w:color w:val="auto"/>
                <w:lang w:val="en-US" w:eastAsia="zh-CN"/>
              </w:rPr>
              <w:t>通过冷箱送出进入高纯液氧贮罐。</w:t>
            </w:r>
          </w:p>
          <w:p w14:paraId="459F7B5F">
            <w:pPr>
              <w:bidi w:val="0"/>
              <w:rPr>
                <w:rFonts w:hint="eastAsia"/>
                <w:color w:val="auto"/>
                <w:lang w:val="en-US" w:eastAsia="zh-CN"/>
              </w:rPr>
            </w:pPr>
            <w:r>
              <w:rPr>
                <w:rFonts w:hint="eastAsia"/>
                <w:color w:val="auto"/>
                <w:lang w:val="en-US" w:eastAsia="zh-CN"/>
              </w:rPr>
              <w:t>高纯氧通过高纯液氧贮罐自增压充车。</w:t>
            </w:r>
          </w:p>
          <w:p w14:paraId="64BE0ADD">
            <w:pPr>
              <w:bidi w:val="0"/>
              <w:rPr>
                <w:rFonts w:hint="eastAsia"/>
                <w:color w:val="auto"/>
                <w:lang w:val="en-US" w:eastAsia="zh-CN"/>
              </w:rPr>
            </w:pPr>
            <w:r>
              <w:rPr>
                <w:rFonts w:hint="eastAsia"/>
                <w:color w:val="auto"/>
                <w:lang w:val="en-US" w:eastAsia="zh-CN"/>
              </w:rPr>
              <w:t>⑦装置仪表用及解冻用的干燥空气</w:t>
            </w:r>
          </w:p>
          <w:p w14:paraId="33683F7D">
            <w:pPr>
              <w:bidi w:val="0"/>
              <w:rPr>
                <w:rFonts w:hint="eastAsia"/>
                <w:color w:val="auto"/>
                <w:lang w:val="en-US" w:eastAsia="zh-CN"/>
              </w:rPr>
            </w:pPr>
            <w:r>
              <w:rPr>
                <w:rFonts w:hint="eastAsia"/>
                <w:color w:val="auto"/>
                <w:lang w:val="en-US" w:eastAsia="zh-CN"/>
              </w:rPr>
              <w:t>装置仪表用（正常操作时）的解冻所需的干燥空气从分子筛吸附器后引出，并送到：仪表空气管网中，各处作局部解冻，装置启动时由买方提供干燥无油仪表空气。</w:t>
            </w:r>
          </w:p>
          <w:p w14:paraId="19697999">
            <w:pPr>
              <w:bidi w:val="0"/>
              <w:rPr>
                <w:rFonts w:hint="eastAsia"/>
                <w:color w:val="auto"/>
                <w:lang w:val="en-US" w:eastAsia="zh-CN"/>
              </w:rPr>
            </w:pPr>
            <w:r>
              <w:rPr>
                <w:rFonts w:hint="eastAsia"/>
                <w:color w:val="auto"/>
                <w:lang w:val="en-US" w:eastAsia="zh-CN"/>
              </w:rPr>
              <w:t>该工序没有污染物产生。</w:t>
            </w:r>
          </w:p>
          <w:p w14:paraId="6F19293A">
            <w:pPr>
              <w:bidi w:val="0"/>
              <w:rPr>
                <w:rFonts w:hint="eastAsia"/>
                <w:b/>
                <w:bCs/>
                <w:color w:val="auto"/>
                <w:sz w:val="21"/>
                <w:szCs w:val="21"/>
              </w:rPr>
            </w:pPr>
            <w:r>
              <w:rPr>
                <w:rFonts w:hint="eastAsia"/>
                <w:color w:val="auto"/>
                <w:lang w:val="en-US" w:eastAsia="zh-CN"/>
              </w:rPr>
              <w:t>KDONAr-6650Y/10300Y/220Y型液体空分的工艺流程简图如下：</w:t>
            </w:r>
          </w:p>
          <w:p w14:paraId="2CBE8F15">
            <w:pPr>
              <w:bidi w:val="0"/>
              <w:ind w:left="0" w:leftChars="0" w:firstLine="0" w:firstLineChars="0"/>
              <w:jc w:val="center"/>
              <w:rPr>
                <w:rFonts w:hint="eastAsia"/>
                <w:color w:val="auto"/>
                <w:lang w:val="en-US" w:eastAsia="zh-CN"/>
              </w:rPr>
            </w:pPr>
            <w:r>
              <w:drawing>
                <wp:inline distT="0" distB="0" distL="114300" distR="114300">
                  <wp:extent cx="5269230" cy="4427220"/>
                  <wp:effectExtent l="0" t="0" r="7620" b="11430"/>
                  <wp:docPr id="4"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13"/>
                          <pic:cNvPicPr>
                            <a:picLocks noChangeAspect="1"/>
                          </pic:cNvPicPr>
                        </pic:nvPicPr>
                        <pic:blipFill>
                          <a:blip r:embed="rId23"/>
                          <a:stretch>
                            <a:fillRect/>
                          </a:stretch>
                        </pic:blipFill>
                        <pic:spPr>
                          <a:xfrm>
                            <a:off x="0" y="0"/>
                            <a:ext cx="5269230" cy="4427220"/>
                          </a:xfrm>
                          <a:prstGeom prst="rect">
                            <a:avLst/>
                          </a:prstGeom>
                          <a:noFill/>
                          <a:ln>
                            <a:noFill/>
                          </a:ln>
                        </pic:spPr>
                      </pic:pic>
                    </a:graphicData>
                  </a:graphic>
                </wp:inline>
              </w:drawing>
            </w:r>
          </w:p>
          <w:p w14:paraId="2D8C959F">
            <w:pPr>
              <w:spacing w:line="360" w:lineRule="auto"/>
              <w:ind w:left="0" w:leftChars="0" w:firstLine="0" w:firstLineChars="0"/>
              <w:jc w:val="center"/>
              <w:rPr>
                <w:rFonts w:hint="eastAsia"/>
                <w:b/>
                <w:bCs/>
                <w:color w:val="auto"/>
                <w:sz w:val="21"/>
                <w:szCs w:val="21"/>
              </w:rPr>
            </w:pPr>
            <w:r>
              <w:rPr>
                <w:rFonts w:hint="eastAsia"/>
                <w:b/>
                <w:bCs/>
                <w:color w:val="auto"/>
                <w:sz w:val="21"/>
                <w:szCs w:val="21"/>
              </w:rPr>
              <w:t>图2-</w:t>
            </w:r>
            <w:r>
              <w:rPr>
                <w:rFonts w:hint="eastAsia"/>
                <w:b/>
                <w:bCs/>
                <w:color w:val="auto"/>
                <w:sz w:val="21"/>
                <w:szCs w:val="21"/>
                <w:lang w:val="en-US" w:eastAsia="zh-CN"/>
              </w:rPr>
              <w:t>3  液体空分装置</w:t>
            </w:r>
            <w:r>
              <w:rPr>
                <w:rFonts w:hint="eastAsia"/>
                <w:b/>
                <w:bCs/>
                <w:color w:val="auto"/>
                <w:sz w:val="21"/>
                <w:szCs w:val="21"/>
              </w:rPr>
              <w:t>工艺流程及产污位置图</w:t>
            </w:r>
          </w:p>
          <w:p w14:paraId="06110E47">
            <w:pPr>
              <w:spacing w:line="360" w:lineRule="auto"/>
              <w:ind w:left="0" w:leftChars="0" w:firstLine="482" w:firstLineChars="200"/>
              <w:rPr>
                <w:rFonts w:hint="eastAsia"/>
                <w:b/>
                <w:bCs/>
                <w:color w:val="auto"/>
                <w:sz w:val="24"/>
                <w:szCs w:val="24"/>
                <w:lang w:val="en-US" w:eastAsia="zh-CN"/>
              </w:rPr>
            </w:pPr>
            <w:r>
              <w:rPr>
                <w:rFonts w:hint="eastAsia"/>
                <w:b/>
                <w:bCs/>
                <w:color w:val="auto"/>
                <w:sz w:val="24"/>
                <w:szCs w:val="24"/>
                <w:lang w:val="en-US" w:eastAsia="zh-CN"/>
              </w:rPr>
              <w:t>2、气体充装线的工艺流程</w:t>
            </w:r>
          </w:p>
          <w:p w14:paraId="17E56151">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（1） 氧、氮、 氩气充装工艺流程简述</w:t>
            </w:r>
          </w:p>
          <w:p w14:paraId="07B637D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b w:val="0"/>
                <w:bCs w:val="0"/>
                <w:color w:val="auto"/>
                <w:sz w:val="24"/>
                <w:szCs w:val="24"/>
                <w:lang w:val="en-US" w:eastAsia="zh-CN"/>
              </w:rPr>
            </w:pPr>
            <w:r>
              <w:rPr>
                <w:rFonts w:hint="default" w:ascii="Times New Roman" w:hAnsi="Times New Roman" w:eastAsia="宋体" w:cs="Times New Roman"/>
                <w:b w:val="0"/>
                <w:bCs/>
                <w:color w:val="auto"/>
                <w:sz w:val="24"/>
                <w:szCs w:val="24"/>
                <w:lang w:eastAsia="zh-CN"/>
              </w:rPr>
              <w:t>氧、氮、氩气属于压缩气体，</w:t>
            </w:r>
            <w:r>
              <w:rPr>
                <w:rFonts w:hint="eastAsia" w:ascii="Times New Roman" w:hAnsi="Times New Roman" w:eastAsia="宋体" w:cs="Times New Roman"/>
                <w:b w:val="0"/>
                <w:bCs/>
                <w:color w:val="auto"/>
                <w:sz w:val="24"/>
                <w:szCs w:val="24"/>
                <w:lang w:val="en-US" w:eastAsia="zh-CN"/>
              </w:rPr>
              <w:t>项目充装用</w:t>
            </w:r>
            <w:r>
              <w:rPr>
                <w:rFonts w:hint="default" w:ascii="Times New Roman" w:hAnsi="Times New Roman" w:eastAsia="宋体" w:cs="Times New Roman"/>
                <w:b w:val="0"/>
                <w:bCs/>
                <w:color w:val="auto"/>
                <w:sz w:val="24"/>
                <w:szCs w:val="24"/>
                <w:lang w:eastAsia="zh-CN"/>
              </w:rPr>
              <w:t>氧、氮、氩气</w:t>
            </w:r>
            <w:r>
              <w:rPr>
                <w:rFonts w:hint="eastAsia" w:ascii="Times New Roman" w:hAnsi="Times New Roman" w:eastAsia="宋体" w:cs="Times New Roman"/>
                <w:b w:val="0"/>
                <w:bCs/>
                <w:color w:val="auto"/>
                <w:sz w:val="24"/>
                <w:szCs w:val="24"/>
                <w:lang w:val="en-US" w:eastAsia="zh-CN"/>
              </w:rPr>
              <w:t>均来自项目</w:t>
            </w:r>
            <w:r>
              <w:rPr>
                <w:rFonts w:hint="eastAsia"/>
                <w:b w:val="0"/>
                <w:bCs w:val="0"/>
                <w:color w:val="auto"/>
                <w:sz w:val="24"/>
                <w:szCs w:val="24"/>
                <w:lang w:val="en-US" w:eastAsia="zh-CN"/>
              </w:rPr>
              <w:t>液体空分装置生产的液氧、液氮、液氩及高纯液氧。根据客户需求，将</w:t>
            </w:r>
            <w:r>
              <w:rPr>
                <w:rFonts w:hint="eastAsia"/>
                <w:color w:val="auto"/>
                <w:sz w:val="24"/>
                <w:u w:val="none"/>
              </w:rPr>
              <w:t>储存</w:t>
            </w:r>
            <w:r>
              <w:rPr>
                <w:rFonts w:hint="eastAsia"/>
                <w:color w:val="auto"/>
                <w:sz w:val="24"/>
                <w:u w:val="none"/>
                <w:lang w:val="en-US" w:eastAsia="zh-CN"/>
              </w:rPr>
              <w:t>在</w:t>
            </w:r>
            <w:r>
              <w:rPr>
                <w:rFonts w:hint="eastAsia"/>
                <w:color w:val="auto"/>
                <w:sz w:val="24"/>
                <w:u w:val="none"/>
              </w:rPr>
              <w:t>低温储罐</w:t>
            </w:r>
            <w:r>
              <w:rPr>
                <w:rFonts w:hint="eastAsia"/>
                <w:color w:val="auto"/>
                <w:sz w:val="24"/>
                <w:u w:val="none"/>
                <w:lang w:val="en-US" w:eastAsia="zh-CN"/>
              </w:rPr>
              <w:t>中的</w:t>
            </w:r>
            <w:r>
              <w:rPr>
                <w:rFonts w:hint="eastAsia"/>
                <w:color w:val="auto"/>
                <w:sz w:val="24"/>
                <w:u w:val="none"/>
              </w:rPr>
              <w:t>液氧、</w:t>
            </w:r>
            <w:r>
              <w:rPr>
                <w:rFonts w:hint="eastAsia"/>
                <w:color w:val="auto"/>
                <w:sz w:val="24"/>
                <w:u w:val="none"/>
                <w:lang w:val="en-US" w:eastAsia="zh-CN"/>
              </w:rPr>
              <w:t>高纯液氧、</w:t>
            </w:r>
            <w:r>
              <w:rPr>
                <w:rFonts w:hint="eastAsia"/>
                <w:color w:val="auto"/>
                <w:sz w:val="24"/>
                <w:u w:val="none"/>
              </w:rPr>
              <w:t>液氮、液氩</w:t>
            </w:r>
            <w:r>
              <w:rPr>
                <w:rFonts w:hint="eastAsia"/>
                <w:b w:val="0"/>
                <w:bCs w:val="0"/>
                <w:color w:val="auto"/>
                <w:sz w:val="24"/>
                <w:szCs w:val="24"/>
                <w:lang w:val="en-US" w:eastAsia="zh-CN"/>
              </w:rPr>
              <w:t>充装至钢瓶或杜瓦罐中。需要充装时液氧、液氮、液氩经各自的低温泵加压送至空温式汽化器，气化后的氧气、氮气、氩气经气体汇流排/集装格充入钢瓶中。当钢瓶的压力达到15MPa或20MPa左右时，关闭瓶阀，卸下钢瓶，经检验合格后出厂。工艺流程详述如下（以氧气为例）：</w:t>
            </w:r>
          </w:p>
          <w:p w14:paraId="0838BFF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b w:val="0"/>
                <w:bCs w:val="0"/>
                <w:color w:val="auto"/>
                <w:sz w:val="24"/>
                <w:szCs w:val="24"/>
                <w:lang w:val="en-US" w:eastAsia="zh-CN"/>
              </w:rPr>
            </w:pPr>
            <w:r>
              <w:rPr>
                <w:rFonts w:hint="eastAsia"/>
                <w:b w:val="0"/>
                <w:bCs w:val="0"/>
                <w:color w:val="auto"/>
                <w:sz w:val="24"/>
                <w:szCs w:val="24"/>
                <w:lang w:val="en-US" w:eastAsia="zh-CN"/>
              </w:rPr>
              <w:t xml:space="preserve">①储存过程：低温液体储罐为双层圆筒结构，内筒及其配管采用奥氏体不锈钢制造，外壳用碳钢制造，夹层内充填专用深冷绝热材料珠光砂，并将夹层抽成高真空，该结构可用于保持液体原料的低温状态。储存温度均为-196℃，工作压力为0.8Mpa（工业液氧）~1.64Mpa（医用液氧、高纯液氧、液氮、液氩）。 </w:t>
            </w:r>
          </w:p>
          <w:p w14:paraId="3CB740C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lang w:eastAsia="zh-CN"/>
              </w:rPr>
            </w:pPr>
            <w:r>
              <w:rPr>
                <w:rFonts w:hint="eastAsia"/>
                <w:b w:val="0"/>
                <w:bCs w:val="0"/>
                <w:color w:val="auto"/>
                <w:sz w:val="24"/>
                <w:szCs w:val="24"/>
                <w:lang w:val="en-US" w:eastAsia="zh-CN"/>
              </w:rPr>
              <w:t>②充装过程：充装根据形态和规格分为两种方式。一种是气体充装至钢瓶中，一种是液体充装至杜瓦罐中。</w:t>
            </w:r>
            <w:r>
              <w:rPr>
                <w:rFonts w:hint="default" w:ascii="Times New Roman" w:hAnsi="Times New Roman" w:eastAsia="宋体" w:cs="Times New Roman"/>
                <w:b w:val="0"/>
                <w:bCs/>
                <w:color w:val="auto"/>
                <w:sz w:val="24"/>
                <w:szCs w:val="24"/>
                <w:lang w:eastAsia="zh-CN"/>
              </w:rPr>
              <w:t>空分装置的产品液氧</w:t>
            </w:r>
            <w:r>
              <w:rPr>
                <w:rFonts w:hint="eastAsia"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液</w:t>
            </w:r>
            <w:r>
              <w:rPr>
                <w:rFonts w:hint="default" w:ascii="Times New Roman" w:hAnsi="Times New Roman" w:eastAsia="宋体" w:cs="Times New Roman"/>
                <w:b w:val="0"/>
                <w:bCs/>
                <w:color w:val="auto"/>
                <w:sz w:val="24"/>
                <w:szCs w:val="24"/>
                <w:lang w:eastAsia="zh-CN"/>
              </w:rPr>
              <w:t>氮</w:t>
            </w:r>
            <w:r>
              <w:rPr>
                <w:rFonts w:hint="eastAsia"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液</w:t>
            </w:r>
            <w:r>
              <w:rPr>
                <w:rFonts w:hint="default" w:ascii="Times New Roman" w:hAnsi="Times New Roman" w:eastAsia="宋体" w:cs="Times New Roman"/>
                <w:b w:val="0"/>
                <w:bCs/>
                <w:color w:val="auto"/>
                <w:sz w:val="24"/>
                <w:szCs w:val="24"/>
                <w:lang w:eastAsia="zh-CN"/>
              </w:rPr>
              <w:t>氩</w:t>
            </w:r>
            <w:r>
              <w:rPr>
                <w:rFonts w:hint="eastAsia" w:ascii="Times New Roman" w:hAnsi="Times New Roman" w:eastAsia="宋体" w:cs="Times New Roman"/>
                <w:b w:val="0"/>
                <w:bCs/>
                <w:color w:val="auto"/>
                <w:sz w:val="24"/>
                <w:szCs w:val="24"/>
                <w:lang w:val="en-US" w:eastAsia="zh-CN"/>
              </w:rPr>
              <w:t>/高纯液氧分别</w:t>
            </w:r>
            <w:r>
              <w:rPr>
                <w:rFonts w:hint="default" w:ascii="Times New Roman" w:hAnsi="Times New Roman" w:eastAsia="宋体" w:cs="Times New Roman"/>
                <w:b w:val="0"/>
                <w:bCs/>
                <w:color w:val="auto"/>
                <w:sz w:val="24"/>
                <w:szCs w:val="24"/>
                <w:lang w:eastAsia="zh-CN"/>
              </w:rPr>
              <w:t>进入液氧</w:t>
            </w:r>
            <w:r>
              <w:rPr>
                <w:rFonts w:hint="eastAsia"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液</w:t>
            </w:r>
            <w:r>
              <w:rPr>
                <w:rFonts w:hint="default" w:ascii="Times New Roman" w:hAnsi="Times New Roman" w:eastAsia="宋体" w:cs="Times New Roman"/>
                <w:b w:val="0"/>
                <w:bCs/>
                <w:color w:val="auto"/>
                <w:sz w:val="24"/>
                <w:szCs w:val="24"/>
                <w:lang w:eastAsia="zh-CN"/>
              </w:rPr>
              <w:t>氮</w:t>
            </w:r>
            <w:r>
              <w:rPr>
                <w:rFonts w:hint="eastAsia"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液</w:t>
            </w:r>
            <w:r>
              <w:rPr>
                <w:rFonts w:hint="default" w:ascii="Times New Roman" w:hAnsi="Times New Roman" w:eastAsia="宋体" w:cs="Times New Roman"/>
                <w:b w:val="0"/>
                <w:bCs/>
                <w:color w:val="auto"/>
                <w:sz w:val="24"/>
                <w:szCs w:val="24"/>
                <w:lang w:eastAsia="zh-CN"/>
              </w:rPr>
              <w:t>氩</w:t>
            </w:r>
            <w:r>
              <w:rPr>
                <w:rFonts w:hint="eastAsia" w:ascii="Times New Roman" w:hAnsi="Times New Roman" w:eastAsia="宋体" w:cs="Times New Roman"/>
                <w:b w:val="0"/>
                <w:bCs/>
                <w:color w:val="auto"/>
                <w:sz w:val="24"/>
                <w:szCs w:val="24"/>
                <w:lang w:val="en-US" w:eastAsia="zh-CN"/>
              </w:rPr>
              <w:t>/高纯液氧</w:t>
            </w:r>
            <w:r>
              <w:rPr>
                <w:rFonts w:hint="default" w:ascii="Times New Roman" w:hAnsi="Times New Roman" w:eastAsia="宋体" w:cs="Times New Roman"/>
                <w:b w:val="0"/>
                <w:bCs/>
                <w:color w:val="auto"/>
                <w:sz w:val="24"/>
                <w:szCs w:val="24"/>
                <w:lang w:eastAsia="zh-CN"/>
              </w:rPr>
              <w:t>储罐</w:t>
            </w:r>
            <w:r>
              <w:rPr>
                <w:rFonts w:hint="eastAsia" w:cs="Times New Roman"/>
                <w:b w:val="0"/>
                <w:bCs/>
                <w:color w:val="auto"/>
                <w:sz w:val="24"/>
                <w:szCs w:val="24"/>
                <w:lang w:eastAsia="zh-CN"/>
              </w:rPr>
              <w:t>。</w:t>
            </w:r>
            <w:r>
              <w:rPr>
                <w:rFonts w:hint="default" w:ascii="Times New Roman" w:hAnsi="Times New Roman" w:eastAsia="宋体" w:cs="Times New Roman"/>
                <w:b w:val="0"/>
                <w:bCs/>
                <w:color w:val="auto"/>
                <w:sz w:val="24"/>
                <w:szCs w:val="24"/>
                <w:lang w:eastAsia="zh-CN"/>
              </w:rPr>
              <w:t>根据客户需求，一部分经过低温液体泵，再经汽化器气化成气体，输送至充装间进行充瓶，两组气瓶交替进行，当第一组气瓶压力升至工艺值（15或20MPa）后充气装置切换到第二组进行充装，同时关闭第一组充满的气瓶，拆除充气接头后移至暂存区，重新换上新的一组空瓶连接好充装接头待充，如此交替进行直至所有空瓶充装完毕后关闭充装泵以及相应管路的阀门</w:t>
            </w:r>
            <w:r>
              <w:rPr>
                <w:rFonts w:hint="eastAsia" w:ascii="Times New Roman" w:hAnsi="Times New Roman" w:eastAsia="宋体" w:cs="Times New Roman"/>
                <w:b w:val="0"/>
                <w:bCs/>
                <w:color w:val="auto"/>
                <w:sz w:val="24"/>
                <w:szCs w:val="24"/>
                <w:lang w:eastAsia="zh-CN"/>
              </w:rPr>
              <w:t>。</w:t>
            </w:r>
          </w:p>
          <w:p w14:paraId="67E0A8B3">
            <w:pPr>
              <w:pStyle w:val="20"/>
              <w:jc w:val="both"/>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一部分通过</w:t>
            </w:r>
            <w:r>
              <w:rPr>
                <w:rFonts w:hint="eastAsia" w:ascii="Times New Roman" w:hAnsi="Times New Roman" w:eastAsia="宋体" w:cs="Times New Roman"/>
                <w:b w:val="0"/>
                <w:bCs/>
                <w:color w:val="auto"/>
                <w:sz w:val="24"/>
                <w:szCs w:val="24"/>
                <w:lang w:val="en-US" w:eastAsia="zh-CN"/>
              </w:rPr>
              <w:t>软管</w:t>
            </w:r>
            <w:r>
              <w:rPr>
                <w:rFonts w:hint="default" w:ascii="Times New Roman" w:hAnsi="Times New Roman" w:eastAsia="宋体" w:cs="Times New Roman"/>
                <w:b w:val="0"/>
                <w:bCs/>
                <w:color w:val="auto"/>
                <w:sz w:val="24"/>
                <w:szCs w:val="24"/>
                <w:lang w:eastAsia="zh-CN"/>
              </w:rPr>
              <w:t>直接进行杜瓦</w:t>
            </w:r>
            <w:r>
              <w:rPr>
                <w:rFonts w:hint="eastAsia" w:ascii="Times New Roman" w:hAnsi="Times New Roman" w:eastAsia="宋体" w:cs="Times New Roman"/>
                <w:b w:val="0"/>
                <w:bCs/>
                <w:color w:val="auto"/>
                <w:sz w:val="24"/>
                <w:szCs w:val="24"/>
                <w:lang w:val="en-US" w:eastAsia="zh-CN"/>
              </w:rPr>
              <w:t>罐</w:t>
            </w:r>
            <w:r>
              <w:rPr>
                <w:rFonts w:hint="default" w:ascii="Times New Roman" w:hAnsi="Times New Roman" w:eastAsia="宋体" w:cs="Times New Roman"/>
                <w:b w:val="0"/>
                <w:bCs/>
                <w:color w:val="auto"/>
                <w:sz w:val="24"/>
                <w:szCs w:val="24"/>
                <w:lang w:eastAsia="zh-CN"/>
              </w:rPr>
              <w:t>充装；将杜瓦瓶放置在电子秤上，连接好充装卡具</w:t>
            </w:r>
            <w:r>
              <w:rPr>
                <w:rFonts w:hint="eastAsia" w:ascii="Times New Roman" w:hAnsi="Times New Roman" w:eastAsia="宋体" w:cs="Times New Roman"/>
                <w:b w:val="0"/>
                <w:bCs/>
                <w:color w:val="auto"/>
                <w:sz w:val="24"/>
                <w:szCs w:val="24"/>
                <w:lang w:val="en-US" w:eastAsia="zh-CN"/>
              </w:rPr>
              <w:t>和</w:t>
            </w:r>
            <w:r>
              <w:rPr>
                <w:rFonts w:hint="default" w:ascii="Times New Roman" w:hAnsi="Times New Roman" w:eastAsia="宋体" w:cs="Times New Roman"/>
                <w:b w:val="0"/>
                <w:bCs/>
                <w:color w:val="auto"/>
                <w:sz w:val="24"/>
                <w:szCs w:val="24"/>
                <w:lang w:eastAsia="zh-CN"/>
              </w:rPr>
              <w:t>充装液相以及气相回气管路接头，</w:t>
            </w:r>
            <w:r>
              <w:rPr>
                <w:rFonts w:hint="eastAsia" w:ascii="Times New Roman" w:hAnsi="Times New Roman" w:eastAsia="宋体" w:cs="Times New Roman"/>
                <w:b w:val="0"/>
                <w:bCs/>
                <w:color w:val="auto"/>
                <w:sz w:val="24"/>
                <w:szCs w:val="24"/>
                <w:lang w:val="en-US" w:eastAsia="zh-CN"/>
              </w:rPr>
              <w:t>打开储罐的排放阀和杜瓦罐的进液阀</w:t>
            </w:r>
            <w:r>
              <w:rPr>
                <w:rFonts w:hint="default" w:ascii="Times New Roman" w:hAnsi="Times New Roman" w:eastAsia="宋体" w:cs="Times New Roman"/>
                <w:b w:val="0"/>
                <w:bCs/>
                <w:color w:val="auto"/>
                <w:sz w:val="24"/>
                <w:szCs w:val="24"/>
                <w:lang w:eastAsia="zh-CN"/>
              </w:rPr>
              <w:t>进行充装，当电子秤显示达到额定液体重量时（175升杜瓦罐液氧180公斤）气动阀自动关闭进液管路并切换至另一个</w:t>
            </w:r>
            <w:r>
              <w:rPr>
                <w:rFonts w:hint="eastAsia" w:ascii="Times New Roman" w:hAnsi="Times New Roman" w:eastAsia="宋体" w:cs="Times New Roman"/>
                <w:b w:val="0"/>
                <w:bCs/>
                <w:color w:val="auto"/>
                <w:sz w:val="24"/>
                <w:szCs w:val="24"/>
                <w:lang w:val="en-US" w:eastAsia="zh-CN"/>
              </w:rPr>
              <w:t>杜瓦罐</w:t>
            </w:r>
            <w:r>
              <w:rPr>
                <w:rFonts w:hint="default" w:ascii="Times New Roman" w:hAnsi="Times New Roman" w:eastAsia="宋体" w:cs="Times New Roman"/>
                <w:b w:val="0"/>
                <w:bCs/>
                <w:color w:val="auto"/>
                <w:sz w:val="24"/>
                <w:szCs w:val="24"/>
                <w:lang w:eastAsia="zh-CN"/>
              </w:rPr>
              <w:t>，关闭好充满的杜瓦瓶所有阀门，拆除充装管线将杜瓦</w:t>
            </w:r>
            <w:r>
              <w:rPr>
                <w:rFonts w:hint="eastAsia" w:ascii="Times New Roman" w:hAnsi="Times New Roman" w:eastAsia="宋体" w:cs="Times New Roman"/>
                <w:b w:val="0"/>
                <w:bCs/>
                <w:color w:val="auto"/>
                <w:sz w:val="24"/>
                <w:szCs w:val="24"/>
                <w:lang w:val="en-US" w:eastAsia="zh-CN"/>
              </w:rPr>
              <w:t>罐</w:t>
            </w:r>
            <w:r>
              <w:rPr>
                <w:rFonts w:hint="default" w:ascii="Times New Roman" w:hAnsi="Times New Roman" w:eastAsia="宋体" w:cs="Times New Roman"/>
                <w:b w:val="0"/>
                <w:bCs/>
                <w:color w:val="auto"/>
                <w:sz w:val="24"/>
                <w:szCs w:val="24"/>
                <w:lang w:eastAsia="zh-CN"/>
              </w:rPr>
              <w:t>移至满瓶暂存区。如此交替进行直至充装结束关闭所有管路阀门。在充装杜瓦罐过程中，采用称重法来控制充装液体的重量，保证了充装过程的安全。</w:t>
            </w:r>
          </w:p>
          <w:p w14:paraId="5A53F860">
            <w:pPr>
              <w:pStyle w:val="20"/>
              <w:jc w:val="both"/>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一部分</w:t>
            </w:r>
            <w:r>
              <w:rPr>
                <w:rFonts w:hint="eastAsia" w:ascii="Times New Roman" w:hAnsi="Times New Roman" w:eastAsia="宋体" w:cs="Times New Roman"/>
                <w:b w:val="0"/>
                <w:bCs/>
                <w:color w:val="auto"/>
                <w:sz w:val="24"/>
                <w:szCs w:val="24"/>
                <w:lang w:val="en-US" w:eastAsia="zh-CN"/>
              </w:rPr>
              <w:t>液氧和高纯液氧</w:t>
            </w:r>
            <w:r>
              <w:rPr>
                <w:rFonts w:hint="default" w:ascii="Times New Roman" w:hAnsi="Times New Roman" w:eastAsia="宋体" w:cs="Times New Roman"/>
                <w:b w:val="0"/>
                <w:bCs/>
                <w:color w:val="auto"/>
                <w:sz w:val="24"/>
                <w:szCs w:val="24"/>
                <w:lang w:eastAsia="zh-CN"/>
              </w:rPr>
              <w:t>采用槽罐车的方式进行外售；采用槽罐车直接送到客户处进行供气实现销售。</w:t>
            </w:r>
          </w:p>
          <w:p w14:paraId="4A6B880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object>
                <v:shape id="_x0000_i1027" o:spt="75" type="#_x0000_t75" style="height:175.25pt;width:407pt;" o:ole="t" filled="f" o:preferrelative="t" stroked="f" coordsize="21600,21600">
                  <v:path/>
                  <v:fill on="f" focussize="0,0"/>
                  <v:stroke on="f"/>
                  <v:imagedata r:id="rId25" o:title=""/>
                  <o:lock v:ext="edit" aspectratio="f"/>
                  <w10:wrap type="none"/>
                  <w10:anchorlock/>
                </v:shape>
                <o:OLEObject Type="Embed" ProgID="Visio.Drawing.15" ShapeID="_x0000_i1027" DrawAspect="Content" ObjectID="_1468075727" r:id="rId24">
                  <o:LockedField>false</o:LockedField>
                </o:OLEObject>
              </w:object>
            </w:r>
          </w:p>
          <w:p w14:paraId="4E1579BB">
            <w:pPr>
              <w:pStyle w:val="2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图2-</w:t>
            </w:r>
            <w:r>
              <w:rPr>
                <w:rFonts w:hint="eastAsia" w:cs="Times New Roman"/>
                <w:b/>
                <w:color w:val="auto"/>
                <w:sz w:val="21"/>
                <w:szCs w:val="21"/>
                <w:lang w:val="en-US" w:eastAsia="zh-CN"/>
              </w:rPr>
              <w:t>4</w:t>
            </w:r>
            <w:r>
              <w:rPr>
                <w:rFonts w:hint="default" w:ascii="Times New Roman" w:hAnsi="Times New Roman" w:eastAsia="宋体" w:cs="Times New Roman"/>
                <w:b/>
                <w:color w:val="auto"/>
                <w:sz w:val="21"/>
                <w:szCs w:val="21"/>
                <w:lang w:eastAsia="zh-CN"/>
              </w:rPr>
              <w:t xml:space="preserve"> </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eastAsia="zh-CN"/>
              </w:rPr>
              <w:t>项目氧充装工艺流程图</w:t>
            </w:r>
          </w:p>
          <w:p w14:paraId="1CFC2F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default"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szCs w:val="24"/>
                <w:lang w:eastAsia="zh-CN"/>
              </w:rPr>
              <w:t>（</w:t>
            </w:r>
            <w:r>
              <w:rPr>
                <w:rFonts w:hint="eastAsia" w:ascii="Times New Roman" w:hAnsi="Times New Roman" w:eastAsia="宋体" w:cs="Times New Roman"/>
                <w:b/>
                <w:color w:val="auto"/>
                <w:sz w:val="24"/>
                <w:szCs w:val="24"/>
                <w:lang w:val="en-US" w:eastAsia="zh-CN"/>
              </w:rPr>
              <w:t>2</w:t>
            </w:r>
            <w:r>
              <w:rPr>
                <w:rFonts w:hint="eastAsia" w:ascii="Times New Roman" w:hAnsi="Times New Roman" w:eastAsia="宋体" w:cs="Times New Roman"/>
                <w:b/>
                <w:color w:val="auto"/>
                <w:sz w:val="24"/>
                <w:szCs w:val="24"/>
                <w:lang w:eastAsia="zh-CN"/>
              </w:rPr>
              <w:t>）</w:t>
            </w:r>
            <w:r>
              <w:rPr>
                <w:rFonts w:hint="default" w:ascii="Times New Roman" w:hAnsi="Times New Roman" w:eastAsia="宋体" w:cs="Times New Roman"/>
                <w:b/>
                <w:color w:val="auto"/>
                <w:sz w:val="24"/>
                <w:szCs w:val="24"/>
                <w:lang w:eastAsia="zh-CN"/>
              </w:rPr>
              <w:t>二氧化碳充装工艺流程简述</w:t>
            </w:r>
          </w:p>
          <w:p w14:paraId="3DAC731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object>
                <v:shape id="_x0000_i1028" o:spt="75" type="#_x0000_t75" style="height:51.35pt;width:420.45pt;" o:ole="t" filled="f" o:preferrelative="t" stroked="f" coordsize="21600,21600">
                  <v:path/>
                  <v:fill on="f" focussize="0,0"/>
                  <v:stroke on="f"/>
                  <v:imagedata r:id="rId27" o:title=""/>
                  <o:lock v:ext="edit" aspectratio="f"/>
                  <w10:wrap type="none"/>
                  <w10:anchorlock/>
                </v:shape>
                <o:OLEObject Type="Embed" ProgID="Visio.Drawing.15" ShapeID="_x0000_i1028" DrawAspect="Content" ObjectID="_1468075728" r:id="rId26">
                  <o:LockedField>false</o:LockedField>
                </o:OLEObject>
              </w:object>
            </w:r>
          </w:p>
          <w:p w14:paraId="6628A1C1">
            <w:pPr>
              <w:pStyle w:val="20"/>
              <w:ind w:left="0" w:leftChars="0" w:firstLine="0" w:firstLineChars="0"/>
              <w:jc w:val="center"/>
              <w:rPr>
                <w:rFonts w:hint="default"/>
                <w:b/>
                <w:bCs/>
                <w:sz w:val="20"/>
                <w:szCs w:val="21"/>
                <w:lang w:eastAsia="zh-CN"/>
              </w:rPr>
            </w:pPr>
            <w:r>
              <w:rPr>
                <w:rFonts w:hint="default"/>
                <w:b/>
                <w:bCs/>
                <w:sz w:val="20"/>
                <w:szCs w:val="21"/>
                <w:lang w:eastAsia="zh-CN"/>
              </w:rPr>
              <w:t xml:space="preserve">图2-5 </w:t>
            </w:r>
            <w:r>
              <w:rPr>
                <w:rFonts w:hint="eastAsia"/>
                <w:b/>
                <w:bCs/>
                <w:sz w:val="20"/>
                <w:szCs w:val="21"/>
                <w:lang w:val="en-US" w:eastAsia="zh-CN"/>
              </w:rPr>
              <w:t xml:space="preserve"> </w:t>
            </w:r>
            <w:r>
              <w:rPr>
                <w:rFonts w:hint="default"/>
                <w:b/>
                <w:bCs/>
                <w:sz w:val="20"/>
                <w:szCs w:val="21"/>
                <w:lang w:eastAsia="zh-CN"/>
              </w:rPr>
              <w:t>项目</w:t>
            </w:r>
            <w:r>
              <w:rPr>
                <w:rFonts w:hint="eastAsia"/>
                <w:b/>
                <w:bCs/>
                <w:sz w:val="20"/>
                <w:szCs w:val="21"/>
                <w:lang w:val="en-US" w:eastAsia="zh-CN"/>
              </w:rPr>
              <w:t>二氧化碳</w:t>
            </w:r>
            <w:r>
              <w:rPr>
                <w:rFonts w:hint="default"/>
                <w:b/>
                <w:bCs/>
                <w:sz w:val="20"/>
                <w:szCs w:val="21"/>
                <w:lang w:eastAsia="zh-CN"/>
              </w:rPr>
              <w:t>充装工艺流程图</w:t>
            </w:r>
          </w:p>
          <w:p w14:paraId="501171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二氧化碳属于高压液化气体，</w:t>
            </w:r>
            <w:r>
              <w:rPr>
                <w:rFonts w:hint="default" w:ascii="Times New Roman" w:hAnsi="Times New Roman" w:eastAsia="宋体" w:cs="Times New Roman"/>
                <w:b w:val="0"/>
                <w:bCs/>
                <w:color w:val="auto"/>
                <w:sz w:val="24"/>
                <w:szCs w:val="24"/>
                <w:lang w:eastAsia="zh-CN"/>
              </w:rPr>
              <w:t>项目从国内有资质的企业采购</w:t>
            </w:r>
            <w:r>
              <w:rPr>
                <w:rFonts w:hint="eastAsia" w:ascii="Times New Roman" w:hAnsi="Times New Roman" w:eastAsia="宋体" w:cs="Times New Roman"/>
                <w:b w:val="0"/>
                <w:bCs/>
                <w:color w:val="auto"/>
                <w:sz w:val="24"/>
                <w:szCs w:val="24"/>
                <w:lang w:val="en-US" w:eastAsia="zh-CN"/>
              </w:rPr>
              <w:t>二氧化碳</w:t>
            </w:r>
            <w:r>
              <w:rPr>
                <w:rFonts w:hint="default" w:ascii="Times New Roman" w:hAnsi="Times New Roman" w:eastAsia="宋体" w:cs="Times New Roman"/>
                <w:b w:val="0"/>
                <w:bCs/>
                <w:color w:val="auto"/>
                <w:sz w:val="24"/>
                <w:szCs w:val="24"/>
                <w:lang w:eastAsia="zh-CN"/>
              </w:rPr>
              <w:t>，外购的二氧化碳液体由槽车运至厂内，卸入二氧化碳贮槽内，经低温液体泵加压后送至充装排充入钢瓶，定量电子灌装秤设置好充装参数，当钢瓶充液重达到24kg时</w:t>
            </w:r>
            <w:r>
              <w:rPr>
                <w:rFonts w:hint="eastAsia"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eastAsia="zh-CN"/>
              </w:rPr>
              <w:t>对应40LWP15钢瓶</w:t>
            </w:r>
            <w:r>
              <w:rPr>
                <w:rFonts w:hint="eastAsia"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eastAsia="zh-CN"/>
              </w:rPr>
              <w:t>，自动停止充装，关闭瓶阀，取下钢瓶。经复称合格后贴上标签待售。</w:t>
            </w:r>
            <w:r>
              <w:rPr>
                <w:rFonts w:hint="eastAsia" w:ascii="Times New Roman" w:hAnsi="Times New Roman" w:eastAsia="宋体" w:cs="Times New Roman"/>
                <w:b w:val="0"/>
                <w:bCs/>
                <w:color w:val="auto"/>
                <w:sz w:val="24"/>
                <w:szCs w:val="24"/>
                <w:lang w:val="en-US" w:eastAsia="zh-CN"/>
              </w:rPr>
              <w:t>具体过程描述如下：</w:t>
            </w:r>
          </w:p>
          <w:p w14:paraId="4D2584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u w:val="none"/>
                <w:lang w:val="en-US" w:eastAsia="zh-CN"/>
              </w:rPr>
            </w:pPr>
            <w:r>
              <w:rPr>
                <w:rFonts w:hint="eastAsia"/>
                <w:color w:val="auto"/>
                <w:sz w:val="24"/>
                <w:u w:val="none"/>
                <w:lang w:val="en-US" w:eastAsia="zh-CN"/>
              </w:rPr>
              <w:t>①</w:t>
            </w:r>
            <w:r>
              <w:rPr>
                <w:rFonts w:hint="eastAsia"/>
                <w:color w:val="auto"/>
                <w:sz w:val="24"/>
                <w:u w:val="none"/>
              </w:rPr>
              <w:t>原料卸车过程</w:t>
            </w:r>
            <w:r>
              <w:rPr>
                <w:rFonts w:hint="eastAsia"/>
                <w:color w:val="auto"/>
                <w:sz w:val="24"/>
                <w:u w:val="none"/>
                <w:lang w:eastAsia="zh-CN"/>
              </w:rPr>
              <w:t>：</w:t>
            </w:r>
            <w:r>
              <w:rPr>
                <w:rFonts w:hint="eastAsia"/>
                <w:color w:val="auto"/>
                <w:sz w:val="24"/>
                <w:u w:val="none"/>
              </w:rPr>
              <w:t>液体</w:t>
            </w:r>
            <w:r>
              <w:rPr>
                <w:rFonts w:hint="eastAsia"/>
                <w:color w:val="auto"/>
                <w:sz w:val="24"/>
                <w:u w:val="none"/>
                <w:lang w:val="en-US" w:eastAsia="zh-CN"/>
              </w:rPr>
              <w:t>二氧化碳</w:t>
            </w:r>
            <w:r>
              <w:rPr>
                <w:rFonts w:hint="eastAsia"/>
                <w:color w:val="auto"/>
                <w:sz w:val="24"/>
                <w:u w:val="none"/>
              </w:rPr>
              <w:t>槽车到达指定地点后，接好</w:t>
            </w:r>
            <w:r>
              <w:rPr>
                <w:rFonts w:hint="eastAsia"/>
                <w:color w:val="auto"/>
                <w:sz w:val="24"/>
                <w:u w:val="none"/>
                <w:lang w:val="en-US" w:eastAsia="zh-CN"/>
              </w:rPr>
              <w:t>槽车</w:t>
            </w:r>
            <w:r>
              <w:rPr>
                <w:rFonts w:hint="eastAsia"/>
                <w:color w:val="auto"/>
                <w:sz w:val="24"/>
                <w:u w:val="none"/>
              </w:rPr>
              <w:t>的静电接地线，将槽车上的气、液管线分别与液态二氧化碳储罐的气、液管线连接好；首先开启槽车的气相阀门，再打开储罐气相阀门，使槽车与储罐内的压力平衡防止压力过低，导致液态二氧化碳结成干冰；然后开启槽车和储罐的液相阀门开启槽车卸液泵，开始卸液；当储罐上的液位计报警时，关闭槽车上的卸液阀，即完成液体原料卸车过程。</w:t>
            </w:r>
            <w:r>
              <w:rPr>
                <w:rFonts w:hint="eastAsia"/>
                <w:color w:val="auto"/>
                <w:sz w:val="24"/>
                <w:u w:val="none"/>
                <w:lang w:val="en-US" w:eastAsia="zh-CN"/>
              </w:rPr>
              <w:t xml:space="preserve">  </w:t>
            </w:r>
          </w:p>
          <w:p w14:paraId="4BCDD7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u w:val="none"/>
              </w:rPr>
            </w:pPr>
            <w:r>
              <w:rPr>
                <w:rFonts w:hint="eastAsia"/>
                <w:color w:val="auto"/>
                <w:sz w:val="24"/>
                <w:u w:val="none"/>
              </w:rPr>
              <w:t>②储存</w:t>
            </w:r>
            <w:r>
              <w:rPr>
                <w:rFonts w:hint="eastAsia"/>
                <w:color w:val="auto"/>
                <w:sz w:val="24"/>
                <w:u w:val="none"/>
                <w:lang w:eastAsia="zh-CN"/>
              </w:rPr>
              <w:t>：</w:t>
            </w:r>
            <w:r>
              <w:rPr>
                <w:rFonts w:hint="eastAsia"/>
                <w:color w:val="auto"/>
                <w:sz w:val="24"/>
                <w:u w:val="none"/>
              </w:rPr>
              <w:t>液态二氧化碳储罐容积为</w:t>
            </w:r>
            <w:r>
              <w:rPr>
                <w:rFonts w:hint="eastAsia"/>
                <w:color w:val="auto"/>
                <w:sz w:val="24"/>
                <w:u w:val="none"/>
                <w:lang w:val="en-US" w:eastAsia="zh-CN"/>
              </w:rPr>
              <w:t>5</w:t>
            </w:r>
            <w:r>
              <w:rPr>
                <w:rFonts w:hint="eastAsia"/>
                <w:color w:val="auto"/>
                <w:sz w:val="24"/>
                <w:u w:val="none"/>
              </w:rPr>
              <w:t>0m</w:t>
            </w:r>
            <w:r>
              <w:rPr>
                <w:rFonts w:hint="eastAsia"/>
                <w:color w:val="auto"/>
                <w:sz w:val="24"/>
                <w:u w:val="none"/>
                <w:vertAlign w:val="superscript"/>
              </w:rPr>
              <w:t>3</w:t>
            </w:r>
            <w:r>
              <w:rPr>
                <w:rFonts w:hint="eastAsia"/>
                <w:color w:val="auto"/>
                <w:sz w:val="24"/>
                <w:u w:val="none"/>
              </w:rPr>
              <w:t>，储存温度为-40℃，工作压力为2.2Mpa。</w:t>
            </w:r>
          </w:p>
          <w:p w14:paraId="05E3CA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u w:val="none"/>
              </w:rPr>
            </w:pPr>
            <w:r>
              <w:rPr>
                <w:rFonts w:hint="eastAsia"/>
                <w:color w:val="auto"/>
                <w:sz w:val="24"/>
                <w:u w:val="none"/>
              </w:rPr>
              <w:t>③充装过程</w:t>
            </w:r>
            <w:r>
              <w:rPr>
                <w:rFonts w:hint="eastAsia"/>
                <w:color w:val="auto"/>
                <w:sz w:val="24"/>
                <w:u w:val="none"/>
                <w:lang w:eastAsia="zh-CN"/>
              </w:rPr>
              <w:t>：</w:t>
            </w:r>
            <w:r>
              <w:rPr>
                <w:rFonts w:hint="eastAsia"/>
                <w:color w:val="auto"/>
                <w:sz w:val="24"/>
                <w:u w:val="none"/>
              </w:rPr>
              <w:t>充装时将钢瓶与汇流排入气口连接，开启低温液体循环泵</w:t>
            </w:r>
            <w:r>
              <w:rPr>
                <w:rFonts w:hint="eastAsia"/>
                <w:color w:val="auto"/>
                <w:sz w:val="24"/>
                <w:u w:val="none"/>
                <w:lang w:val="en-US" w:eastAsia="zh-CN"/>
              </w:rPr>
              <w:t>使</w:t>
            </w:r>
            <w:r>
              <w:rPr>
                <w:rFonts w:hint="eastAsia"/>
                <w:color w:val="auto"/>
                <w:sz w:val="24"/>
                <w:u w:val="none"/>
              </w:rPr>
              <w:t>液体汇流</w:t>
            </w:r>
            <w:r>
              <w:rPr>
                <w:rFonts w:hint="eastAsia"/>
                <w:color w:val="auto"/>
                <w:sz w:val="24"/>
                <w:u w:val="none"/>
                <w:lang w:val="en-US" w:eastAsia="zh-CN"/>
              </w:rPr>
              <w:t>进</w:t>
            </w:r>
            <w:r>
              <w:rPr>
                <w:rFonts w:hint="eastAsia"/>
                <w:color w:val="auto"/>
                <w:sz w:val="24"/>
                <w:u w:val="none"/>
              </w:rPr>
              <w:t>入钢瓶，待装满后，关闭低温液体循环泵阀门，取下钢瓶。</w:t>
            </w:r>
          </w:p>
          <w:p w14:paraId="4A1FF0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lang w:val="en-US" w:eastAsia="zh-CN"/>
              </w:rPr>
            </w:pPr>
            <w:r>
              <w:rPr>
                <w:rFonts w:hint="eastAsia"/>
                <w:color w:val="auto"/>
                <w:sz w:val="24"/>
                <w:u w:val="none"/>
              </w:rPr>
              <w:t>④检验</w:t>
            </w:r>
            <w:r>
              <w:rPr>
                <w:rFonts w:hint="eastAsia"/>
                <w:color w:val="auto"/>
                <w:sz w:val="24"/>
                <w:u w:val="none"/>
                <w:lang w:eastAsia="zh-CN"/>
              </w:rPr>
              <w:t>：</w:t>
            </w:r>
            <w:r>
              <w:rPr>
                <w:rFonts w:hint="eastAsia"/>
                <w:color w:val="auto"/>
                <w:sz w:val="24"/>
                <w:u w:val="none"/>
              </w:rPr>
              <w:t>充装完成的二氧化碳钢瓶进入检瓶车间进行检验，合格后即为成品。</w:t>
            </w:r>
          </w:p>
          <w:p w14:paraId="063C5C9A">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（3）混合气体</w:t>
            </w:r>
            <w:r>
              <w:rPr>
                <w:rFonts w:hint="default" w:ascii="Times New Roman" w:hAnsi="Times New Roman" w:eastAsia="宋体" w:cs="Times New Roman"/>
                <w:b/>
                <w:color w:val="auto"/>
                <w:sz w:val="24"/>
                <w:szCs w:val="24"/>
                <w:lang w:eastAsia="zh-CN"/>
              </w:rPr>
              <w:t>充装工艺流程简述</w:t>
            </w:r>
          </w:p>
          <w:p w14:paraId="6CB8D84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混合气体属于高压液化气体，由20%二氧化碳与80%氩气混合而成，需要充装时，液氩、二氧化碳液体经各自的低温泵加压送至空温式气化器，气化后的氩气和二氧化碳经气体汇流排/集装格充入钢瓶中，当钢瓶的压力达到15MPa或20MPa左右时，关闭瓶阀，卸下钢瓶，经检验合格后出厂。</w:t>
            </w:r>
          </w:p>
          <w:p w14:paraId="0EFABEEC">
            <w:pPr>
              <w:pStyle w:val="20"/>
              <w:ind w:left="0" w:leftChars="0" w:firstLine="0" w:firstLineChars="0"/>
              <w:jc w:val="center"/>
              <w:rPr>
                <w:rFonts w:hint="default"/>
                <w:b/>
                <w:bCs/>
                <w:sz w:val="20"/>
                <w:szCs w:val="21"/>
                <w:lang w:eastAsia="zh-CN"/>
              </w:rPr>
            </w:pPr>
            <w:r>
              <w:rPr>
                <w:rFonts w:hint="default" w:ascii="Times New Roman" w:hAnsi="Times New Roman" w:eastAsia="宋体" w:cs="Times New Roman"/>
                <w:b/>
                <w:color w:val="auto"/>
                <w:sz w:val="24"/>
                <w:szCs w:val="24"/>
                <w:lang w:eastAsia="zh-CN"/>
              </w:rPr>
              <w:object>
                <v:shape id="_x0000_i1029" o:spt="75" type="#_x0000_t75" style="height:99.95pt;width:430.9pt;" o:ole="t" filled="f" o:preferrelative="t" stroked="f" coordsize="21600,21600">
                  <v:path/>
                  <v:fill on="f" focussize="0,0"/>
                  <v:stroke on="f"/>
                  <v:imagedata r:id="rId29" o:title=""/>
                  <o:lock v:ext="edit" aspectratio="f"/>
                  <w10:wrap type="none"/>
                  <w10:anchorlock/>
                </v:shape>
                <o:OLEObject Type="Embed" ProgID="Visio.Drawing.15" ShapeID="_x0000_i1029" DrawAspect="Content" ObjectID="_1468075729" r:id="rId28">
                  <o:LockedField>false</o:LockedField>
                </o:OLEObject>
              </w:object>
            </w:r>
            <w:r>
              <w:rPr>
                <w:rFonts w:hint="default"/>
                <w:b/>
                <w:bCs/>
                <w:sz w:val="20"/>
                <w:szCs w:val="21"/>
                <w:lang w:eastAsia="zh-CN"/>
              </w:rPr>
              <w:t xml:space="preserve">图2-5 </w:t>
            </w:r>
            <w:r>
              <w:rPr>
                <w:rFonts w:hint="eastAsia"/>
                <w:b/>
                <w:bCs/>
                <w:sz w:val="20"/>
                <w:szCs w:val="21"/>
                <w:lang w:val="en-US" w:eastAsia="zh-CN"/>
              </w:rPr>
              <w:t xml:space="preserve"> </w:t>
            </w:r>
            <w:r>
              <w:rPr>
                <w:rFonts w:hint="default"/>
                <w:b/>
                <w:bCs/>
                <w:sz w:val="20"/>
                <w:szCs w:val="21"/>
                <w:lang w:eastAsia="zh-CN"/>
              </w:rPr>
              <w:t>项目</w:t>
            </w:r>
            <w:r>
              <w:rPr>
                <w:rFonts w:hint="eastAsia"/>
                <w:b/>
                <w:bCs/>
                <w:sz w:val="20"/>
                <w:szCs w:val="21"/>
                <w:lang w:val="en-US" w:eastAsia="zh-CN"/>
              </w:rPr>
              <w:t>混合气体</w:t>
            </w:r>
            <w:r>
              <w:rPr>
                <w:rFonts w:hint="default"/>
                <w:b/>
                <w:bCs/>
                <w:sz w:val="20"/>
                <w:szCs w:val="21"/>
                <w:lang w:eastAsia="zh-CN"/>
              </w:rPr>
              <w:t>充装工艺流程图</w:t>
            </w:r>
          </w:p>
          <w:p w14:paraId="33E9A047">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（4）丙烷气瓶充装工艺</w:t>
            </w:r>
          </w:p>
          <w:p w14:paraId="3509BA4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4"/>
                <w:szCs w:val="24"/>
                <w:lang w:eastAsia="zh-CN"/>
              </w:rPr>
              <w:object>
                <v:shape id="_x0000_i1030" o:spt="75" type="#_x0000_t75" style="height:131.2pt;width:427.65pt;" o:ole="t" filled="f" o:preferrelative="t" stroked="f" coordsize="21600,21600">
                  <v:path/>
                  <v:fill on="f" focussize="0,0"/>
                  <v:stroke on="f"/>
                  <v:imagedata r:id="rId31" o:title=""/>
                  <o:lock v:ext="edit" aspectratio="f"/>
                  <w10:wrap type="none"/>
                  <w10:anchorlock/>
                </v:shape>
                <o:OLEObject Type="Embed" ProgID="Visio.Drawing.15" ShapeID="_x0000_i1030" DrawAspect="Content" ObjectID="_1468075730" r:id="rId30">
                  <o:LockedField>false</o:LockedField>
                </o:OLEObject>
              </w:object>
            </w:r>
            <w:r>
              <w:rPr>
                <w:rFonts w:hint="default" w:ascii="Times New Roman" w:hAnsi="Times New Roman" w:eastAsia="宋体" w:cs="Times New Roman"/>
                <w:b/>
                <w:color w:val="auto"/>
                <w:sz w:val="21"/>
                <w:szCs w:val="21"/>
                <w:lang w:eastAsia="zh-CN"/>
              </w:rPr>
              <w:t>图2-</w:t>
            </w:r>
            <w:r>
              <w:rPr>
                <w:rFonts w:hint="eastAsia" w:cs="Times New Roman"/>
                <w:b/>
                <w:color w:val="auto"/>
                <w:sz w:val="21"/>
                <w:szCs w:val="21"/>
                <w:lang w:val="en-US" w:eastAsia="zh-CN"/>
              </w:rPr>
              <w:t>6</w:t>
            </w:r>
            <w:r>
              <w:rPr>
                <w:rFonts w:hint="default" w:ascii="Times New Roman" w:hAnsi="Times New Roman" w:eastAsia="宋体" w:cs="Times New Roman"/>
                <w:b/>
                <w:color w:val="auto"/>
                <w:sz w:val="21"/>
                <w:szCs w:val="21"/>
                <w:lang w:eastAsia="zh-CN"/>
              </w:rPr>
              <w:t xml:space="preserve"> </w:t>
            </w:r>
            <w:r>
              <w:rPr>
                <w:rFonts w:hint="eastAsia" w:ascii="Times New Roman" w:hAnsi="Times New Roman" w:eastAsia="宋体" w:cs="Times New Roman"/>
                <w:b/>
                <w:color w:val="auto"/>
                <w:sz w:val="21"/>
                <w:szCs w:val="21"/>
                <w:lang w:val="en-US" w:eastAsia="zh-CN"/>
              </w:rPr>
              <w:t xml:space="preserve">  项目</w:t>
            </w:r>
            <w:r>
              <w:rPr>
                <w:rFonts w:hint="default" w:ascii="Times New Roman" w:hAnsi="Times New Roman" w:eastAsia="宋体" w:cs="Times New Roman"/>
                <w:b/>
                <w:color w:val="auto"/>
                <w:sz w:val="21"/>
                <w:szCs w:val="21"/>
                <w:lang w:eastAsia="zh-CN"/>
              </w:rPr>
              <w:t>丙烷气瓶充装工艺流程图</w:t>
            </w:r>
          </w:p>
          <w:p w14:paraId="7CD08A3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工艺流程说明：</w:t>
            </w:r>
          </w:p>
          <w:p w14:paraId="4D2E06E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液态丙烷为外购原料，经槽车运送至</w:t>
            </w:r>
            <w:r>
              <w:rPr>
                <w:rFonts w:hint="eastAsia" w:cs="Times New Roman"/>
                <w:b w:val="0"/>
                <w:bCs/>
                <w:color w:val="auto"/>
                <w:sz w:val="24"/>
                <w:szCs w:val="24"/>
                <w:lang w:val="en-US" w:eastAsia="zh-CN"/>
              </w:rPr>
              <w:t>丙烷</w:t>
            </w:r>
            <w:r>
              <w:rPr>
                <w:rFonts w:hint="eastAsia" w:ascii="Times New Roman" w:hAnsi="Times New Roman" w:eastAsia="宋体" w:cs="Times New Roman"/>
                <w:b w:val="0"/>
                <w:bCs/>
                <w:color w:val="auto"/>
                <w:sz w:val="24"/>
                <w:szCs w:val="24"/>
                <w:lang w:val="en-US" w:eastAsia="zh-CN"/>
              </w:rPr>
              <w:t>储罐区，并经压缩机增压充装至液态丙烷储罐。液态丙烷由储罐区经液体泵加压后由充灌排充装至丙烷钢瓶，通过检验重量合格后，登记生产日期及代码建档后对外销售到客户。由于钢瓶充装前均进行过气密性检测，外购的丙烷质量也有保证，因此检验主要是对充装后重量进行称量，满足重量规格要求的为合格品，不满足的为不合格品，不合格品返回充灌排充灌合格。</w:t>
            </w:r>
          </w:p>
          <w:p w14:paraId="2D57DE6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运输进厂丙烷排放情况：项目采用压缩机增压卸车方式。先将丙烷车和丙烷储罐的气相空间连通，然后通过压缩机增压将储罐内气相抽入槽车内增大槽车的压力，槽车内液态丙烷会由于压力流入储罐内，待液态丙烷卸完后，通过压缩机回抽槽车内气相至储罐，确保储罐的储存压力范围，同时起到对槽车降压的作用，整个操作过程无丙烷气体排放。</w:t>
            </w:r>
          </w:p>
          <w:p w14:paraId="17AD7BB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color w:val="auto"/>
                <w:sz w:val="24"/>
                <w:szCs w:val="24"/>
                <w:lang w:val="en-US" w:eastAsia="zh-CN"/>
              </w:rPr>
              <w:t>储存过程丙烷排放情况：项目设置有2个50m³埋地丙烷储罐，由于其地下埋藏的特性可以更好地避免外界环境对存储设备的影响，埋藏在地下的储罐在温度和压力变化方面较为稳定，保证了丙烷长期维持储存温度</w:t>
            </w:r>
            <w:r>
              <w:rPr>
                <w:rFonts w:hint="eastAsia"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54℃、压力≤1.77MPa条件，由于温度和饱和</w:t>
            </w:r>
            <w:r>
              <w:rPr>
                <w:rFonts w:hint="eastAsia" w:cs="Times New Roman"/>
                <w:b w:val="0"/>
                <w:bCs/>
                <w:color w:val="auto"/>
                <w:sz w:val="24"/>
                <w:szCs w:val="24"/>
                <w:lang w:val="en-US" w:eastAsia="zh-CN"/>
              </w:rPr>
              <w:t>蒸气压</w:t>
            </w:r>
            <w:r>
              <w:rPr>
                <w:rFonts w:hint="eastAsia" w:ascii="Times New Roman" w:hAnsi="Times New Roman" w:eastAsia="宋体" w:cs="Times New Roman"/>
                <w:b w:val="0"/>
                <w:bCs/>
                <w:color w:val="auto"/>
                <w:sz w:val="24"/>
                <w:szCs w:val="24"/>
                <w:lang w:val="en-US" w:eastAsia="zh-CN"/>
              </w:rPr>
              <w:t>对应</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，维持恒定的温度和内</w:t>
            </w:r>
            <w:r>
              <w:rPr>
                <w:rFonts w:hint="eastAsia" w:cs="Times New Roman"/>
                <w:b w:val="0"/>
                <w:bCs/>
                <w:color w:val="000000" w:themeColor="text1"/>
                <w:sz w:val="24"/>
                <w:szCs w:val="24"/>
                <w:lang w:val="en-US" w:eastAsia="zh-CN"/>
                <w14:textFill>
                  <w14:solidFill>
                    <w14:schemeClr w14:val="tx1"/>
                  </w14:solidFill>
                </w14:textFill>
              </w:rPr>
              <w:t>蒸气压</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，泄压阀不与大气连通，因此，不存在储罐的大小呼吸。</w:t>
            </w:r>
          </w:p>
          <w:p w14:paraId="4CE305A3">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（5）液化石油气气瓶充装工艺</w:t>
            </w:r>
          </w:p>
          <w:p w14:paraId="60E89FC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cs="Times New Roman"/>
                <w:color w:val="auto"/>
                <w:sz w:val="24"/>
                <w:u w:val="none"/>
              </w:rPr>
              <w:t>液化石油气加臭作业由液化石油气生产商完成，本项目不进行液化石油气加臭作业。钢瓶检验主要包括外观检验、壁厚测定、容积测定、水压试验或残余变形率测定、瓶阀检验、气密性试验。项目液化气储罐检测与维修、钢瓶检测等</w:t>
            </w:r>
            <w:r>
              <w:rPr>
                <w:rFonts w:hint="eastAsia" w:cs="Times New Roman"/>
                <w:color w:val="auto"/>
                <w:sz w:val="24"/>
                <w:u w:val="none"/>
                <w:lang w:val="en-US" w:eastAsia="zh-CN"/>
              </w:rPr>
              <w:t>工作</w:t>
            </w:r>
            <w:r>
              <w:rPr>
                <w:rFonts w:hint="eastAsia" w:ascii="Times New Roman" w:hAnsi="Times New Roman" w:cs="Times New Roman"/>
                <w:color w:val="auto"/>
                <w:sz w:val="24"/>
                <w:u w:val="none"/>
              </w:rPr>
              <w:t>按相关规定委托专业公司负责。本项目主要是进行液化石油气的装卸、充瓶和残液回收，不涉及液化石油气脱水和过滤。其生产工艺流程及污染物产生节点如下图所示。</w:t>
            </w:r>
            <w:r>
              <w:rPr>
                <w:rFonts w:hint="default" w:ascii="Times New Roman" w:hAnsi="Times New Roman" w:eastAsia="宋体" w:cs="Times New Roman"/>
                <w:b/>
                <w:color w:val="auto"/>
                <w:sz w:val="24"/>
                <w:szCs w:val="24"/>
                <w:lang w:eastAsia="zh-CN"/>
              </w:rPr>
              <w:object>
                <v:shape id="_x0000_i1031" o:spt="75" type="#_x0000_t75" style="height:159.8pt;width:424.65pt;" o:ole="t" filled="f" o:preferrelative="t" stroked="f" coordsize="21600,21600">
                  <v:path/>
                  <v:fill on="f" focussize="0,0"/>
                  <v:stroke on="f"/>
                  <v:imagedata r:id="rId33" o:title=""/>
                  <o:lock v:ext="edit" aspectratio="f"/>
                  <w10:wrap type="none"/>
                  <w10:anchorlock/>
                </v:shape>
                <o:OLEObject Type="Embed" ProgID="Visio.Drawing.15" ShapeID="_x0000_i1031" DrawAspect="Content" ObjectID="_1468075731" r:id="rId32">
                  <o:LockedField>false</o:LockedField>
                </o:OLEObject>
              </w:object>
            </w:r>
          </w:p>
          <w:p w14:paraId="155F12E8">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center"/>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图2-</w:t>
            </w:r>
            <w:r>
              <w:rPr>
                <w:rFonts w:hint="eastAsia" w:cs="Times New Roman"/>
                <w:b/>
                <w:color w:val="auto"/>
                <w:sz w:val="24"/>
                <w:szCs w:val="24"/>
                <w:lang w:val="en-US" w:eastAsia="zh-CN"/>
              </w:rPr>
              <w:t>7</w:t>
            </w:r>
            <w:r>
              <w:rPr>
                <w:rFonts w:hint="eastAsia" w:ascii="Times New Roman" w:hAnsi="Times New Roman" w:eastAsia="宋体" w:cs="Times New Roman"/>
                <w:b/>
                <w:color w:val="auto"/>
                <w:sz w:val="24"/>
                <w:szCs w:val="24"/>
                <w:lang w:val="en-US" w:eastAsia="zh-CN"/>
              </w:rPr>
              <w:t xml:space="preserve">   液化石油气灌装工艺流程图</w:t>
            </w:r>
          </w:p>
          <w:p w14:paraId="11E303E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工艺流程说明：</w:t>
            </w:r>
          </w:p>
          <w:p w14:paraId="79EF99D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①卸车</w:t>
            </w:r>
          </w:p>
          <w:p w14:paraId="381C268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液化石油气由槽车运至本站，在装卸区通过液化石油气专用软管连接槽车和装卸台柱，启动压缩机把储罐内气体压入槽车内，槽车内液化石油气因压差而送至站内液化石油气储罐储存。采取的装卸方式为压缩机装卸法，其原理为利用压缩机抽吸和加压输出气体，将需要灌装的储罐中的气相液化石油气通入压缩机的入口，经压缩升压后输送到准备卸液的槽车中，从而降低储罐的压力，提高卸液槽车中的压力，使二者之间形成装卸所需的压差（0.2~0.3MPa），液态液化石油气便在压力差的作用下流进储罐，以达到装卸液化石油气的目的。液化石油气装卸完毕后，要用压缩机将被卸空的槽车中的部分气态液化石油气抽至储罐。卸车过程</w:t>
            </w:r>
            <w:r>
              <w:rPr>
                <w:rFonts w:hint="eastAsia" w:cs="Times New Roman"/>
                <w:b w:val="0"/>
                <w:bCs/>
                <w:color w:val="auto"/>
                <w:sz w:val="24"/>
                <w:szCs w:val="24"/>
                <w:lang w:val="en-US" w:eastAsia="zh-CN"/>
              </w:rPr>
              <w:t>会</w:t>
            </w:r>
            <w:r>
              <w:rPr>
                <w:rFonts w:hint="eastAsia" w:ascii="Times New Roman" w:hAnsi="Times New Roman" w:eastAsia="宋体" w:cs="Times New Roman"/>
                <w:b w:val="0"/>
                <w:bCs/>
                <w:color w:val="auto"/>
                <w:sz w:val="24"/>
                <w:szCs w:val="24"/>
                <w:lang w:val="en-US" w:eastAsia="zh-CN"/>
              </w:rPr>
              <w:t>产生少量非甲烷总烃和噪声。</w:t>
            </w:r>
          </w:p>
          <w:p w14:paraId="6EB305D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②灌瓶（充装）</w:t>
            </w:r>
          </w:p>
          <w:p w14:paraId="2FF6DC9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将已检验合格、倒残完毕的钢瓶置于各灌装嘴前的台秤上，分别用充气枪将灌装嘴与钢瓶嘴接通，然后开启液化气泵及储罐液相出口阀门，储罐内液化石油气经泵加压灌至钢瓶内。</w:t>
            </w:r>
          </w:p>
          <w:p w14:paraId="0F9A74F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钢瓶入站后，灌瓶前先检查完成下列内容：漆色、字样是否准确；防震圈、瓶阀、</w:t>
            </w:r>
            <w:r>
              <w:rPr>
                <w:rFonts w:hint="eastAsia" w:cs="Times New Roman"/>
                <w:b w:val="0"/>
                <w:bCs/>
                <w:color w:val="auto"/>
                <w:sz w:val="24"/>
                <w:szCs w:val="24"/>
                <w:lang w:val="en-US" w:eastAsia="zh-CN"/>
              </w:rPr>
              <w:t>瓶</w:t>
            </w:r>
            <w:r>
              <w:rPr>
                <w:rFonts w:hint="eastAsia" w:ascii="Times New Roman" w:hAnsi="Times New Roman" w:eastAsia="宋体" w:cs="Times New Roman"/>
                <w:b w:val="0"/>
                <w:bCs/>
                <w:color w:val="auto"/>
                <w:sz w:val="24"/>
                <w:szCs w:val="24"/>
                <w:lang w:val="en-US" w:eastAsia="zh-CN"/>
              </w:rPr>
              <w:t>帽、易熔塞是否安好；钢瓶外观有无凹陷、鼓包、严重腐蚀、划伤、加热和电弧焊痕以及</w:t>
            </w:r>
            <w:r>
              <w:rPr>
                <w:rFonts w:hint="eastAsia" w:cs="Times New Roman"/>
                <w:b w:val="0"/>
                <w:bCs/>
                <w:color w:val="auto"/>
                <w:sz w:val="24"/>
                <w:szCs w:val="24"/>
                <w:lang w:val="en-US" w:eastAsia="zh-CN"/>
              </w:rPr>
              <w:t>其他</w:t>
            </w:r>
            <w:r>
              <w:rPr>
                <w:rFonts w:hint="eastAsia" w:ascii="Times New Roman" w:hAnsi="Times New Roman" w:eastAsia="宋体" w:cs="Times New Roman"/>
                <w:b w:val="0"/>
                <w:bCs/>
                <w:color w:val="auto"/>
                <w:sz w:val="24"/>
                <w:szCs w:val="24"/>
                <w:lang w:val="en-US" w:eastAsia="zh-CN"/>
              </w:rPr>
              <w:t>问题；钢瓶制造、检验钢印、内容是否准确、清晰、完整，是否在检验期内；确认钢瓶原始重量和公称容积及允许灌装量；确认钢瓶有无余压以及确认瓶内介质；检查钢瓶警示标签是否完好，不完好时重贴一张。钢瓶经检查合格后方可灌瓶。灌瓶充装过程会产生非甲烷总烃和噪声。</w:t>
            </w:r>
          </w:p>
          <w:p w14:paraId="3939504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③残液回收</w:t>
            </w:r>
          </w:p>
          <w:p w14:paraId="45808E3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当空钢瓶中残液量过多时，应倒空残液，其流程为将要倒出残液的钢瓶置于残液倒空架上，通过循环压缩机，将钢瓶中的残液抽出压至残液罐。企业拟采用正压倒残法回收残液，即用压缩机抽吸残液罐的气相向钢瓶加压，当瓶内压力大于残液罐的压力0.1MPa至0.2MPa时，切换倒空管路的阀门，翻转倒空架即可将钢瓶内的残液倒入残液罐。残液回收过程</w:t>
            </w:r>
            <w:r>
              <w:rPr>
                <w:rFonts w:hint="eastAsia" w:cs="Times New Roman"/>
                <w:b w:val="0"/>
                <w:bCs/>
                <w:color w:val="auto"/>
                <w:sz w:val="24"/>
                <w:szCs w:val="24"/>
                <w:lang w:val="en-US" w:eastAsia="zh-CN"/>
              </w:rPr>
              <w:t>会</w:t>
            </w:r>
            <w:r>
              <w:rPr>
                <w:rFonts w:hint="eastAsia" w:ascii="Times New Roman" w:hAnsi="Times New Roman" w:eastAsia="宋体" w:cs="Times New Roman"/>
                <w:b w:val="0"/>
                <w:bCs/>
                <w:color w:val="auto"/>
                <w:sz w:val="24"/>
                <w:szCs w:val="24"/>
                <w:lang w:val="en-US" w:eastAsia="zh-CN"/>
              </w:rPr>
              <w:t>产生少量非甲烷总烃和噪声。</w:t>
            </w:r>
          </w:p>
          <w:p w14:paraId="1946E00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④本项</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目充装钢瓶及</w:t>
            </w:r>
            <w:r>
              <w:rPr>
                <w:rFonts w:hint="eastAsia" w:cs="Times New Roman"/>
                <w:b w:val="0"/>
                <w:bCs/>
                <w:color w:val="000000" w:themeColor="text1"/>
                <w:sz w:val="24"/>
                <w:szCs w:val="24"/>
                <w:lang w:val="en-US" w:eastAsia="zh-CN"/>
                <w14:textFill>
                  <w14:solidFill>
                    <w14:schemeClr w14:val="tx1"/>
                  </w14:solidFill>
                </w14:textFill>
              </w:rPr>
              <w:t>杜瓦罐</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厂区内均不涉及</w:t>
            </w:r>
            <w:r>
              <w:rPr>
                <w:rFonts w:hint="eastAsia" w:cs="Times New Roman"/>
                <w:b w:val="0"/>
                <w:bCs/>
                <w:color w:val="000000" w:themeColor="text1"/>
                <w:sz w:val="24"/>
                <w:szCs w:val="24"/>
                <w:lang w:val="en-US" w:eastAsia="zh-CN"/>
                <w14:textFill>
                  <w14:solidFill>
                    <w14:schemeClr w14:val="tx1"/>
                  </w14:solidFill>
                </w14:textFill>
              </w:rPr>
              <w:t>检测</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，定期委</w:t>
            </w:r>
            <w:r>
              <w:rPr>
                <w:rFonts w:hint="eastAsia" w:ascii="Times New Roman" w:hAnsi="Times New Roman" w:eastAsia="宋体" w:cs="Times New Roman"/>
                <w:b w:val="0"/>
                <w:bCs/>
                <w:color w:val="auto"/>
                <w:sz w:val="24"/>
                <w:szCs w:val="24"/>
                <w:lang w:val="en-US" w:eastAsia="zh-CN"/>
              </w:rPr>
              <w:t>托专业资质单位进行检测。</w:t>
            </w:r>
          </w:p>
          <w:p w14:paraId="7F45844B">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（6）液化石油气残液罐残液运出回收工艺流程</w:t>
            </w:r>
          </w:p>
          <w:p w14:paraId="5F40AE1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eastAsia="zh-CN"/>
              </w:rPr>
              <w:object>
                <v:shape id="_x0000_i1032" o:spt="75" type="#_x0000_t75" style="height:51.35pt;width:420.45pt;" o:ole="t" filled="f" o:preferrelative="t" stroked="f" coordsize="21600,21600">
                  <v:path/>
                  <v:fill on="f" focussize="0,0"/>
                  <v:stroke on="f"/>
                  <v:imagedata r:id="rId35" o:title=""/>
                  <o:lock v:ext="edit" aspectratio="f"/>
                  <w10:wrap type="none"/>
                  <w10:anchorlock/>
                </v:shape>
                <o:OLEObject Type="Embed" ProgID="Visio.Drawing.15" ShapeID="_x0000_i1032" DrawAspect="Content" ObjectID="_1468075732" r:id="rId34">
                  <o:LockedField>false</o:LockedField>
                </o:OLEObject>
              </w:object>
            </w:r>
          </w:p>
          <w:p w14:paraId="61BB5CD1">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jc w:val="center"/>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图2-</w:t>
            </w:r>
            <w:r>
              <w:rPr>
                <w:rFonts w:hint="eastAsia" w:cs="Times New Roman"/>
                <w:b/>
                <w:color w:val="auto"/>
                <w:sz w:val="21"/>
                <w:szCs w:val="21"/>
                <w:lang w:val="en-US" w:eastAsia="zh-CN"/>
              </w:rPr>
              <w:t>8</w:t>
            </w:r>
            <w:r>
              <w:rPr>
                <w:rFonts w:hint="eastAsia" w:ascii="Times New Roman" w:hAnsi="Times New Roman" w:eastAsia="宋体" w:cs="Times New Roman"/>
                <w:b/>
                <w:color w:val="auto"/>
                <w:sz w:val="21"/>
                <w:szCs w:val="21"/>
                <w:lang w:val="en-US" w:eastAsia="zh-CN"/>
              </w:rPr>
              <w:t xml:space="preserve">    液化石油气残液罐残液运出回收工艺流程图</w:t>
            </w:r>
          </w:p>
          <w:p w14:paraId="61AC8AA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工艺流程说明：</w:t>
            </w:r>
          </w:p>
          <w:p w14:paraId="726D877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残液罐中残液运出回收是利用</w:t>
            </w:r>
            <w:r>
              <w:rPr>
                <w:rFonts w:hint="eastAsia" w:cs="Times New Roman"/>
                <w:b w:val="0"/>
                <w:bCs/>
                <w:color w:val="auto"/>
                <w:sz w:val="24"/>
                <w:szCs w:val="24"/>
                <w:lang w:val="en-US" w:eastAsia="zh-CN"/>
              </w:rPr>
              <w:t>压缩机</w:t>
            </w:r>
            <w:r>
              <w:rPr>
                <w:rFonts w:hint="eastAsia" w:ascii="Times New Roman" w:hAnsi="Times New Roman" w:eastAsia="宋体" w:cs="Times New Roman"/>
                <w:b w:val="0"/>
                <w:bCs/>
                <w:color w:val="auto"/>
                <w:sz w:val="24"/>
                <w:szCs w:val="24"/>
                <w:lang w:val="en-US" w:eastAsia="zh-CN"/>
              </w:rPr>
              <w:t>抽取</w:t>
            </w:r>
            <w:r>
              <w:rPr>
                <w:rFonts w:hint="eastAsia" w:cs="Times New Roman"/>
                <w:b w:val="0"/>
                <w:bCs/>
                <w:color w:val="auto"/>
                <w:sz w:val="24"/>
                <w:szCs w:val="24"/>
                <w:lang w:val="en-US" w:eastAsia="zh-CN"/>
              </w:rPr>
              <w:t>液化石油气</w:t>
            </w:r>
            <w:r>
              <w:rPr>
                <w:rFonts w:hint="eastAsia" w:ascii="Times New Roman" w:hAnsi="Times New Roman" w:eastAsia="宋体" w:cs="Times New Roman"/>
                <w:b w:val="0"/>
                <w:bCs/>
                <w:color w:val="auto"/>
                <w:sz w:val="24"/>
                <w:szCs w:val="24"/>
                <w:lang w:val="en-US" w:eastAsia="zh-CN"/>
              </w:rPr>
              <w:t>储罐内气体向残液罐加压，通过压强差使残液罐中的残液进入外部残液槽罐车中。残液成分主要是因压力不够未能泵出的原料液化气，残液中各原料液化气成分含量一般低于质量标准，</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定期委托液化石油气供应单位进行回收处理（根据建设单位提供的资料，残液年产生量不超过</w:t>
            </w:r>
            <w:r>
              <w:rPr>
                <w:rFonts w:hint="eastAsia" w:cs="Times New Roman"/>
                <w:b w:val="0"/>
                <w:bCs/>
                <w:color w:val="000000" w:themeColor="text1"/>
                <w:sz w:val="24"/>
                <w:szCs w:val="24"/>
                <w:lang w:val="en-US" w:eastAsia="zh-CN"/>
                <w14:textFill>
                  <w14:solidFill>
                    <w14:schemeClr w14:val="tx1"/>
                  </w14:solidFill>
                </w14:textFill>
              </w:rPr>
              <w:t>0.06吨</w:t>
            </w:r>
            <w:r>
              <w:rPr>
                <w:rFonts w:hint="eastAsia"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2CD26B1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注：厂内残液罐属于全压力式埋地储罐，始终保持密闭，残液罐内设置气相平衡系统，由于温度和饱和蒸气压对应，温度和罐内蒸气压得到一定的维持，泄压阀不与大气联通；根据《石化行业VOCs污染源排查工作指南》中三、有机液体储存调和VOCs污染源排查-（三）排查方法源项分析-排放源分类：压力罐通常装有安全阀，可以阻止因沸腾引起的外排损失以及因昼夜温差和气压变化引起的呼吸损失。 因此，残液罐的操作中几乎没有蒸发或工作损失发生，残液罐“大小呼吸”过程无废气排到大气环境中。</w:t>
            </w:r>
          </w:p>
          <w:p w14:paraId="6134E41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仅考虑残液回收过程密封点密封失效时导致内部物料无组织排放产生少量动静密封点以泄漏废气（以NMHC为表征），经加强通风排气后对周围环境影响较小。</w:t>
            </w:r>
          </w:p>
          <w:p w14:paraId="6DDACB6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（7）乙炔储运工艺流程</w:t>
            </w:r>
          </w:p>
          <w:p w14:paraId="64C6639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工艺流程说明：</w:t>
            </w:r>
          </w:p>
          <w:p w14:paraId="6CE1A53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根据经营的需求量向供应商外购已经充装好的乙炔气瓶，储存在甲类仓库中，由危险货物运输车辆送货到客户处。</w:t>
            </w:r>
          </w:p>
          <w:p w14:paraId="053D385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储运过程中，乙炔采用高压焊接钢瓶形式储存，整个储运过程为全密闭式储</w:t>
            </w:r>
          </w:p>
          <w:p w14:paraId="250BBD0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存，不进行化学品分装。该工艺流程无明显污染。</w:t>
            </w:r>
          </w:p>
          <w:p w14:paraId="700B5EC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object>
                <v:shape id="_x0000_i1033" o:spt="75" type="#_x0000_t75" style="height:80.1pt;width:324.9pt;" o:ole="t" filled="f" o:preferrelative="t" stroked="f" coordsize="21600,21600">
                  <v:path/>
                  <v:fill on="f" focussize="0,0"/>
                  <v:stroke on="f"/>
                  <v:imagedata r:id="rId37" o:title=""/>
                  <o:lock v:ext="edit" aspectratio="f"/>
                  <w10:wrap type="none"/>
                  <w10:anchorlock/>
                </v:shape>
                <o:OLEObject Type="Embed" ProgID="Visio.Drawing.15" ShapeID="_x0000_i1033" DrawAspect="Content" ObjectID="_1468075733" r:id="rId36">
                  <o:LockedField>false</o:LockedField>
                </o:OLEObject>
              </w:object>
            </w:r>
          </w:p>
          <w:p w14:paraId="2160E32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图2-</w:t>
            </w:r>
            <w:r>
              <w:rPr>
                <w:rFonts w:hint="eastAsia" w:cs="Times New Roman"/>
                <w:b/>
                <w:bCs w:val="0"/>
                <w:color w:val="auto"/>
                <w:sz w:val="21"/>
                <w:szCs w:val="21"/>
                <w:lang w:val="en-US" w:eastAsia="zh-CN"/>
              </w:rPr>
              <w:t>9</w:t>
            </w:r>
            <w:r>
              <w:rPr>
                <w:rFonts w:hint="eastAsia" w:ascii="Times New Roman" w:hAnsi="Times New Roman" w:eastAsia="宋体" w:cs="Times New Roman"/>
                <w:b/>
                <w:bCs w:val="0"/>
                <w:color w:val="auto"/>
                <w:sz w:val="21"/>
                <w:szCs w:val="21"/>
                <w:lang w:val="en-US" w:eastAsia="zh-CN"/>
              </w:rPr>
              <w:t xml:space="preserve">   乙炔储运工艺流程</w:t>
            </w:r>
          </w:p>
          <w:p w14:paraId="37F6CF3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color w:val="auto"/>
                <w:sz w:val="24"/>
                <w:szCs w:val="24"/>
                <w:lang w:eastAsia="zh-CN"/>
              </w:rPr>
            </w:pPr>
            <w:r>
              <w:rPr>
                <w:rFonts w:hint="eastAsia" w:cs="Times New Roman"/>
                <w:b/>
                <w:color w:val="auto"/>
                <w:sz w:val="24"/>
                <w:szCs w:val="24"/>
                <w:lang w:val="en-US" w:eastAsia="zh-CN"/>
              </w:rPr>
              <w:t>三</w:t>
            </w:r>
            <w:r>
              <w:rPr>
                <w:rFonts w:hint="eastAsia" w:ascii="Times New Roman" w:hAnsi="Times New Roman" w:eastAsia="宋体" w:cs="Times New Roman"/>
                <w:b/>
                <w:color w:val="auto"/>
                <w:sz w:val="24"/>
                <w:szCs w:val="24"/>
                <w:lang w:val="en-US" w:eastAsia="zh-CN"/>
              </w:rPr>
              <w:t>、</w:t>
            </w:r>
            <w:r>
              <w:rPr>
                <w:rFonts w:hint="default" w:ascii="Times New Roman" w:hAnsi="Times New Roman" w:eastAsia="宋体" w:cs="Times New Roman"/>
                <w:b/>
                <w:color w:val="auto"/>
                <w:sz w:val="24"/>
                <w:szCs w:val="24"/>
                <w:lang w:eastAsia="zh-CN"/>
              </w:rPr>
              <w:t>主要产污环节</w:t>
            </w:r>
          </w:p>
          <w:p w14:paraId="7DFD4D5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（1）废气</w:t>
            </w:r>
          </w:p>
          <w:p w14:paraId="0BF3887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lang w:eastAsia="zh-CN"/>
              </w:rPr>
            </w:pPr>
            <w:r>
              <w:rPr>
                <w:rFonts w:hint="eastAsia" w:ascii="Times New Roman" w:hAnsi="Times New Roman" w:eastAsia="宋体" w:cs="Times New Roman"/>
                <w:b w:val="0"/>
                <w:bCs/>
                <w:color w:val="auto"/>
                <w:sz w:val="24"/>
                <w:szCs w:val="24"/>
                <w:lang w:val="en-US" w:eastAsia="zh-CN"/>
              </w:rPr>
              <w:t>空气分离</w:t>
            </w:r>
            <w:r>
              <w:rPr>
                <w:rFonts w:hint="default" w:ascii="Times New Roman" w:hAnsi="Times New Roman" w:eastAsia="宋体" w:cs="Times New Roman"/>
                <w:b w:val="0"/>
                <w:bCs/>
                <w:color w:val="auto"/>
                <w:sz w:val="24"/>
                <w:szCs w:val="24"/>
                <w:lang w:eastAsia="zh-CN"/>
              </w:rPr>
              <w:t>项目利用空气，通过物理过程分离得到氧气、氮气和氩气，只有空气压缩机运转过程中的释放气（污氮）和分子筛利用</w:t>
            </w:r>
            <w:r>
              <w:rPr>
                <w:rFonts w:hint="eastAsia" w:ascii="Times New Roman" w:hAnsi="Times New Roman" w:eastAsia="宋体" w:cs="Times New Roman"/>
                <w:b w:val="0"/>
                <w:bCs/>
                <w:color w:val="auto"/>
                <w:sz w:val="24"/>
                <w:szCs w:val="24"/>
                <w:lang w:val="en-US" w:eastAsia="zh-CN"/>
              </w:rPr>
              <w:t>污氮</w:t>
            </w:r>
            <w:r>
              <w:rPr>
                <w:rFonts w:hint="default" w:ascii="Times New Roman" w:hAnsi="Times New Roman" w:eastAsia="宋体" w:cs="Times New Roman"/>
                <w:b w:val="0"/>
                <w:bCs/>
                <w:color w:val="auto"/>
                <w:sz w:val="24"/>
                <w:szCs w:val="24"/>
                <w:lang w:eastAsia="zh-CN"/>
              </w:rPr>
              <w:t>再生时的再生气外排，其主要成分为氮气和氩气。氮气、氩气的化学性质不活泼，常温下很难与其他物质发生反应，且属于大气中主要组分，不会对大气环境造成危害。项目没有废气排放，没有大气污染物排放。</w:t>
            </w:r>
          </w:p>
          <w:p w14:paraId="7262B9A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（2）废水</w:t>
            </w:r>
          </w:p>
          <w:p w14:paraId="64C0076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W1：循环冷却水系统</w:t>
            </w:r>
            <w:r>
              <w:rPr>
                <w:rFonts w:hint="eastAsia" w:cs="Times New Roman"/>
                <w:b w:val="0"/>
                <w:bCs/>
                <w:color w:val="auto"/>
                <w:sz w:val="24"/>
                <w:szCs w:val="24"/>
                <w:lang w:val="en-US" w:eastAsia="zh-CN"/>
              </w:rPr>
              <w:t>定期</w:t>
            </w:r>
            <w:r>
              <w:rPr>
                <w:rFonts w:hint="default" w:ascii="Times New Roman" w:hAnsi="Times New Roman" w:eastAsia="宋体" w:cs="Times New Roman"/>
                <w:b w:val="0"/>
                <w:bCs/>
                <w:color w:val="auto"/>
                <w:sz w:val="24"/>
                <w:szCs w:val="24"/>
                <w:lang w:eastAsia="zh-CN"/>
              </w:rPr>
              <w:t>排水；</w:t>
            </w:r>
          </w:p>
          <w:p w14:paraId="6ECF8B4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W</w:t>
            </w:r>
            <w:r>
              <w:rPr>
                <w:rFonts w:hint="eastAsia"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eastAsia="zh-CN"/>
              </w:rPr>
              <w:t>：生活污水；</w:t>
            </w:r>
          </w:p>
          <w:p w14:paraId="3705226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eastAsia="zh-CN"/>
              </w:rPr>
              <w:t>（3）</w:t>
            </w:r>
            <w:r>
              <w:rPr>
                <w:rFonts w:hint="eastAsia" w:cs="Times New Roman"/>
                <w:b w:val="0"/>
                <w:bCs/>
                <w:color w:val="auto"/>
                <w:sz w:val="24"/>
                <w:szCs w:val="24"/>
                <w:lang w:val="en-US" w:eastAsia="zh-CN"/>
              </w:rPr>
              <w:t>固体废物</w:t>
            </w:r>
          </w:p>
          <w:p w14:paraId="095C684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S1：废旧滤筒；</w:t>
            </w:r>
          </w:p>
          <w:p w14:paraId="6698571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S2：废吸附剂（分子筛和氧化铝）；</w:t>
            </w:r>
          </w:p>
          <w:p w14:paraId="58A3B41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S3：废珠光砂</w:t>
            </w:r>
          </w:p>
          <w:p w14:paraId="1DA5035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eastAsia" w:cs="Times New Roman"/>
                <w:b w:val="0"/>
                <w:bCs/>
                <w:color w:val="auto"/>
                <w:sz w:val="24"/>
                <w:szCs w:val="24"/>
                <w:highlight w:val="none"/>
                <w:lang w:val="en-US" w:eastAsia="zh-CN"/>
              </w:rPr>
              <w:t>S4：</w:t>
            </w:r>
            <w:r>
              <w:rPr>
                <w:rFonts w:hint="default" w:ascii="Times New Roman" w:hAnsi="Times New Roman" w:eastAsia="宋体" w:cs="Times New Roman"/>
                <w:b w:val="0"/>
                <w:bCs/>
                <w:color w:val="auto"/>
                <w:sz w:val="24"/>
                <w:szCs w:val="24"/>
                <w:highlight w:val="none"/>
                <w:lang w:eastAsia="zh-CN"/>
              </w:rPr>
              <w:t>废钢瓶</w:t>
            </w:r>
          </w:p>
          <w:p w14:paraId="0031E25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eastAsia" w:cs="Times New Roman"/>
                <w:b w:val="0"/>
                <w:bCs/>
                <w:color w:val="auto"/>
                <w:sz w:val="24"/>
                <w:szCs w:val="24"/>
                <w:highlight w:val="none"/>
                <w:lang w:val="en-US" w:eastAsia="zh-CN"/>
              </w:rPr>
              <w:t>S5：</w:t>
            </w:r>
            <w:r>
              <w:rPr>
                <w:rFonts w:hint="default" w:ascii="Times New Roman" w:hAnsi="Times New Roman" w:eastAsia="宋体" w:cs="Times New Roman"/>
                <w:b w:val="0"/>
                <w:bCs/>
                <w:color w:val="auto"/>
                <w:sz w:val="24"/>
                <w:szCs w:val="24"/>
                <w:highlight w:val="none"/>
                <w:lang w:eastAsia="zh-CN"/>
              </w:rPr>
              <w:t>液化石油气残液；</w:t>
            </w:r>
          </w:p>
          <w:p w14:paraId="46F0A57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S4：报废乙炔及液化石油气钢瓶</w:t>
            </w:r>
            <w:r>
              <w:rPr>
                <w:rFonts w:hint="eastAsia" w:cs="Times New Roman"/>
                <w:b w:val="0"/>
                <w:bCs/>
                <w:color w:val="auto"/>
                <w:sz w:val="24"/>
                <w:szCs w:val="24"/>
                <w:highlight w:val="none"/>
                <w:lang w:eastAsia="zh-CN"/>
              </w:rPr>
              <w:t>；</w:t>
            </w:r>
          </w:p>
          <w:p w14:paraId="4C8DE6E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eastAsia" w:cs="Times New Roman"/>
                <w:b w:val="0"/>
                <w:bCs/>
                <w:color w:val="auto"/>
                <w:sz w:val="24"/>
                <w:szCs w:val="24"/>
                <w:highlight w:val="none"/>
                <w:lang w:val="en-US" w:eastAsia="zh-CN"/>
              </w:rPr>
              <w:t>S6：</w:t>
            </w:r>
            <w:r>
              <w:rPr>
                <w:rFonts w:hint="default" w:ascii="Times New Roman" w:hAnsi="Times New Roman" w:eastAsia="宋体" w:cs="Times New Roman"/>
                <w:b w:val="0"/>
                <w:bCs/>
                <w:color w:val="auto"/>
                <w:sz w:val="24"/>
                <w:szCs w:val="24"/>
                <w:highlight w:val="none"/>
                <w:lang w:eastAsia="zh-CN"/>
              </w:rPr>
              <w:t>废润滑油</w:t>
            </w:r>
            <w:r>
              <w:rPr>
                <w:rFonts w:hint="eastAsia" w:cs="Times New Roman"/>
                <w:b w:val="0"/>
                <w:bCs/>
                <w:color w:val="auto"/>
                <w:sz w:val="24"/>
                <w:szCs w:val="24"/>
                <w:highlight w:val="none"/>
                <w:lang w:eastAsia="zh-CN"/>
              </w:rPr>
              <w:t>；</w:t>
            </w:r>
          </w:p>
          <w:p w14:paraId="3C67D6F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eastAsia" w:cs="Times New Roman"/>
                <w:b w:val="0"/>
                <w:bCs/>
                <w:color w:val="auto"/>
                <w:sz w:val="24"/>
                <w:szCs w:val="24"/>
                <w:highlight w:val="none"/>
                <w:lang w:val="en-US" w:eastAsia="zh-CN"/>
              </w:rPr>
              <w:t>S7：</w:t>
            </w:r>
            <w:r>
              <w:rPr>
                <w:rFonts w:hint="default" w:ascii="Times New Roman" w:hAnsi="Times New Roman" w:eastAsia="宋体" w:cs="Times New Roman"/>
                <w:b w:val="0"/>
                <w:bCs/>
                <w:color w:val="auto"/>
                <w:sz w:val="24"/>
                <w:szCs w:val="24"/>
                <w:highlight w:val="none"/>
                <w:lang w:eastAsia="zh-CN"/>
              </w:rPr>
              <w:t>废油桶</w:t>
            </w:r>
            <w:r>
              <w:rPr>
                <w:rFonts w:hint="eastAsia" w:cs="Times New Roman"/>
                <w:b w:val="0"/>
                <w:bCs/>
                <w:color w:val="auto"/>
                <w:sz w:val="24"/>
                <w:szCs w:val="24"/>
                <w:highlight w:val="none"/>
                <w:lang w:eastAsia="zh-CN"/>
              </w:rPr>
              <w:t>；</w:t>
            </w:r>
          </w:p>
          <w:p w14:paraId="34EE74E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eastAsia" w:cs="Times New Roman"/>
                <w:b w:val="0"/>
                <w:bCs/>
                <w:color w:val="auto"/>
                <w:sz w:val="24"/>
                <w:szCs w:val="24"/>
                <w:highlight w:val="none"/>
                <w:lang w:val="en-US" w:eastAsia="zh-CN"/>
              </w:rPr>
              <w:t>S8：</w:t>
            </w:r>
            <w:r>
              <w:rPr>
                <w:rFonts w:hint="default" w:ascii="Times New Roman" w:hAnsi="Times New Roman" w:eastAsia="宋体" w:cs="Times New Roman"/>
                <w:b w:val="0"/>
                <w:bCs/>
                <w:color w:val="auto"/>
                <w:sz w:val="24"/>
                <w:szCs w:val="24"/>
                <w:highlight w:val="none"/>
                <w:lang w:eastAsia="zh-CN"/>
              </w:rPr>
              <w:t>含油抹布、手套；</w:t>
            </w:r>
          </w:p>
          <w:p w14:paraId="153F492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S</w:t>
            </w:r>
            <w:r>
              <w:rPr>
                <w:rFonts w:hint="eastAsia" w:cs="Times New Roman"/>
                <w:b w:val="0"/>
                <w:bCs/>
                <w:color w:val="auto"/>
                <w:sz w:val="24"/>
                <w:szCs w:val="24"/>
                <w:highlight w:val="none"/>
                <w:lang w:val="en-US" w:eastAsia="zh-CN"/>
              </w:rPr>
              <w:t>9</w:t>
            </w:r>
            <w:r>
              <w:rPr>
                <w:rFonts w:hint="default" w:ascii="Times New Roman" w:hAnsi="Times New Roman" w:eastAsia="宋体" w:cs="Times New Roman"/>
                <w:b w:val="0"/>
                <w:bCs/>
                <w:color w:val="auto"/>
                <w:sz w:val="24"/>
                <w:szCs w:val="24"/>
                <w:highlight w:val="none"/>
                <w:lang w:eastAsia="zh-CN"/>
              </w:rPr>
              <w:t>：生活垃圾；</w:t>
            </w:r>
          </w:p>
          <w:p w14:paraId="2D76223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（4）噪声</w:t>
            </w:r>
          </w:p>
          <w:p w14:paraId="576C82D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val="0"/>
                <w:bCs/>
                <w:color w:val="auto"/>
                <w:sz w:val="24"/>
                <w:szCs w:val="24"/>
                <w:lang w:eastAsia="zh-CN"/>
              </w:rPr>
              <w:t>主要有</w:t>
            </w:r>
            <w:r>
              <w:rPr>
                <w:rFonts w:hint="eastAsia" w:ascii="Times New Roman" w:hAnsi="Times New Roman" w:eastAsia="宋体" w:cs="Times New Roman"/>
                <w:b w:val="0"/>
                <w:bCs/>
                <w:color w:val="auto"/>
                <w:sz w:val="24"/>
                <w:szCs w:val="24"/>
                <w:lang w:val="en-US" w:eastAsia="zh-CN"/>
              </w:rPr>
              <w:t>压缩机</w:t>
            </w:r>
            <w:r>
              <w:rPr>
                <w:rFonts w:hint="default" w:ascii="Times New Roman" w:hAnsi="Times New Roman" w:eastAsia="宋体" w:cs="Times New Roman"/>
                <w:b w:val="0"/>
                <w:bCs/>
                <w:color w:val="auto"/>
                <w:sz w:val="24"/>
                <w:szCs w:val="24"/>
                <w:lang w:eastAsia="zh-CN"/>
              </w:rPr>
              <w:t>、膨胀机等设备运行噪声，高压气体放散噪声。</w:t>
            </w:r>
          </w:p>
          <w:p w14:paraId="3C3163C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四</w:t>
            </w:r>
            <w:r>
              <w:rPr>
                <w:rFonts w:hint="default" w:ascii="Times New Roman" w:hAnsi="Times New Roman" w:eastAsia="宋体" w:cs="Times New Roman"/>
                <w:b/>
                <w:color w:val="auto"/>
                <w:sz w:val="24"/>
                <w:szCs w:val="24"/>
              </w:rPr>
              <w:t>、项目污染工序及污染因子表</w:t>
            </w:r>
          </w:p>
          <w:p w14:paraId="660629DC">
            <w:pPr>
              <w:pStyle w:val="85"/>
              <w:bidi w:val="0"/>
              <w:rPr>
                <w:rFonts w:hint="default"/>
                <w:color w:val="auto"/>
                <w:sz w:val="21"/>
                <w:szCs w:val="21"/>
              </w:rPr>
            </w:pPr>
            <w:r>
              <w:rPr>
                <w:rFonts w:hint="default"/>
                <w:color w:val="auto"/>
                <w:sz w:val="21"/>
                <w:szCs w:val="21"/>
              </w:rPr>
              <w:t>表</w:t>
            </w:r>
            <w:r>
              <w:rPr>
                <w:rFonts w:hint="eastAsia"/>
                <w:color w:val="auto"/>
                <w:sz w:val="21"/>
                <w:szCs w:val="21"/>
                <w:lang w:val="en-US" w:eastAsia="zh-CN"/>
              </w:rPr>
              <w:t>2-13</w:t>
            </w:r>
            <w:r>
              <w:rPr>
                <w:rFonts w:hint="default"/>
                <w:color w:val="auto"/>
                <w:sz w:val="21"/>
                <w:szCs w:val="21"/>
              </w:rPr>
              <w:t xml:space="preserve">   运营期污染产生情况一览表</w:t>
            </w:r>
          </w:p>
          <w:tbl>
            <w:tblPr>
              <w:tblStyle w:val="31"/>
              <w:tblW w:w="85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718"/>
              <w:gridCol w:w="2934"/>
              <w:gridCol w:w="3124"/>
            </w:tblGrid>
            <w:tr w14:paraId="7CC87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8" w:type="dxa"/>
                  <w:tcBorders>
                    <w:tl2br w:val="nil"/>
                    <w:tr2bl w:val="nil"/>
                  </w:tcBorders>
                  <w:noWrap w:val="0"/>
                  <w:vAlign w:val="center"/>
                </w:tcPr>
                <w:p w14:paraId="7509F27C">
                  <w:pPr>
                    <w:pStyle w:val="49"/>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类别</w:t>
                  </w:r>
                </w:p>
              </w:tc>
              <w:tc>
                <w:tcPr>
                  <w:tcW w:w="1718" w:type="dxa"/>
                  <w:tcBorders>
                    <w:tl2br w:val="nil"/>
                    <w:tr2bl w:val="nil"/>
                  </w:tcBorders>
                  <w:noWrap w:val="0"/>
                  <w:vAlign w:val="center"/>
                </w:tcPr>
                <w:p w14:paraId="64AFBFCE">
                  <w:pPr>
                    <w:pStyle w:val="49"/>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污染源</w:t>
                  </w:r>
                </w:p>
              </w:tc>
              <w:tc>
                <w:tcPr>
                  <w:tcW w:w="2934" w:type="dxa"/>
                  <w:tcBorders>
                    <w:tl2br w:val="nil"/>
                    <w:tr2bl w:val="nil"/>
                  </w:tcBorders>
                  <w:noWrap w:val="0"/>
                  <w:vAlign w:val="center"/>
                </w:tcPr>
                <w:p w14:paraId="6D80DCFC">
                  <w:pPr>
                    <w:pStyle w:val="49"/>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污染因子</w:t>
                  </w:r>
                </w:p>
              </w:tc>
              <w:tc>
                <w:tcPr>
                  <w:tcW w:w="3124" w:type="dxa"/>
                  <w:tcBorders>
                    <w:tl2br w:val="nil"/>
                    <w:tr2bl w:val="nil"/>
                  </w:tcBorders>
                  <w:noWrap w:val="0"/>
                  <w:vAlign w:val="center"/>
                </w:tcPr>
                <w:p w14:paraId="5DF5C5AF">
                  <w:pPr>
                    <w:pStyle w:val="49"/>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污染物防治措施</w:t>
                  </w:r>
                </w:p>
              </w:tc>
            </w:tr>
            <w:tr w14:paraId="67280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8" w:type="dxa"/>
                  <w:vMerge w:val="restart"/>
                  <w:tcBorders>
                    <w:tl2br w:val="nil"/>
                    <w:tr2bl w:val="nil"/>
                  </w:tcBorders>
                  <w:noWrap w:val="0"/>
                  <w:vAlign w:val="center"/>
                </w:tcPr>
                <w:p w14:paraId="0C6C0463">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废气</w:t>
                  </w:r>
                </w:p>
              </w:tc>
              <w:tc>
                <w:tcPr>
                  <w:tcW w:w="1718" w:type="dxa"/>
                  <w:tcBorders>
                    <w:tl2br w:val="nil"/>
                    <w:tr2bl w:val="nil"/>
                  </w:tcBorders>
                  <w:noWrap w:val="0"/>
                  <w:vAlign w:val="center"/>
                </w:tcPr>
                <w:p w14:paraId="4AD73DAA">
                  <w:pPr>
                    <w:pStyle w:val="49"/>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空分设备</w:t>
                  </w:r>
                </w:p>
              </w:tc>
              <w:tc>
                <w:tcPr>
                  <w:tcW w:w="2934" w:type="dxa"/>
                  <w:tcBorders>
                    <w:tl2br w:val="nil"/>
                    <w:tr2bl w:val="nil"/>
                  </w:tcBorders>
                  <w:noWrap w:val="0"/>
                  <w:vAlign w:val="center"/>
                </w:tcPr>
                <w:p w14:paraId="3AEBA93E">
                  <w:pPr>
                    <w:pStyle w:val="49"/>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污氮（空气分离过程中产生的含氮为</w:t>
                  </w:r>
                  <w:r>
                    <w:rPr>
                      <w:rFonts w:hint="eastAsia" w:cs="Times New Roman"/>
                      <w:color w:val="auto"/>
                      <w:lang w:val="en-US" w:eastAsia="zh-CN"/>
                    </w:rPr>
                    <w:t>＞</w:t>
                  </w:r>
                  <w:r>
                    <w:rPr>
                      <w:rFonts w:hint="eastAsia" w:ascii="Times New Roman" w:hAnsi="Times New Roman" w:eastAsia="宋体" w:cs="Times New Roman"/>
                      <w:color w:val="auto"/>
                      <w:lang w:val="en-US" w:eastAsia="zh-CN"/>
                    </w:rPr>
                    <w:t>95%的非产品气体）</w:t>
                  </w:r>
                </w:p>
              </w:tc>
              <w:tc>
                <w:tcPr>
                  <w:tcW w:w="3124" w:type="dxa"/>
                  <w:tcBorders>
                    <w:tl2br w:val="nil"/>
                    <w:tr2bl w:val="nil"/>
                  </w:tcBorders>
                  <w:noWrap w:val="0"/>
                  <w:vAlign w:val="center"/>
                </w:tcPr>
                <w:p w14:paraId="61FA7EC8">
                  <w:pPr>
                    <w:pStyle w:val="49"/>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无</w:t>
                  </w:r>
                </w:p>
              </w:tc>
            </w:tr>
            <w:tr w14:paraId="4F96B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8" w:type="dxa"/>
                  <w:vMerge w:val="continue"/>
                  <w:tcBorders>
                    <w:tl2br w:val="nil"/>
                    <w:tr2bl w:val="nil"/>
                  </w:tcBorders>
                  <w:noWrap w:val="0"/>
                  <w:vAlign w:val="center"/>
                </w:tcPr>
                <w:p w14:paraId="4A8BFEC3">
                  <w:pPr>
                    <w:pStyle w:val="49"/>
                    <w:bidi w:val="0"/>
                    <w:rPr>
                      <w:rFonts w:hint="default" w:ascii="Times New Roman" w:hAnsi="Times New Roman" w:cs="Times New Roman"/>
                      <w:color w:val="auto"/>
                      <w:lang w:val="en-US" w:eastAsia="zh-CN"/>
                    </w:rPr>
                  </w:pPr>
                </w:p>
              </w:tc>
              <w:tc>
                <w:tcPr>
                  <w:tcW w:w="1718" w:type="dxa"/>
                  <w:tcBorders>
                    <w:tl2br w:val="nil"/>
                    <w:tr2bl w:val="nil"/>
                  </w:tcBorders>
                  <w:noWrap w:val="0"/>
                  <w:vAlign w:val="center"/>
                </w:tcPr>
                <w:p w14:paraId="2C3C375C">
                  <w:pPr>
                    <w:pStyle w:val="49"/>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丙烷卸车、灌装</w:t>
                  </w:r>
                </w:p>
              </w:tc>
              <w:tc>
                <w:tcPr>
                  <w:tcW w:w="2934" w:type="dxa"/>
                  <w:tcBorders>
                    <w:tl2br w:val="nil"/>
                    <w:tr2bl w:val="nil"/>
                  </w:tcBorders>
                  <w:noWrap w:val="0"/>
                  <w:vAlign w:val="center"/>
                </w:tcPr>
                <w:p w14:paraId="19C9FF5F">
                  <w:pPr>
                    <w:pStyle w:val="49"/>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非甲烷总烃</w:t>
                  </w:r>
                </w:p>
              </w:tc>
              <w:tc>
                <w:tcPr>
                  <w:tcW w:w="3124" w:type="dxa"/>
                  <w:tcBorders>
                    <w:tl2br w:val="nil"/>
                    <w:tr2bl w:val="nil"/>
                  </w:tcBorders>
                  <w:noWrap w:val="0"/>
                  <w:vAlign w:val="center"/>
                </w:tcPr>
                <w:p w14:paraId="24638E2E">
                  <w:pPr>
                    <w:pStyle w:val="49"/>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无组织排放</w:t>
                  </w:r>
                </w:p>
              </w:tc>
            </w:tr>
            <w:tr w14:paraId="5F72F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8" w:type="dxa"/>
                  <w:vMerge w:val="continue"/>
                  <w:tcBorders>
                    <w:tl2br w:val="nil"/>
                    <w:tr2bl w:val="nil"/>
                  </w:tcBorders>
                  <w:noWrap w:val="0"/>
                  <w:vAlign w:val="center"/>
                </w:tcPr>
                <w:p w14:paraId="0BE83584">
                  <w:pPr>
                    <w:pStyle w:val="49"/>
                    <w:bidi w:val="0"/>
                    <w:rPr>
                      <w:rFonts w:hint="default" w:ascii="Times New Roman" w:hAnsi="Times New Roman" w:cs="Times New Roman"/>
                      <w:color w:val="auto"/>
                      <w:lang w:val="en-US" w:eastAsia="zh-CN"/>
                    </w:rPr>
                  </w:pPr>
                </w:p>
              </w:tc>
              <w:tc>
                <w:tcPr>
                  <w:tcW w:w="1718" w:type="dxa"/>
                  <w:tcBorders>
                    <w:tl2br w:val="nil"/>
                    <w:tr2bl w:val="nil"/>
                  </w:tcBorders>
                  <w:noWrap w:val="0"/>
                  <w:vAlign w:val="center"/>
                </w:tcPr>
                <w:p w14:paraId="03E7915C">
                  <w:pPr>
                    <w:pStyle w:val="49"/>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液化石油气卸车、灌装</w:t>
                  </w:r>
                </w:p>
              </w:tc>
              <w:tc>
                <w:tcPr>
                  <w:tcW w:w="2934" w:type="dxa"/>
                  <w:tcBorders>
                    <w:tl2br w:val="nil"/>
                    <w:tr2bl w:val="nil"/>
                  </w:tcBorders>
                  <w:noWrap w:val="0"/>
                  <w:vAlign w:val="center"/>
                </w:tcPr>
                <w:p w14:paraId="77FC96F2">
                  <w:pPr>
                    <w:pStyle w:val="49"/>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非甲烷总烃</w:t>
                  </w:r>
                </w:p>
              </w:tc>
              <w:tc>
                <w:tcPr>
                  <w:tcW w:w="3124" w:type="dxa"/>
                  <w:tcBorders>
                    <w:tl2br w:val="nil"/>
                    <w:tr2bl w:val="nil"/>
                  </w:tcBorders>
                  <w:noWrap w:val="0"/>
                  <w:vAlign w:val="center"/>
                </w:tcPr>
                <w:p w14:paraId="457BE774">
                  <w:pPr>
                    <w:pStyle w:val="49"/>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无组织排放</w:t>
                  </w:r>
                </w:p>
              </w:tc>
            </w:tr>
            <w:tr w14:paraId="41EE5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8" w:type="dxa"/>
                  <w:vMerge w:val="continue"/>
                  <w:tcBorders>
                    <w:tl2br w:val="nil"/>
                    <w:tr2bl w:val="nil"/>
                  </w:tcBorders>
                  <w:noWrap w:val="0"/>
                  <w:vAlign w:val="center"/>
                </w:tcPr>
                <w:p w14:paraId="6FE2C2FB">
                  <w:pPr>
                    <w:pStyle w:val="49"/>
                    <w:bidi w:val="0"/>
                    <w:rPr>
                      <w:rFonts w:hint="default" w:ascii="Times New Roman" w:hAnsi="Times New Roman" w:cs="Times New Roman"/>
                      <w:color w:val="auto"/>
                      <w:lang w:val="en-US" w:eastAsia="zh-CN"/>
                    </w:rPr>
                  </w:pPr>
                </w:p>
              </w:tc>
              <w:tc>
                <w:tcPr>
                  <w:tcW w:w="1718" w:type="dxa"/>
                  <w:tcBorders>
                    <w:tl2br w:val="nil"/>
                    <w:tr2bl w:val="nil"/>
                  </w:tcBorders>
                  <w:noWrap w:val="0"/>
                  <w:vAlign w:val="center"/>
                </w:tcPr>
                <w:p w14:paraId="2EFE3340">
                  <w:pPr>
                    <w:pStyle w:val="49"/>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设备动静密封点无组织逸散有机废气</w:t>
                  </w:r>
                </w:p>
              </w:tc>
              <w:tc>
                <w:tcPr>
                  <w:tcW w:w="2934" w:type="dxa"/>
                  <w:tcBorders>
                    <w:tl2br w:val="nil"/>
                    <w:tr2bl w:val="nil"/>
                  </w:tcBorders>
                  <w:noWrap w:val="0"/>
                  <w:vAlign w:val="center"/>
                </w:tcPr>
                <w:p w14:paraId="173927EA">
                  <w:pPr>
                    <w:pStyle w:val="49"/>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非甲烷总烃</w:t>
                  </w:r>
                </w:p>
              </w:tc>
              <w:tc>
                <w:tcPr>
                  <w:tcW w:w="3124" w:type="dxa"/>
                  <w:tcBorders>
                    <w:tl2br w:val="nil"/>
                    <w:tr2bl w:val="nil"/>
                  </w:tcBorders>
                  <w:noWrap w:val="0"/>
                  <w:vAlign w:val="center"/>
                </w:tcPr>
                <w:p w14:paraId="10048748">
                  <w:pPr>
                    <w:pStyle w:val="49"/>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无组织排放</w:t>
                  </w:r>
                </w:p>
              </w:tc>
            </w:tr>
            <w:tr w14:paraId="1E9FC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Merge w:val="restart"/>
                  <w:tcBorders>
                    <w:tl2br w:val="nil"/>
                    <w:tr2bl w:val="nil"/>
                  </w:tcBorders>
                  <w:noWrap w:val="0"/>
                  <w:vAlign w:val="center"/>
                </w:tcPr>
                <w:p w14:paraId="163E8B92">
                  <w:pPr>
                    <w:pStyle w:val="49"/>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废水</w:t>
                  </w:r>
                </w:p>
              </w:tc>
              <w:tc>
                <w:tcPr>
                  <w:tcW w:w="1718" w:type="dxa"/>
                  <w:tcBorders>
                    <w:tl2br w:val="nil"/>
                    <w:tr2bl w:val="nil"/>
                  </w:tcBorders>
                  <w:noWrap w:val="0"/>
                  <w:vAlign w:val="center"/>
                </w:tcPr>
                <w:p w14:paraId="2C1ACACB">
                  <w:pPr>
                    <w:pStyle w:val="52"/>
                    <w:bidi w:val="0"/>
                    <w:rPr>
                      <w:rFonts w:hint="eastAsia" w:eastAsia="宋体"/>
                      <w:color w:val="auto"/>
                      <w:lang w:val="en-US" w:eastAsia="zh-CN"/>
                    </w:rPr>
                  </w:pPr>
                  <w:r>
                    <w:rPr>
                      <w:rFonts w:hint="eastAsia"/>
                      <w:color w:val="auto"/>
                      <w:lang w:val="en-US" w:eastAsia="zh-CN"/>
                    </w:rPr>
                    <w:t>职工生活</w:t>
                  </w:r>
                </w:p>
              </w:tc>
              <w:tc>
                <w:tcPr>
                  <w:tcW w:w="2934" w:type="dxa"/>
                  <w:tcBorders>
                    <w:tl2br w:val="nil"/>
                    <w:tr2bl w:val="nil"/>
                  </w:tcBorders>
                  <w:noWrap w:val="0"/>
                  <w:vAlign w:val="center"/>
                </w:tcPr>
                <w:p w14:paraId="5FFB166A">
                  <w:pPr>
                    <w:pStyle w:val="52"/>
                    <w:bidi w:val="0"/>
                    <w:rPr>
                      <w:rFonts w:hint="eastAsia" w:eastAsia="宋体"/>
                      <w:color w:val="auto"/>
                      <w:lang w:val="en-US" w:eastAsia="zh-CN"/>
                    </w:rPr>
                  </w:pPr>
                  <w:r>
                    <w:rPr>
                      <w:rFonts w:hint="default" w:ascii="Times New Roman" w:hAnsi="Times New Roman" w:eastAsia="宋体" w:cs="Times New Roman"/>
                      <w:color w:val="auto"/>
                      <w:spacing w:val="0"/>
                      <w:szCs w:val="21"/>
                    </w:rPr>
                    <w:t>COD、BOD</w:t>
                  </w:r>
                  <w:r>
                    <w:rPr>
                      <w:rFonts w:hint="default" w:ascii="Times New Roman" w:hAnsi="Times New Roman" w:eastAsia="宋体" w:cs="Times New Roman"/>
                      <w:color w:val="auto"/>
                      <w:spacing w:val="0"/>
                      <w:szCs w:val="21"/>
                      <w:vertAlign w:val="subscript"/>
                    </w:rPr>
                    <w:t>5</w:t>
                  </w:r>
                  <w:r>
                    <w:rPr>
                      <w:rFonts w:hint="default" w:ascii="Times New Roman" w:hAnsi="Times New Roman" w:eastAsia="宋体" w:cs="Times New Roman"/>
                      <w:color w:val="auto"/>
                      <w:spacing w:val="0"/>
                      <w:szCs w:val="21"/>
                    </w:rPr>
                    <w:t>、SS、NH</w:t>
                  </w:r>
                  <w:r>
                    <w:rPr>
                      <w:rFonts w:hint="default" w:ascii="Times New Roman" w:hAnsi="Times New Roman" w:eastAsia="宋体" w:cs="Times New Roman"/>
                      <w:color w:val="auto"/>
                      <w:spacing w:val="0"/>
                      <w:szCs w:val="21"/>
                      <w:vertAlign w:val="subscript"/>
                    </w:rPr>
                    <w:t>3</w:t>
                  </w:r>
                  <w:r>
                    <w:rPr>
                      <w:rFonts w:hint="default" w:ascii="Times New Roman" w:hAnsi="Times New Roman" w:eastAsia="宋体" w:cs="Times New Roman"/>
                      <w:color w:val="auto"/>
                      <w:spacing w:val="0"/>
                      <w:szCs w:val="21"/>
                    </w:rPr>
                    <w:t>-N</w:t>
                  </w:r>
                </w:p>
              </w:tc>
              <w:tc>
                <w:tcPr>
                  <w:tcW w:w="3124" w:type="dxa"/>
                  <w:tcBorders>
                    <w:tl2br w:val="nil"/>
                    <w:tr2bl w:val="nil"/>
                  </w:tcBorders>
                  <w:noWrap w:val="0"/>
                  <w:vAlign w:val="center"/>
                </w:tcPr>
                <w:p w14:paraId="63B6924E">
                  <w:pPr>
                    <w:pStyle w:val="52"/>
                    <w:bidi w:val="0"/>
                    <w:rPr>
                      <w:rFonts w:hint="default"/>
                      <w:color w:val="auto"/>
                      <w:lang w:val="en-US"/>
                    </w:rPr>
                  </w:pPr>
                  <w:r>
                    <w:rPr>
                      <w:rFonts w:hint="eastAsia"/>
                      <w:color w:val="auto"/>
                      <w:lang w:val="en-US" w:eastAsia="zh-CN"/>
                    </w:rPr>
                    <w:t>生活污水经化粪池收集后接管排入园区污水管网再进入长青工业园区污水处理厂进一步处理</w:t>
                  </w:r>
                </w:p>
              </w:tc>
            </w:tr>
            <w:tr w14:paraId="76E56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8" w:type="dxa"/>
                  <w:vMerge w:val="continue"/>
                  <w:tcBorders>
                    <w:tl2br w:val="nil"/>
                    <w:tr2bl w:val="nil"/>
                  </w:tcBorders>
                  <w:noWrap w:val="0"/>
                  <w:vAlign w:val="center"/>
                </w:tcPr>
                <w:p w14:paraId="193DA269">
                  <w:pPr>
                    <w:pStyle w:val="49"/>
                    <w:bidi w:val="0"/>
                    <w:rPr>
                      <w:rFonts w:hint="eastAsia" w:ascii="Times New Roman" w:hAnsi="Times New Roman" w:cs="Times New Roman"/>
                      <w:color w:val="auto"/>
                      <w:lang w:val="en-US" w:eastAsia="zh-CN"/>
                    </w:rPr>
                  </w:pPr>
                </w:p>
              </w:tc>
              <w:tc>
                <w:tcPr>
                  <w:tcW w:w="1718" w:type="dxa"/>
                  <w:tcBorders>
                    <w:tl2br w:val="nil"/>
                    <w:tr2bl w:val="nil"/>
                  </w:tcBorders>
                  <w:noWrap w:val="0"/>
                  <w:vAlign w:val="center"/>
                </w:tcPr>
                <w:p w14:paraId="2C8F88CB">
                  <w:pPr>
                    <w:pStyle w:val="4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循环</w:t>
                  </w:r>
                  <w:r>
                    <w:rPr>
                      <w:rFonts w:hint="eastAsia" w:ascii="Times New Roman" w:hAnsi="Times New Roman" w:eastAsia="宋体" w:cs="Times New Roman"/>
                      <w:color w:val="auto"/>
                      <w:lang w:val="en-US" w:eastAsia="zh-CN"/>
                    </w:rPr>
                    <w:t>冷却水排水</w:t>
                  </w:r>
                </w:p>
              </w:tc>
              <w:tc>
                <w:tcPr>
                  <w:tcW w:w="2934" w:type="dxa"/>
                  <w:tcBorders>
                    <w:tl2br w:val="nil"/>
                    <w:tr2bl w:val="nil"/>
                  </w:tcBorders>
                  <w:noWrap w:val="0"/>
                  <w:vAlign w:val="center"/>
                </w:tcPr>
                <w:p w14:paraId="4E5447AF">
                  <w:pPr>
                    <w:pStyle w:val="49"/>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电导率、总硬度、悬浮物、COD、BOD</w:t>
                  </w:r>
                  <w:r>
                    <w:rPr>
                      <w:rFonts w:hint="eastAsia" w:ascii="Times New Roman" w:hAnsi="Times New Roman" w:eastAsia="宋体" w:cs="Times New Roman"/>
                      <w:color w:val="auto"/>
                      <w:vertAlign w:val="subscript"/>
                      <w:lang w:val="en-US" w:eastAsia="zh-CN"/>
                    </w:rPr>
                    <w:t>5</w:t>
                  </w:r>
                  <w:r>
                    <w:rPr>
                      <w:rFonts w:hint="eastAsia" w:ascii="Times New Roman" w:hAnsi="Times New Roman" w:eastAsia="宋体" w:cs="Times New Roman"/>
                      <w:color w:val="auto"/>
                      <w:lang w:val="en-US" w:eastAsia="zh-CN"/>
                    </w:rPr>
                    <w:t>、总碱度、pH、氯化物、总铁、浊度、总磷、氨氮、总氮</w:t>
                  </w:r>
                </w:p>
              </w:tc>
              <w:tc>
                <w:tcPr>
                  <w:tcW w:w="3124" w:type="dxa"/>
                  <w:tcBorders>
                    <w:tl2br w:val="nil"/>
                    <w:tr2bl w:val="nil"/>
                  </w:tcBorders>
                  <w:noWrap w:val="0"/>
                  <w:vAlign w:val="center"/>
                </w:tcPr>
                <w:p w14:paraId="2DEE8E1D">
                  <w:pPr>
                    <w:pStyle w:val="49"/>
                    <w:bidi w:val="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排放至园区污水管线进入长青工业园污水处理厂（宝鸡天龙污水处理有限公司）处理</w:t>
                  </w:r>
                </w:p>
              </w:tc>
            </w:tr>
            <w:tr w14:paraId="39FBB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8" w:type="dxa"/>
                  <w:tcBorders>
                    <w:tl2br w:val="nil"/>
                    <w:tr2bl w:val="nil"/>
                  </w:tcBorders>
                  <w:noWrap w:val="0"/>
                  <w:vAlign w:val="center"/>
                </w:tcPr>
                <w:p w14:paraId="57EEC668">
                  <w:pPr>
                    <w:pStyle w:val="49"/>
                    <w:bidi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噪声</w:t>
                  </w:r>
                </w:p>
              </w:tc>
              <w:tc>
                <w:tcPr>
                  <w:tcW w:w="1718" w:type="dxa"/>
                  <w:tcBorders>
                    <w:tl2br w:val="nil"/>
                    <w:tr2bl w:val="nil"/>
                  </w:tcBorders>
                  <w:noWrap w:val="0"/>
                  <w:vAlign w:val="center"/>
                </w:tcPr>
                <w:p w14:paraId="746A258D">
                  <w:pPr>
                    <w:pStyle w:val="4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设备噪声</w:t>
                  </w:r>
                </w:p>
              </w:tc>
              <w:tc>
                <w:tcPr>
                  <w:tcW w:w="2934" w:type="dxa"/>
                  <w:tcBorders>
                    <w:tl2br w:val="nil"/>
                    <w:tr2bl w:val="nil"/>
                  </w:tcBorders>
                  <w:noWrap w:val="0"/>
                  <w:vAlign w:val="center"/>
                </w:tcPr>
                <w:p w14:paraId="352B1DAA">
                  <w:pPr>
                    <w:pStyle w:val="4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等效A声级</w:t>
                  </w:r>
                </w:p>
              </w:tc>
              <w:tc>
                <w:tcPr>
                  <w:tcW w:w="3124" w:type="dxa"/>
                  <w:tcBorders>
                    <w:tl2br w:val="nil"/>
                    <w:tr2bl w:val="nil"/>
                  </w:tcBorders>
                  <w:noWrap w:val="0"/>
                  <w:vAlign w:val="center"/>
                </w:tcPr>
                <w:p w14:paraId="48F74C11">
                  <w:pPr>
                    <w:pStyle w:val="49"/>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生产设备均布置于车间内，选用低噪声设备，基础减振</w:t>
                  </w:r>
                </w:p>
              </w:tc>
            </w:tr>
            <w:tr w14:paraId="31F44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8" w:type="dxa"/>
                  <w:vMerge w:val="restart"/>
                  <w:tcBorders>
                    <w:tl2br w:val="nil"/>
                    <w:tr2bl w:val="nil"/>
                  </w:tcBorders>
                  <w:noWrap w:val="0"/>
                  <w:vAlign w:val="center"/>
                </w:tcPr>
                <w:p w14:paraId="2AD7E13C">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固废</w:t>
                  </w:r>
                </w:p>
              </w:tc>
              <w:tc>
                <w:tcPr>
                  <w:tcW w:w="1718" w:type="dxa"/>
                  <w:tcBorders>
                    <w:tl2br w:val="nil"/>
                    <w:tr2bl w:val="nil"/>
                  </w:tcBorders>
                  <w:noWrap w:val="0"/>
                  <w:vAlign w:val="center"/>
                </w:tcPr>
                <w:p w14:paraId="1AA4C5B0">
                  <w:pPr>
                    <w:pStyle w:val="49"/>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color w:val="auto"/>
                    </w:rPr>
                    <w:t>职工生活</w:t>
                  </w:r>
                </w:p>
              </w:tc>
              <w:tc>
                <w:tcPr>
                  <w:tcW w:w="2934" w:type="dxa"/>
                  <w:tcBorders>
                    <w:tl2br w:val="nil"/>
                    <w:tr2bl w:val="nil"/>
                  </w:tcBorders>
                  <w:noWrap w:val="0"/>
                  <w:vAlign w:val="center"/>
                </w:tcPr>
                <w:p w14:paraId="05CB4E2B">
                  <w:pPr>
                    <w:pStyle w:val="49"/>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color w:val="auto"/>
                    </w:rPr>
                    <w:t>生活垃圾</w:t>
                  </w:r>
                </w:p>
              </w:tc>
              <w:tc>
                <w:tcPr>
                  <w:tcW w:w="3124" w:type="dxa"/>
                  <w:tcBorders>
                    <w:tl2br w:val="nil"/>
                    <w:tr2bl w:val="nil"/>
                  </w:tcBorders>
                  <w:noWrap w:val="0"/>
                  <w:vAlign w:val="center"/>
                </w:tcPr>
                <w:p w14:paraId="03310497">
                  <w:pPr>
                    <w:pStyle w:val="49"/>
                    <w:bidi w:val="0"/>
                    <w:ind w:firstLine="0" w:firstLineChars="0"/>
                    <w:rPr>
                      <w:rFonts w:hint="default" w:ascii="Times New Roman" w:hAnsi="Times New Roman" w:eastAsia="宋体" w:cs="Times New Roman"/>
                      <w:color w:val="auto"/>
                      <w:kern w:val="0"/>
                      <w:sz w:val="21"/>
                      <w:szCs w:val="21"/>
                      <w:lang w:val="en-US" w:eastAsia="zh-CN" w:bidi="ar-SA"/>
                    </w:rPr>
                  </w:pPr>
                  <w:r>
                    <w:rPr>
                      <w:rFonts w:hint="default"/>
                      <w:color w:val="auto"/>
                    </w:rPr>
                    <w:t>垃圾桶收集后交由环卫部门处置</w:t>
                  </w:r>
                </w:p>
              </w:tc>
            </w:tr>
            <w:tr w14:paraId="22361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68" w:type="dxa"/>
                  <w:vMerge w:val="continue"/>
                  <w:tcBorders>
                    <w:tl2br w:val="nil"/>
                    <w:tr2bl w:val="nil"/>
                  </w:tcBorders>
                  <w:noWrap w:val="0"/>
                  <w:vAlign w:val="center"/>
                </w:tcPr>
                <w:p w14:paraId="78C675D2">
                  <w:pPr>
                    <w:pStyle w:val="49"/>
                    <w:bidi w:val="0"/>
                    <w:rPr>
                      <w:rFonts w:hint="default" w:ascii="Times New Roman" w:hAnsi="Times New Roman" w:cs="Times New Roman"/>
                      <w:color w:val="auto"/>
                      <w:lang w:val="en-US" w:eastAsia="zh-CN"/>
                    </w:rPr>
                  </w:pPr>
                </w:p>
              </w:tc>
              <w:tc>
                <w:tcPr>
                  <w:tcW w:w="1718" w:type="dxa"/>
                  <w:tcBorders>
                    <w:tl2br w:val="nil"/>
                    <w:tr2bl w:val="nil"/>
                  </w:tcBorders>
                  <w:noWrap w:val="0"/>
                  <w:vAlign w:val="center"/>
                </w:tcPr>
                <w:p w14:paraId="39B9F4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过滤设备、空分设备、</w:t>
                  </w:r>
                </w:p>
              </w:tc>
              <w:tc>
                <w:tcPr>
                  <w:tcW w:w="2934" w:type="dxa"/>
                  <w:tcBorders>
                    <w:tl2br w:val="nil"/>
                    <w:tr2bl w:val="nil"/>
                  </w:tcBorders>
                  <w:noWrap w:val="0"/>
                  <w:vAlign w:val="center"/>
                </w:tcPr>
                <w:p w14:paraId="259DBA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废旧滤筒、废吸附剂（分子筛和氧化铝）、废珠光砂</w:t>
                  </w:r>
                </w:p>
              </w:tc>
              <w:tc>
                <w:tcPr>
                  <w:tcW w:w="3124" w:type="dxa"/>
                  <w:tcBorders>
                    <w:tl2br w:val="nil"/>
                    <w:tr2bl w:val="nil"/>
                  </w:tcBorders>
                  <w:noWrap w:val="0"/>
                  <w:vAlign w:val="center"/>
                </w:tcPr>
                <w:p w14:paraId="0EA40CA3">
                  <w:pPr>
                    <w:pStyle w:val="49"/>
                    <w:bidi w:val="0"/>
                    <w:ind w:firstLine="0" w:firstLineChars="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highlight w:val="none"/>
                      <w:lang w:val="en-US" w:eastAsia="zh-CN"/>
                    </w:rPr>
                    <w:t>每次更换前提前联系</w:t>
                  </w:r>
                  <w:r>
                    <w:rPr>
                      <w:rFonts w:hint="eastAsia" w:cs="Times New Roman"/>
                      <w:color w:val="auto"/>
                      <w:highlight w:val="none"/>
                      <w:lang w:val="en-US" w:eastAsia="zh-CN"/>
                    </w:rPr>
                    <w:t>厂家上门更换并回收处理，</w:t>
                  </w:r>
                  <w:r>
                    <w:rPr>
                      <w:rFonts w:hint="eastAsia" w:ascii="Times New Roman" w:hAnsi="Times New Roman" w:eastAsia="宋体" w:cs="Times New Roman"/>
                      <w:color w:val="auto"/>
                      <w:highlight w:val="none"/>
                      <w:lang w:val="en-US" w:eastAsia="zh-CN"/>
                    </w:rPr>
                    <w:t>不在厂区内暂存</w:t>
                  </w:r>
                </w:p>
              </w:tc>
            </w:tr>
            <w:tr w14:paraId="2C60C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8" w:type="dxa"/>
                  <w:vMerge w:val="continue"/>
                  <w:tcBorders>
                    <w:tl2br w:val="nil"/>
                    <w:tr2bl w:val="nil"/>
                  </w:tcBorders>
                  <w:noWrap w:val="0"/>
                  <w:vAlign w:val="center"/>
                </w:tcPr>
                <w:p w14:paraId="6E7AEC24">
                  <w:pPr>
                    <w:pStyle w:val="49"/>
                    <w:bidi w:val="0"/>
                    <w:ind w:firstLine="0" w:firstLineChars="0"/>
                  </w:pPr>
                </w:p>
              </w:tc>
              <w:tc>
                <w:tcPr>
                  <w:tcW w:w="1718" w:type="dxa"/>
                  <w:tcBorders>
                    <w:tl2br w:val="nil"/>
                    <w:tr2bl w:val="nil"/>
                  </w:tcBorders>
                  <w:noWrap w:val="0"/>
                  <w:vAlign w:val="center"/>
                </w:tcPr>
                <w:p w14:paraId="4BACCF20">
                  <w:pPr>
                    <w:pStyle w:val="49"/>
                    <w:bidi w:val="0"/>
                    <w:ind w:firstLine="0" w:firstLineChars="0"/>
                  </w:pPr>
                  <w:r>
                    <w:rPr>
                      <w:rFonts w:hint="eastAsia"/>
                      <w:color w:val="auto"/>
                      <w:sz w:val="21"/>
                      <w:szCs w:val="21"/>
                      <w:lang w:val="en-US" w:eastAsia="zh-CN"/>
                    </w:rPr>
                    <w:t>充装线</w:t>
                  </w:r>
                </w:p>
              </w:tc>
              <w:tc>
                <w:tcPr>
                  <w:tcW w:w="2934" w:type="dxa"/>
                  <w:tcBorders>
                    <w:tl2br w:val="nil"/>
                    <w:tr2bl w:val="nil"/>
                  </w:tcBorders>
                  <w:noWrap w:val="0"/>
                  <w:vAlign w:val="center"/>
                </w:tcPr>
                <w:p w14:paraId="7C96A28B">
                  <w:pPr>
                    <w:pStyle w:val="49"/>
                    <w:bidi w:val="0"/>
                    <w:ind w:firstLine="0" w:firstLineChars="0"/>
                  </w:pPr>
                  <w:r>
                    <w:rPr>
                      <w:rFonts w:hint="eastAsia"/>
                    </w:rPr>
                    <w:t>废钢瓶</w:t>
                  </w:r>
                </w:p>
              </w:tc>
              <w:tc>
                <w:tcPr>
                  <w:tcW w:w="3124" w:type="dxa"/>
                  <w:tcBorders>
                    <w:tl2br w:val="nil"/>
                    <w:tr2bl w:val="nil"/>
                  </w:tcBorders>
                  <w:noWrap w:val="0"/>
                  <w:vAlign w:val="center"/>
                </w:tcPr>
                <w:p w14:paraId="1B040618">
                  <w:pPr>
                    <w:pStyle w:val="49"/>
                    <w:bidi w:val="0"/>
                    <w:ind w:firstLine="0" w:firstLineChars="0"/>
                    <w:rPr>
                      <w:rFonts w:hint="eastAsia" w:ascii="Times New Roman" w:hAnsi="Times New Roman" w:eastAsia="宋体" w:cs="Times New Roman"/>
                      <w:color w:val="auto"/>
                      <w:highlight w:val="none"/>
                      <w:lang w:val="en-US" w:eastAsia="zh-CN"/>
                    </w:rPr>
                  </w:pPr>
                  <w:r>
                    <w:rPr>
                      <w:rFonts w:hint="eastAsia" w:ascii="Times New Roman" w:hAnsi="宋体" w:eastAsia="宋体" w:cs="Times New Roman"/>
                      <w:color w:val="auto"/>
                      <w:kern w:val="0"/>
                      <w:sz w:val="21"/>
                      <w:szCs w:val="21"/>
                      <w:lang w:val="en-US" w:eastAsia="zh-CN" w:bidi="ar-SA"/>
                    </w:rPr>
                    <w:t>统一收集暂存于</w:t>
                  </w:r>
                  <w:r>
                    <w:rPr>
                      <w:rFonts w:hint="eastAsia" w:hAnsi="宋体" w:cs="Times New Roman"/>
                      <w:color w:val="auto"/>
                      <w:kern w:val="0"/>
                      <w:sz w:val="21"/>
                      <w:szCs w:val="21"/>
                      <w:lang w:val="en-US" w:eastAsia="zh-CN" w:bidi="ar-SA"/>
                    </w:rPr>
                    <w:t>一般固废暂存区</w:t>
                  </w:r>
                  <w:r>
                    <w:rPr>
                      <w:rFonts w:hint="eastAsia" w:ascii="Times New Roman" w:hAnsi="宋体" w:eastAsia="宋体" w:cs="Times New Roman"/>
                      <w:color w:val="auto"/>
                      <w:kern w:val="0"/>
                      <w:sz w:val="21"/>
                      <w:szCs w:val="21"/>
                      <w:lang w:val="en-US" w:eastAsia="zh-CN" w:bidi="ar-SA"/>
                    </w:rPr>
                    <w:t>，定期送至当地有资质的钢瓶检验站进行检验、报废</w:t>
                  </w:r>
                </w:p>
              </w:tc>
            </w:tr>
            <w:tr w14:paraId="379C1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8" w:type="dxa"/>
                  <w:vMerge w:val="continue"/>
                  <w:tcBorders>
                    <w:tl2br w:val="nil"/>
                    <w:tr2bl w:val="nil"/>
                  </w:tcBorders>
                  <w:noWrap w:val="0"/>
                  <w:vAlign w:val="center"/>
                </w:tcPr>
                <w:p w14:paraId="4082F226">
                  <w:pPr>
                    <w:pStyle w:val="49"/>
                    <w:bidi w:val="0"/>
                    <w:rPr>
                      <w:rFonts w:hint="default" w:ascii="Times New Roman" w:hAnsi="Times New Roman" w:cs="Times New Roman"/>
                      <w:color w:val="auto"/>
                      <w:lang w:val="en-US" w:eastAsia="zh-CN"/>
                    </w:rPr>
                  </w:pPr>
                </w:p>
              </w:tc>
              <w:tc>
                <w:tcPr>
                  <w:tcW w:w="1718" w:type="dxa"/>
                  <w:vMerge w:val="restart"/>
                  <w:tcBorders>
                    <w:tl2br w:val="nil"/>
                    <w:tr2bl w:val="nil"/>
                  </w:tcBorders>
                  <w:noWrap w:val="0"/>
                  <w:vAlign w:val="center"/>
                </w:tcPr>
                <w:p w14:paraId="4872EE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乙炔及液化石油</w:t>
                  </w:r>
                  <w:r>
                    <w:rPr>
                      <w:rFonts w:hint="eastAsia" w:cs="Times New Roman"/>
                      <w:color w:val="auto"/>
                      <w:kern w:val="0"/>
                      <w:sz w:val="21"/>
                      <w:szCs w:val="21"/>
                      <w:lang w:val="en-US" w:eastAsia="zh-CN" w:bidi="ar-SA"/>
                    </w:rPr>
                    <w:t>气</w:t>
                  </w:r>
                  <w:r>
                    <w:rPr>
                      <w:rFonts w:hint="eastAsia"/>
                      <w:color w:val="auto"/>
                      <w:sz w:val="21"/>
                      <w:szCs w:val="21"/>
                      <w:lang w:val="en-US" w:eastAsia="zh-CN"/>
                    </w:rPr>
                    <w:t>充装线</w:t>
                  </w:r>
                </w:p>
              </w:tc>
              <w:tc>
                <w:tcPr>
                  <w:tcW w:w="2934" w:type="dxa"/>
                  <w:tcBorders>
                    <w:tl2br w:val="nil"/>
                    <w:tr2bl w:val="nil"/>
                  </w:tcBorders>
                  <w:noWrap w:val="0"/>
                  <w:vAlign w:val="center"/>
                </w:tcPr>
                <w:p w14:paraId="4C2F12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液化石油气残液</w:t>
                  </w:r>
                </w:p>
              </w:tc>
              <w:tc>
                <w:tcPr>
                  <w:tcW w:w="3124" w:type="dxa"/>
                  <w:tcBorders>
                    <w:tl2br w:val="nil"/>
                    <w:tr2bl w:val="nil"/>
                  </w:tcBorders>
                  <w:noWrap w:val="0"/>
                  <w:vAlign w:val="center"/>
                </w:tcPr>
                <w:p w14:paraId="2CD19558">
                  <w:pPr>
                    <w:pStyle w:val="49"/>
                    <w:bidi w:val="0"/>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暂存在残液储罐内，定期委托液化石油气供应单位进行回收处理</w:t>
                  </w:r>
                </w:p>
              </w:tc>
            </w:tr>
            <w:tr w14:paraId="27449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8" w:type="dxa"/>
                  <w:vMerge w:val="continue"/>
                  <w:tcBorders>
                    <w:tl2br w:val="nil"/>
                    <w:tr2bl w:val="nil"/>
                  </w:tcBorders>
                  <w:noWrap w:val="0"/>
                  <w:vAlign w:val="center"/>
                </w:tcPr>
                <w:p w14:paraId="77F1BEAE">
                  <w:pPr>
                    <w:pStyle w:val="49"/>
                    <w:bidi w:val="0"/>
                    <w:rPr>
                      <w:rFonts w:hint="default" w:ascii="Times New Roman" w:hAnsi="Times New Roman" w:cs="Times New Roman"/>
                      <w:color w:val="auto"/>
                      <w:lang w:val="en-US" w:eastAsia="zh-CN"/>
                    </w:rPr>
                  </w:pPr>
                </w:p>
              </w:tc>
              <w:tc>
                <w:tcPr>
                  <w:tcW w:w="1718" w:type="dxa"/>
                  <w:vMerge w:val="continue"/>
                  <w:tcBorders>
                    <w:tl2br w:val="nil"/>
                    <w:tr2bl w:val="nil"/>
                  </w:tcBorders>
                  <w:noWrap w:val="0"/>
                  <w:vAlign w:val="center"/>
                </w:tcPr>
                <w:p w14:paraId="2BF860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p>
              </w:tc>
              <w:tc>
                <w:tcPr>
                  <w:tcW w:w="2934" w:type="dxa"/>
                  <w:tcBorders>
                    <w:tl2br w:val="nil"/>
                    <w:tr2bl w:val="nil"/>
                  </w:tcBorders>
                  <w:noWrap w:val="0"/>
                  <w:vAlign w:val="center"/>
                </w:tcPr>
                <w:p w14:paraId="73FB6E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报废乙炔及液化石油气钢瓶</w:t>
                  </w:r>
                </w:p>
              </w:tc>
              <w:tc>
                <w:tcPr>
                  <w:tcW w:w="3124" w:type="dxa"/>
                  <w:tcBorders>
                    <w:tl2br w:val="nil"/>
                    <w:tr2bl w:val="nil"/>
                  </w:tcBorders>
                  <w:noWrap w:val="0"/>
                  <w:vAlign w:val="center"/>
                </w:tcPr>
                <w:p w14:paraId="7AAD6C9E">
                  <w:pPr>
                    <w:pStyle w:val="49"/>
                    <w:bidi w:val="0"/>
                    <w:ind w:firstLine="0" w:firstLineChars="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宋体" w:eastAsia="宋体" w:cs="Times New Roman"/>
                      <w:color w:val="auto"/>
                      <w:kern w:val="0"/>
                      <w:sz w:val="21"/>
                      <w:szCs w:val="21"/>
                      <w:lang w:val="en-US" w:eastAsia="zh-CN" w:bidi="ar-SA"/>
                    </w:rPr>
                    <w:t>统一收集暂存于危废贮存库，定期送至当地有资质的钢瓶检验站进行检验、报废</w:t>
                  </w:r>
                </w:p>
              </w:tc>
            </w:tr>
            <w:tr w14:paraId="349CC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8" w:type="dxa"/>
                  <w:vMerge w:val="continue"/>
                  <w:tcBorders>
                    <w:tl2br w:val="nil"/>
                    <w:tr2bl w:val="nil"/>
                  </w:tcBorders>
                  <w:noWrap w:val="0"/>
                  <w:vAlign w:val="center"/>
                </w:tcPr>
                <w:p w14:paraId="37FCFB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p>
              </w:tc>
              <w:tc>
                <w:tcPr>
                  <w:tcW w:w="1718" w:type="dxa"/>
                  <w:tcBorders>
                    <w:tl2br w:val="nil"/>
                    <w:tr2bl w:val="nil"/>
                  </w:tcBorders>
                  <w:noWrap w:val="0"/>
                  <w:vAlign w:val="center"/>
                </w:tcPr>
                <w:p w14:paraId="4FF98F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rPr>
                      <w:rFonts w:hint="eastAsia"/>
                      <w:color w:val="auto"/>
                      <w:sz w:val="21"/>
                      <w:szCs w:val="21"/>
                      <w:lang w:val="en-US" w:eastAsia="zh-CN"/>
                    </w:rPr>
                    <w:t>设备维护保养</w:t>
                  </w:r>
                </w:p>
              </w:tc>
              <w:tc>
                <w:tcPr>
                  <w:tcW w:w="2934" w:type="dxa"/>
                  <w:tcBorders>
                    <w:tl2br w:val="nil"/>
                    <w:tr2bl w:val="nil"/>
                  </w:tcBorders>
                  <w:noWrap w:val="0"/>
                  <w:vAlign w:val="center"/>
                </w:tcPr>
                <w:p w14:paraId="1CFAE1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废润滑油、废油桶、含油抹布、手套</w:t>
                  </w:r>
                </w:p>
              </w:tc>
              <w:tc>
                <w:tcPr>
                  <w:tcW w:w="3124" w:type="dxa"/>
                  <w:tcBorders>
                    <w:tl2br w:val="nil"/>
                    <w:tr2bl w:val="nil"/>
                  </w:tcBorders>
                  <w:noWrap w:val="0"/>
                  <w:vAlign w:val="center"/>
                </w:tcPr>
                <w:p w14:paraId="6BE747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危废贮存库</w:t>
                  </w:r>
                  <w:r>
                    <w:rPr>
                      <w:rFonts w:hint="default" w:ascii="Times New Roman" w:hAnsi="Times New Roman" w:eastAsia="宋体" w:cs="Times New Roman"/>
                      <w:color w:val="auto"/>
                      <w:sz w:val="21"/>
                      <w:szCs w:val="21"/>
                      <w:lang w:val="en-US" w:eastAsia="zh-CN"/>
                    </w:rPr>
                    <w:t>暂存，定期交由</w:t>
                  </w:r>
                  <w:r>
                    <w:rPr>
                      <w:rFonts w:hint="eastAsia" w:ascii="Times New Roman" w:hAnsi="Times New Roman" w:eastAsia="宋体" w:cs="Times New Roman"/>
                      <w:color w:val="auto"/>
                      <w:sz w:val="21"/>
                      <w:szCs w:val="21"/>
                      <w:lang w:val="en-US" w:eastAsia="zh-CN"/>
                    </w:rPr>
                    <w:t>有资质单位处置</w:t>
                  </w:r>
                </w:p>
              </w:tc>
            </w:tr>
          </w:tbl>
          <w:p w14:paraId="159D0392">
            <w:pPr>
              <w:adjustRightInd w:val="0"/>
              <w:snapToGrid w:val="0"/>
              <w:rPr>
                <w:rFonts w:hint="default" w:ascii="Times New Roman" w:hAnsi="Times New Roman" w:eastAsia="宋体" w:cs="Times New Roman"/>
                <w:bCs/>
                <w:color w:val="auto"/>
                <w:szCs w:val="21"/>
                <w:highlight w:val="none"/>
                <w:lang w:eastAsia="zh-CN"/>
              </w:rPr>
            </w:pPr>
          </w:p>
        </w:tc>
      </w:tr>
      <w:tr w14:paraId="5E00B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noWrap w:val="0"/>
            <w:vAlign w:val="center"/>
          </w:tcPr>
          <w:p w14:paraId="051A3F9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kern w:val="2"/>
                <w:sz w:val="24"/>
                <w:szCs w:val="24"/>
                <w:highlight w:val="none"/>
              </w:rPr>
              <w:t>与项目有关的原有环境污染问题</w:t>
            </w:r>
          </w:p>
        </w:tc>
        <w:tc>
          <w:tcPr>
            <w:tcW w:w="8736" w:type="dxa"/>
            <w:noWrap w:val="0"/>
            <w:vAlign w:val="top"/>
          </w:tcPr>
          <w:p w14:paraId="70188FB0">
            <w:pPr>
              <w:pStyle w:val="20"/>
              <w:rPr>
                <w:color w:val="auto"/>
                <w:sz w:val="24"/>
                <w:szCs w:val="28"/>
              </w:rPr>
            </w:pPr>
            <w:r>
              <w:rPr>
                <w:color w:val="auto"/>
                <w:sz w:val="24"/>
                <w:szCs w:val="28"/>
                <w:highlight w:val="none"/>
              </w:rPr>
              <w:t>项目为</w:t>
            </w:r>
            <w:r>
              <w:rPr>
                <w:rFonts w:hint="eastAsia"/>
                <w:color w:val="auto"/>
                <w:sz w:val="24"/>
                <w:szCs w:val="28"/>
                <w:highlight w:val="none"/>
                <w:lang w:val="en-US" w:eastAsia="zh-CN"/>
              </w:rPr>
              <w:t>迁</w:t>
            </w:r>
            <w:r>
              <w:rPr>
                <w:color w:val="auto"/>
                <w:sz w:val="24"/>
                <w:szCs w:val="28"/>
                <w:highlight w:val="none"/>
              </w:rPr>
              <w:t>建项目</w:t>
            </w:r>
            <w:r>
              <w:rPr>
                <w:rFonts w:hint="eastAsia"/>
                <w:color w:val="auto"/>
                <w:sz w:val="24"/>
                <w:szCs w:val="28"/>
                <w:highlight w:val="none"/>
                <w:lang w:val="en-US" w:eastAsia="zh-CN"/>
              </w:rPr>
              <w:t>重大变动</w:t>
            </w:r>
            <w:r>
              <w:rPr>
                <w:color w:val="auto"/>
                <w:sz w:val="24"/>
                <w:szCs w:val="28"/>
                <w:highlight w:val="none"/>
              </w:rPr>
              <w:t>，</w:t>
            </w:r>
            <w:r>
              <w:rPr>
                <w:rFonts w:hint="eastAsia"/>
                <w:color w:val="auto"/>
                <w:sz w:val="24"/>
                <w:szCs w:val="28"/>
                <w:highlight w:val="none"/>
              </w:rPr>
              <w:t>根据现场调查</w:t>
            </w:r>
            <w:r>
              <w:rPr>
                <w:color w:val="auto"/>
                <w:sz w:val="24"/>
                <w:szCs w:val="28"/>
                <w:highlight w:val="none"/>
              </w:rPr>
              <w:t>，</w:t>
            </w:r>
            <w:r>
              <w:rPr>
                <w:rFonts w:hint="eastAsia"/>
                <w:color w:val="auto"/>
                <w:sz w:val="24"/>
                <w:szCs w:val="28"/>
                <w:highlight w:val="none"/>
                <w:lang w:val="en-US" w:eastAsia="zh-CN"/>
              </w:rPr>
              <w:t>目前厂区西侧生产车间、辅助用房已建设完成，</w:t>
            </w:r>
            <w:r>
              <w:rPr>
                <w:color w:val="auto"/>
                <w:sz w:val="24"/>
                <w:szCs w:val="28"/>
                <w:highlight w:val="none"/>
              </w:rPr>
              <w:t>已建内容中</w:t>
            </w:r>
            <w:r>
              <w:rPr>
                <w:rFonts w:hint="eastAsia"/>
                <w:color w:val="auto"/>
                <w:sz w:val="24"/>
                <w:szCs w:val="28"/>
                <w:highlight w:val="none"/>
                <w:lang w:val="en-US" w:eastAsia="zh-CN"/>
              </w:rPr>
              <w:t>未发现</w:t>
            </w:r>
            <w:r>
              <w:rPr>
                <w:color w:val="auto"/>
                <w:sz w:val="24"/>
                <w:szCs w:val="28"/>
                <w:highlight w:val="none"/>
              </w:rPr>
              <w:t>环境问题</w:t>
            </w:r>
            <w:r>
              <w:rPr>
                <w:rFonts w:hint="eastAsia"/>
                <w:color w:val="auto"/>
                <w:sz w:val="24"/>
                <w:szCs w:val="28"/>
                <w:highlight w:val="none"/>
              </w:rPr>
              <w:t>，</w:t>
            </w:r>
            <w:r>
              <w:rPr>
                <w:color w:val="auto"/>
                <w:sz w:val="24"/>
                <w:szCs w:val="28"/>
                <w:highlight w:val="none"/>
              </w:rPr>
              <w:t>建设过程</w:t>
            </w:r>
            <w:r>
              <w:rPr>
                <w:rFonts w:hint="eastAsia"/>
                <w:color w:val="auto"/>
                <w:sz w:val="24"/>
                <w:szCs w:val="28"/>
                <w:highlight w:val="none"/>
              </w:rPr>
              <w:t>中未收到居民投诉和环</w:t>
            </w:r>
            <w:r>
              <w:rPr>
                <w:rFonts w:hint="eastAsia"/>
                <w:color w:val="auto"/>
                <w:sz w:val="24"/>
                <w:szCs w:val="28"/>
              </w:rPr>
              <w:t>保主管部门的处罚，</w:t>
            </w:r>
            <w:r>
              <w:rPr>
                <w:color w:val="auto"/>
                <w:sz w:val="24"/>
                <w:szCs w:val="28"/>
              </w:rPr>
              <w:t>不存在环境问题及整改措施。</w:t>
            </w:r>
          </w:p>
          <w:p w14:paraId="158EDDEB">
            <w:pPr>
              <w:pStyle w:val="20"/>
              <w:rPr>
                <w:color w:val="auto"/>
                <w:sz w:val="24"/>
                <w:szCs w:val="28"/>
              </w:rPr>
            </w:pPr>
          </w:p>
          <w:p w14:paraId="77B76201">
            <w:pPr>
              <w:pStyle w:val="20"/>
              <w:rPr>
                <w:color w:val="auto"/>
                <w:sz w:val="24"/>
                <w:szCs w:val="28"/>
              </w:rPr>
            </w:pPr>
          </w:p>
          <w:p w14:paraId="4EEB4E1D">
            <w:pPr>
              <w:pStyle w:val="20"/>
              <w:ind w:left="0" w:leftChars="0" w:firstLine="0" w:firstLineChars="0"/>
              <w:rPr>
                <w:rFonts w:hint="default"/>
                <w:color w:val="auto"/>
                <w:sz w:val="24"/>
                <w:szCs w:val="28"/>
                <w:lang w:val="en-US" w:eastAsia="zh-CN"/>
              </w:rPr>
            </w:pPr>
          </w:p>
        </w:tc>
      </w:tr>
    </w:tbl>
    <w:p w14:paraId="73B66D0F">
      <w:pPr>
        <w:pStyle w:val="26"/>
        <w:jc w:val="center"/>
        <w:rPr>
          <w:rFonts w:hint="default" w:ascii="Times New Roman" w:hAnsi="Times New Roman" w:eastAsia="宋体" w:cs="Times New Roman"/>
          <w:snapToGrid w:val="0"/>
          <w:color w:val="auto"/>
          <w:sz w:val="36"/>
          <w:szCs w:val="36"/>
          <w:highlight w:val="none"/>
        </w:rPr>
        <w:sectPr>
          <w:pgSz w:w="11906" w:h="16838"/>
          <w:pgMar w:top="1247" w:right="1247" w:bottom="1247" w:left="1587" w:header="851" w:footer="851" w:gutter="0"/>
          <w:pgBorders>
            <w:top w:val="none" w:sz="0" w:space="0"/>
            <w:left w:val="none" w:sz="0" w:space="0"/>
            <w:bottom w:val="none" w:sz="0" w:space="0"/>
            <w:right w:val="none" w:sz="0" w:space="0"/>
          </w:pgBorders>
          <w:pgNumType w:fmt="decimal"/>
          <w:cols w:space="720" w:num="1"/>
          <w:docGrid w:linePitch="312" w:charSpace="0"/>
        </w:sectPr>
      </w:pPr>
    </w:p>
    <w:p w14:paraId="20E047CD">
      <w:pPr>
        <w:pStyle w:val="26"/>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14:paraId="3CE2D980">
      <w:pPr>
        <w:pStyle w:val="2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bookmarkEnd w:id="4"/>
      <w:bookmarkEnd w:id="5"/>
      <w:bookmarkEnd w:id="6"/>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462"/>
      </w:tblGrid>
      <w:tr w14:paraId="59956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578" w:hRule="atLeast"/>
          <w:jc w:val="center"/>
        </w:trPr>
        <w:tc>
          <w:tcPr>
            <w:tcW w:w="827" w:type="dxa"/>
            <w:noWrap w:val="0"/>
            <w:vAlign w:val="center"/>
          </w:tcPr>
          <w:p w14:paraId="30814F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区域</w:t>
            </w:r>
          </w:p>
          <w:p w14:paraId="5618BB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环境</w:t>
            </w:r>
          </w:p>
          <w:p w14:paraId="10E4A2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质量</w:t>
            </w:r>
          </w:p>
          <w:p w14:paraId="63148E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现状</w:t>
            </w:r>
          </w:p>
        </w:tc>
        <w:tc>
          <w:tcPr>
            <w:tcW w:w="8462" w:type="dxa"/>
            <w:noWrap w:val="0"/>
            <w:vAlign w:val="center"/>
          </w:tcPr>
          <w:p w14:paraId="57F62EB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一、环境空气质量现状</w:t>
            </w:r>
          </w:p>
          <w:p w14:paraId="2F4052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本项目位于</w:t>
            </w:r>
            <w:r>
              <w:rPr>
                <w:rFonts w:hint="eastAsia" w:ascii="Times New Roman" w:hAnsi="Times New Roman" w:cs="Times New Roman"/>
                <w:color w:val="auto"/>
                <w:sz w:val="24"/>
                <w:szCs w:val="24"/>
                <w:highlight w:val="none"/>
                <w:u w:val="none"/>
                <w:lang w:eastAsia="zh-CN"/>
              </w:rPr>
              <w:t>陕西省宝鸡市凤翔高新区长青工业园</w:t>
            </w:r>
            <w:r>
              <w:rPr>
                <w:rFonts w:hint="default" w:ascii="Times New Roman" w:hAnsi="Times New Roman" w:cs="Times New Roman"/>
                <w:color w:val="auto"/>
                <w:sz w:val="24"/>
                <w:szCs w:val="24"/>
                <w:highlight w:val="none"/>
              </w:rPr>
              <w:t>。根据大气功能区划，本项目所在地为二类功能区，环境空气质量标准执行《环境空气质量标准》（GB3095</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softHyphen/>
            </w:r>
            <w:r>
              <w:rPr>
                <w:rFonts w:hint="default" w:ascii="Times New Roman" w:hAnsi="Times New Roman" w:cs="Times New Roman"/>
                <w:color w:val="auto"/>
                <w:sz w:val="24"/>
                <w:szCs w:val="24"/>
                <w:highlight w:val="none"/>
              </w:rPr>
              <w:t>2012）二级标准要求。</w:t>
            </w:r>
          </w:p>
          <w:p w14:paraId="48AE5A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按</w:t>
            </w:r>
            <w:r>
              <w:rPr>
                <w:rFonts w:hint="eastAsia" w:ascii="宋体" w:hAnsi="宋体" w:eastAsia="宋体" w:cs="宋体"/>
                <w:color w:val="auto"/>
                <w:sz w:val="24"/>
                <w:szCs w:val="24"/>
                <w:highlight w:val="none"/>
                <w:lang w:eastAsia="zh-CN"/>
              </w:rPr>
              <w:t>照《建设项目环境影响报告表编制技术指南（污染影响类）（试行）》规定，</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常规污染物引用与建设项目距离近的有效数据</w:t>
            </w:r>
            <w:r>
              <w:rPr>
                <w:rFonts w:hint="default" w:ascii="Times New Roman" w:hAnsi="Times New Roman" w:eastAsia="宋体" w:cs="Times New Roman"/>
                <w:color w:val="auto"/>
                <w:sz w:val="24"/>
                <w:szCs w:val="24"/>
                <w:highlight w:val="none"/>
                <w:lang w:val="en-US" w:eastAsia="zh-CN"/>
              </w:rPr>
              <w:t>，包括近3年</w:t>
            </w:r>
            <w:r>
              <w:rPr>
                <w:rFonts w:hint="eastAsia" w:ascii="宋体" w:hAnsi="宋体" w:eastAsia="宋体" w:cs="宋体"/>
                <w:color w:val="auto"/>
                <w:sz w:val="24"/>
                <w:szCs w:val="24"/>
                <w:highlight w:val="none"/>
                <w:lang w:val="en-US" w:eastAsia="zh-CN"/>
              </w:rPr>
              <w:t>的规划环境影响评价的监测数据，国家、地方环境空气质量监测网数据或生态环境主管部门公开发布的质量数据等。</w:t>
            </w:r>
            <w:r>
              <w:rPr>
                <w:rFonts w:hint="eastAsia" w:ascii="宋体" w:hAnsi="宋体" w:cs="宋体"/>
                <w:color w:val="auto"/>
                <w:sz w:val="24"/>
                <w:szCs w:val="24"/>
                <w:highlight w:val="none"/>
                <w:lang w:val="en-US" w:eastAsia="zh-CN"/>
              </w:rPr>
              <w:t>”</w:t>
            </w:r>
          </w:p>
          <w:p w14:paraId="672622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本次评价</w:t>
            </w:r>
            <w:r>
              <w:rPr>
                <w:rFonts w:hint="default" w:ascii="Times New Roman" w:hAnsi="Times New Roman" w:eastAsia="宋体" w:cs="Times New Roman"/>
                <w:color w:val="auto"/>
                <w:sz w:val="24"/>
                <w:szCs w:val="24"/>
                <w:highlight w:val="none"/>
                <w:lang w:val="en-US" w:eastAsia="zh-CN"/>
              </w:rPr>
              <w:t>常规</w:t>
            </w:r>
            <w:r>
              <w:rPr>
                <w:rFonts w:hint="default" w:ascii="Times New Roman" w:hAnsi="Times New Roman" w:eastAsia="宋体" w:cs="Times New Roman"/>
                <w:color w:val="auto"/>
                <w:sz w:val="24"/>
                <w:szCs w:val="24"/>
                <w:highlight w:val="none"/>
                <w:lang w:eastAsia="zh-CN"/>
              </w:rPr>
              <w:t>污染物环境质量现状采用</w:t>
            </w:r>
            <w:r>
              <w:rPr>
                <w:rFonts w:hint="default" w:ascii="Times New Roman" w:hAnsi="Times New Roman" w:eastAsia="宋体" w:cs="Times New Roman"/>
                <w:color w:val="auto"/>
                <w:sz w:val="24"/>
                <w:szCs w:val="24"/>
                <w:highlight w:val="none"/>
                <w:lang w:val="en-US" w:eastAsia="zh-CN"/>
              </w:rPr>
              <w:t>陕西省生态环境厅办公室公布的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2024年12月及1～12月全省环境空气质量状况</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凤翔区</w:t>
            </w:r>
            <w:r>
              <w:rPr>
                <w:rFonts w:hint="default" w:ascii="Times New Roman" w:hAnsi="Times New Roman" w:eastAsia="宋体" w:cs="Times New Roman"/>
                <w:color w:val="auto"/>
                <w:sz w:val="24"/>
                <w:szCs w:val="24"/>
                <w:highlight w:val="none"/>
                <w:lang w:eastAsia="zh-CN"/>
              </w:rPr>
              <w:t>的数据，具体分析结果如下：</w:t>
            </w:r>
          </w:p>
          <w:p w14:paraId="4D788D5F">
            <w:pPr>
              <w:pStyle w:val="79"/>
              <w:bidi w:val="0"/>
              <w:rPr>
                <w:rFonts w:hint="default"/>
                <w:color w:val="auto"/>
                <w:sz w:val="21"/>
                <w:szCs w:val="21"/>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3-1   2024</w:t>
            </w:r>
            <w:r>
              <w:rPr>
                <w:rFonts w:hint="default" w:ascii="Times New Roman" w:hAnsi="Times New Roman" w:cs="Times New Roman"/>
                <w:color w:val="auto"/>
                <w:sz w:val="21"/>
                <w:szCs w:val="21"/>
              </w:rPr>
              <w:t>年</w:t>
            </w:r>
            <w:r>
              <w:rPr>
                <w:rFonts w:hint="default" w:ascii="Times New Roman" w:hAnsi="Times New Roman" w:cs="Times New Roman"/>
                <w:color w:val="auto"/>
                <w:sz w:val="21"/>
                <w:szCs w:val="21"/>
                <w:lang w:eastAsia="zh-CN"/>
              </w:rPr>
              <w:t>宝鸡市</w:t>
            </w:r>
            <w:r>
              <w:rPr>
                <w:rFonts w:hint="default" w:ascii="Times New Roman" w:hAnsi="Times New Roman" w:cs="Times New Roman"/>
                <w:color w:val="auto"/>
                <w:sz w:val="21"/>
                <w:szCs w:val="21"/>
                <w:lang w:val="en-US" w:eastAsia="zh-CN"/>
              </w:rPr>
              <w:t>凤翔区</w:t>
            </w:r>
            <w:r>
              <w:rPr>
                <w:rFonts w:hint="default" w:ascii="Times New Roman" w:hAnsi="Times New Roman" w:cs="Times New Roman"/>
                <w:color w:val="auto"/>
                <w:sz w:val="21"/>
                <w:szCs w:val="21"/>
              </w:rPr>
              <w:t>环境空气质量</w:t>
            </w:r>
            <w:r>
              <w:rPr>
                <w:rFonts w:hint="default" w:ascii="Times New Roman" w:hAnsi="Times New Roman" w:cs="Times New Roman"/>
                <w:color w:val="auto"/>
                <w:sz w:val="21"/>
                <w:szCs w:val="21"/>
                <w:lang w:val="en-US" w:eastAsia="zh-CN"/>
              </w:rPr>
              <w:t>状况</w:t>
            </w:r>
            <w:r>
              <w:rPr>
                <w:rFonts w:hint="default" w:ascii="Times New Roman" w:hAnsi="Times New Roman" w:cs="Times New Roman"/>
                <w:color w:val="auto"/>
                <w:sz w:val="21"/>
                <w:szCs w:val="21"/>
              </w:rPr>
              <w:t>统计表</w:t>
            </w:r>
          </w:p>
          <w:tbl>
            <w:tblPr>
              <w:tblStyle w:val="30"/>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
              <w:gridCol w:w="792"/>
              <w:gridCol w:w="1868"/>
              <w:gridCol w:w="1900"/>
              <w:gridCol w:w="1233"/>
              <w:gridCol w:w="1000"/>
              <w:gridCol w:w="924"/>
            </w:tblGrid>
            <w:tr w14:paraId="16006C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restart"/>
                  <w:tcBorders>
                    <w:tl2br w:val="nil"/>
                    <w:tr2bl w:val="nil"/>
                  </w:tcBorders>
                  <w:noWrap w:val="0"/>
                  <w:vAlign w:val="center"/>
                </w:tcPr>
                <w:p w14:paraId="6A4BD32C">
                  <w:pPr>
                    <w:pStyle w:val="49"/>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县区</w:t>
                  </w:r>
                </w:p>
              </w:tc>
              <w:tc>
                <w:tcPr>
                  <w:tcW w:w="792" w:type="dxa"/>
                  <w:vMerge w:val="restart"/>
                  <w:tcBorders>
                    <w:tl2br w:val="nil"/>
                    <w:tr2bl w:val="nil"/>
                  </w:tcBorders>
                  <w:noWrap w:val="0"/>
                  <w:vAlign w:val="center"/>
                </w:tcPr>
                <w:p w14:paraId="03E4565F">
                  <w:pPr>
                    <w:pStyle w:val="49"/>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项目</w:t>
                  </w:r>
                </w:p>
              </w:tc>
              <w:tc>
                <w:tcPr>
                  <w:tcW w:w="1868" w:type="dxa"/>
                  <w:vMerge w:val="restart"/>
                  <w:tcBorders>
                    <w:tl2br w:val="nil"/>
                    <w:tr2bl w:val="nil"/>
                  </w:tcBorders>
                  <w:noWrap w:val="0"/>
                  <w:vAlign w:val="center"/>
                </w:tcPr>
                <w:p w14:paraId="3FE3F92D">
                  <w:pPr>
                    <w:pStyle w:val="49"/>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浓度（均值）</w:t>
                  </w:r>
                </w:p>
              </w:tc>
              <w:tc>
                <w:tcPr>
                  <w:tcW w:w="1900" w:type="dxa"/>
                  <w:vMerge w:val="restart"/>
                  <w:tcBorders>
                    <w:tl2br w:val="nil"/>
                    <w:tr2bl w:val="nil"/>
                  </w:tcBorders>
                  <w:noWrap w:val="0"/>
                  <w:vAlign w:val="center"/>
                </w:tcPr>
                <w:p w14:paraId="6B35778A">
                  <w:pPr>
                    <w:pStyle w:val="49"/>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平均时间</w:t>
                  </w:r>
                </w:p>
              </w:tc>
              <w:tc>
                <w:tcPr>
                  <w:tcW w:w="1233" w:type="dxa"/>
                  <w:tcBorders>
                    <w:tl2br w:val="nil"/>
                    <w:tr2bl w:val="nil"/>
                  </w:tcBorders>
                  <w:noWrap w:val="0"/>
                  <w:vAlign w:val="center"/>
                </w:tcPr>
                <w:p w14:paraId="273EBFB1">
                  <w:pPr>
                    <w:pStyle w:val="49"/>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标准限值</w:t>
                  </w:r>
                </w:p>
              </w:tc>
              <w:tc>
                <w:tcPr>
                  <w:tcW w:w="1000" w:type="dxa"/>
                  <w:vMerge w:val="restart"/>
                  <w:tcBorders>
                    <w:tl2br w:val="nil"/>
                    <w:tr2bl w:val="nil"/>
                  </w:tcBorders>
                  <w:noWrap w:val="0"/>
                  <w:vAlign w:val="center"/>
                </w:tcPr>
                <w:p w14:paraId="533DDA51">
                  <w:pPr>
                    <w:pStyle w:val="49"/>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占标率</w:t>
                  </w:r>
                </w:p>
              </w:tc>
              <w:tc>
                <w:tcPr>
                  <w:tcW w:w="924" w:type="dxa"/>
                  <w:vMerge w:val="restart"/>
                  <w:tcBorders>
                    <w:tl2br w:val="nil"/>
                    <w:tr2bl w:val="nil"/>
                  </w:tcBorders>
                  <w:noWrap w:val="0"/>
                  <w:vAlign w:val="center"/>
                </w:tcPr>
                <w:p w14:paraId="1A7C7EA6">
                  <w:pPr>
                    <w:pStyle w:val="49"/>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达标</w:t>
                  </w:r>
                </w:p>
                <w:p w14:paraId="2F90A777">
                  <w:pPr>
                    <w:pStyle w:val="49"/>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情况</w:t>
                  </w:r>
                </w:p>
              </w:tc>
            </w:tr>
            <w:tr w14:paraId="78CAA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tcBorders>
                    <w:tl2br w:val="nil"/>
                    <w:tr2bl w:val="nil"/>
                  </w:tcBorders>
                  <w:noWrap w:val="0"/>
                  <w:vAlign w:val="center"/>
                </w:tcPr>
                <w:p w14:paraId="147CE4A9">
                  <w:pPr>
                    <w:pStyle w:val="49"/>
                    <w:bidi w:val="0"/>
                    <w:rPr>
                      <w:rFonts w:hint="default" w:ascii="Times New Roman" w:hAnsi="Times New Roman" w:cs="Times New Roman"/>
                      <w:b/>
                      <w:bCs/>
                      <w:color w:val="auto"/>
                      <w:lang w:val="zh-CN" w:eastAsia="zh-CN"/>
                    </w:rPr>
                  </w:pPr>
                </w:p>
              </w:tc>
              <w:tc>
                <w:tcPr>
                  <w:tcW w:w="792" w:type="dxa"/>
                  <w:vMerge w:val="continue"/>
                  <w:tcBorders>
                    <w:tl2br w:val="nil"/>
                    <w:tr2bl w:val="nil"/>
                  </w:tcBorders>
                  <w:noWrap w:val="0"/>
                  <w:vAlign w:val="center"/>
                </w:tcPr>
                <w:p w14:paraId="23F0D209">
                  <w:pPr>
                    <w:pStyle w:val="49"/>
                    <w:bidi w:val="0"/>
                    <w:rPr>
                      <w:rFonts w:hint="default" w:ascii="Times New Roman" w:hAnsi="Times New Roman" w:cs="Times New Roman"/>
                      <w:b/>
                      <w:bCs/>
                      <w:color w:val="auto"/>
                      <w:lang w:val="zh-CN" w:eastAsia="zh-CN"/>
                    </w:rPr>
                  </w:pPr>
                </w:p>
              </w:tc>
              <w:tc>
                <w:tcPr>
                  <w:tcW w:w="1868" w:type="dxa"/>
                  <w:vMerge w:val="continue"/>
                  <w:tcBorders>
                    <w:tl2br w:val="nil"/>
                    <w:tr2bl w:val="nil"/>
                  </w:tcBorders>
                  <w:noWrap w:val="0"/>
                  <w:vAlign w:val="center"/>
                </w:tcPr>
                <w:p w14:paraId="040108D0">
                  <w:pPr>
                    <w:pStyle w:val="49"/>
                    <w:bidi w:val="0"/>
                    <w:rPr>
                      <w:rFonts w:hint="default" w:ascii="Times New Roman" w:hAnsi="Times New Roman" w:cs="Times New Roman"/>
                      <w:b/>
                      <w:bCs/>
                      <w:color w:val="auto"/>
                      <w:lang w:val="zh-CN" w:eastAsia="zh-CN"/>
                    </w:rPr>
                  </w:pPr>
                </w:p>
              </w:tc>
              <w:tc>
                <w:tcPr>
                  <w:tcW w:w="1900" w:type="dxa"/>
                  <w:vMerge w:val="continue"/>
                  <w:tcBorders>
                    <w:tl2br w:val="nil"/>
                    <w:tr2bl w:val="nil"/>
                  </w:tcBorders>
                  <w:noWrap w:val="0"/>
                  <w:vAlign w:val="center"/>
                </w:tcPr>
                <w:p w14:paraId="2DF3B391">
                  <w:pPr>
                    <w:pStyle w:val="49"/>
                    <w:bidi w:val="0"/>
                    <w:rPr>
                      <w:rFonts w:hint="default" w:ascii="Times New Roman" w:hAnsi="Times New Roman" w:cs="Times New Roman"/>
                      <w:b/>
                      <w:bCs/>
                      <w:color w:val="auto"/>
                      <w:lang w:val="zh-CN" w:eastAsia="zh-CN"/>
                    </w:rPr>
                  </w:pPr>
                </w:p>
              </w:tc>
              <w:tc>
                <w:tcPr>
                  <w:tcW w:w="1233" w:type="dxa"/>
                  <w:tcBorders>
                    <w:tl2br w:val="nil"/>
                    <w:tr2bl w:val="nil"/>
                  </w:tcBorders>
                  <w:noWrap w:val="0"/>
                  <w:vAlign w:val="center"/>
                </w:tcPr>
                <w:p w14:paraId="65C73079">
                  <w:pPr>
                    <w:pStyle w:val="49"/>
                    <w:bidi w:val="0"/>
                    <w:rPr>
                      <w:rFonts w:hint="default" w:ascii="Times New Roman" w:hAnsi="Times New Roman" w:cs="Times New Roman"/>
                      <w:b/>
                      <w:bCs/>
                      <w:color w:val="auto"/>
                      <w:lang w:val="zh-CN" w:eastAsia="zh-CN"/>
                    </w:rPr>
                  </w:pPr>
                  <w:r>
                    <w:rPr>
                      <w:rFonts w:hint="default" w:ascii="Times New Roman" w:hAnsi="Times New Roman" w:cs="Times New Roman"/>
                      <w:b/>
                      <w:bCs/>
                      <w:color w:val="auto"/>
                      <w:lang w:val="zh-CN" w:eastAsia="zh-CN"/>
                    </w:rPr>
                    <w:t>二级</w:t>
                  </w:r>
                </w:p>
              </w:tc>
              <w:tc>
                <w:tcPr>
                  <w:tcW w:w="1000" w:type="dxa"/>
                  <w:vMerge w:val="continue"/>
                  <w:tcBorders>
                    <w:tl2br w:val="nil"/>
                    <w:tr2bl w:val="nil"/>
                  </w:tcBorders>
                  <w:noWrap w:val="0"/>
                  <w:vAlign w:val="center"/>
                </w:tcPr>
                <w:p w14:paraId="0E389EFC">
                  <w:pPr>
                    <w:pStyle w:val="49"/>
                    <w:bidi w:val="0"/>
                    <w:rPr>
                      <w:rFonts w:hint="default" w:ascii="Times New Roman" w:hAnsi="Times New Roman" w:cs="Times New Roman"/>
                      <w:color w:val="auto"/>
                      <w:lang w:val="zh-CN" w:eastAsia="zh-CN"/>
                    </w:rPr>
                  </w:pPr>
                </w:p>
              </w:tc>
              <w:tc>
                <w:tcPr>
                  <w:tcW w:w="924" w:type="dxa"/>
                  <w:vMerge w:val="continue"/>
                  <w:tcBorders>
                    <w:tl2br w:val="nil"/>
                    <w:tr2bl w:val="nil"/>
                  </w:tcBorders>
                  <w:noWrap w:val="0"/>
                  <w:vAlign w:val="center"/>
                </w:tcPr>
                <w:p w14:paraId="5681C0F7">
                  <w:pPr>
                    <w:pStyle w:val="49"/>
                    <w:bidi w:val="0"/>
                    <w:rPr>
                      <w:rFonts w:hint="default" w:ascii="Times New Roman" w:hAnsi="Times New Roman" w:cs="Times New Roman"/>
                      <w:color w:val="auto"/>
                      <w:lang w:val="zh-CN" w:eastAsia="zh-CN"/>
                    </w:rPr>
                  </w:pPr>
                </w:p>
              </w:tc>
            </w:tr>
            <w:tr w14:paraId="384F3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restart"/>
                  <w:tcBorders>
                    <w:tl2br w:val="nil"/>
                    <w:tr2bl w:val="nil"/>
                  </w:tcBorders>
                  <w:noWrap w:val="0"/>
                  <w:vAlign w:val="center"/>
                </w:tcPr>
                <w:p w14:paraId="5C41A75E">
                  <w:pPr>
                    <w:pStyle w:val="49"/>
                    <w:bidi w:val="0"/>
                    <w:rPr>
                      <w:rFonts w:hint="default" w:ascii="Times New Roman" w:hAnsi="Times New Roman" w:cs="Times New Roman"/>
                      <w:color w:val="auto"/>
                      <w:lang w:val="zh-CN" w:eastAsia="zh-CN"/>
                    </w:rPr>
                  </w:pPr>
                  <w:r>
                    <w:rPr>
                      <w:rFonts w:hint="eastAsia" w:cs="Times New Roman"/>
                      <w:color w:val="auto"/>
                      <w:lang w:val="en-US" w:eastAsia="zh-CN"/>
                    </w:rPr>
                    <w:t>凤翔区</w:t>
                  </w:r>
                </w:p>
              </w:tc>
              <w:tc>
                <w:tcPr>
                  <w:tcW w:w="792" w:type="dxa"/>
                  <w:tcBorders>
                    <w:tl2br w:val="nil"/>
                    <w:tr2bl w:val="nil"/>
                  </w:tcBorders>
                  <w:noWrap w:val="0"/>
                  <w:vAlign w:val="center"/>
                </w:tcPr>
                <w:p w14:paraId="347B81CB">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10</w:t>
                  </w:r>
                </w:p>
              </w:tc>
              <w:tc>
                <w:tcPr>
                  <w:tcW w:w="1868" w:type="dxa"/>
                  <w:tcBorders>
                    <w:tl2br w:val="nil"/>
                    <w:tr2bl w:val="nil"/>
                  </w:tcBorders>
                  <w:noWrap w:val="0"/>
                  <w:vAlign w:val="center"/>
                </w:tcPr>
                <w:p w14:paraId="687B33F1">
                  <w:pPr>
                    <w:pStyle w:val="49"/>
                    <w:bidi w:val="0"/>
                    <w:rPr>
                      <w:rFonts w:hint="default" w:ascii="Times New Roman" w:hAnsi="Times New Roman" w:cs="Times New Roman"/>
                      <w:color w:val="auto"/>
                      <w:lang w:val="en-US" w:eastAsia="zh-CN"/>
                    </w:rPr>
                  </w:pPr>
                  <w:r>
                    <w:rPr>
                      <w:rFonts w:hint="eastAsia" w:cs="Times New Roman"/>
                      <w:color w:val="auto"/>
                      <w:lang w:val="en-US" w:eastAsia="zh-CN"/>
                    </w:rPr>
                    <w:t>60</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900" w:type="dxa"/>
                  <w:tcBorders>
                    <w:tl2br w:val="nil"/>
                    <w:tr2bl w:val="nil"/>
                  </w:tcBorders>
                  <w:noWrap w:val="0"/>
                  <w:vAlign w:val="center"/>
                </w:tcPr>
                <w:p w14:paraId="7CC18837">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年均值</w:t>
                  </w:r>
                </w:p>
              </w:tc>
              <w:tc>
                <w:tcPr>
                  <w:tcW w:w="1233" w:type="dxa"/>
                  <w:tcBorders>
                    <w:tl2br w:val="nil"/>
                    <w:tr2bl w:val="nil"/>
                  </w:tcBorders>
                  <w:noWrap w:val="0"/>
                  <w:vAlign w:val="center"/>
                </w:tcPr>
                <w:p w14:paraId="6F28A514">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70</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000" w:type="dxa"/>
                  <w:tcBorders>
                    <w:tl2br w:val="nil"/>
                    <w:tr2bl w:val="nil"/>
                  </w:tcBorders>
                  <w:noWrap w:val="0"/>
                  <w:vAlign w:val="center"/>
                </w:tcPr>
                <w:p w14:paraId="3DD297F3">
                  <w:pPr>
                    <w:pStyle w:val="49"/>
                    <w:bidi w:val="0"/>
                    <w:rPr>
                      <w:rFonts w:hint="default" w:ascii="Times New Roman" w:hAnsi="Times New Roman" w:cs="Times New Roman"/>
                      <w:color w:val="auto"/>
                      <w:lang w:val="en-US" w:eastAsia="zh-CN"/>
                    </w:rPr>
                  </w:pPr>
                  <w:r>
                    <w:rPr>
                      <w:rFonts w:hint="eastAsia" w:cs="Times New Roman"/>
                      <w:color w:val="auto"/>
                      <w:lang w:val="en-US" w:eastAsia="zh-CN"/>
                    </w:rPr>
                    <w:t>86</w:t>
                  </w:r>
                </w:p>
              </w:tc>
              <w:tc>
                <w:tcPr>
                  <w:tcW w:w="924" w:type="dxa"/>
                  <w:tcBorders>
                    <w:tl2br w:val="nil"/>
                    <w:tr2bl w:val="nil"/>
                  </w:tcBorders>
                  <w:noWrap w:val="0"/>
                  <w:vAlign w:val="center"/>
                </w:tcPr>
                <w:p w14:paraId="18305CAC">
                  <w:pPr>
                    <w:pStyle w:val="49"/>
                    <w:bidi w:val="0"/>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cs="Times New Roman"/>
                      <w:color w:val="auto"/>
                      <w:lang w:val="zh-CN" w:eastAsia="zh-CN"/>
                    </w:rPr>
                    <w:t>达标</w:t>
                  </w:r>
                </w:p>
              </w:tc>
            </w:tr>
            <w:tr w14:paraId="30F57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tcBorders>
                    <w:tl2br w:val="nil"/>
                    <w:tr2bl w:val="nil"/>
                  </w:tcBorders>
                  <w:noWrap w:val="0"/>
                  <w:vAlign w:val="center"/>
                </w:tcPr>
                <w:p w14:paraId="1E682CF5">
                  <w:pPr>
                    <w:pStyle w:val="49"/>
                    <w:bidi w:val="0"/>
                    <w:rPr>
                      <w:rFonts w:hint="default" w:ascii="Times New Roman" w:hAnsi="Times New Roman" w:cs="Times New Roman"/>
                      <w:color w:val="auto"/>
                      <w:lang w:val="zh-CN" w:eastAsia="zh-CN"/>
                    </w:rPr>
                  </w:pPr>
                </w:p>
              </w:tc>
              <w:tc>
                <w:tcPr>
                  <w:tcW w:w="792" w:type="dxa"/>
                  <w:tcBorders>
                    <w:tl2br w:val="nil"/>
                    <w:tr2bl w:val="nil"/>
                  </w:tcBorders>
                  <w:noWrap w:val="0"/>
                  <w:vAlign w:val="center"/>
                </w:tcPr>
                <w:p w14:paraId="67DA6E98">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2.5</w:t>
                  </w:r>
                </w:p>
              </w:tc>
              <w:tc>
                <w:tcPr>
                  <w:tcW w:w="1868" w:type="dxa"/>
                  <w:tcBorders>
                    <w:tl2br w:val="nil"/>
                    <w:tr2bl w:val="nil"/>
                  </w:tcBorders>
                  <w:noWrap w:val="0"/>
                  <w:vAlign w:val="center"/>
                </w:tcPr>
                <w:p w14:paraId="48F286E5">
                  <w:pPr>
                    <w:pStyle w:val="49"/>
                    <w:bidi w:val="0"/>
                    <w:rPr>
                      <w:rFonts w:hint="default" w:ascii="Times New Roman" w:hAnsi="Times New Roman" w:cs="Times New Roman"/>
                      <w:color w:val="auto"/>
                      <w:lang w:val="en-US" w:eastAsia="zh-CN"/>
                    </w:rPr>
                  </w:pPr>
                  <w:r>
                    <w:rPr>
                      <w:rFonts w:hint="eastAsia" w:cs="Times New Roman"/>
                      <w:color w:val="auto"/>
                      <w:lang w:val="en-US" w:eastAsia="zh-CN"/>
                    </w:rPr>
                    <w:t>35</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900" w:type="dxa"/>
                  <w:tcBorders>
                    <w:tl2br w:val="nil"/>
                    <w:tr2bl w:val="nil"/>
                  </w:tcBorders>
                  <w:noWrap w:val="0"/>
                  <w:vAlign w:val="center"/>
                </w:tcPr>
                <w:p w14:paraId="1D9AFD90">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年均值</w:t>
                  </w:r>
                </w:p>
              </w:tc>
              <w:tc>
                <w:tcPr>
                  <w:tcW w:w="1233" w:type="dxa"/>
                  <w:tcBorders>
                    <w:tl2br w:val="nil"/>
                    <w:tr2bl w:val="nil"/>
                  </w:tcBorders>
                  <w:noWrap w:val="0"/>
                  <w:vAlign w:val="center"/>
                </w:tcPr>
                <w:p w14:paraId="65A021BD">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000" w:type="dxa"/>
                  <w:tcBorders>
                    <w:tl2br w:val="nil"/>
                    <w:tr2bl w:val="nil"/>
                  </w:tcBorders>
                  <w:noWrap w:val="0"/>
                  <w:vAlign w:val="center"/>
                </w:tcPr>
                <w:p w14:paraId="7D41A5B0">
                  <w:pPr>
                    <w:pStyle w:val="49"/>
                    <w:bidi w:val="0"/>
                    <w:rPr>
                      <w:rFonts w:hint="default" w:ascii="Times New Roman" w:hAnsi="Times New Roman" w:cs="Times New Roman"/>
                      <w:color w:val="auto"/>
                      <w:lang w:val="en-US" w:eastAsia="zh-CN"/>
                    </w:rPr>
                  </w:pPr>
                  <w:r>
                    <w:rPr>
                      <w:rFonts w:hint="eastAsia" w:cs="Times New Roman"/>
                      <w:color w:val="auto"/>
                      <w:lang w:val="en-US" w:eastAsia="zh-CN"/>
                    </w:rPr>
                    <w:t>100</w:t>
                  </w:r>
                </w:p>
              </w:tc>
              <w:tc>
                <w:tcPr>
                  <w:tcW w:w="924" w:type="dxa"/>
                  <w:tcBorders>
                    <w:tl2br w:val="nil"/>
                    <w:tr2bl w:val="nil"/>
                  </w:tcBorders>
                  <w:noWrap w:val="0"/>
                  <w:vAlign w:val="center"/>
                </w:tcPr>
                <w:p w14:paraId="17471730">
                  <w:pPr>
                    <w:pStyle w:val="49"/>
                    <w:bidi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en-US" w:eastAsia="zh-CN"/>
                    </w:rPr>
                    <w:t>达标</w:t>
                  </w:r>
                </w:p>
              </w:tc>
            </w:tr>
            <w:tr w14:paraId="5966E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tcBorders>
                    <w:tl2br w:val="nil"/>
                    <w:tr2bl w:val="nil"/>
                  </w:tcBorders>
                  <w:noWrap w:val="0"/>
                  <w:vAlign w:val="center"/>
                </w:tcPr>
                <w:p w14:paraId="013B03EA">
                  <w:pPr>
                    <w:pStyle w:val="49"/>
                    <w:bidi w:val="0"/>
                    <w:rPr>
                      <w:rFonts w:hint="default" w:ascii="Times New Roman" w:hAnsi="Times New Roman" w:cs="Times New Roman"/>
                      <w:color w:val="auto"/>
                      <w:lang w:val="zh-CN" w:eastAsia="zh-CN"/>
                    </w:rPr>
                  </w:pPr>
                </w:p>
              </w:tc>
              <w:tc>
                <w:tcPr>
                  <w:tcW w:w="792" w:type="dxa"/>
                  <w:tcBorders>
                    <w:tl2br w:val="nil"/>
                    <w:tr2bl w:val="nil"/>
                  </w:tcBorders>
                  <w:noWrap w:val="0"/>
                  <w:vAlign w:val="center"/>
                </w:tcPr>
                <w:p w14:paraId="24F71D4E">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SO</w:t>
                  </w:r>
                  <w:r>
                    <w:rPr>
                      <w:rFonts w:hint="default" w:ascii="Times New Roman" w:hAnsi="Times New Roman" w:cs="Times New Roman"/>
                      <w:color w:val="auto"/>
                      <w:vertAlign w:val="subscript"/>
                      <w:lang w:val="en-US" w:eastAsia="zh-CN"/>
                    </w:rPr>
                    <w:t>2</w:t>
                  </w:r>
                </w:p>
              </w:tc>
              <w:tc>
                <w:tcPr>
                  <w:tcW w:w="1868" w:type="dxa"/>
                  <w:tcBorders>
                    <w:tl2br w:val="nil"/>
                    <w:tr2bl w:val="nil"/>
                  </w:tcBorders>
                  <w:noWrap w:val="0"/>
                  <w:vAlign w:val="center"/>
                </w:tcPr>
                <w:p w14:paraId="7315EBAA">
                  <w:pPr>
                    <w:pStyle w:val="49"/>
                    <w:bidi w:val="0"/>
                    <w:rPr>
                      <w:rFonts w:hint="default" w:ascii="Times New Roman" w:hAnsi="Times New Roman" w:cs="Times New Roman"/>
                      <w:color w:val="auto"/>
                      <w:lang w:val="en-US" w:eastAsia="zh-CN"/>
                    </w:rPr>
                  </w:pPr>
                  <w:r>
                    <w:rPr>
                      <w:rFonts w:hint="eastAsia" w:cs="Times New Roman"/>
                      <w:color w:val="auto"/>
                      <w:lang w:val="en-US" w:eastAsia="zh-CN"/>
                    </w:rPr>
                    <w:t>7</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900" w:type="dxa"/>
                  <w:tcBorders>
                    <w:tl2br w:val="nil"/>
                    <w:tr2bl w:val="nil"/>
                  </w:tcBorders>
                  <w:noWrap w:val="0"/>
                  <w:vAlign w:val="center"/>
                </w:tcPr>
                <w:p w14:paraId="4EEED693">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年均值</w:t>
                  </w:r>
                </w:p>
              </w:tc>
              <w:tc>
                <w:tcPr>
                  <w:tcW w:w="1233" w:type="dxa"/>
                  <w:tcBorders>
                    <w:tl2br w:val="nil"/>
                    <w:tr2bl w:val="nil"/>
                  </w:tcBorders>
                  <w:noWrap w:val="0"/>
                  <w:vAlign w:val="center"/>
                </w:tcPr>
                <w:p w14:paraId="0FA9BEEB">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000" w:type="dxa"/>
                  <w:tcBorders>
                    <w:tl2br w:val="nil"/>
                    <w:tr2bl w:val="nil"/>
                  </w:tcBorders>
                  <w:noWrap w:val="0"/>
                  <w:vAlign w:val="center"/>
                </w:tcPr>
                <w:p w14:paraId="3BF89ECB">
                  <w:pPr>
                    <w:pStyle w:val="49"/>
                    <w:bidi w:val="0"/>
                    <w:rPr>
                      <w:rFonts w:hint="default" w:ascii="Times New Roman" w:hAnsi="Times New Roman" w:cs="Times New Roman"/>
                      <w:color w:val="auto"/>
                      <w:lang w:val="en-US" w:eastAsia="zh-CN"/>
                    </w:rPr>
                  </w:pPr>
                  <w:r>
                    <w:rPr>
                      <w:rFonts w:hint="eastAsia" w:cs="Times New Roman"/>
                      <w:color w:val="auto"/>
                      <w:lang w:val="en-US" w:eastAsia="zh-CN"/>
                    </w:rPr>
                    <w:t>12</w:t>
                  </w:r>
                </w:p>
              </w:tc>
              <w:tc>
                <w:tcPr>
                  <w:tcW w:w="924" w:type="dxa"/>
                  <w:tcBorders>
                    <w:tl2br w:val="nil"/>
                    <w:tr2bl w:val="nil"/>
                  </w:tcBorders>
                  <w:noWrap w:val="0"/>
                  <w:vAlign w:val="center"/>
                </w:tcPr>
                <w:p w14:paraId="2946FD51">
                  <w:pPr>
                    <w:pStyle w:val="49"/>
                    <w:bidi w:val="0"/>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cs="Times New Roman"/>
                      <w:color w:val="auto"/>
                      <w:lang w:val="zh-CN" w:eastAsia="zh-CN"/>
                    </w:rPr>
                    <w:t>达标</w:t>
                  </w:r>
                </w:p>
              </w:tc>
            </w:tr>
            <w:tr w14:paraId="49A45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tcBorders>
                    <w:tl2br w:val="nil"/>
                    <w:tr2bl w:val="nil"/>
                  </w:tcBorders>
                  <w:noWrap w:val="0"/>
                  <w:vAlign w:val="center"/>
                </w:tcPr>
                <w:p w14:paraId="4DFCA797">
                  <w:pPr>
                    <w:pStyle w:val="49"/>
                    <w:bidi w:val="0"/>
                    <w:rPr>
                      <w:rFonts w:hint="default" w:ascii="Times New Roman" w:hAnsi="Times New Roman" w:cs="Times New Roman"/>
                      <w:color w:val="auto"/>
                      <w:lang w:val="zh-CN" w:eastAsia="zh-CN"/>
                    </w:rPr>
                  </w:pPr>
                </w:p>
              </w:tc>
              <w:tc>
                <w:tcPr>
                  <w:tcW w:w="792" w:type="dxa"/>
                  <w:tcBorders>
                    <w:tl2br w:val="nil"/>
                    <w:tr2bl w:val="nil"/>
                  </w:tcBorders>
                  <w:noWrap w:val="0"/>
                  <w:vAlign w:val="center"/>
                </w:tcPr>
                <w:p w14:paraId="1A57AB42">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NO</w:t>
                  </w:r>
                  <w:r>
                    <w:rPr>
                      <w:rFonts w:hint="default" w:ascii="Times New Roman" w:hAnsi="Times New Roman" w:cs="Times New Roman"/>
                      <w:color w:val="auto"/>
                      <w:vertAlign w:val="subscript"/>
                      <w:lang w:val="en-US" w:eastAsia="zh-CN"/>
                    </w:rPr>
                    <w:t>2</w:t>
                  </w:r>
                </w:p>
              </w:tc>
              <w:tc>
                <w:tcPr>
                  <w:tcW w:w="1868" w:type="dxa"/>
                  <w:tcBorders>
                    <w:tl2br w:val="nil"/>
                    <w:tr2bl w:val="nil"/>
                  </w:tcBorders>
                  <w:noWrap w:val="0"/>
                  <w:vAlign w:val="center"/>
                </w:tcPr>
                <w:p w14:paraId="20253D26">
                  <w:pPr>
                    <w:pStyle w:val="49"/>
                    <w:bidi w:val="0"/>
                    <w:rPr>
                      <w:rFonts w:hint="default" w:ascii="Times New Roman" w:hAnsi="Times New Roman" w:cs="Times New Roman"/>
                      <w:color w:val="auto"/>
                      <w:lang w:val="en-US" w:eastAsia="zh-CN"/>
                    </w:rPr>
                  </w:pPr>
                  <w:r>
                    <w:rPr>
                      <w:rFonts w:hint="eastAsia" w:cs="Times New Roman"/>
                      <w:color w:val="auto"/>
                      <w:lang w:val="en-US" w:eastAsia="zh-CN"/>
                    </w:rPr>
                    <w:t>17</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900" w:type="dxa"/>
                  <w:tcBorders>
                    <w:tl2br w:val="nil"/>
                    <w:tr2bl w:val="nil"/>
                  </w:tcBorders>
                  <w:noWrap w:val="0"/>
                  <w:vAlign w:val="center"/>
                </w:tcPr>
                <w:p w14:paraId="4D59BF2E">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年均值</w:t>
                  </w:r>
                </w:p>
              </w:tc>
              <w:tc>
                <w:tcPr>
                  <w:tcW w:w="1233" w:type="dxa"/>
                  <w:tcBorders>
                    <w:tl2br w:val="nil"/>
                    <w:tr2bl w:val="nil"/>
                  </w:tcBorders>
                  <w:noWrap w:val="0"/>
                  <w:vAlign w:val="center"/>
                </w:tcPr>
                <w:p w14:paraId="70639DA1">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000" w:type="dxa"/>
                  <w:tcBorders>
                    <w:tl2br w:val="nil"/>
                    <w:tr2bl w:val="nil"/>
                  </w:tcBorders>
                  <w:noWrap w:val="0"/>
                  <w:vAlign w:val="center"/>
                </w:tcPr>
                <w:p w14:paraId="4532D8B3">
                  <w:pPr>
                    <w:pStyle w:val="49"/>
                    <w:bidi w:val="0"/>
                    <w:rPr>
                      <w:rFonts w:hint="default" w:ascii="Times New Roman" w:hAnsi="Times New Roman" w:cs="Times New Roman"/>
                      <w:color w:val="auto"/>
                      <w:lang w:val="en-US" w:eastAsia="zh-CN"/>
                    </w:rPr>
                  </w:pPr>
                  <w:r>
                    <w:rPr>
                      <w:rFonts w:hint="eastAsia" w:cs="Times New Roman"/>
                      <w:color w:val="auto"/>
                      <w:lang w:val="en-US" w:eastAsia="zh-CN"/>
                    </w:rPr>
                    <w:t>42</w:t>
                  </w:r>
                </w:p>
              </w:tc>
              <w:tc>
                <w:tcPr>
                  <w:tcW w:w="924" w:type="dxa"/>
                  <w:tcBorders>
                    <w:tl2br w:val="nil"/>
                    <w:tr2bl w:val="nil"/>
                  </w:tcBorders>
                  <w:noWrap w:val="0"/>
                  <w:vAlign w:val="center"/>
                </w:tcPr>
                <w:p w14:paraId="490CA2E2">
                  <w:pPr>
                    <w:pStyle w:val="49"/>
                    <w:bidi w:val="0"/>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lang w:val="zh-CN" w:eastAsia="zh-CN"/>
                    </w:rPr>
                    <w:t>达标</w:t>
                  </w:r>
                </w:p>
              </w:tc>
            </w:tr>
            <w:tr w14:paraId="7440F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tcBorders>
                    <w:tl2br w:val="nil"/>
                    <w:tr2bl w:val="nil"/>
                  </w:tcBorders>
                  <w:noWrap w:val="0"/>
                  <w:vAlign w:val="center"/>
                </w:tcPr>
                <w:p w14:paraId="4C07375F">
                  <w:pPr>
                    <w:pStyle w:val="49"/>
                    <w:bidi w:val="0"/>
                    <w:rPr>
                      <w:rFonts w:hint="default" w:ascii="Times New Roman" w:hAnsi="Times New Roman" w:cs="Times New Roman"/>
                      <w:color w:val="auto"/>
                      <w:lang w:val="zh-CN" w:eastAsia="zh-CN"/>
                    </w:rPr>
                  </w:pPr>
                </w:p>
              </w:tc>
              <w:tc>
                <w:tcPr>
                  <w:tcW w:w="792" w:type="dxa"/>
                  <w:tcBorders>
                    <w:tl2br w:val="nil"/>
                    <w:tr2bl w:val="nil"/>
                  </w:tcBorders>
                  <w:noWrap w:val="0"/>
                  <w:vAlign w:val="center"/>
                </w:tcPr>
                <w:p w14:paraId="4CA08990">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w:t>
                  </w:r>
                </w:p>
              </w:tc>
              <w:tc>
                <w:tcPr>
                  <w:tcW w:w="1868" w:type="dxa"/>
                  <w:tcBorders>
                    <w:tl2br w:val="nil"/>
                    <w:tr2bl w:val="nil"/>
                  </w:tcBorders>
                  <w:noWrap w:val="0"/>
                  <w:vAlign w:val="center"/>
                </w:tcPr>
                <w:p w14:paraId="34F419F7">
                  <w:pPr>
                    <w:pStyle w:val="49"/>
                    <w:bidi w:val="0"/>
                    <w:rPr>
                      <w:rFonts w:hint="default" w:ascii="Times New Roman" w:hAnsi="Times New Roman" w:cs="Times New Roman"/>
                      <w:color w:val="auto"/>
                      <w:lang w:val="en-US" w:eastAsia="zh-CN"/>
                    </w:rPr>
                  </w:pPr>
                  <w:r>
                    <w:rPr>
                      <w:rFonts w:hint="eastAsia" w:cs="Times New Roman"/>
                      <w:color w:val="auto"/>
                      <w:lang w:val="en-US" w:eastAsia="zh-CN"/>
                    </w:rPr>
                    <w:t>1.1</w:t>
                  </w:r>
                  <w:r>
                    <w:rPr>
                      <w:rFonts w:hint="default" w:ascii="Times New Roman" w:hAnsi="Times New Roman" w:cs="Times New Roman"/>
                      <w:color w:val="auto"/>
                      <w:lang w:val="en-US" w:eastAsia="zh-CN"/>
                    </w:rPr>
                    <w:t>m</w:t>
                  </w:r>
                  <w:r>
                    <w:rPr>
                      <w:rFonts w:hint="default" w:ascii="Times New Roman" w:hAnsi="Times New Roman" w:cs="Times New Roman"/>
                      <w:color w:val="auto"/>
                      <w:lang w:val="zh-CN" w:eastAsia="zh-CN"/>
                    </w:rPr>
                    <w:t>g/m</w:t>
                  </w:r>
                  <w:r>
                    <w:rPr>
                      <w:rFonts w:hint="default" w:ascii="Times New Roman" w:hAnsi="Times New Roman" w:cs="Times New Roman"/>
                      <w:color w:val="auto"/>
                      <w:vertAlign w:val="superscript"/>
                      <w:lang w:val="en-US" w:eastAsia="zh-CN"/>
                    </w:rPr>
                    <w:t>3</w:t>
                  </w:r>
                </w:p>
                <w:p w14:paraId="26E6B1F0">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（95位百分浓度）</w:t>
                  </w:r>
                </w:p>
              </w:tc>
              <w:tc>
                <w:tcPr>
                  <w:tcW w:w="1900" w:type="dxa"/>
                  <w:tcBorders>
                    <w:tl2br w:val="nil"/>
                    <w:tr2bl w:val="nil"/>
                  </w:tcBorders>
                  <w:noWrap w:val="0"/>
                  <w:vAlign w:val="center"/>
                </w:tcPr>
                <w:p w14:paraId="7CE5964F">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24小时平均</w:t>
                  </w:r>
                </w:p>
              </w:tc>
              <w:tc>
                <w:tcPr>
                  <w:tcW w:w="1233" w:type="dxa"/>
                  <w:tcBorders>
                    <w:tl2br w:val="nil"/>
                    <w:tr2bl w:val="nil"/>
                  </w:tcBorders>
                  <w:noWrap w:val="0"/>
                  <w:vAlign w:val="center"/>
                </w:tcPr>
                <w:p w14:paraId="4ED53D9D">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4m</w:t>
                  </w:r>
                  <w:r>
                    <w:rPr>
                      <w:rFonts w:hint="default" w:ascii="Times New Roman" w:hAnsi="Times New Roman" w:cs="Times New Roman"/>
                      <w:color w:val="auto"/>
                      <w:lang w:val="zh-CN" w:eastAsia="zh-CN"/>
                    </w:rPr>
                    <w:t>g/m</w:t>
                  </w:r>
                  <w:r>
                    <w:rPr>
                      <w:rFonts w:hint="default" w:ascii="Times New Roman" w:hAnsi="Times New Roman" w:cs="Times New Roman"/>
                      <w:color w:val="auto"/>
                      <w:vertAlign w:val="superscript"/>
                      <w:lang w:val="en-US" w:eastAsia="zh-CN"/>
                    </w:rPr>
                    <w:t>3</w:t>
                  </w:r>
                </w:p>
              </w:tc>
              <w:tc>
                <w:tcPr>
                  <w:tcW w:w="1000" w:type="dxa"/>
                  <w:tcBorders>
                    <w:tl2br w:val="nil"/>
                    <w:tr2bl w:val="nil"/>
                  </w:tcBorders>
                  <w:noWrap w:val="0"/>
                  <w:vAlign w:val="center"/>
                </w:tcPr>
                <w:p w14:paraId="03AE548B">
                  <w:pPr>
                    <w:pStyle w:val="49"/>
                    <w:bidi w:val="0"/>
                    <w:rPr>
                      <w:rFonts w:hint="default" w:ascii="Times New Roman" w:hAnsi="Times New Roman" w:cs="Times New Roman"/>
                      <w:color w:val="auto"/>
                      <w:lang w:val="en-US" w:eastAsia="zh-CN"/>
                    </w:rPr>
                  </w:pPr>
                  <w:r>
                    <w:rPr>
                      <w:rFonts w:hint="eastAsia" w:cs="Times New Roman"/>
                      <w:color w:val="auto"/>
                      <w:lang w:val="en-US" w:eastAsia="zh-CN"/>
                    </w:rPr>
                    <w:t>27</w:t>
                  </w:r>
                </w:p>
              </w:tc>
              <w:tc>
                <w:tcPr>
                  <w:tcW w:w="924" w:type="dxa"/>
                  <w:tcBorders>
                    <w:tl2br w:val="nil"/>
                    <w:tr2bl w:val="nil"/>
                  </w:tcBorders>
                  <w:noWrap w:val="0"/>
                  <w:vAlign w:val="center"/>
                </w:tcPr>
                <w:p w14:paraId="08821C75">
                  <w:pPr>
                    <w:pStyle w:val="49"/>
                    <w:bidi w:val="0"/>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cs="Times New Roman"/>
                      <w:color w:val="auto"/>
                      <w:lang w:val="en-US" w:eastAsia="zh-CN"/>
                    </w:rPr>
                    <w:t>达标</w:t>
                  </w:r>
                </w:p>
              </w:tc>
            </w:tr>
            <w:tr w14:paraId="2AEE4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tcBorders>
                    <w:tl2br w:val="nil"/>
                    <w:tr2bl w:val="nil"/>
                  </w:tcBorders>
                  <w:noWrap w:val="0"/>
                  <w:vAlign w:val="center"/>
                </w:tcPr>
                <w:p w14:paraId="25C21DE2">
                  <w:pPr>
                    <w:pStyle w:val="49"/>
                    <w:bidi w:val="0"/>
                    <w:rPr>
                      <w:rFonts w:hint="default" w:ascii="Times New Roman" w:hAnsi="Times New Roman" w:cs="Times New Roman"/>
                      <w:color w:val="auto"/>
                      <w:lang w:val="zh-CN" w:eastAsia="zh-CN"/>
                    </w:rPr>
                  </w:pPr>
                </w:p>
              </w:tc>
              <w:tc>
                <w:tcPr>
                  <w:tcW w:w="792" w:type="dxa"/>
                  <w:tcBorders>
                    <w:tl2br w:val="nil"/>
                    <w:tr2bl w:val="nil"/>
                  </w:tcBorders>
                  <w:noWrap w:val="0"/>
                  <w:vAlign w:val="center"/>
                </w:tcPr>
                <w:p w14:paraId="4E677132">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O</w:t>
                  </w:r>
                  <w:r>
                    <w:rPr>
                      <w:rFonts w:hint="default" w:ascii="Times New Roman" w:hAnsi="Times New Roman" w:cs="Times New Roman"/>
                      <w:color w:val="auto"/>
                      <w:vertAlign w:val="subscript"/>
                      <w:lang w:val="en-US" w:eastAsia="zh-CN"/>
                    </w:rPr>
                    <w:t>3</w:t>
                  </w:r>
                </w:p>
              </w:tc>
              <w:tc>
                <w:tcPr>
                  <w:tcW w:w="1868" w:type="dxa"/>
                  <w:tcBorders>
                    <w:tl2br w:val="nil"/>
                    <w:tr2bl w:val="nil"/>
                  </w:tcBorders>
                  <w:noWrap w:val="0"/>
                  <w:vAlign w:val="center"/>
                </w:tcPr>
                <w:p w14:paraId="4C14A42D">
                  <w:pPr>
                    <w:pStyle w:val="49"/>
                    <w:bidi w:val="0"/>
                    <w:rPr>
                      <w:rFonts w:hint="default" w:ascii="Times New Roman" w:hAnsi="Times New Roman" w:cs="Times New Roman"/>
                      <w:color w:val="auto"/>
                      <w:lang w:val="en-US" w:eastAsia="zh-CN"/>
                    </w:rPr>
                  </w:pPr>
                  <w:r>
                    <w:rPr>
                      <w:rFonts w:hint="eastAsia" w:cs="Times New Roman"/>
                      <w:color w:val="auto"/>
                      <w:lang w:val="en-US" w:eastAsia="zh-CN"/>
                    </w:rPr>
                    <w:t>140</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p w14:paraId="775138FA">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（90位百分浓度）</w:t>
                  </w:r>
                </w:p>
              </w:tc>
              <w:tc>
                <w:tcPr>
                  <w:tcW w:w="1900" w:type="dxa"/>
                  <w:tcBorders>
                    <w:tl2br w:val="nil"/>
                    <w:tr2bl w:val="nil"/>
                  </w:tcBorders>
                  <w:noWrap w:val="0"/>
                  <w:vAlign w:val="center"/>
                </w:tcPr>
                <w:p w14:paraId="74D6691F">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日最大8小时平均</w:t>
                  </w:r>
                </w:p>
              </w:tc>
              <w:tc>
                <w:tcPr>
                  <w:tcW w:w="1233" w:type="dxa"/>
                  <w:tcBorders>
                    <w:tl2br w:val="nil"/>
                    <w:tr2bl w:val="nil"/>
                  </w:tcBorders>
                  <w:noWrap w:val="0"/>
                  <w:vAlign w:val="center"/>
                </w:tcPr>
                <w:p w14:paraId="44F3F4C6">
                  <w:pPr>
                    <w:pStyle w:val="49"/>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160</w:t>
                  </w:r>
                  <w:r>
                    <w:rPr>
                      <w:rFonts w:hint="default" w:ascii="Times New Roman" w:hAnsi="Times New Roman" w:cs="Times New Roman"/>
                      <w:color w:val="auto"/>
                      <w:lang w:val="zh-CN" w:eastAsia="zh-CN"/>
                    </w:rPr>
                    <w:t>µg/m</w:t>
                  </w:r>
                  <w:r>
                    <w:rPr>
                      <w:rFonts w:hint="default" w:ascii="Times New Roman" w:hAnsi="Times New Roman" w:cs="Times New Roman"/>
                      <w:color w:val="auto"/>
                      <w:vertAlign w:val="superscript"/>
                      <w:lang w:val="en-US" w:eastAsia="zh-CN"/>
                    </w:rPr>
                    <w:t>3</w:t>
                  </w:r>
                </w:p>
              </w:tc>
              <w:tc>
                <w:tcPr>
                  <w:tcW w:w="1000" w:type="dxa"/>
                  <w:tcBorders>
                    <w:tl2br w:val="nil"/>
                    <w:tr2bl w:val="nil"/>
                  </w:tcBorders>
                  <w:noWrap w:val="0"/>
                  <w:vAlign w:val="center"/>
                </w:tcPr>
                <w:p w14:paraId="4AA86113">
                  <w:pPr>
                    <w:pStyle w:val="49"/>
                    <w:bidi w:val="0"/>
                    <w:rPr>
                      <w:rFonts w:hint="default" w:ascii="Times New Roman" w:hAnsi="Times New Roman" w:cs="Times New Roman"/>
                      <w:color w:val="auto"/>
                      <w:lang w:val="en-US" w:eastAsia="zh-CN"/>
                    </w:rPr>
                  </w:pPr>
                  <w:r>
                    <w:rPr>
                      <w:rFonts w:hint="eastAsia" w:cs="Times New Roman"/>
                      <w:color w:val="auto"/>
                      <w:lang w:val="en-US" w:eastAsia="zh-CN"/>
                    </w:rPr>
                    <w:t>88</w:t>
                  </w:r>
                </w:p>
              </w:tc>
              <w:tc>
                <w:tcPr>
                  <w:tcW w:w="924" w:type="dxa"/>
                  <w:tcBorders>
                    <w:tl2br w:val="nil"/>
                    <w:tr2bl w:val="nil"/>
                  </w:tcBorders>
                  <w:noWrap w:val="0"/>
                  <w:vAlign w:val="center"/>
                </w:tcPr>
                <w:p w14:paraId="27DDBE23">
                  <w:pPr>
                    <w:pStyle w:val="49"/>
                    <w:bidi w:val="0"/>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cs="Times New Roman"/>
                      <w:color w:val="auto"/>
                      <w:lang w:val="zh-CN" w:eastAsia="zh-CN"/>
                    </w:rPr>
                    <w:t>达标</w:t>
                  </w:r>
                </w:p>
              </w:tc>
            </w:tr>
          </w:tbl>
          <w:p w14:paraId="7BB797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根据《环境影响评价技术导则 大气环境》（HJ2.2-2018），城市环境空气质量达标情况指标为SO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2.5</w:t>
            </w:r>
            <w:r>
              <w:rPr>
                <w:rFonts w:hint="default" w:ascii="Times New Roman" w:hAnsi="Times New Roman" w:eastAsia="宋体" w:cs="Times New Roman"/>
                <w:color w:val="auto"/>
                <w:sz w:val="24"/>
                <w:szCs w:val="24"/>
                <w:highlight w:val="none"/>
                <w:lang w:val="en-US" w:eastAsia="zh-CN"/>
              </w:rPr>
              <w:t>、CO、O</w:t>
            </w:r>
            <w:r>
              <w:rPr>
                <w:rFonts w:hint="default" w:ascii="Times New Roman" w:hAnsi="Times New Roman" w:eastAsia="宋体"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，六项污染物全部达标即为城市环境空气质量达标。根据监测结果可以看出，</w:t>
            </w:r>
            <w:r>
              <w:rPr>
                <w:rFonts w:hint="eastAsia" w:cs="Times New Roman"/>
                <w:color w:val="auto"/>
                <w:sz w:val="24"/>
                <w:szCs w:val="24"/>
                <w:highlight w:val="none"/>
                <w:lang w:val="en-US" w:eastAsia="zh-CN"/>
              </w:rPr>
              <w:t>凤翔区</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、PM</w:t>
            </w:r>
            <w:r>
              <w:rPr>
                <w:rFonts w:hint="default" w:ascii="Times New Roman" w:hAnsi="Times New Roman" w:eastAsia="宋体" w:cs="Times New Roman"/>
                <w:color w:val="auto"/>
                <w:sz w:val="24"/>
                <w:szCs w:val="24"/>
                <w:highlight w:val="none"/>
                <w:vertAlign w:val="subscript"/>
                <w:lang w:val="en-US" w:eastAsia="zh-CN"/>
              </w:rPr>
              <w:t>2.5</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、CO、O</w:t>
            </w:r>
            <w:r>
              <w:rPr>
                <w:rFonts w:hint="default" w:ascii="Times New Roman" w:hAnsi="Times New Roman" w:eastAsia="宋体" w:cs="Times New Roman"/>
                <w:color w:val="auto"/>
                <w:sz w:val="24"/>
                <w:szCs w:val="24"/>
                <w:highlight w:val="none"/>
                <w:vertAlign w:val="subscript"/>
                <w:lang w:val="en-US" w:eastAsia="zh-CN"/>
              </w:rPr>
              <w:t>3</w:t>
            </w:r>
            <w:r>
              <w:rPr>
                <w:rFonts w:hint="eastAsia"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lang w:val="en-US" w:eastAsia="zh-CN"/>
              </w:rPr>
              <w:t>满足《环境空气质量标准》（GB3095-2012）二级标准</w:t>
            </w:r>
            <w:r>
              <w:rPr>
                <w:rFonts w:hint="eastAsia" w:ascii="Times New Roman" w:hAnsi="Times New Roman" w:eastAsia="宋体" w:cs="Times New Roman"/>
                <w:color w:val="auto"/>
                <w:sz w:val="24"/>
                <w:szCs w:val="24"/>
                <w:highlight w:val="none"/>
                <w:lang w:val="en-US" w:eastAsia="zh-CN"/>
              </w:rPr>
              <w:t>。</w:t>
            </w:r>
          </w:p>
          <w:p w14:paraId="68AADB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因此，项目所在区域属于</w:t>
            </w:r>
            <w:r>
              <w:rPr>
                <w:rFonts w:hint="eastAsia" w:cs="Times New Roman"/>
                <w:color w:val="auto"/>
                <w:sz w:val="24"/>
                <w:szCs w:val="24"/>
                <w:highlight w:val="none"/>
                <w:lang w:val="en-US" w:eastAsia="zh-CN"/>
              </w:rPr>
              <w:t>达标区</w:t>
            </w:r>
            <w:r>
              <w:rPr>
                <w:rFonts w:hint="default" w:ascii="Times New Roman" w:hAnsi="Times New Roman" w:eastAsia="宋体" w:cs="Times New Roman"/>
                <w:color w:val="auto"/>
                <w:sz w:val="24"/>
                <w:szCs w:val="24"/>
                <w:highlight w:val="none"/>
                <w:lang w:val="en-US" w:eastAsia="zh-CN"/>
              </w:rPr>
              <w:t>。</w:t>
            </w:r>
          </w:p>
          <w:p w14:paraId="4B6F04D0">
            <w:pPr>
              <w:pStyle w:val="102"/>
              <w:ind w:firstLine="482"/>
              <w:rPr>
                <w:b/>
                <w:color w:val="auto"/>
                <w:lang w:val="en-US" w:eastAsia="zh-CN"/>
              </w:rPr>
            </w:pPr>
            <w:r>
              <w:rPr>
                <w:rFonts w:hint="default" w:ascii="Times New Roman" w:hAnsi="Times New Roman" w:eastAsia="宋体" w:cs="Times New Roman"/>
                <w:b/>
                <w:color w:val="auto"/>
                <w:sz w:val="24"/>
                <w:szCs w:val="24"/>
                <w:highlight w:val="none"/>
                <w:lang w:val="en-US" w:eastAsia="zh-CN"/>
              </w:rPr>
              <w:t>二、</w:t>
            </w:r>
            <w:r>
              <w:rPr>
                <w:b/>
                <w:color w:val="auto"/>
                <w:lang w:val="en-US" w:eastAsia="zh-CN"/>
              </w:rPr>
              <w:t>地表水环境</w:t>
            </w:r>
            <w:r>
              <w:rPr>
                <w:rFonts w:hint="eastAsia"/>
                <w:b/>
                <w:color w:val="auto"/>
                <w:lang w:val="en-US" w:eastAsia="zh-CN"/>
              </w:rPr>
              <w:t>质量现状</w:t>
            </w:r>
          </w:p>
          <w:p w14:paraId="1AA9B22D">
            <w:pPr>
              <w:pStyle w:val="102"/>
              <w:rPr>
                <w:rFonts w:hint="default" w:ascii="Times New Roman" w:hAnsi="Times New Roman" w:eastAsia="宋体" w:cs="Times New Roman"/>
                <w:b/>
                <w:color w:val="auto"/>
                <w:sz w:val="24"/>
                <w:szCs w:val="24"/>
                <w:highlight w:val="none"/>
                <w:lang w:val="en-US" w:eastAsia="zh-CN"/>
              </w:rPr>
            </w:pPr>
            <w:r>
              <w:rPr>
                <w:rFonts w:hint="eastAsia"/>
                <w:color w:val="auto"/>
                <w:lang w:val="en-US" w:eastAsia="zh-CN"/>
              </w:rPr>
              <w:t>根据项目工程分析，本项目生活污水经化粪池收集后接管排入园区污水管网再进入长青工业园区污水处理厂进一步处理。循环冷却水系统排污水经园区污水管线进入长青工业园污水处理厂（宝鸡天龙</w:t>
            </w:r>
            <w:r>
              <w:rPr>
                <w:rFonts w:hint="default" w:ascii="Times New Roman" w:hAnsi="Times New Roman" w:cs="Times New Roman"/>
                <w:color w:val="auto"/>
                <w:lang w:val="en-US" w:eastAsia="zh-CN"/>
              </w:rPr>
              <w:t>污水处理有限公司）处理。</w:t>
            </w:r>
            <w:r>
              <w:rPr>
                <w:rFonts w:hint="default" w:ascii="Times New Roman" w:hAnsi="Times New Roman" w:cs="Times New Roman"/>
                <w:color w:val="auto"/>
                <w:sz w:val="24"/>
                <w:szCs w:val="24"/>
                <w:highlight w:val="none"/>
                <w:lang w:eastAsia="zh-CN"/>
              </w:rPr>
              <w:t>按</w:t>
            </w:r>
            <w:r>
              <w:rPr>
                <w:rFonts w:hint="default" w:ascii="Times New Roman" w:hAnsi="Times New Roman" w:eastAsia="宋体" w:cs="Times New Roman"/>
                <w:color w:val="auto"/>
                <w:sz w:val="24"/>
                <w:szCs w:val="24"/>
                <w:highlight w:val="none"/>
                <w:lang w:eastAsia="zh-CN"/>
              </w:rPr>
              <w:t>照《建设项目环境影响报告表编制技术指南（污染影响类）（试行）》规定，“引用与建设项目距离近的有效数据，包括近3年的规划环境影响评价的监测数据，所在流域控制单元内国家、地方控制断面监测数据，生态环境</w:t>
            </w:r>
            <w:r>
              <w:rPr>
                <w:rFonts w:hint="eastAsia" w:ascii="宋体" w:hAnsi="宋体" w:eastAsia="宋体" w:cs="宋体"/>
                <w:color w:val="auto"/>
                <w:sz w:val="24"/>
                <w:szCs w:val="24"/>
                <w:highlight w:val="none"/>
                <w:lang w:eastAsia="zh-CN"/>
              </w:rPr>
              <w:t>主管部门发布的水环境质量数据或地表水达标情况的结论。”</w:t>
            </w:r>
          </w:p>
          <w:p w14:paraId="1D8654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项目区域主要地表水体为渭河。本项目位于千河左岸，距离千河约1650m。为了解该地表水环境质量现状，本次评价采用宝鸡市生态环境局发布的《宝鸡市2023年环境质量公报》中千湖（冯家山水库）断面和千河入渭口断面的水质情况监测数据，对千河水环境质量进行评价。监测结果见表3-</w:t>
            </w:r>
            <w:r>
              <w:rPr>
                <w:rFonts w:hint="eastAsia" w:cs="Times New Roman"/>
                <w:b w:val="0"/>
                <w:bCs/>
                <w:color w:val="000000"/>
                <w:sz w:val="24"/>
                <w:szCs w:val="24"/>
                <w:lang w:val="en-US" w:eastAsia="zh-CN"/>
              </w:rPr>
              <w:t>2</w:t>
            </w:r>
            <w:r>
              <w:rPr>
                <w:rFonts w:hint="eastAsia" w:ascii="Times New Roman" w:hAnsi="Times New Roman" w:eastAsia="宋体" w:cs="Times New Roman"/>
                <w:b w:val="0"/>
                <w:bCs/>
                <w:color w:val="000000"/>
                <w:sz w:val="24"/>
                <w:szCs w:val="24"/>
                <w:lang w:val="en-US" w:eastAsia="zh-CN"/>
              </w:rPr>
              <w:t>。</w:t>
            </w:r>
          </w:p>
          <w:p w14:paraId="32FE22D9">
            <w:pPr>
              <w:spacing w:line="240" w:lineRule="auto"/>
              <w:jc w:val="center"/>
              <w:rPr>
                <w:rFonts w:ascii="Times New Roman" w:hAnsi="Times New Roman" w:cs="Times New Roman"/>
                <w:b/>
                <w:bCs/>
                <w:color w:val="000000"/>
                <w:sz w:val="21"/>
                <w:szCs w:val="18"/>
              </w:rPr>
            </w:pPr>
            <w:r>
              <w:rPr>
                <w:rFonts w:ascii="Times New Roman" w:hAnsi="Times New Roman" w:cs="Times New Roman"/>
                <w:b/>
                <w:bCs/>
                <w:color w:val="000000"/>
                <w:sz w:val="21"/>
                <w:szCs w:val="18"/>
              </w:rPr>
              <w:t>表</w:t>
            </w:r>
            <w:r>
              <w:rPr>
                <w:rFonts w:hint="eastAsia" w:ascii="Times New Roman" w:hAnsi="Times New Roman" w:cs="Times New Roman"/>
                <w:b/>
                <w:bCs/>
                <w:color w:val="000000"/>
                <w:sz w:val="21"/>
                <w:szCs w:val="18"/>
              </w:rPr>
              <w:t>3-</w:t>
            </w:r>
            <w:r>
              <w:rPr>
                <w:rFonts w:hint="eastAsia" w:cs="Times New Roman"/>
                <w:b/>
                <w:bCs/>
                <w:color w:val="000000"/>
                <w:sz w:val="21"/>
                <w:szCs w:val="18"/>
                <w:lang w:val="en-US" w:eastAsia="zh-CN"/>
              </w:rPr>
              <w:t>2</w:t>
            </w:r>
            <w:r>
              <w:rPr>
                <w:rFonts w:ascii="Times New Roman" w:hAnsi="Times New Roman" w:cs="Times New Roman"/>
                <w:b/>
                <w:bCs/>
                <w:color w:val="000000"/>
                <w:sz w:val="21"/>
                <w:szCs w:val="18"/>
              </w:rPr>
              <w:t xml:space="preserve">  地表水</w:t>
            </w:r>
            <w:r>
              <w:rPr>
                <w:rFonts w:hint="eastAsia" w:ascii="Times New Roman" w:hAnsi="Times New Roman" w:cs="Times New Roman"/>
                <w:b/>
                <w:bCs/>
                <w:color w:val="000000"/>
                <w:sz w:val="21"/>
                <w:szCs w:val="18"/>
                <w:lang w:val="en-US" w:eastAsia="zh-CN"/>
              </w:rPr>
              <w:t>水环境</w:t>
            </w:r>
            <w:r>
              <w:rPr>
                <w:rFonts w:ascii="Times New Roman" w:hAnsi="Times New Roman" w:cs="Times New Roman"/>
                <w:b/>
                <w:bCs/>
                <w:color w:val="000000"/>
                <w:sz w:val="21"/>
                <w:szCs w:val="18"/>
              </w:rPr>
              <w:t>质量现状监测</w:t>
            </w:r>
            <w:r>
              <w:rPr>
                <w:rFonts w:hint="eastAsia" w:ascii="Times New Roman" w:hAnsi="Times New Roman" w:cs="Times New Roman"/>
                <w:b/>
                <w:bCs/>
                <w:color w:val="000000"/>
                <w:sz w:val="21"/>
                <w:szCs w:val="18"/>
                <w:lang w:val="en-US" w:eastAsia="zh-CN"/>
              </w:rPr>
              <w:t>统计表</w:t>
            </w:r>
            <w:r>
              <w:rPr>
                <w:rFonts w:ascii="Times New Roman" w:hAnsi="Times New Roman" w:cs="Times New Roman"/>
                <w:b/>
                <w:bCs/>
                <w:color w:val="000000"/>
                <w:sz w:val="21"/>
                <w:szCs w:val="18"/>
              </w:rPr>
              <w:t xml:space="preserve"> </w:t>
            </w:r>
            <w:r>
              <w:rPr>
                <w:rFonts w:hint="eastAsia" w:ascii="Times New Roman" w:hAnsi="Times New Roman" w:cs="Times New Roman"/>
                <w:b/>
                <w:bCs/>
                <w:color w:val="000000"/>
                <w:sz w:val="21"/>
                <w:szCs w:val="18"/>
                <w:lang w:val="en-US" w:eastAsia="zh-CN"/>
              </w:rPr>
              <w:t xml:space="preserve">   </w:t>
            </w:r>
            <w:r>
              <w:rPr>
                <w:rFonts w:ascii="Times New Roman" w:hAnsi="Times New Roman" w:cs="Times New Roman"/>
                <w:b/>
                <w:bCs/>
                <w:color w:val="000000"/>
                <w:sz w:val="21"/>
                <w:szCs w:val="18"/>
              </w:rPr>
              <w:t>单位：mg/L</w:t>
            </w:r>
          </w:p>
          <w:tbl>
            <w:tblPr>
              <w:tblStyle w:val="30"/>
              <w:tblW w:w="82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67"/>
              <w:gridCol w:w="1009"/>
              <w:gridCol w:w="877"/>
              <w:gridCol w:w="877"/>
              <w:gridCol w:w="626"/>
              <w:gridCol w:w="689"/>
              <w:gridCol w:w="777"/>
              <w:gridCol w:w="830"/>
              <w:gridCol w:w="922"/>
            </w:tblGrid>
            <w:tr w14:paraId="56E7A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4" w:hRule="atLeast"/>
                <w:jc w:val="center"/>
              </w:trPr>
              <w:tc>
                <w:tcPr>
                  <w:tcW w:w="1007" w:type="pct"/>
                  <w:tcBorders>
                    <w:tl2br w:val="nil"/>
                    <w:tr2bl w:val="nil"/>
                  </w:tcBorders>
                  <w:noWrap w:val="0"/>
                  <w:vAlign w:val="center"/>
                </w:tcPr>
                <w:p w14:paraId="5CDF991D">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eastAsia" w:ascii="Times New Roman" w:hAnsi="Times New Roman" w:eastAsia="宋体" w:cs="Times New Roman"/>
                      <w:b/>
                      <w:bCs/>
                      <w:color w:val="000000"/>
                      <w:sz w:val="21"/>
                      <w:lang w:val="en-US" w:eastAsia="zh-CN"/>
                    </w:rPr>
                  </w:pPr>
                  <w:r>
                    <w:rPr>
                      <w:rFonts w:hint="default" w:ascii="Times New Roman" w:hAnsi="Times New Roman" w:eastAsia="宋体" w:cs="Times New Roman"/>
                      <w:b/>
                      <w:bCs/>
                      <w:color w:val="000000"/>
                      <w:sz w:val="21"/>
                    </w:rPr>
                    <w:t>断面</w:t>
                  </w:r>
                  <w:r>
                    <w:rPr>
                      <w:rFonts w:hint="eastAsia" w:ascii="Times New Roman" w:hAnsi="Times New Roman" w:eastAsia="宋体" w:cs="Times New Roman"/>
                      <w:b/>
                      <w:bCs/>
                      <w:color w:val="000000"/>
                      <w:sz w:val="21"/>
                      <w:lang w:val="en-US" w:eastAsia="zh-CN"/>
                    </w:rPr>
                    <w:t>名称</w:t>
                  </w:r>
                </w:p>
              </w:tc>
              <w:tc>
                <w:tcPr>
                  <w:tcW w:w="609" w:type="pct"/>
                  <w:tcBorders>
                    <w:tl2br w:val="nil"/>
                    <w:tr2bl w:val="nil"/>
                  </w:tcBorders>
                  <w:noWrap w:val="0"/>
                  <w:vAlign w:val="center"/>
                </w:tcPr>
                <w:p w14:paraId="36744867">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bCs/>
                      <w:color w:val="000000"/>
                      <w:sz w:val="21"/>
                    </w:rPr>
                  </w:pPr>
                  <w:r>
                    <w:rPr>
                      <w:rFonts w:hint="default" w:ascii="Times New Roman" w:hAnsi="Times New Roman" w:eastAsia="宋体" w:cs="Times New Roman"/>
                      <w:b/>
                      <w:bCs/>
                      <w:color w:val="000000"/>
                      <w:spacing w:val="-1"/>
                      <w:w w:val="95"/>
                      <w:sz w:val="21"/>
                    </w:rPr>
                    <w:t>水质类别</w:t>
                  </w:r>
                </w:p>
              </w:tc>
              <w:tc>
                <w:tcPr>
                  <w:tcW w:w="529" w:type="pct"/>
                  <w:tcBorders>
                    <w:tl2br w:val="nil"/>
                    <w:tr2bl w:val="nil"/>
                  </w:tcBorders>
                  <w:noWrap w:val="0"/>
                  <w:vAlign w:val="center"/>
                </w:tcPr>
                <w:p w14:paraId="244B7AF4">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eastAsia" w:ascii="Times New Roman" w:hAnsi="Times New Roman" w:eastAsia="宋体" w:cs="Times New Roman"/>
                      <w:b/>
                      <w:bCs/>
                      <w:color w:val="000000"/>
                      <w:sz w:val="21"/>
                      <w:lang w:val="en-US" w:eastAsia="zh-CN"/>
                    </w:rPr>
                  </w:pPr>
                  <w:r>
                    <w:rPr>
                      <w:rFonts w:hint="eastAsia" w:ascii="Times New Roman" w:hAnsi="Times New Roman" w:eastAsia="宋体" w:cs="Times New Roman"/>
                      <w:b/>
                      <w:bCs/>
                      <w:color w:val="000000"/>
                      <w:sz w:val="21"/>
                      <w:lang w:val="en-US" w:eastAsia="zh-CN"/>
                    </w:rPr>
                    <w:t>溶解氧</w:t>
                  </w:r>
                </w:p>
              </w:tc>
              <w:tc>
                <w:tcPr>
                  <w:tcW w:w="529" w:type="pct"/>
                  <w:tcBorders>
                    <w:tl2br w:val="nil"/>
                    <w:tr2bl w:val="nil"/>
                  </w:tcBorders>
                  <w:noWrap w:val="0"/>
                  <w:vAlign w:val="center"/>
                </w:tcPr>
                <w:p w14:paraId="24B6A4C6">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bCs/>
                      <w:color w:val="000000"/>
                      <w:kern w:val="0"/>
                      <w:sz w:val="21"/>
                      <w:szCs w:val="22"/>
                      <w:lang w:val="en-US" w:eastAsia="en-US" w:bidi="en-US"/>
                    </w:rPr>
                  </w:pPr>
                  <w:r>
                    <w:rPr>
                      <w:rFonts w:hint="default" w:ascii="Times New Roman" w:hAnsi="Times New Roman" w:eastAsia="宋体" w:cs="Times New Roman"/>
                      <w:b/>
                      <w:bCs/>
                      <w:color w:val="000000"/>
                      <w:sz w:val="21"/>
                    </w:rPr>
                    <w:t>高锰酸盐指数</w:t>
                  </w:r>
                </w:p>
              </w:tc>
              <w:tc>
                <w:tcPr>
                  <w:tcW w:w="378" w:type="pct"/>
                  <w:tcBorders>
                    <w:tl2br w:val="nil"/>
                    <w:tr2bl w:val="nil"/>
                  </w:tcBorders>
                  <w:noWrap w:val="0"/>
                  <w:vAlign w:val="center"/>
                </w:tcPr>
                <w:p w14:paraId="2A3866E7">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bCs/>
                      <w:color w:val="000000"/>
                      <w:kern w:val="0"/>
                      <w:sz w:val="13"/>
                      <w:szCs w:val="22"/>
                      <w:lang w:val="en-US" w:eastAsia="en-US" w:bidi="en-US"/>
                    </w:rPr>
                  </w:pPr>
                  <w:r>
                    <w:rPr>
                      <w:rFonts w:hint="default" w:ascii="Times New Roman" w:hAnsi="Times New Roman" w:eastAsia="宋体" w:cs="Times New Roman"/>
                      <w:b/>
                      <w:bCs/>
                      <w:color w:val="000000"/>
                      <w:position w:val="2"/>
                      <w:sz w:val="21"/>
                    </w:rPr>
                    <w:t>BOD</w:t>
                  </w:r>
                  <w:r>
                    <w:rPr>
                      <w:rFonts w:hint="default" w:ascii="Times New Roman" w:hAnsi="Times New Roman" w:eastAsia="宋体" w:cs="Times New Roman"/>
                      <w:b/>
                      <w:bCs/>
                      <w:color w:val="000000"/>
                      <w:sz w:val="13"/>
                    </w:rPr>
                    <w:t>5</w:t>
                  </w:r>
                </w:p>
              </w:tc>
              <w:tc>
                <w:tcPr>
                  <w:tcW w:w="416" w:type="pct"/>
                  <w:tcBorders>
                    <w:tl2br w:val="nil"/>
                    <w:tr2bl w:val="nil"/>
                  </w:tcBorders>
                  <w:noWrap w:val="0"/>
                  <w:vAlign w:val="center"/>
                </w:tcPr>
                <w:p w14:paraId="0E9C768C">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bCs/>
                      <w:color w:val="000000"/>
                      <w:kern w:val="0"/>
                      <w:sz w:val="21"/>
                      <w:szCs w:val="22"/>
                      <w:lang w:val="en-US" w:eastAsia="en-US" w:bidi="en-US"/>
                    </w:rPr>
                  </w:pPr>
                  <w:r>
                    <w:rPr>
                      <w:rFonts w:hint="default" w:ascii="Times New Roman" w:hAnsi="Times New Roman" w:eastAsia="宋体" w:cs="Times New Roman"/>
                      <w:b/>
                      <w:bCs/>
                      <w:color w:val="000000"/>
                      <w:position w:val="2"/>
                      <w:sz w:val="21"/>
                    </w:rPr>
                    <w:t>NH</w:t>
                  </w:r>
                  <w:r>
                    <w:rPr>
                      <w:rFonts w:hint="default" w:ascii="Times New Roman" w:hAnsi="Times New Roman" w:eastAsia="宋体" w:cs="Times New Roman"/>
                      <w:b/>
                      <w:bCs/>
                      <w:color w:val="000000"/>
                      <w:sz w:val="13"/>
                    </w:rPr>
                    <w:t>3</w:t>
                  </w:r>
                  <w:r>
                    <w:rPr>
                      <w:rFonts w:hint="default" w:ascii="Times New Roman" w:hAnsi="Times New Roman" w:eastAsia="宋体" w:cs="Times New Roman"/>
                      <w:b/>
                      <w:bCs/>
                      <w:color w:val="000000"/>
                      <w:position w:val="2"/>
                      <w:sz w:val="21"/>
                    </w:rPr>
                    <w:t>-N</w:t>
                  </w:r>
                </w:p>
              </w:tc>
              <w:tc>
                <w:tcPr>
                  <w:tcW w:w="469" w:type="pct"/>
                  <w:tcBorders>
                    <w:tl2br w:val="nil"/>
                    <w:tr2bl w:val="nil"/>
                  </w:tcBorders>
                  <w:noWrap w:val="0"/>
                  <w:vAlign w:val="center"/>
                </w:tcPr>
                <w:p w14:paraId="3D2179CC">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bCs/>
                      <w:color w:val="000000"/>
                      <w:kern w:val="0"/>
                      <w:sz w:val="21"/>
                      <w:szCs w:val="22"/>
                      <w:lang w:val="en-US" w:eastAsia="en-US" w:bidi="en-US"/>
                    </w:rPr>
                  </w:pPr>
                  <w:r>
                    <w:rPr>
                      <w:rFonts w:hint="default" w:ascii="Times New Roman" w:hAnsi="Times New Roman" w:eastAsia="宋体" w:cs="Times New Roman"/>
                      <w:b/>
                      <w:bCs/>
                      <w:color w:val="000000"/>
                      <w:sz w:val="21"/>
                    </w:rPr>
                    <w:t>COD</w:t>
                  </w:r>
                </w:p>
              </w:tc>
              <w:tc>
                <w:tcPr>
                  <w:tcW w:w="501" w:type="pct"/>
                  <w:tcBorders>
                    <w:tl2br w:val="nil"/>
                    <w:tr2bl w:val="nil"/>
                  </w:tcBorders>
                  <w:noWrap w:val="0"/>
                  <w:vAlign w:val="center"/>
                </w:tcPr>
                <w:p w14:paraId="4B92FE89">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bCs/>
                      <w:color w:val="000000"/>
                      <w:kern w:val="0"/>
                      <w:sz w:val="21"/>
                      <w:szCs w:val="22"/>
                      <w:lang w:val="en-US" w:eastAsia="en-US" w:bidi="en-US"/>
                    </w:rPr>
                  </w:pPr>
                  <w:r>
                    <w:rPr>
                      <w:rFonts w:hint="default" w:ascii="Times New Roman" w:hAnsi="Times New Roman" w:eastAsia="宋体" w:cs="Times New Roman"/>
                      <w:b/>
                      <w:bCs/>
                      <w:color w:val="000000"/>
                      <w:sz w:val="21"/>
                    </w:rPr>
                    <w:t>总磷</w:t>
                  </w:r>
                </w:p>
              </w:tc>
              <w:tc>
                <w:tcPr>
                  <w:tcW w:w="557" w:type="pct"/>
                  <w:tcBorders>
                    <w:tl2br w:val="nil"/>
                    <w:tr2bl w:val="nil"/>
                  </w:tcBorders>
                  <w:noWrap w:val="0"/>
                  <w:vAlign w:val="center"/>
                </w:tcPr>
                <w:p w14:paraId="3A4F398D">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eastAsia" w:ascii="Times New Roman" w:hAnsi="Times New Roman" w:eastAsia="宋体" w:cs="Times New Roman"/>
                      <w:b/>
                      <w:bCs/>
                      <w:color w:val="000000"/>
                      <w:sz w:val="21"/>
                      <w:lang w:val="en-US" w:eastAsia="zh-CN"/>
                    </w:rPr>
                  </w:pPr>
                  <w:r>
                    <w:rPr>
                      <w:rFonts w:hint="eastAsia" w:ascii="Times New Roman" w:hAnsi="Times New Roman" w:cs="Times New Roman"/>
                      <w:b/>
                      <w:bCs/>
                      <w:color w:val="000000"/>
                      <w:sz w:val="21"/>
                      <w:lang w:val="en-US" w:eastAsia="zh-CN"/>
                    </w:rPr>
                    <w:t>氟化物</w:t>
                  </w:r>
                </w:p>
              </w:tc>
            </w:tr>
            <w:tr w14:paraId="2712D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4" w:hRule="atLeast"/>
                <w:jc w:val="center"/>
              </w:trPr>
              <w:tc>
                <w:tcPr>
                  <w:tcW w:w="1007" w:type="pct"/>
                  <w:tcBorders>
                    <w:tl2br w:val="nil"/>
                    <w:tr2bl w:val="nil"/>
                  </w:tcBorders>
                  <w:noWrap w:val="0"/>
                  <w:vAlign w:val="center"/>
                </w:tcPr>
                <w:p w14:paraId="6EFD862B">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bCs/>
                      <w:color w:val="000000"/>
                      <w:sz w:val="21"/>
                      <w:lang w:val="en-US" w:eastAsia="zh-CN"/>
                    </w:rPr>
                  </w:pPr>
                  <w:r>
                    <w:rPr>
                      <w:rFonts w:hint="eastAsia" w:ascii="Times New Roman" w:hAnsi="Times New Roman" w:eastAsia="宋体" w:cs="Times New Roman"/>
                      <w:b w:val="0"/>
                      <w:bCs w:val="0"/>
                      <w:color w:val="000000"/>
                      <w:sz w:val="21"/>
                      <w:lang w:val="en-US" w:eastAsia="zh-CN"/>
                    </w:rPr>
                    <w:t>千湖（冯家山水库）断面</w:t>
                  </w:r>
                </w:p>
              </w:tc>
              <w:tc>
                <w:tcPr>
                  <w:tcW w:w="609" w:type="pct"/>
                  <w:tcBorders>
                    <w:tl2br w:val="nil"/>
                    <w:tr2bl w:val="nil"/>
                  </w:tcBorders>
                  <w:noWrap w:val="0"/>
                  <w:vAlign w:val="center"/>
                </w:tcPr>
                <w:p w14:paraId="63F0CD96">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bCs/>
                      <w:color w:val="000000"/>
                      <w:spacing w:val="-1"/>
                      <w:w w:val="95"/>
                      <w:sz w:val="21"/>
                    </w:rPr>
                  </w:pPr>
                  <w:r>
                    <w:rPr>
                      <w:rFonts w:hint="eastAsia" w:ascii="Times New Roman" w:hAnsi="Times New Roman" w:eastAsia="宋体" w:cs="Times New Roman"/>
                      <w:color w:val="000000"/>
                      <w:sz w:val="21"/>
                      <w:lang w:val="en-US" w:eastAsia="zh-CN"/>
                    </w:rPr>
                    <w:t>市控</w:t>
                  </w:r>
                  <w:r>
                    <w:rPr>
                      <w:rFonts w:hint="default" w:ascii="Times New Roman" w:hAnsi="Times New Roman" w:eastAsia="宋体" w:cs="Times New Roman"/>
                      <w:color w:val="000000"/>
                      <w:sz w:val="21"/>
                    </w:rPr>
                    <w:t>Ⅰ类</w:t>
                  </w:r>
                </w:p>
              </w:tc>
              <w:tc>
                <w:tcPr>
                  <w:tcW w:w="529" w:type="pct"/>
                  <w:tcBorders>
                    <w:tl2br w:val="nil"/>
                    <w:tr2bl w:val="nil"/>
                  </w:tcBorders>
                  <w:noWrap w:val="0"/>
                  <w:vAlign w:val="center"/>
                </w:tcPr>
                <w:p w14:paraId="04A7D5B0">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val="0"/>
                      <w:bCs w:val="0"/>
                      <w:color w:val="000000"/>
                      <w:sz w:val="21"/>
                      <w:lang w:val="en-US" w:eastAsia="zh-CN"/>
                    </w:rPr>
                  </w:pPr>
                  <w:r>
                    <w:rPr>
                      <w:rFonts w:hint="eastAsia" w:ascii="Times New Roman" w:hAnsi="Times New Roman" w:eastAsia="宋体" w:cs="Times New Roman"/>
                      <w:b w:val="0"/>
                      <w:bCs w:val="0"/>
                      <w:color w:val="000000"/>
                      <w:sz w:val="21"/>
                      <w:lang w:val="en-US" w:eastAsia="zh-CN"/>
                    </w:rPr>
                    <w:t>9.2</w:t>
                  </w:r>
                </w:p>
              </w:tc>
              <w:tc>
                <w:tcPr>
                  <w:tcW w:w="529" w:type="pct"/>
                  <w:tcBorders>
                    <w:tl2br w:val="nil"/>
                    <w:tr2bl w:val="nil"/>
                  </w:tcBorders>
                  <w:noWrap w:val="0"/>
                  <w:vAlign w:val="center"/>
                </w:tcPr>
                <w:p w14:paraId="0338A667">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val="0"/>
                      <w:bCs w:val="0"/>
                      <w:color w:val="000000"/>
                      <w:sz w:val="21"/>
                      <w:lang w:val="en-US" w:eastAsia="zh-CN"/>
                    </w:rPr>
                  </w:pPr>
                  <w:r>
                    <w:rPr>
                      <w:rFonts w:hint="eastAsia" w:ascii="Times New Roman" w:hAnsi="Times New Roman" w:eastAsia="宋体" w:cs="Times New Roman"/>
                      <w:b w:val="0"/>
                      <w:bCs w:val="0"/>
                      <w:color w:val="000000"/>
                      <w:sz w:val="21"/>
                      <w:lang w:val="en-US" w:eastAsia="zh-CN"/>
                    </w:rPr>
                    <w:t>1.8</w:t>
                  </w:r>
                </w:p>
              </w:tc>
              <w:tc>
                <w:tcPr>
                  <w:tcW w:w="378" w:type="pct"/>
                  <w:tcBorders>
                    <w:tl2br w:val="nil"/>
                    <w:tr2bl w:val="nil"/>
                  </w:tcBorders>
                  <w:noWrap w:val="0"/>
                  <w:vAlign w:val="center"/>
                </w:tcPr>
                <w:p w14:paraId="00F1A185">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val="0"/>
                      <w:bCs w:val="0"/>
                      <w:color w:val="000000"/>
                      <w:position w:val="2"/>
                      <w:sz w:val="21"/>
                      <w:lang w:val="en-US" w:eastAsia="zh-CN"/>
                    </w:rPr>
                  </w:pPr>
                  <w:r>
                    <w:rPr>
                      <w:rFonts w:hint="eastAsia" w:ascii="Times New Roman" w:hAnsi="Times New Roman" w:eastAsia="宋体" w:cs="Times New Roman"/>
                      <w:b w:val="0"/>
                      <w:bCs w:val="0"/>
                      <w:color w:val="000000"/>
                      <w:position w:val="2"/>
                      <w:sz w:val="21"/>
                      <w:lang w:val="en-US" w:eastAsia="zh-CN"/>
                    </w:rPr>
                    <w:t>0.7</w:t>
                  </w:r>
                </w:p>
              </w:tc>
              <w:tc>
                <w:tcPr>
                  <w:tcW w:w="416" w:type="pct"/>
                  <w:tcBorders>
                    <w:tl2br w:val="nil"/>
                    <w:tr2bl w:val="nil"/>
                  </w:tcBorders>
                  <w:noWrap w:val="0"/>
                  <w:vAlign w:val="center"/>
                </w:tcPr>
                <w:p w14:paraId="53EC1709">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val="0"/>
                      <w:bCs w:val="0"/>
                      <w:color w:val="000000"/>
                      <w:position w:val="2"/>
                      <w:sz w:val="21"/>
                      <w:lang w:val="en-US" w:eastAsia="zh-CN"/>
                    </w:rPr>
                  </w:pPr>
                  <w:r>
                    <w:rPr>
                      <w:rFonts w:hint="eastAsia" w:ascii="Times New Roman" w:hAnsi="Times New Roman" w:eastAsia="宋体" w:cs="Times New Roman"/>
                      <w:b w:val="0"/>
                      <w:bCs w:val="0"/>
                      <w:color w:val="000000"/>
                      <w:position w:val="2"/>
                      <w:sz w:val="21"/>
                      <w:lang w:val="en-US" w:eastAsia="zh-CN"/>
                    </w:rPr>
                    <w:t>0.10</w:t>
                  </w:r>
                </w:p>
              </w:tc>
              <w:tc>
                <w:tcPr>
                  <w:tcW w:w="469" w:type="pct"/>
                  <w:tcBorders>
                    <w:tl2br w:val="nil"/>
                    <w:tr2bl w:val="nil"/>
                  </w:tcBorders>
                  <w:noWrap w:val="0"/>
                  <w:vAlign w:val="center"/>
                </w:tcPr>
                <w:p w14:paraId="48D0B7F4">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val="0"/>
                      <w:bCs w:val="0"/>
                      <w:color w:val="000000"/>
                      <w:sz w:val="21"/>
                      <w:lang w:val="en-US" w:eastAsia="zh-CN"/>
                    </w:rPr>
                  </w:pPr>
                  <w:r>
                    <w:rPr>
                      <w:rFonts w:hint="eastAsia" w:ascii="Times New Roman" w:hAnsi="Times New Roman" w:eastAsia="宋体" w:cs="Times New Roman"/>
                      <w:b w:val="0"/>
                      <w:bCs w:val="0"/>
                      <w:color w:val="000000"/>
                      <w:sz w:val="21"/>
                      <w:lang w:val="en-US" w:eastAsia="zh-CN"/>
                    </w:rPr>
                    <w:t>9.2</w:t>
                  </w:r>
                </w:p>
              </w:tc>
              <w:tc>
                <w:tcPr>
                  <w:tcW w:w="501" w:type="pct"/>
                  <w:tcBorders>
                    <w:tl2br w:val="nil"/>
                    <w:tr2bl w:val="nil"/>
                  </w:tcBorders>
                  <w:noWrap w:val="0"/>
                  <w:vAlign w:val="center"/>
                </w:tcPr>
                <w:p w14:paraId="77A952C1">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val="0"/>
                      <w:bCs w:val="0"/>
                      <w:color w:val="000000"/>
                      <w:sz w:val="21"/>
                      <w:lang w:val="en-US" w:eastAsia="zh-CN"/>
                    </w:rPr>
                  </w:pPr>
                  <w:r>
                    <w:rPr>
                      <w:rFonts w:hint="eastAsia" w:ascii="Times New Roman" w:hAnsi="Times New Roman" w:eastAsia="宋体" w:cs="Times New Roman"/>
                      <w:b w:val="0"/>
                      <w:bCs w:val="0"/>
                      <w:color w:val="000000"/>
                      <w:sz w:val="21"/>
                      <w:lang w:val="en-US" w:eastAsia="zh-CN"/>
                    </w:rPr>
                    <w:t>0.01L</w:t>
                  </w:r>
                </w:p>
              </w:tc>
              <w:tc>
                <w:tcPr>
                  <w:tcW w:w="557" w:type="pct"/>
                  <w:tcBorders>
                    <w:tl2br w:val="nil"/>
                    <w:tr2bl w:val="nil"/>
                  </w:tcBorders>
                  <w:noWrap w:val="0"/>
                  <w:vAlign w:val="center"/>
                </w:tcPr>
                <w:p w14:paraId="2342DFBB">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val="0"/>
                      <w:bCs w:val="0"/>
                      <w:color w:val="000000"/>
                      <w:sz w:val="21"/>
                      <w:lang w:val="en-US" w:eastAsia="zh-CN"/>
                    </w:rPr>
                  </w:pPr>
                  <w:r>
                    <w:rPr>
                      <w:rFonts w:hint="eastAsia" w:ascii="Times New Roman" w:hAnsi="Times New Roman" w:cs="Times New Roman"/>
                      <w:b w:val="0"/>
                      <w:bCs w:val="0"/>
                      <w:color w:val="000000"/>
                      <w:sz w:val="21"/>
                      <w:lang w:val="en-US" w:eastAsia="zh-CN"/>
                    </w:rPr>
                    <w:t>0.30</w:t>
                  </w:r>
                </w:p>
              </w:tc>
            </w:tr>
            <w:tr w14:paraId="5CEFE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1617" w:type="pct"/>
                  <w:gridSpan w:val="2"/>
                  <w:tcBorders>
                    <w:tl2br w:val="nil"/>
                    <w:tr2bl w:val="nil"/>
                  </w:tcBorders>
                  <w:noWrap w:val="0"/>
                  <w:vAlign w:val="center"/>
                </w:tcPr>
                <w:p w14:paraId="3071816A">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eastAsia" w:ascii="Times New Roman" w:hAnsi="Times New Roman" w:eastAsia="宋体" w:cs="Times New Roman"/>
                      <w:color w:val="000000"/>
                      <w:sz w:val="21"/>
                      <w:lang w:val="en-US" w:eastAsia="zh-CN"/>
                    </w:rPr>
                  </w:pPr>
                  <w:r>
                    <w:rPr>
                      <w:rFonts w:hint="eastAsia" w:ascii="Times New Roman" w:hAnsi="Times New Roman" w:cs="Times New Roman"/>
                      <w:b w:val="0"/>
                      <w:bCs w:val="0"/>
                      <w:color w:val="000000"/>
                      <w:sz w:val="21"/>
                      <w:lang w:val="en-US" w:eastAsia="zh-CN"/>
                    </w:rPr>
                    <w:t>评价标准 GB3838-2002</w:t>
                  </w:r>
                </w:p>
              </w:tc>
              <w:tc>
                <w:tcPr>
                  <w:tcW w:w="529" w:type="pct"/>
                  <w:tcBorders>
                    <w:tl2br w:val="nil"/>
                    <w:tr2bl w:val="nil"/>
                  </w:tcBorders>
                  <w:noWrap w:val="0"/>
                  <w:vAlign w:val="center"/>
                </w:tcPr>
                <w:p w14:paraId="59C77047">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val="0"/>
                      <w:bCs w:val="0"/>
                      <w:color w:val="000000"/>
                      <w:kern w:val="0"/>
                      <w:sz w:val="21"/>
                      <w:szCs w:val="22"/>
                      <w:lang w:val="en-US" w:eastAsia="zh-CN" w:bidi="en-US"/>
                    </w:rPr>
                  </w:pPr>
                  <w:r>
                    <w:rPr>
                      <w:rFonts w:hint="eastAsia" w:ascii="Times New Roman" w:hAnsi="Times New Roman" w:eastAsia="宋体" w:cs="Times New Roman"/>
                      <w:b w:val="0"/>
                      <w:bCs w:val="0"/>
                      <w:color w:val="000000"/>
                      <w:kern w:val="0"/>
                      <w:sz w:val="21"/>
                      <w:szCs w:val="22"/>
                      <w:lang w:val="en-US" w:eastAsia="zh-CN" w:bidi="en-US"/>
                    </w:rPr>
                    <w:t>7.5</w:t>
                  </w:r>
                </w:p>
              </w:tc>
              <w:tc>
                <w:tcPr>
                  <w:tcW w:w="529" w:type="pct"/>
                  <w:tcBorders>
                    <w:tl2br w:val="nil"/>
                    <w:tr2bl w:val="nil"/>
                  </w:tcBorders>
                  <w:noWrap w:val="0"/>
                  <w:vAlign w:val="center"/>
                </w:tcPr>
                <w:p w14:paraId="02EFEF49">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eastAsia" w:ascii="Times New Roman" w:hAnsi="Times New Roman" w:eastAsia="宋体" w:cs="Times New Roman"/>
                      <w:b w:val="0"/>
                      <w:bCs w:val="0"/>
                      <w:color w:val="000000"/>
                      <w:kern w:val="0"/>
                      <w:sz w:val="21"/>
                      <w:szCs w:val="22"/>
                      <w:lang w:val="en-US" w:eastAsia="zh-CN" w:bidi="en-US"/>
                    </w:rPr>
                  </w:pPr>
                  <w:r>
                    <w:rPr>
                      <w:rFonts w:hint="eastAsia" w:ascii="Times New Roman" w:hAnsi="Times New Roman" w:eastAsia="宋体" w:cs="Times New Roman"/>
                      <w:b w:val="0"/>
                      <w:bCs w:val="0"/>
                      <w:color w:val="000000"/>
                      <w:kern w:val="0"/>
                      <w:sz w:val="21"/>
                      <w:szCs w:val="22"/>
                      <w:lang w:val="en-US" w:eastAsia="zh-CN" w:bidi="en-US"/>
                    </w:rPr>
                    <w:t>2.0</w:t>
                  </w:r>
                </w:p>
              </w:tc>
              <w:tc>
                <w:tcPr>
                  <w:tcW w:w="378" w:type="pct"/>
                  <w:tcBorders>
                    <w:tl2br w:val="nil"/>
                    <w:tr2bl w:val="nil"/>
                  </w:tcBorders>
                  <w:noWrap w:val="0"/>
                  <w:vAlign w:val="center"/>
                </w:tcPr>
                <w:p w14:paraId="588E01DC">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val="0"/>
                      <w:bCs w:val="0"/>
                      <w:color w:val="000000"/>
                      <w:kern w:val="0"/>
                      <w:sz w:val="21"/>
                      <w:szCs w:val="22"/>
                      <w:lang w:val="en-US" w:eastAsia="zh-CN" w:bidi="en-US"/>
                    </w:rPr>
                  </w:pPr>
                  <w:r>
                    <w:rPr>
                      <w:rFonts w:hint="eastAsia" w:ascii="Times New Roman" w:hAnsi="Times New Roman" w:eastAsia="宋体" w:cs="Times New Roman"/>
                      <w:b w:val="0"/>
                      <w:bCs w:val="0"/>
                      <w:color w:val="000000"/>
                      <w:kern w:val="0"/>
                      <w:sz w:val="21"/>
                      <w:szCs w:val="22"/>
                      <w:lang w:val="en-US" w:eastAsia="zh-CN" w:bidi="en-US"/>
                    </w:rPr>
                    <w:t>3</w:t>
                  </w:r>
                </w:p>
              </w:tc>
              <w:tc>
                <w:tcPr>
                  <w:tcW w:w="416" w:type="pct"/>
                  <w:tcBorders>
                    <w:tl2br w:val="nil"/>
                    <w:tr2bl w:val="nil"/>
                  </w:tcBorders>
                  <w:noWrap w:val="0"/>
                  <w:vAlign w:val="center"/>
                </w:tcPr>
                <w:p w14:paraId="7A0CD758">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val="0"/>
                      <w:bCs w:val="0"/>
                      <w:color w:val="000000"/>
                      <w:kern w:val="0"/>
                      <w:sz w:val="21"/>
                      <w:szCs w:val="22"/>
                      <w:lang w:val="en-US" w:eastAsia="zh-CN" w:bidi="en-US"/>
                    </w:rPr>
                  </w:pPr>
                  <w:r>
                    <w:rPr>
                      <w:rFonts w:hint="eastAsia" w:ascii="Times New Roman" w:hAnsi="Times New Roman" w:eastAsia="宋体" w:cs="Times New Roman"/>
                      <w:b w:val="0"/>
                      <w:bCs w:val="0"/>
                      <w:color w:val="000000"/>
                      <w:kern w:val="0"/>
                      <w:sz w:val="21"/>
                      <w:szCs w:val="22"/>
                      <w:lang w:val="en-US" w:eastAsia="zh-CN" w:bidi="en-US"/>
                    </w:rPr>
                    <w:t>0.15</w:t>
                  </w:r>
                </w:p>
              </w:tc>
              <w:tc>
                <w:tcPr>
                  <w:tcW w:w="469" w:type="pct"/>
                  <w:tcBorders>
                    <w:tl2br w:val="nil"/>
                    <w:tr2bl w:val="nil"/>
                  </w:tcBorders>
                  <w:noWrap w:val="0"/>
                  <w:vAlign w:val="center"/>
                </w:tcPr>
                <w:p w14:paraId="7CF051DB">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val="0"/>
                      <w:bCs w:val="0"/>
                      <w:color w:val="000000"/>
                      <w:kern w:val="0"/>
                      <w:sz w:val="21"/>
                      <w:szCs w:val="22"/>
                      <w:lang w:val="en-US" w:eastAsia="zh-CN" w:bidi="en-US"/>
                    </w:rPr>
                  </w:pPr>
                  <w:r>
                    <w:rPr>
                      <w:rFonts w:hint="eastAsia" w:ascii="Times New Roman" w:hAnsi="Times New Roman" w:eastAsia="宋体" w:cs="Times New Roman"/>
                      <w:b w:val="0"/>
                      <w:bCs w:val="0"/>
                      <w:color w:val="000000"/>
                      <w:kern w:val="0"/>
                      <w:sz w:val="21"/>
                      <w:szCs w:val="22"/>
                      <w:lang w:val="en-US" w:eastAsia="zh-CN" w:bidi="en-US"/>
                    </w:rPr>
                    <w:t>15</w:t>
                  </w:r>
                </w:p>
              </w:tc>
              <w:tc>
                <w:tcPr>
                  <w:tcW w:w="501" w:type="pct"/>
                  <w:tcBorders>
                    <w:tl2br w:val="nil"/>
                    <w:tr2bl w:val="nil"/>
                  </w:tcBorders>
                  <w:noWrap w:val="0"/>
                  <w:vAlign w:val="center"/>
                </w:tcPr>
                <w:p w14:paraId="2E281395">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val="0"/>
                      <w:bCs w:val="0"/>
                      <w:color w:val="000000"/>
                      <w:kern w:val="0"/>
                      <w:sz w:val="21"/>
                      <w:szCs w:val="22"/>
                      <w:lang w:val="en-US" w:eastAsia="zh-CN" w:bidi="en-US"/>
                    </w:rPr>
                  </w:pPr>
                  <w:r>
                    <w:rPr>
                      <w:rFonts w:hint="eastAsia" w:ascii="Times New Roman" w:hAnsi="Times New Roman" w:eastAsia="宋体" w:cs="Times New Roman"/>
                      <w:b w:val="0"/>
                      <w:bCs w:val="0"/>
                      <w:color w:val="000000"/>
                      <w:kern w:val="0"/>
                      <w:sz w:val="21"/>
                      <w:szCs w:val="22"/>
                      <w:lang w:val="en-US" w:eastAsia="zh-CN" w:bidi="en-US"/>
                    </w:rPr>
                    <w:t>0.02</w:t>
                  </w:r>
                </w:p>
              </w:tc>
              <w:tc>
                <w:tcPr>
                  <w:tcW w:w="557" w:type="pct"/>
                  <w:tcBorders>
                    <w:tl2br w:val="nil"/>
                    <w:tr2bl w:val="nil"/>
                  </w:tcBorders>
                  <w:noWrap w:val="0"/>
                  <w:vAlign w:val="center"/>
                </w:tcPr>
                <w:p w14:paraId="12C33E9D">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b w:val="0"/>
                      <w:bCs w:val="0"/>
                      <w:color w:val="000000"/>
                      <w:sz w:val="21"/>
                      <w:lang w:val="en-US" w:eastAsia="zh-CN"/>
                    </w:rPr>
                  </w:pPr>
                  <w:r>
                    <w:rPr>
                      <w:rFonts w:hint="eastAsia" w:ascii="Times New Roman" w:hAnsi="Times New Roman" w:eastAsia="宋体" w:cs="Times New Roman"/>
                      <w:b w:val="0"/>
                      <w:bCs w:val="0"/>
                      <w:color w:val="000000"/>
                      <w:sz w:val="21"/>
                      <w:lang w:val="en-US" w:eastAsia="zh-CN"/>
                    </w:rPr>
                    <w:t>1.0</w:t>
                  </w:r>
                </w:p>
              </w:tc>
            </w:tr>
            <w:tr w14:paraId="70CBC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1" w:hRule="atLeast"/>
                <w:jc w:val="center"/>
              </w:trPr>
              <w:tc>
                <w:tcPr>
                  <w:tcW w:w="1007" w:type="pct"/>
                  <w:tcBorders>
                    <w:tl2br w:val="nil"/>
                    <w:tr2bl w:val="nil"/>
                  </w:tcBorders>
                  <w:noWrap w:val="0"/>
                  <w:vAlign w:val="center"/>
                </w:tcPr>
                <w:p w14:paraId="07C3CEDE">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lang w:val="en-US" w:eastAsia="zh-CN"/>
                    </w:rPr>
                    <w:t>千河入渭口断面</w:t>
                  </w:r>
                </w:p>
              </w:tc>
              <w:tc>
                <w:tcPr>
                  <w:tcW w:w="609" w:type="pct"/>
                  <w:tcBorders>
                    <w:tl2br w:val="nil"/>
                    <w:tr2bl w:val="nil"/>
                  </w:tcBorders>
                  <w:noWrap w:val="0"/>
                  <w:vAlign w:val="center"/>
                </w:tcPr>
                <w:p w14:paraId="0B9C490C">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eastAsia" w:ascii="Times New Roman" w:hAnsi="Times New Roman" w:eastAsia="仿宋" w:cs="Times New Roman"/>
                      <w:color w:val="000000"/>
                      <w:spacing w:val="-1"/>
                      <w:w w:val="95"/>
                      <w:sz w:val="21"/>
                      <w:lang w:eastAsia="zh-CN"/>
                    </w:rPr>
                  </w:pPr>
                  <w:r>
                    <w:rPr>
                      <w:rFonts w:hint="eastAsia" w:ascii="Times New Roman" w:hAnsi="Times New Roman" w:eastAsia="宋体" w:cs="Times New Roman"/>
                      <w:color w:val="000000"/>
                      <w:sz w:val="21"/>
                      <w:lang w:val="en-US" w:eastAsia="zh-CN"/>
                    </w:rPr>
                    <w:t>省控</w:t>
                  </w:r>
                  <w:r>
                    <w:rPr>
                      <w:rFonts w:hint="default" w:ascii="Times New Roman" w:hAnsi="Times New Roman" w:eastAsia="仿宋" w:cs="Times New Roman"/>
                      <w:color w:val="000000"/>
                      <w:szCs w:val="21"/>
                    </w:rPr>
                    <w:t>Ⅱ</w:t>
                  </w:r>
                  <w:r>
                    <w:rPr>
                      <w:rFonts w:hint="default" w:ascii="Times New Roman" w:hAnsi="Times New Roman" w:eastAsia="宋体" w:cs="Times New Roman"/>
                      <w:color w:val="000000"/>
                      <w:sz w:val="21"/>
                      <w:lang w:val="en-US" w:eastAsia="zh-CN"/>
                    </w:rPr>
                    <w:t>类</w:t>
                  </w:r>
                </w:p>
              </w:tc>
              <w:tc>
                <w:tcPr>
                  <w:tcW w:w="529" w:type="pct"/>
                  <w:tcBorders>
                    <w:tl2br w:val="nil"/>
                    <w:tr2bl w:val="nil"/>
                  </w:tcBorders>
                  <w:noWrap w:val="0"/>
                  <w:vAlign w:val="center"/>
                </w:tcPr>
                <w:p w14:paraId="6E6FE6A8">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lang w:val="en-US" w:eastAsia="zh-CN"/>
                    </w:rPr>
                    <w:t>9.0</w:t>
                  </w:r>
                </w:p>
              </w:tc>
              <w:tc>
                <w:tcPr>
                  <w:tcW w:w="529" w:type="pct"/>
                  <w:tcBorders>
                    <w:tl2br w:val="nil"/>
                    <w:tr2bl w:val="nil"/>
                  </w:tcBorders>
                  <w:noWrap w:val="0"/>
                  <w:vAlign w:val="center"/>
                </w:tcPr>
                <w:p w14:paraId="14780674">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kern w:val="0"/>
                      <w:sz w:val="21"/>
                      <w:szCs w:val="22"/>
                      <w:lang w:val="en-US" w:eastAsia="zh-CN" w:bidi="en-US"/>
                    </w:rPr>
                  </w:pPr>
                  <w:r>
                    <w:rPr>
                      <w:rFonts w:hint="eastAsia" w:ascii="Times New Roman" w:hAnsi="Times New Roman" w:eastAsia="宋体" w:cs="Times New Roman"/>
                      <w:color w:val="000000"/>
                      <w:sz w:val="21"/>
                      <w:lang w:val="en-US" w:eastAsia="zh-CN"/>
                    </w:rPr>
                    <w:t>2.</w:t>
                  </w:r>
                  <w:r>
                    <w:rPr>
                      <w:rFonts w:hint="eastAsia" w:ascii="Times New Roman" w:hAnsi="Times New Roman" w:cs="Times New Roman"/>
                      <w:color w:val="000000"/>
                      <w:sz w:val="21"/>
                      <w:lang w:val="en-US" w:eastAsia="zh-CN"/>
                    </w:rPr>
                    <w:t>0</w:t>
                  </w:r>
                </w:p>
              </w:tc>
              <w:tc>
                <w:tcPr>
                  <w:tcW w:w="378" w:type="pct"/>
                  <w:tcBorders>
                    <w:tl2br w:val="nil"/>
                    <w:tr2bl w:val="nil"/>
                  </w:tcBorders>
                  <w:noWrap w:val="0"/>
                  <w:vAlign w:val="center"/>
                </w:tcPr>
                <w:p w14:paraId="0F4599F0">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kern w:val="0"/>
                      <w:position w:val="2"/>
                      <w:sz w:val="21"/>
                      <w:szCs w:val="22"/>
                      <w:lang w:val="en-US" w:eastAsia="zh-CN" w:bidi="en-US"/>
                    </w:rPr>
                  </w:pPr>
                  <w:r>
                    <w:rPr>
                      <w:rFonts w:hint="eastAsia" w:ascii="Times New Roman" w:hAnsi="Times New Roman" w:cs="Times New Roman"/>
                      <w:color w:val="000000"/>
                      <w:kern w:val="0"/>
                      <w:position w:val="2"/>
                      <w:sz w:val="21"/>
                      <w:szCs w:val="22"/>
                      <w:lang w:val="en-US" w:eastAsia="zh-CN" w:bidi="en-US"/>
                    </w:rPr>
                    <w:t>1.8</w:t>
                  </w:r>
                </w:p>
              </w:tc>
              <w:tc>
                <w:tcPr>
                  <w:tcW w:w="416" w:type="pct"/>
                  <w:tcBorders>
                    <w:tl2br w:val="nil"/>
                    <w:tr2bl w:val="nil"/>
                  </w:tcBorders>
                  <w:noWrap w:val="0"/>
                  <w:vAlign w:val="center"/>
                </w:tcPr>
                <w:p w14:paraId="6D95A1F2">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kern w:val="0"/>
                      <w:position w:val="2"/>
                      <w:sz w:val="21"/>
                      <w:szCs w:val="22"/>
                      <w:lang w:val="en-US" w:eastAsia="zh-CN" w:bidi="en-US"/>
                    </w:rPr>
                  </w:pPr>
                  <w:r>
                    <w:rPr>
                      <w:rFonts w:hint="default" w:ascii="Times New Roman" w:hAnsi="Times New Roman" w:eastAsia="宋体" w:cs="Times New Roman"/>
                      <w:color w:val="000000"/>
                      <w:position w:val="2"/>
                      <w:sz w:val="21"/>
                      <w:lang w:val="en-US" w:eastAsia="zh-CN"/>
                    </w:rPr>
                    <w:t>0.</w:t>
                  </w:r>
                  <w:r>
                    <w:rPr>
                      <w:rFonts w:hint="eastAsia" w:ascii="Times New Roman" w:hAnsi="Times New Roman" w:eastAsia="宋体" w:cs="Times New Roman"/>
                      <w:color w:val="000000"/>
                      <w:position w:val="2"/>
                      <w:sz w:val="21"/>
                      <w:lang w:val="en-US" w:eastAsia="zh-CN"/>
                    </w:rPr>
                    <w:t>35</w:t>
                  </w:r>
                </w:p>
              </w:tc>
              <w:tc>
                <w:tcPr>
                  <w:tcW w:w="469" w:type="pct"/>
                  <w:tcBorders>
                    <w:tl2br w:val="nil"/>
                    <w:tr2bl w:val="nil"/>
                  </w:tcBorders>
                  <w:noWrap w:val="0"/>
                  <w:vAlign w:val="center"/>
                </w:tcPr>
                <w:p w14:paraId="5F037FA2">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kern w:val="0"/>
                      <w:sz w:val="21"/>
                      <w:szCs w:val="22"/>
                      <w:lang w:val="en-US" w:eastAsia="zh-CN" w:bidi="en-US"/>
                    </w:rPr>
                  </w:pPr>
                  <w:r>
                    <w:rPr>
                      <w:rFonts w:hint="eastAsia" w:ascii="Times New Roman" w:hAnsi="Times New Roman" w:cs="Times New Roman"/>
                      <w:color w:val="000000"/>
                      <w:sz w:val="21"/>
                      <w:lang w:val="en-US" w:eastAsia="zh-CN"/>
                    </w:rPr>
                    <w:t>12.2</w:t>
                  </w:r>
                </w:p>
              </w:tc>
              <w:tc>
                <w:tcPr>
                  <w:tcW w:w="501" w:type="pct"/>
                  <w:tcBorders>
                    <w:tl2br w:val="nil"/>
                    <w:tr2bl w:val="nil"/>
                  </w:tcBorders>
                  <w:noWrap w:val="0"/>
                  <w:vAlign w:val="center"/>
                </w:tcPr>
                <w:p w14:paraId="36E3BC9D">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kern w:val="0"/>
                      <w:sz w:val="21"/>
                      <w:szCs w:val="22"/>
                      <w:lang w:val="en-US" w:eastAsia="zh-CN" w:bidi="en-US"/>
                    </w:rPr>
                  </w:pPr>
                  <w:r>
                    <w:rPr>
                      <w:rFonts w:hint="default" w:ascii="Times New Roman" w:hAnsi="Times New Roman" w:eastAsia="宋体" w:cs="Times New Roman"/>
                      <w:color w:val="000000"/>
                      <w:sz w:val="21"/>
                      <w:lang w:val="en-US" w:eastAsia="zh-CN"/>
                    </w:rPr>
                    <w:t>0.0</w:t>
                  </w:r>
                  <w:r>
                    <w:rPr>
                      <w:rFonts w:hint="eastAsia" w:ascii="Times New Roman" w:hAnsi="Times New Roman" w:eastAsia="宋体" w:cs="Times New Roman"/>
                      <w:color w:val="000000"/>
                      <w:sz w:val="21"/>
                      <w:lang w:val="en-US" w:eastAsia="zh-CN"/>
                    </w:rPr>
                    <w:t>64</w:t>
                  </w:r>
                </w:p>
              </w:tc>
              <w:tc>
                <w:tcPr>
                  <w:tcW w:w="557" w:type="pct"/>
                  <w:tcBorders>
                    <w:tl2br w:val="nil"/>
                    <w:tr2bl w:val="nil"/>
                  </w:tcBorders>
                  <w:noWrap w:val="0"/>
                  <w:vAlign w:val="center"/>
                </w:tcPr>
                <w:p w14:paraId="72B387C3">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sz w:val="21"/>
                      <w:lang w:val="en-US" w:eastAsia="zh-CN"/>
                    </w:rPr>
                  </w:pPr>
                  <w:r>
                    <w:rPr>
                      <w:rFonts w:hint="eastAsia" w:ascii="Times New Roman" w:hAnsi="Times New Roman" w:cs="Times New Roman"/>
                      <w:color w:val="000000"/>
                      <w:sz w:val="21"/>
                      <w:lang w:val="en-US" w:eastAsia="zh-CN"/>
                    </w:rPr>
                    <w:t>0.30</w:t>
                  </w:r>
                </w:p>
              </w:tc>
            </w:tr>
            <w:tr w14:paraId="1A66D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6" w:hRule="atLeast"/>
                <w:jc w:val="center"/>
              </w:trPr>
              <w:tc>
                <w:tcPr>
                  <w:tcW w:w="1617" w:type="pct"/>
                  <w:gridSpan w:val="2"/>
                  <w:tcBorders>
                    <w:tl2br w:val="nil"/>
                    <w:tr2bl w:val="nil"/>
                  </w:tcBorders>
                  <w:noWrap w:val="0"/>
                  <w:vAlign w:val="center"/>
                </w:tcPr>
                <w:p w14:paraId="585588FB">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sz w:val="21"/>
                    </w:rPr>
                  </w:pPr>
                  <w:r>
                    <w:rPr>
                      <w:rFonts w:hint="eastAsia" w:ascii="Times New Roman" w:hAnsi="Times New Roman" w:cs="Times New Roman"/>
                      <w:b w:val="0"/>
                      <w:bCs w:val="0"/>
                      <w:color w:val="000000"/>
                      <w:sz w:val="21"/>
                      <w:lang w:val="en-US" w:eastAsia="zh-CN"/>
                    </w:rPr>
                    <w:t>评价标准 GB3838-2002</w:t>
                  </w:r>
                </w:p>
              </w:tc>
              <w:tc>
                <w:tcPr>
                  <w:tcW w:w="529" w:type="pct"/>
                  <w:tcBorders>
                    <w:tl2br w:val="nil"/>
                    <w:tr2bl w:val="nil"/>
                  </w:tcBorders>
                  <w:noWrap w:val="0"/>
                  <w:vAlign w:val="center"/>
                </w:tcPr>
                <w:p w14:paraId="6E215A27">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kern w:val="0"/>
                      <w:position w:val="2"/>
                      <w:sz w:val="21"/>
                      <w:szCs w:val="22"/>
                      <w:lang w:val="en-US" w:eastAsia="zh-CN" w:bidi="en-US"/>
                    </w:rPr>
                  </w:pPr>
                  <w:r>
                    <w:rPr>
                      <w:rFonts w:hint="eastAsia" w:ascii="Times New Roman" w:hAnsi="Times New Roman" w:eastAsia="宋体" w:cs="Times New Roman"/>
                      <w:color w:val="000000"/>
                      <w:kern w:val="0"/>
                      <w:position w:val="2"/>
                      <w:sz w:val="21"/>
                      <w:szCs w:val="22"/>
                      <w:lang w:val="en-US" w:eastAsia="zh-CN" w:bidi="en-US"/>
                    </w:rPr>
                    <w:t>6</w:t>
                  </w:r>
                </w:p>
              </w:tc>
              <w:tc>
                <w:tcPr>
                  <w:tcW w:w="529" w:type="pct"/>
                  <w:tcBorders>
                    <w:tl2br w:val="nil"/>
                    <w:tr2bl w:val="nil"/>
                  </w:tcBorders>
                  <w:noWrap w:val="0"/>
                  <w:vAlign w:val="center"/>
                </w:tcPr>
                <w:p w14:paraId="3A75643E">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kern w:val="0"/>
                      <w:sz w:val="21"/>
                      <w:szCs w:val="22"/>
                      <w:lang w:val="en-US" w:eastAsia="zh-CN" w:bidi="en-US"/>
                    </w:rPr>
                  </w:pPr>
                  <w:r>
                    <w:rPr>
                      <w:rFonts w:hint="eastAsia" w:ascii="Times New Roman" w:hAnsi="Times New Roman" w:eastAsia="宋体" w:cs="Times New Roman"/>
                      <w:color w:val="000000"/>
                      <w:kern w:val="0"/>
                      <w:position w:val="2"/>
                      <w:sz w:val="21"/>
                      <w:szCs w:val="22"/>
                      <w:lang w:val="en-US" w:eastAsia="zh-CN" w:bidi="en-US"/>
                    </w:rPr>
                    <w:t>4.0</w:t>
                  </w:r>
                </w:p>
              </w:tc>
              <w:tc>
                <w:tcPr>
                  <w:tcW w:w="378" w:type="pct"/>
                  <w:tcBorders>
                    <w:tl2br w:val="nil"/>
                    <w:tr2bl w:val="nil"/>
                  </w:tcBorders>
                  <w:noWrap w:val="0"/>
                  <w:vAlign w:val="center"/>
                </w:tcPr>
                <w:p w14:paraId="3F7A6329">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kern w:val="0"/>
                      <w:sz w:val="21"/>
                      <w:szCs w:val="22"/>
                      <w:lang w:val="en-US" w:eastAsia="zh-CN" w:bidi="en-US"/>
                    </w:rPr>
                  </w:pPr>
                  <w:r>
                    <w:rPr>
                      <w:rFonts w:hint="eastAsia" w:ascii="Times New Roman" w:hAnsi="Times New Roman" w:eastAsia="宋体" w:cs="Times New Roman"/>
                      <w:color w:val="000000"/>
                      <w:kern w:val="0"/>
                      <w:sz w:val="21"/>
                      <w:szCs w:val="22"/>
                      <w:lang w:val="en-US" w:eastAsia="zh-CN" w:bidi="en-US"/>
                    </w:rPr>
                    <w:t>3</w:t>
                  </w:r>
                </w:p>
              </w:tc>
              <w:tc>
                <w:tcPr>
                  <w:tcW w:w="416" w:type="pct"/>
                  <w:tcBorders>
                    <w:tl2br w:val="nil"/>
                    <w:tr2bl w:val="nil"/>
                  </w:tcBorders>
                  <w:noWrap w:val="0"/>
                  <w:vAlign w:val="center"/>
                </w:tcPr>
                <w:p w14:paraId="506DC344">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kern w:val="0"/>
                      <w:sz w:val="21"/>
                      <w:szCs w:val="22"/>
                      <w:lang w:val="en-US" w:eastAsia="zh-CN" w:bidi="en-US"/>
                    </w:rPr>
                  </w:pPr>
                  <w:r>
                    <w:rPr>
                      <w:rFonts w:hint="eastAsia" w:ascii="Times New Roman" w:hAnsi="Times New Roman" w:eastAsia="宋体" w:cs="Times New Roman"/>
                      <w:color w:val="000000"/>
                      <w:kern w:val="0"/>
                      <w:sz w:val="21"/>
                      <w:szCs w:val="22"/>
                      <w:lang w:val="en-US" w:eastAsia="zh-CN" w:bidi="en-US"/>
                    </w:rPr>
                    <w:t>0.5</w:t>
                  </w:r>
                </w:p>
              </w:tc>
              <w:tc>
                <w:tcPr>
                  <w:tcW w:w="469" w:type="pct"/>
                  <w:tcBorders>
                    <w:tl2br w:val="nil"/>
                    <w:tr2bl w:val="nil"/>
                  </w:tcBorders>
                  <w:noWrap w:val="0"/>
                  <w:vAlign w:val="center"/>
                </w:tcPr>
                <w:p w14:paraId="3EC6906E">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kern w:val="0"/>
                      <w:sz w:val="21"/>
                      <w:szCs w:val="22"/>
                      <w:lang w:val="en-US" w:eastAsia="zh-CN" w:bidi="en-US"/>
                    </w:rPr>
                  </w:pPr>
                  <w:r>
                    <w:rPr>
                      <w:rFonts w:hint="eastAsia" w:ascii="Times New Roman" w:hAnsi="Times New Roman" w:eastAsia="宋体" w:cs="Times New Roman"/>
                      <w:color w:val="000000"/>
                      <w:kern w:val="0"/>
                      <w:sz w:val="21"/>
                      <w:szCs w:val="22"/>
                      <w:lang w:val="en-US" w:eastAsia="zh-CN" w:bidi="en-US"/>
                    </w:rPr>
                    <w:t>15</w:t>
                  </w:r>
                </w:p>
              </w:tc>
              <w:tc>
                <w:tcPr>
                  <w:tcW w:w="501" w:type="pct"/>
                  <w:tcBorders>
                    <w:tl2br w:val="nil"/>
                    <w:tr2bl w:val="nil"/>
                  </w:tcBorders>
                  <w:noWrap w:val="0"/>
                  <w:vAlign w:val="center"/>
                </w:tcPr>
                <w:p w14:paraId="4851D7EF">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kern w:val="0"/>
                      <w:sz w:val="21"/>
                      <w:szCs w:val="22"/>
                      <w:lang w:val="en-US" w:eastAsia="zh-CN" w:bidi="en-US"/>
                    </w:rPr>
                  </w:pPr>
                  <w:r>
                    <w:rPr>
                      <w:rFonts w:hint="eastAsia" w:ascii="Times New Roman" w:hAnsi="Times New Roman" w:eastAsia="宋体" w:cs="Times New Roman"/>
                      <w:color w:val="000000"/>
                      <w:kern w:val="0"/>
                      <w:sz w:val="21"/>
                      <w:szCs w:val="22"/>
                      <w:lang w:val="en-US" w:eastAsia="zh-CN" w:bidi="en-US"/>
                    </w:rPr>
                    <w:t>0.1</w:t>
                  </w:r>
                </w:p>
              </w:tc>
              <w:tc>
                <w:tcPr>
                  <w:tcW w:w="557" w:type="pct"/>
                  <w:tcBorders>
                    <w:tl2br w:val="nil"/>
                    <w:tr2bl w:val="nil"/>
                  </w:tcBorders>
                  <w:noWrap w:val="0"/>
                  <w:vAlign w:val="center"/>
                </w:tcPr>
                <w:p w14:paraId="768B1D3A">
                  <w:pPr>
                    <w:pStyle w:val="62"/>
                    <w:keepNext w:val="0"/>
                    <w:keepLines w:val="0"/>
                    <w:pageBreakBefore w:val="0"/>
                    <w:widowControl w:val="0"/>
                    <w:kinsoku/>
                    <w:wordWrap/>
                    <w:overflowPunct/>
                    <w:topLinePunct w:val="0"/>
                    <w:autoSpaceDE w:val="0"/>
                    <w:autoSpaceDN w:val="0"/>
                    <w:bidi w:val="0"/>
                    <w:adjustRightInd/>
                    <w:snapToGrid/>
                    <w:spacing w:line="240" w:lineRule="auto"/>
                    <w:ind w:left="24" w:leftChars="10" w:firstLine="0" w:firstLineChars="0"/>
                    <w:jc w:val="center"/>
                    <w:textAlignment w:val="auto"/>
                    <w:rPr>
                      <w:rFonts w:hint="default" w:ascii="Times New Roman" w:hAnsi="Times New Roman" w:eastAsia="宋体" w:cs="Times New Roman"/>
                      <w:color w:val="000000"/>
                      <w:sz w:val="21"/>
                      <w:lang w:val="en-US" w:eastAsia="zh-CN"/>
                    </w:rPr>
                  </w:pPr>
                  <w:r>
                    <w:rPr>
                      <w:rFonts w:hint="eastAsia" w:ascii="Times New Roman" w:hAnsi="Times New Roman" w:eastAsia="宋体" w:cs="Times New Roman"/>
                      <w:color w:val="000000"/>
                      <w:sz w:val="21"/>
                      <w:lang w:val="en-US" w:eastAsia="zh-CN"/>
                    </w:rPr>
                    <w:t>1.0</w:t>
                  </w:r>
                </w:p>
              </w:tc>
            </w:tr>
          </w:tbl>
          <w:p w14:paraId="1D1F90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cs="Times New Roman"/>
                <w:color w:val="000000"/>
                <w:sz w:val="24"/>
              </w:rPr>
              <w:t>根据202</w:t>
            </w:r>
            <w:r>
              <w:rPr>
                <w:rFonts w:hint="eastAsia" w:ascii="Times New Roman" w:hAnsi="Times New Roman" w:cs="Times New Roman"/>
                <w:color w:val="000000"/>
                <w:sz w:val="24"/>
                <w:lang w:val="en-US" w:eastAsia="zh-CN"/>
              </w:rPr>
              <w:t>3</w:t>
            </w:r>
            <w:r>
              <w:rPr>
                <w:rFonts w:hint="eastAsia" w:ascii="Times New Roman" w:hAnsi="Times New Roman" w:cs="Times New Roman"/>
                <w:color w:val="000000"/>
                <w:sz w:val="24"/>
              </w:rPr>
              <w:t>年宝鸡市环境质量公报可以看出：</w:t>
            </w:r>
            <w:r>
              <w:rPr>
                <w:rFonts w:hint="eastAsia" w:ascii="Times New Roman" w:hAnsi="Times New Roman" w:eastAsia="宋体" w:cs="Times New Roman"/>
                <w:b w:val="0"/>
                <w:bCs/>
                <w:color w:val="000000"/>
                <w:sz w:val="24"/>
                <w:szCs w:val="24"/>
                <w:lang w:val="en-US" w:eastAsia="zh-CN"/>
              </w:rPr>
              <w:t>千湖（冯家山水库）断面和千河入渭口断面的</w:t>
            </w:r>
            <w:r>
              <w:rPr>
                <w:rFonts w:hint="eastAsia" w:ascii="Times New Roman" w:hAnsi="Times New Roman" w:cs="Times New Roman"/>
                <w:color w:val="000000"/>
                <w:sz w:val="24"/>
              </w:rPr>
              <w:t>各水质指标</w:t>
            </w:r>
            <w:r>
              <w:rPr>
                <w:rFonts w:hint="eastAsia" w:ascii="Times New Roman" w:hAnsi="Times New Roman" w:cs="Times New Roman"/>
                <w:color w:val="000000"/>
                <w:sz w:val="24"/>
                <w:lang w:val="en-US" w:eastAsia="zh-CN"/>
              </w:rPr>
              <w:t>分别</w:t>
            </w:r>
            <w:r>
              <w:rPr>
                <w:rFonts w:hint="eastAsia" w:ascii="Times New Roman" w:hAnsi="Times New Roman" w:cs="Times New Roman"/>
                <w:color w:val="000000"/>
                <w:sz w:val="24"/>
              </w:rPr>
              <w:t>满足《地表水环境质量标准》Ⅰ类</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rPr>
              <w:t>Ⅱ类标准要求。</w:t>
            </w:r>
          </w:p>
          <w:p w14:paraId="5CC32A5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highlight w:val="none"/>
              </w:rPr>
            </w:pPr>
            <w:r>
              <w:rPr>
                <w:rFonts w:hint="eastAsia" w:cs="Times New Roman"/>
                <w:b/>
                <w:color w:val="auto"/>
                <w:sz w:val="24"/>
                <w:szCs w:val="24"/>
                <w:highlight w:val="none"/>
                <w:lang w:val="en-US" w:eastAsia="zh-CN"/>
              </w:rPr>
              <w:t>三、</w:t>
            </w:r>
            <w:r>
              <w:rPr>
                <w:rFonts w:hint="default" w:ascii="Times New Roman" w:hAnsi="Times New Roman" w:eastAsia="宋体" w:cs="Times New Roman"/>
                <w:b/>
                <w:color w:val="auto"/>
                <w:sz w:val="24"/>
                <w:szCs w:val="24"/>
                <w:highlight w:val="none"/>
              </w:rPr>
              <w:t>声环境质量现状</w:t>
            </w:r>
          </w:p>
          <w:p w14:paraId="409D8DA5">
            <w:pPr>
              <w:ind w:firstLine="48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根据《建设项目环境影响报告表编制技术指南》（污染影响类）中</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厂界外周边50米范围内存在声环境保护目标的建设项目，应监测保护目标声环境质量现状并评价达标情况。</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经现场调查，本项目</w:t>
            </w:r>
            <w:r>
              <w:rPr>
                <w:rFonts w:hint="eastAsia" w:cs="Times New Roman"/>
                <w:color w:val="auto"/>
                <w:kern w:val="0"/>
                <w:sz w:val="24"/>
                <w:szCs w:val="24"/>
                <w:highlight w:val="none"/>
                <w:lang w:val="en-US" w:eastAsia="zh-CN" w:bidi="ar"/>
              </w:rPr>
              <w:t>50m范围内无声环境保护目标。因此，本次环评不进行声环境质量现状监测。</w:t>
            </w:r>
          </w:p>
          <w:p w14:paraId="71BBB184">
            <w:pPr>
              <w:keepNext w:val="0"/>
              <w:keepLines w:val="0"/>
              <w:pageBreakBefore w:val="0"/>
              <w:widowControl w:val="0"/>
              <w:tabs>
                <w:tab w:val="left" w:pos="9345"/>
              </w:tabs>
              <w:kinsoku/>
              <w:wordWrap/>
              <w:overflowPunct/>
              <w:topLinePunct w:val="0"/>
              <w:autoSpaceDE/>
              <w:autoSpaceDN/>
              <w:bidi w:val="0"/>
              <w:adjustRightInd/>
              <w:snapToGrid/>
              <w:spacing w:line="360" w:lineRule="auto"/>
              <w:ind w:right="0" w:firstLine="482" w:firstLineChars="200"/>
              <w:jc w:val="both"/>
              <w:textAlignment w:val="auto"/>
              <w:rPr>
                <w:rFonts w:hint="default"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四</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eastAsia="zh-CN"/>
              </w:rPr>
              <w:t>生态环境</w:t>
            </w:r>
          </w:p>
          <w:p w14:paraId="79B6DC1D">
            <w:pPr>
              <w:keepNext w:val="0"/>
              <w:keepLines w:val="0"/>
              <w:pageBreakBefore w:val="0"/>
              <w:widowControl w:val="0"/>
              <w:tabs>
                <w:tab w:val="left" w:pos="9345"/>
              </w:tabs>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本项目位于陕西省宝鸡市凤翔高新区长青工业园</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项目用地范围内不涉及生态环境保护目标，无需进行生态现状调查。</w:t>
            </w:r>
          </w:p>
          <w:p w14:paraId="4B49BF44">
            <w:pPr>
              <w:keepNext w:val="0"/>
              <w:keepLines w:val="0"/>
              <w:pageBreakBefore w:val="0"/>
              <w:widowControl w:val="0"/>
              <w:tabs>
                <w:tab w:val="left" w:pos="9345"/>
              </w:tabs>
              <w:kinsoku/>
              <w:wordWrap/>
              <w:overflowPunct/>
              <w:topLinePunct w:val="0"/>
              <w:autoSpaceDE/>
              <w:autoSpaceDN/>
              <w:bidi w:val="0"/>
              <w:adjustRightInd/>
              <w:snapToGrid/>
              <w:spacing w:line="360" w:lineRule="auto"/>
              <w:ind w:right="0" w:firstLine="482" w:firstLineChars="200"/>
              <w:jc w:val="both"/>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五</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地下水</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土壤</w:t>
            </w:r>
            <w:r>
              <w:rPr>
                <w:rFonts w:hint="default" w:ascii="Times New Roman" w:hAnsi="Times New Roman" w:eastAsia="宋体" w:cs="Times New Roman"/>
                <w:b/>
                <w:bCs/>
                <w:color w:val="auto"/>
                <w:sz w:val="24"/>
                <w:szCs w:val="24"/>
                <w:highlight w:val="none"/>
              </w:rPr>
              <w:t>环境</w:t>
            </w:r>
          </w:p>
          <w:p w14:paraId="3B920C46">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7C95AC76">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本项目为</w:t>
            </w:r>
            <w:r>
              <w:rPr>
                <w:rFonts w:hint="eastAsia" w:ascii="Times New Roman" w:hAnsi="Times New Roman" w:eastAsia="宋体" w:cs="Times New Roman"/>
                <w:color w:val="auto"/>
                <w:kern w:val="0"/>
                <w:sz w:val="24"/>
                <w:szCs w:val="24"/>
                <w:highlight w:val="none"/>
                <w:lang w:val="en-US" w:eastAsia="zh-CN" w:bidi="ar"/>
              </w:rPr>
              <w:t>空气分离和气体充装项目，</w:t>
            </w:r>
            <w:r>
              <w:rPr>
                <w:rFonts w:hint="eastAsia"/>
                <w:color w:val="000000"/>
                <w:sz w:val="24"/>
              </w:rPr>
              <w:t>结合现场勘查，</w:t>
            </w:r>
            <w:r>
              <w:rPr>
                <w:rFonts w:hint="eastAsia" w:ascii="Times New Roman" w:hAnsi="Times New Roman" w:eastAsia="宋体" w:cs="Times New Roman"/>
                <w:color w:val="auto"/>
                <w:kern w:val="0"/>
                <w:sz w:val="24"/>
                <w:szCs w:val="24"/>
                <w:highlight w:val="none"/>
                <w:lang w:val="en-US" w:eastAsia="zh-CN" w:bidi="ar"/>
              </w:rPr>
              <w:t>虽然</w:t>
            </w:r>
            <w:r>
              <w:rPr>
                <w:rFonts w:hint="eastAsia"/>
                <w:color w:val="000000"/>
                <w:sz w:val="24"/>
              </w:rPr>
              <w:t>项目</w:t>
            </w:r>
            <w:r>
              <w:rPr>
                <w:rFonts w:hint="eastAsia"/>
                <w:color w:val="000000"/>
                <w:sz w:val="24"/>
                <w:lang w:val="en-US" w:eastAsia="zh-CN"/>
              </w:rPr>
              <w:t>按照《液化石油气供应工程设计规范》（GB51142-2015）的要求，</w:t>
            </w:r>
            <w:r>
              <w:rPr>
                <w:rFonts w:hint="eastAsia"/>
                <w:color w:val="000000"/>
                <w:sz w:val="24"/>
              </w:rPr>
              <w:t>罐区地面全部硬化并做防渗处理</w:t>
            </w:r>
            <w:r>
              <w:rPr>
                <w:rFonts w:hint="eastAsia"/>
                <w:color w:val="000000" w:themeColor="text1"/>
                <w:sz w:val="24"/>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落实相应的分区防渗措施，</w:t>
            </w:r>
            <w:r>
              <w:rPr>
                <w:rFonts w:hint="eastAsia"/>
                <w:color w:val="000000"/>
                <w:sz w:val="24"/>
                <w:lang w:val="en-US" w:eastAsia="zh-CN"/>
              </w:rPr>
              <w:t>项目地埋储罐为全压力式液化石油气和丙烷储罐，储罐区设置遮光棚，储罐设置在钢筋混凝土槽内，并应采取了防止液化石油气聚集的措施，</w:t>
            </w:r>
            <w:r>
              <w:rPr>
                <w:rFonts w:hint="eastAsia"/>
                <w:color w:val="000000"/>
                <w:sz w:val="24"/>
              </w:rPr>
              <w:t>不直接接触土壤及地下水</w:t>
            </w:r>
            <w:r>
              <w:rPr>
                <w:rFonts w:hint="eastAsia"/>
                <w:color w:val="000000"/>
                <w:sz w:val="24"/>
                <w:lang w:eastAsia="zh-CN"/>
              </w:rPr>
              <w:t>，</w:t>
            </w:r>
            <w:r>
              <w:rPr>
                <w:rFonts w:hint="eastAsia" w:ascii="Times New Roman" w:hAnsi="Times New Roman" w:eastAsia="宋体" w:cs="Times New Roman"/>
                <w:color w:val="auto"/>
                <w:kern w:val="0"/>
                <w:sz w:val="24"/>
                <w:szCs w:val="24"/>
                <w:highlight w:val="none"/>
                <w:lang w:val="en-US" w:eastAsia="zh-CN" w:bidi="ar"/>
              </w:rPr>
              <w:t>但非正常工况下</w:t>
            </w:r>
            <w:r>
              <w:rPr>
                <w:rFonts w:hint="default" w:ascii="Times New Roman" w:hAnsi="Times New Roman" w:eastAsia="宋体" w:cs="Times New Roman"/>
                <w:color w:val="auto"/>
                <w:kern w:val="0"/>
                <w:sz w:val="24"/>
                <w:szCs w:val="24"/>
                <w:highlight w:val="none"/>
                <w:lang w:val="en-US" w:eastAsia="zh-CN" w:bidi="ar"/>
              </w:rPr>
              <w:t>存在</w:t>
            </w:r>
            <w:r>
              <w:rPr>
                <w:rFonts w:hint="eastAsia"/>
                <w:color w:val="000000"/>
                <w:sz w:val="24"/>
                <w:lang w:val="en-US" w:eastAsia="zh-CN"/>
              </w:rPr>
              <w:t>液化石油气和丙烷</w:t>
            </w:r>
            <w:r>
              <w:rPr>
                <w:rFonts w:hint="default" w:ascii="Times New Roman" w:hAnsi="Times New Roman" w:eastAsia="宋体" w:cs="Times New Roman"/>
                <w:color w:val="auto"/>
                <w:kern w:val="0"/>
                <w:sz w:val="24"/>
                <w:szCs w:val="24"/>
                <w:highlight w:val="none"/>
                <w:lang w:val="en-US" w:eastAsia="zh-CN" w:bidi="ar"/>
              </w:rPr>
              <w:t>储罐</w:t>
            </w:r>
            <w:r>
              <w:rPr>
                <w:rFonts w:hint="eastAsia" w:cs="Times New Roman"/>
                <w:color w:val="auto"/>
                <w:kern w:val="0"/>
                <w:sz w:val="24"/>
                <w:szCs w:val="24"/>
                <w:highlight w:val="none"/>
                <w:lang w:val="en-US" w:eastAsia="zh-CN" w:bidi="ar"/>
              </w:rPr>
              <w:t>泄漏</w:t>
            </w:r>
            <w:r>
              <w:rPr>
                <w:rFonts w:hint="default" w:ascii="Times New Roman" w:hAnsi="Times New Roman" w:eastAsia="宋体" w:cs="Times New Roman"/>
                <w:color w:val="auto"/>
                <w:kern w:val="0"/>
                <w:sz w:val="24"/>
                <w:szCs w:val="24"/>
                <w:highlight w:val="none"/>
                <w:lang w:val="en-US" w:eastAsia="zh-CN" w:bidi="ar"/>
              </w:rPr>
              <w:t>从而污染地下水和土壤</w:t>
            </w:r>
            <w:r>
              <w:rPr>
                <w:rFonts w:hint="eastAsia" w:ascii="Times New Roman" w:hAnsi="Times New Roman" w:eastAsia="宋体" w:cs="Times New Roman"/>
                <w:color w:val="auto"/>
                <w:kern w:val="0"/>
                <w:sz w:val="24"/>
                <w:szCs w:val="24"/>
                <w:highlight w:val="none"/>
                <w:lang w:val="en-US" w:eastAsia="zh-CN" w:bidi="ar"/>
              </w:rPr>
              <w:t>的风险。</w:t>
            </w:r>
          </w:p>
          <w:p w14:paraId="4FB390E8">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项目位于</w:t>
            </w:r>
            <w:r>
              <w:rPr>
                <w:rFonts w:hint="default" w:ascii="Times New Roman" w:hAnsi="Times New Roman" w:eastAsia="宋体" w:cs="Times New Roman"/>
                <w:color w:val="auto"/>
                <w:sz w:val="24"/>
                <w:szCs w:val="24"/>
                <w:highlight w:val="none"/>
              </w:rPr>
              <w:t>陕西省宝鸡市凤翔高新区长青工业园</w:t>
            </w:r>
            <w:r>
              <w:rPr>
                <w:rFonts w:hint="default" w:ascii="Times New Roman" w:hAnsi="Times New Roman" w:eastAsia="宋体" w:cs="Times New Roman"/>
                <w:color w:val="auto"/>
                <w:kern w:val="0"/>
                <w:sz w:val="24"/>
                <w:szCs w:val="24"/>
                <w:highlight w:val="none"/>
                <w:lang w:val="en-US" w:eastAsia="zh-CN" w:bidi="ar"/>
              </w:rPr>
              <w:t>，所在区域地下水执行《地下水质量标准》</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GB/T 14848-2017</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Ш类标准。</w:t>
            </w:r>
            <w:r>
              <w:rPr>
                <w:rFonts w:hint="eastAsia" w:ascii="Times New Roman" w:hAnsi="Times New Roman" w:eastAsia="宋体" w:cs="Times New Roman"/>
                <w:color w:val="auto"/>
                <w:kern w:val="0"/>
                <w:sz w:val="24"/>
                <w:szCs w:val="24"/>
                <w:highlight w:val="none"/>
                <w:lang w:val="en-US" w:eastAsia="zh-CN" w:bidi="ar"/>
              </w:rPr>
              <w:t>为查清项目所在区域地下水环境质量现状，本评价引用《陕西长青能源化工有限公司气化炉协同处置生化污泥及废活性炭项目环评监测</w:t>
            </w:r>
            <w:r>
              <w:rPr>
                <w:rFonts w:hint="eastAsia" w:cs="Times New Roman"/>
                <w:color w:val="auto"/>
                <w:kern w:val="0"/>
                <w:sz w:val="24"/>
                <w:szCs w:val="24"/>
                <w:highlight w:val="none"/>
                <w:lang w:val="en-US" w:eastAsia="zh-CN" w:bidi="ar"/>
              </w:rPr>
              <w:t>报告</w:t>
            </w:r>
            <w:r>
              <w:rPr>
                <w:rFonts w:hint="eastAsia" w:ascii="Times New Roman" w:hAnsi="Times New Roman" w:eastAsia="宋体" w:cs="Times New Roman"/>
                <w:color w:val="auto"/>
                <w:kern w:val="0"/>
                <w:sz w:val="24"/>
                <w:szCs w:val="24"/>
                <w:highlight w:val="none"/>
                <w:lang w:val="en-US" w:eastAsia="zh-CN" w:bidi="ar"/>
              </w:rPr>
              <w:t>》中</w:t>
            </w:r>
            <w:r>
              <w:rPr>
                <w:rFonts w:hint="eastAsia" w:cs="Times New Roman"/>
                <w:color w:val="auto"/>
                <w:kern w:val="0"/>
                <w:sz w:val="24"/>
                <w:szCs w:val="24"/>
                <w:highlight w:val="none"/>
                <w:lang w:val="en-US" w:eastAsia="zh-CN" w:bidi="ar"/>
              </w:rPr>
              <w:t>7</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马道口</w:t>
            </w:r>
            <w:r>
              <w:rPr>
                <w:rFonts w:hint="eastAsia" w:ascii="Times New Roman" w:hAnsi="Times New Roman" w:eastAsia="宋体" w:cs="Times New Roman"/>
                <w:color w:val="auto"/>
                <w:kern w:val="0"/>
                <w:sz w:val="24"/>
                <w:szCs w:val="24"/>
                <w:highlight w:val="none"/>
                <w:lang w:val="en-US" w:eastAsia="zh-CN" w:bidi="ar"/>
              </w:rPr>
              <w:t>村监测井（经度 107°1</w:t>
            </w:r>
            <w:r>
              <w:rPr>
                <w:rFonts w:hint="eastAsia" w:cs="Times New Roman"/>
                <w:color w:val="auto"/>
                <w:kern w:val="0"/>
                <w:sz w:val="24"/>
                <w:szCs w:val="24"/>
                <w:highlight w:val="none"/>
                <w:lang w:val="en-US" w:eastAsia="zh-CN" w:bidi="ar"/>
              </w:rPr>
              <w:t>5</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13</w:t>
            </w:r>
            <w:r>
              <w:rPr>
                <w:rFonts w:hint="eastAsia" w:ascii="Times New Roman" w:hAnsi="Times New Roman" w:eastAsia="宋体" w:cs="Times New Roman"/>
                <w:color w:val="auto"/>
                <w:kern w:val="0"/>
                <w:sz w:val="24"/>
                <w:szCs w:val="24"/>
                <w:highlight w:val="none"/>
                <w:lang w:val="en-US" w:eastAsia="zh-CN" w:bidi="ar"/>
              </w:rPr>
              <w:t>″，纬度 34°2</w:t>
            </w:r>
            <w:r>
              <w:rPr>
                <w:rFonts w:hint="eastAsia" w:cs="Times New Roman"/>
                <w:color w:val="auto"/>
                <w:kern w:val="0"/>
                <w:sz w:val="24"/>
                <w:szCs w:val="24"/>
                <w:highlight w:val="none"/>
                <w:lang w:val="en-US" w:eastAsia="zh-CN" w:bidi="ar"/>
              </w:rPr>
              <w:t>7</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07</w:t>
            </w:r>
            <w:r>
              <w:rPr>
                <w:rFonts w:hint="eastAsia" w:ascii="Times New Roman" w:hAnsi="Times New Roman" w:eastAsia="宋体" w:cs="Times New Roman"/>
                <w:color w:val="auto"/>
                <w:kern w:val="0"/>
                <w:sz w:val="24"/>
                <w:szCs w:val="24"/>
                <w:highlight w:val="none"/>
                <w:lang w:val="en-US" w:eastAsia="zh-CN" w:bidi="ar"/>
              </w:rPr>
              <w:t>″）的监测数据，引用地下水监测点位-</w:t>
            </w:r>
            <w:r>
              <w:rPr>
                <w:rFonts w:hint="eastAsia" w:cs="Times New Roman"/>
                <w:color w:val="auto"/>
                <w:kern w:val="0"/>
                <w:sz w:val="24"/>
                <w:szCs w:val="24"/>
                <w:highlight w:val="none"/>
                <w:lang w:val="en-US" w:eastAsia="zh-CN" w:bidi="ar"/>
              </w:rPr>
              <w:t>7</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马道口</w:t>
            </w:r>
            <w:r>
              <w:rPr>
                <w:rFonts w:hint="eastAsia" w:ascii="Times New Roman" w:hAnsi="Times New Roman" w:eastAsia="宋体" w:cs="Times New Roman"/>
                <w:color w:val="auto"/>
                <w:kern w:val="0"/>
                <w:sz w:val="24"/>
                <w:szCs w:val="24"/>
                <w:highlight w:val="none"/>
                <w:lang w:val="en-US" w:eastAsia="zh-CN" w:bidi="ar"/>
              </w:rPr>
              <w:t>村监测井距离本项目直线距离</w:t>
            </w:r>
            <w:r>
              <w:rPr>
                <w:rFonts w:hint="eastAsia" w:cs="Times New Roman"/>
                <w:color w:val="auto"/>
                <w:kern w:val="0"/>
                <w:sz w:val="24"/>
                <w:szCs w:val="24"/>
                <w:highlight w:val="none"/>
                <w:lang w:val="en-US" w:eastAsia="zh-CN" w:bidi="ar"/>
              </w:rPr>
              <w:t>4670</w:t>
            </w:r>
            <w:r>
              <w:rPr>
                <w:rFonts w:hint="eastAsia" w:ascii="Times New Roman" w:hAnsi="Times New Roman" w:eastAsia="宋体" w:cs="Times New Roman"/>
                <w:color w:val="auto"/>
                <w:kern w:val="0"/>
                <w:sz w:val="24"/>
                <w:szCs w:val="24"/>
                <w:highlight w:val="none"/>
                <w:lang w:val="en-US" w:eastAsia="zh-CN" w:bidi="ar"/>
              </w:rPr>
              <w:t>m，位于项目</w:t>
            </w:r>
            <w:r>
              <w:rPr>
                <w:rFonts w:hint="eastAsia" w:cs="Times New Roman"/>
                <w:color w:val="auto"/>
                <w:kern w:val="0"/>
                <w:sz w:val="24"/>
                <w:szCs w:val="24"/>
                <w:highlight w:val="none"/>
                <w:lang w:val="en-US" w:eastAsia="zh-CN" w:bidi="ar"/>
              </w:rPr>
              <w:t>东</w:t>
            </w:r>
            <w:r>
              <w:rPr>
                <w:rFonts w:hint="eastAsia" w:ascii="Times New Roman" w:hAnsi="Times New Roman" w:eastAsia="宋体" w:cs="Times New Roman"/>
                <w:color w:val="auto"/>
                <w:kern w:val="0"/>
                <w:sz w:val="24"/>
                <w:szCs w:val="24"/>
                <w:highlight w:val="none"/>
                <w:lang w:val="en-US" w:eastAsia="zh-CN" w:bidi="ar"/>
              </w:rPr>
              <w:t>南侧（地下水流向下游），引用地下水监测点位与本项目属同水文地质单元</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（项目所在区域水文地质图详见附图8）</w:t>
            </w:r>
            <w:r>
              <w:rPr>
                <w:rFonts w:hint="eastAsia" w:ascii="Times New Roman" w:hAnsi="Times New Roman" w:eastAsia="宋体" w:cs="Times New Roman"/>
                <w:color w:val="auto"/>
                <w:kern w:val="0"/>
                <w:sz w:val="24"/>
                <w:szCs w:val="24"/>
                <w:highlight w:val="none"/>
                <w:lang w:val="en-US" w:eastAsia="zh-CN" w:bidi="ar"/>
              </w:rPr>
              <w:t>监测时间为2023年2月16日</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引用监测数据如下</w:t>
            </w:r>
            <w:r>
              <w:rPr>
                <w:rFonts w:hint="eastAsia" w:cs="Times New Roman"/>
                <w:color w:val="auto"/>
                <w:kern w:val="0"/>
                <w:sz w:val="24"/>
                <w:szCs w:val="24"/>
                <w:highlight w:val="none"/>
                <w:lang w:val="en-US" w:eastAsia="zh-CN" w:bidi="ar"/>
              </w:rPr>
              <w:t>表3-3</w:t>
            </w:r>
            <w:r>
              <w:rPr>
                <w:rFonts w:hint="eastAsia" w:ascii="Times New Roman" w:hAnsi="Times New Roman" w:eastAsia="宋体" w:cs="Times New Roman"/>
                <w:color w:val="auto"/>
                <w:kern w:val="0"/>
                <w:sz w:val="24"/>
                <w:szCs w:val="24"/>
                <w:highlight w:val="none"/>
                <w:lang w:val="en-US" w:eastAsia="zh-CN" w:bidi="ar"/>
              </w:rPr>
              <w:t>。</w:t>
            </w:r>
          </w:p>
          <w:p w14:paraId="3F00546A">
            <w:pPr>
              <w:widowControl/>
              <w:spacing w:line="240" w:lineRule="auto"/>
              <w:ind w:firstLine="422" w:firstLineChars="200"/>
              <w:jc w:val="center"/>
              <w:rPr>
                <w:rFonts w:hint="default" w:ascii="Times New Roman" w:hAnsi="Times New Roman" w:eastAsia="宋体" w:cs="Times New Roman"/>
                <w:b w:val="0"/>
                <w:color w:val="000000"/>
                <w:sz w:val="21"/>
                <w:szCs w:val="21"/>
              </w:rPr>
            </w:pPr>
            <w:r>
              <w:rPr>
                <w:rFonts w:hint="eastAsia" w:ascii="Times New Roman" w:hAnsi="Times New Roman" w:eastAsia="宋体" w:cs="Times New Roman"/>
                <w:b/>
                <w:bCs/>
                <w:color w:val="auto"/>
                <w:spacing w:val="0"/>
                <w:position w:val="0"/>
                <w:sz w:val="21"/>
                <w:szCs w:val="21"/>
                <w:lang w:val="en-US" w:bidi="zh-CN"/>
              </w:rPr>
              <w:t>表3-</w:t>
            </w:r>
            <w:r>
              <w:rPr>
                <w:rFonts w:hint="eastAsia" w:eastAsia="宋体" w:cs="Times New Roman"/>
                <w:b/>
                <w:bCs/>
                <w:color w:val="auto"/>
                <w:spacing w:val="0"/>
                <w:position w:val="0"/>
                <w:sz w:val="21"/>
                <w:szCs w:val="21"/>
                <w:lang w:val="en-US" w:bidi="zh-CN"/>
              </w:rPr>
              <w:t>3</w:t>
            </w:r>
            <w:r>
              <w:rPr>
                <w:rFonts w:hint="eastAsia" w:ascii="Times New Roman" w:hAnsi="Times New Roman" w:eastAsia="宋体" w:cs="Times New Roman"/>
                <w:b/>
                <w:bCs/>
                <w:color w:val="auto"/>
                <w:spacing w:val="0"/>
                <w:position w:val="0"/>
                <w:sz w:val="21"/>
                <w:szCs w:val="21"/>
                <w:lang w:val="en-US" w:bidi="zh-CN"/>
              </w:rPr>
              <w:t xml:space="preserve">   </w:t>
            </w:r>
            <w:r>
              <w:rPr>
                <w:rFonts w:hint="default" w:ascii="Times New Roman" w:hAnsi="Times New Roman" w:eastAsia="宋体" w:cs="Times New Roman"/>
                <w:b/>
                <w:bCs/>
                <w:color w:val="auto"/>
                <w:spacing w:val="0"/>
                <w:position w:val="0"/>
                <w:sz w:val="21"/>
                <w:szCs w:val="21"/>
                <w:lang w:val="zh-CN" w:bidi="zh-CN"/>
              </w:rPr>
              <w:t>地下水水质监测结果统计表</w:t>
            </w:r>
          </w:p>
          <w:tbl>
            <w:tblPr>
              <w:tblStyle w:val="30"/>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2242"/>
              <w:gridCol w:w="990"/>
              <w:gridCol w:w="1120"/>
              <w:gridCol w:w="1790"/>
              <w:gridCol w:w="1010"/>
              <w:gridCol w:w="1085"/>
            </w:tblGrid>
            <w:tr w14:paraId="58A522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0" w:hRule="atLeast"/>
                <w:jc w:val="center"/>
              </w:trPr>
              <w:tc>
                <w:tcPr>
                  <w:tcW w:w="2242" w:type="dxa"/>
                  <w:tcBorders>
                    <w:tl2br w:val="nil"/>
                    <w:tr2bl w:val="nil"/>
                  </w:tcBorders>
                  <w:noWrap w:val="0"/>
                  <w:vAlign w:val="center"/>
                </w:tcPr>
                <w:p w14:paraId="1F65B0BC">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b/>
                      <w:bCs/>
                      <w:smallCaps w:val="0"/>
                      <w:color w:val="auto"/>
                      <w:spacing w:val="0"/>
                      <w:w w:val="100"/>
                      <w:position w:val="0"/>
                      <w:sz w:val="18"/>
                      <w:szCs w:val="18"/>
                      <w:lang w:val="zh-CN" w:eastAsia="zh-CN" w:bidi="zh-CN"/>
                    </w:rPr>
                  </w:pPr>
                  <w:r>
                    <w:rPr>
                      <w:rFonts w:hint="default" w:ascii="Times New Roman" w:hAnsi="Times New Roman" w:eastAsia="宋体" w:cs="Times New Roman"/>
                      <w:b/>
                      <w:bCs/>
                      <w:smallCaps w:val="0"/>
                      <w:color w:val="auto"/>
                      <w:spacing w:val="0"/>
                      <w:w w:val="100"/>
                      <w:position w:val="0"/>
                      <w:sz w:val="18"/>
                      <w:szCs w:val="18"/>
                      <w:lang w:val="en-US" w:eastAsia="zh-CN" w:bidi="zh-CN"/>
                    </w:rPr>
                    <w:t xml:space="preserve">  </w:t>
                  </w:r>
                  <w:r>
                    <w:rPr>
                      <w:rFonts w:hint="eastAsia" w:ascii="Times New Roman" w:hAnsi="Times New Roman" w:eastAsia="宋体" w:cs="Times New Roman"/>
                      <w:b/>
                      <w:bCs/>
                      <w:smallCaps w:val="0"/>
                      <w:color w:val="auto"/>
                      <w:spacing w:val="0"/>
                      <w:w w:val="100"/>
                      <w:position w:val="0"/>
                      <w:sz w:val="18"/>
                      <w:szCs w:val="18"/>
                      <w:lang w:val="en-US" w:eastAsia="zh-CN" w:bidi="zh-CN"/>
                    </w:rPr>
                    <w:t>监测</w:t>
                  </w:r>
                  <w:r>
                    <w:rPr>
                      <w:rFonts w:hint="default" w:ascii="Times New Roman" w:hAnsi="Times New Roman" w:eastAsia="宋体" w:cs="Times New Roman"/>
                      <w:b/>
                      <w:bCs/>
                      <w:smallCaps w:val="0"/>
                      <w:color w:val="auto"/>
                      <w:spacing w:val="0"/>
                      <w:w w:val="100"/>
                      <w:position w:val="0"/>
                      <w:sz w:val="18"/>
                      <w:szCs w:val="18"/>
                      <w:lang w:val="zh-CN" w:eastAsia="zh-CN" w:bidi="zh-CN"/>
                    </w:rPr>
                    <w:t>因子</w:t>
                  </w:r>
                </w:p>
              </w:tc>
              <w:tc>
                <w:tcPr>
                  <w:tcW w:w="990" w:type="dxa"/>
                  <w:tcBorders>
                    <w:tl2br w:val="nil"/>
                    <w:tr2bl w:val="nil"/>
                  </w:tcBorders>
                  <w:noWrap w:val="0"/>
                  <w:vAlign w:val="center"/>
                </w:tcPr>
                <w:p w14:paraId="1C81A1CF">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b/>
                      <w:bCs/>
                      <w:smallCaps w:val="0"/>
                      <w:color w:val="auto"/>
                      <w:spacing w:val="0"/>
                      <w:w w:val="100"/>
                      <w:position w:val="0"/>
                      <w:sz w:val="18"/>
                      <w:szCs w:val="18"/>
                      <w:lang w:val="en-US" w:eastAsia="zh-CN" w:bidi="zh-CN"/>
                    </w:rPr>
                  </w:pPr>
                  <w:r>
                    <w:rPr>
                      <w:rFonts w:hint="eastAsia" w:eastAsia="宋体" w:cs="Times New Roman"/>
                      <w:b/>
                      <w:bCs/>
                      <w:smallCaps w:val="0"/>
                      <w:color w:val="auto"/>
                      <w:spacing w:val="0"/>
                      <w:w w:val="100"/>
                      <w:position w:val="0"/>
                      <w:sz w:val="18"/>
                      <w:szCs w:val="18"/>
                      <w:lang w:val="en-US" w:eastAsia="zh-CN" w:bidi="zh-CN"/>
                    </w:rPr>
                    <w:t>监测值</w:t>
                  </w:r>
                </w:p>
              </w:tc>
              <w:tc>
                <w:tcPr>
                  <w:tcW w:w="1120" w:type="dxa"/>
                  <w:tcBorders>
                    <w:tl2br w:val="nil"/>
                    <w:tr2bl w:val="nil"/>
                  </w:tcBorders>
                  <w:noWrap w:val="0"/>
                  <w:vAlign w:val="center"/>
                </w:tcPr>
                <w:p w14:paraId="7978B325">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b/>
                      <w:bCs/>
                      <w:smallCaps w:val="0"/>
                      <w:color w:val="auto"/>
                      <w:spacing w:val="0"/>
                      <w:w w:val="100"/>
                      <w:position w:val="0"/>
                      <w:sz w:val="18"/>
                      <w:szCs w:val="18"/>
                      <w:lang w:val="zh-CN" w:eastAsia="zh-CN" w:bidi="zh-CN"/>
                    </w:rPr>
                  </w:pPr>
                  <w:r>
                    <w:rPr>
                      <w:rFonts w:hint="default" w:ascii="Times New Roman" w:hAnsi="Times New Roman" w:eastAsia="宋体" w:cs="Times New Roman"/>
                      <w:b/>
                      <w:bCs/>
                      <w:smallCaps w:val="0"/>
                      <w:color w:val="auto"/>
                      <w:spacing w:val="0"/>
                      <w:w w:val="100"/>
                      <w:position w:val="0"/>
                      <w:sz w:val="18"/>
                      <w:szCs w:val="18"/>
                      <w:lang w:val="zh-CN" w:eastAsia="zh-CN" w:bidi="zh-CN"/>
                    </w:rPr>
                    <w:t>Ⅲ类标准值</w:t>
                  </w:r>
                </w:p>
              </w:tc>
              <w:tc>
                <w:tcPr>
                  <w:tcW w:w="1790" w:type="dxa"/>
                  <w:tcBorders>
                    <w:tl2br w:val="nil"/>
                    <w:tr2bl w:val="nil"/>
                  </w:tcBorders>
                  <w:noWrap w:val="0"/>
                  <w:vAlign w:val="center"/>
                </w:tcPr>
                <w:p w14:paraId="67D0A0B3">
                  <w:pPr>
                    <w:keepNext w:val="0"/>
                    <w:keepLines w:val="0"/>
                    <w:pageBreakBefore w:val="0"/>
                    <w:widowControl w:val="0"/>
                    <w:kinsoku/>
                    <w:wordWrap/>
                    <w:overflowPunct/>
                    <w:topLinePunct w:val="0"/>
                    <w:autoSpaceDE w:val="0"/>
                    <w:autoSpaceDN w:val="0"/>
                    <w:bidi w:val="0"/>
                    <w:adjustRightInd/>
                    <w:snapToGrid/>
                    <w:spacing w:after="0" w:line="240" w:lineRule="auto"/>
                    <w:ind w:left="0" w:right="0" w:firstLine="0" w:firstLineChars="0"/>
                    <w:jc w:val="center"/>
                    <w:textAlignment w:val="auto"/>
                    <w:rPr>
                      <w:rFonts w:hint="default" w:ascii="Times New Roman" w:hAnsi="Times New Roman" w:eastAsia="宋体" w:cs="Times New Roman"/>
                      <w:b/>
                      <w:bCs/>
                      <w:smallCaps w:val="0"/>
                      <w:color w:val="auto"/>
                      <w:spacing w:val="0"/>
                      <w:w w:val="100"/>
                      <w:kern w:val="2"/>
                      <w:position w:val="0"/>
                      <w:sz w:val="18"/>
                      <w:szCs w:val="18"/>
                      <w:lang w:val="zh-CN" w:eastAsia="zh-CN" w:bidi="zh-CN"/>
                    </w:rPr>
                  </w:pPr>
                  <w:r>
                    <w:rPr>
                      <w:rFonts w:hint="default" w:ascii="Times New Roman" w:hAnsi="Times New Roman" w:eastAsia="宋体" w:cs="Times New Roman"/>
                      <w:b/>
                      <w:bCs/>
                      <w:smallCaps w:val="0"/>
                      <w:color w:val="auto"/>
                      <w:spacing w:val="0"/>
                      <w:w w:val="100"/>
                      <w:position w:val="0"/>
                      <w:sz w:val="18"/>
                      <w:szCs w:val="18"/>
                      <w:lang w:val="zh-CN" w:eastAsia="zh-CN" w:bidi="zh-CN"/>
                    </w:rPr>
                    <w:t>监测因子</w:t>
                  </w:r>
                </w:p>
              </w:tc>
              <w:tc>
                <w:tcPr>
                  <w:tcW w:w="1010" w:type="dxa"/>
                  <w:tcBorders>
                    <w:tl2br w:val="nil"/>
                    <w:tr2bl w:val="nil"/>
                  </w:tcBorders>
                  <w:noWrap w:val="0"/>
                  <w:vAlign w:val="center"/>
                </w:tcPr>
                <w:p w14:paraId="7C8B6E93">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bCs/>
                      <w:smallCaps w:val="0"/>
                      <w:color w:val="auto"/>
                      <w:spacing w:val="0"/>
                      <w:w w:val="100"/>
                      <w:kern w:val="2"/>
                      <w:position w:val="0"/>
                      <w:sz w:val="18"/>
                      <w:szCs w:val="18"/>
                      <w:lang w:val="zh-CN" w:eastAsia="zh-CN" w:bidi="zh-CN"/>
                    </w:rPr>
                  </w:pPr>
                  <w:r>
                    <w:rPr>
                      <w:rFonts w:hint="default" w:ascii="Times New Roman" w:hAnsi="Times New Roman" w:eastAsia="宋体" w:cs="Times New Roman"/>
                      <w:b/>
                      <w:bCs/>
                      <w:smallCaps w:val="0"/>
                      <w:color w:val="auto"/>
                      <w:spacing w:val="0"/>
                      <w:w w:val="100"/>
                      <w:position w:val="0"/>
                      <w:sz w:val="18"/>
                      <w:szCs w:val="18"/>
                      <w:lang w:val="zh-CN" w:eastAsia="zh-CN" w:bidi="zh-CN"/>
                    </w:rPr>
                    <w:t>监测值</w:t>
                  </w:r>
                </w:p>
              </w:tc>
              <w:tc>
                <w:tcPr>
                  <w:tcW w:w="1085" w:type="dxa"/>
                  <w:tcBorders>
                    <w:tl2br w:val="nil"/>
                    <w:tr2bl w:val="nil"/>
                  </w:tcBorders>
                  <w:noWrap w:val="0"/>
                  <w:vAlign w:val="center"/>
                </w:tcPr>
                <w:p w14:paraId="740C343E">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position w:val="0"/>
                      <w:sz w:val="18"/>
                      <w:szCs w:val="18"/>
                      <w:lang w:val="zh-CN" w:eastAsia="zh-CN" w:bidi="zh-CN"/>
                    </w:rPr>
                  </w:pPr>
                  <w:r>
                    <w:rPr>
                      <w:rFonts w:hint="default" w:ascii="Times New Roman" w:hAnsi="Times New Roman" w:eastAsia="宋体" w:cs="Times New Roman"/>
                      <w:b/>
                      <w:bCs/>
                      <w:smallCaps w:val="0"/>
                      <w:color w:val="auto"/>
                      <w:spacing w:val="0"/>
                      <w:w w:val="100"/>
                      <w:position w:val="0"/>
                      <w:sz w:val="18"/>
                      <w:szCs w:val="18"/>
                      <w:lang w:val="zh-CN" w:eastAsia="zh-CN" w:bidi="zh-CN"/>
                    </w:rPr>
                    <w:t>Ⅲ类标准值</w:t>
                  </w:r>
                </w:p>
              </w:tc>
            </w:tr>
            <w:tr w14:paraId="729AE0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04C72581">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eastAsia="宋体" w:cs="Times New Roman"/>
                      <w:smallCaps w:val="0"/>
                      <w:color w:val="auto"/>
                      <w:spacing w:val="0"/>
                      <w:w w:val="100"/>
                      <w:position w:val="0"/>
                      <w:sz w:val="18"/>
                      <w:szCs w:val="18"/>
                      <w:lang w:val="zh-CN" w:eastAsia="zh-CN" w:bidi="zh-CN"/>
                    </w:rPr>
                    <w:t>pH（无量纲）</w:t>
                  </w:r>
                </w:p>
              </w:tc>
              <w:tc>
                <w:tcPr>
                  <w:tcW w:w="990" w:type="dxa"/>
                  <w:tcBorders>
                    <w:tl2br w:val="nil"/>
                    <w:tr2bl w:val="nil"/>
                  </w:tcBorders>
                  <w:shd w:val="clear" w:color="auto" w:fill="auto"/>
                  <w:noWrap w:val="0"/>
                  <w:vAlign w:val="center"/>
                </w:tcPr>
                <w:p w14:paraId="11960BE3">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
                      <w:position w:val="0"/>
                      <w:sz w:val="18"/>
                      <w:szCs w:val="18"/>
                      <w:lang w:val="en-US" w:eastAsia="zh-CN" w:bidi="ar-SA"/>
                    </w:rPr>
                  </w:pPr>
                  <w:r>
                    <w:rPr>
                      <w:rFonts w:hint="eastAsia" w:ascii="Times New Roman" w:hAnsi="Times New Roman" w:cs="Times New Roman"/>
                      <w:color w:val="auto"/>
                      <w:kern w:val="0"/>
                      <w:sz w:val="18"/>
                      <w:szCs w:val="18"/>
                      <w:highlight w:val="none"/>
                      <w:lang w:val="en-US" w:eastAsia="zh-CN" w:bidi="ar-SA"/>
                    </w:rPr>
                    <w:t>7.</w:t>
                  </w:r>
                  <w:r>
                    <w:rPr>
                      <w:rFonts w:hint="eastAsia" w:cs="Times New Roman"/>
                      <w:color w:val="auto"/>
                      <w:kern w:val="0"/>
                      <w:sz w:val="18"/>
                      <w:szCs w:val="18"/>
                      <w:highlight w:val="none"/>
                      <w:lang w:val="en-US" w:eastAsia="zh-CN" w:bidi="ar-SA"/>
                    </w:rPr>
                    <w:t>2</w:t>
                  </w:r>
                </w:p>
              </w:tc>
              <w:tc>
                <w:tcPr>
                  <w:tcW w:w="1120" w:type="dxa"/>
                  <w:tcBorders>
                    <w:tl2br w:val="nil"/>
                    <w:tr2bl w:val="nil"/>
                  </w:tcBorders>
                  <w:shd w:val="clear" w:color="auto" w:fill="auto"/>
                  <w:noWrap w:val="0"/>
                  <w:vAlign w:val="center"/>
                </w:tcPr>
                <w:p w14:paraId="663AAA43">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smallCaps w:val="0"/>
                      <w:color w:val="auto"/>
                      <w:spacing w:val="0"/>
                      <w:w w:val="100"/>
                      <w:position w:val="0"/>
                      <w:sz w:val="18"/>
                      <w:szCs w:val="18"/>
                      <w:lang w:val="zh-CN" w:eastAsia="zh-CN" w:bidi="zh-CN"/>
                    </w:rPr>
                    <w:t>6.5~8.5</w:t>
                  </w:r>
                </w:p>
              </w:tc>
              <w:tc>
                <w:tcPr>
                  <w:tcW w:w="1790" w:type="dxa"/>
                  <w:tcBorders>
                    <w:tl2br w:val="nil"/>
                    <w:tr2bl w:val="nil"/>
                  </w:tcBorders>
                  <w:shd w:val="clear" w:color="auto" w:fill="auto"/>
                  <w:noWrap w:val="0"/>
                  <w:vAlign w:val="center"/>
                </w:tcPr>
                <w:p w14:paraId="455C3DB2">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zh-CN" w:eastAsia="zh-CN" w:bidi="ar"/>
                    </w:rPr>
                  </w:pPr>
                  <w:r>
                    <w:rPr>
                      <w:rFonts w:hint="default" w:ascii="Times New Roman" w:hAnsi="Times New Roman" w:eastAsia="宋体" w:cs="Times New Roman"/>
                      <w:color w:val="auto"/>
                      <w:sz w:val="18"/>
                      <w:szCs w:val="18"/>
                      <w:highlight w:val="none"/>
                      <w:lang w:val="en-US" w:eastAsia="zh-CN"/>
                    </w:rPr>
                    <w:t>汞</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1010" w:type="dxa"/>
                  <w:tcBorders>
                    <w:tl2br w:val="nil"/>
                    <w:tr2bl w:val="nil"/>
                  </w:tcBorders>
                  <w:shd w:val="clear" w:color="auto" w:fill="auto"/>
                  <w:noWrap w:val="0"/>
                  <w:vAlign w:val="center"/>
                </w:tcPr>
                <w:p w14:paraId="2B3AAAD9">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zh-CN" w:eastAsia="zh-CN" w:bidi="ar-SA"/>
                    </w:rPr>
                  </w:pPr>
                  <w:r>
                    <w:rPr>
                      <w:rFonts w:hint="eastAsia" w:ascii="Times New Roman" w:hAnsi="Times New Roman" w:cs="Times New Roman"/>
                      <w:color w:val="auto"/>
                      <w:kern w:val="0"/>
                      <w:sz w:val="18"/>
                      <w:szCs w:val="18"/>
                      <w:highlight w:val="none"/>
                      <w:lang w:val="en-US" w:eastAsia="zh-CN" w:bidi="ar-SA"/>
                    </w:rPr>
                    <w:t>0.00004ND</w:t>
                  </w:r>
                </w:p>
              </w:tc>
              <w:tc>
                <w:tcPr>
                  <w:tcW w:w="1085" w:type="dxa"/>
                  <w:tcBorders>
                    <w:tl2br w:val="nil"/>
                    <w:tr2bl w:val="nil"/>
                  </w:tcBorders>
                  <w:shd w:val="clear" w:color="auto" w:fill="auto"/>
                  <w:noWrap w:val="0"/>
                  <w:vAlign w:val="center"/>
                </w:tcPr>
                <w:p w14:paraId="566FD022">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ar-SA"/>
                    </w:rPr>
                  </w:pPr>
                  <w:r>
                    <w:rPr>
                      <w:rFonts w:hint="default" w:ascii="Times New Roman" w:hAnsi="Times New Roman" w:eastAsia="宋体" w:cs="Times New Roman"/>
                      <w:color w:val="auto"/>
                      <w:kern w:val="2"/>
                      <w:sz w:val="18"/>
                      <w:szCs w:val="18"/>
                    </w:rPr>
                    <w:t>≤0.001</w:t>
                  </w:r>
                </w:p>
              </w:tc>
            </w:tr>
            <w:tr w14:paraId="22F308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72DF8312">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eastAsia="宋体" w:cs="Times New Roman"/>
                      <w:smallCaps w:val="0"/>
                      <w:color w:val="auto"/>
                      <w:spacing w:val="0"/>
                      <w:w w:val="100"/>
                      <w:position w:val="0"/>
                      <w:sz w:val="18"/>
                      <w:szCs w:val="18"/>
                      <w:lang w:val="zh-CN" w:eastAsia="zh-CN" w:bidi="zh-CN"/>
                    </w:rPr>
                    <w:t>总硬度（mg/L）</w:t>
                  </w:r>
                </w:p>
              </w:tc>
              <w:tc>
                <w:tcPr>
                  <w:tcW w:w="990" w:type="dxa"/>
                  <w:tcBorders>
                    <w:tl2br w:val="nil"/>
                    <w:tr2bl w:val="nil"/>
                  </w:tcBorders>
                  <w:shd w:val="clear" w:color="auto" w:fill="auto"/>
                  <w:noWrap w:val="0"/>
                  <w:vAlign w:val="center"/>
                </w:tcPr>
                <w:p w14:paraId="0A03EAC8">
                  <w:pPr>
                    <w:keepNext w:val="0"/>
                    <w:keepLines w:val="0"/>
                    <w:pageBreakBefore w:val="0"/>
                    <w:widowControl w:val="0"/>
                    <w:numPr>
                      <w:ilvl w:val="0"/>
                      <w:numId w:val="0"/>
                    </w:numPr>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2"/>
                      <w:position w:val="0"/>
                      <w:sz w:val="18"/>
                      <w:szCs w:val="18"/>
                      <w:lang w:val="en-US" w:eastAsia="zh-CN" w:bidi="ar-SA"/>
                    </w:rPr>
                  </w:pPr>
                  <w:r>
                    <w:rPr>
                      <w:rFonts w:hint="eastAsia" w:cs="Times New Roman"/>
                      <w:color w:val="auto"/>
                      <w:sz w:val="18"/>
                      <w:szCs w:val="18"/>
                      <w:highlight w:val="none"/>
                      <w:vertAlign w:val="baseline"/>
                      <w:lang w:val="en-US" w:eastAsia="zh-CN"/>
                    </w:rPr>
                    <w:t>220</w:t>
                  </w:r>
                </w:p>
              </w:tc>
              <w:tc>
                <w:tcPr>
                  <w:tcW w:w="1120" w:type="dxa"/>
                  <w:tcBorders>
                    <w:tl2br w:val="nil"/>
                    <w:tr2bl w:val="nil"/>
                  </w:tcBorders>
                  <w:shd w:val="clear" w:color="auto" w:fill="auto"/>
                  <w:noWrap w:val="0"/>
                  <w:vAlign w:val="center"/>
                </w:tcPr>
                <w:p w14:paraId="16001CD4">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smallCaps w:val="0"/>
                      <w:color w:val="auto"/>
                      <w:spacing w:val="0"/>
                      <w:w w:val="100"/>
                      <w:position w:val="0"/>
                      <w:sz w:val="18"/>
                      <w:szCs w:val="18"/>
                      <w:lang w:val="zh-CN" w:eastAsia="zh-CN" w:bidi="zh-CN"/>
                    </w:rPr>
                    <w:t>≤450</w:t>
                  </w:r>
                </w:p>
              </w:tc>
              <w:tc>
                <w:tcPr>
                  <w:tcW w:w="1790" w:type="dxa"/>
                  <w:tcBorders>
                    <w:tl2br w:val="nil"/>
                    <w:tr2bl w:val="nil"/>
                  </w:tcBorders>
                  <w:shd w:val="clear" w:color="auto" w:fill="auto"/>
                  <w:noWrap w:val="0"/>
                  <w:vAlign w:val="center"/>
                </w:tcPr>
                <w:p w14:paraId="22747623">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sz w:val="18"/>
                      <w:szCs w:val="18"/>
                      <w:highlight w:val="none"/>
                      <w:lang w:val="en-US" w:eastAsia="zh-CN"/>
                    </w:rPr>
                    <w:t>砷</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1010" w:type="dxa"/>
                  <w:tcBorders>
                    <w:tl2br w:val="nil"/>
                    <w:tr2bl w:val="nil"/>
                  </w:tcBorders>
                  <w:shd w:val="clear" w:color="auto" w:fill="auto"/>
                  <w:noWrap w:val="0"/>
                  <w:vAlign w:val="center"/>
                </w:tcPr>
                <w:p w14:paraId="6FC91A64">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sz w:val="18"/>
                      <w:szCs w:val="18"/>
                      <w:highlight w:val="none"/>
                      <w:vertAlign w:val="baseline"/>
                      <w:lang w:val="en-US" w:eastAsia="zh-CN"/>
                    </w:rPr>
                    <w:t>0.00</w:t>
                  </w:r>
                  <w:r>
                    <w:rPr>
                      <w:rFonts w:hint="eastAsia" w:cs="Times New Roman"/>
                      <w:color w:val="auto"/>
                      <w:sz w:val="18"/>
                      <w:szCs w:val="18"/>
                      <w:highlight w:val="none"/>
                      <w:vertAlign w:val="baseline"/>
                      <w:lang w:val="en-US" w:eastAsia="zh-CN"/>
                    </w:rPr>
                    <w:t>11</w:t>
                  </w:r>
                </w:p>
              </w:tc>
              <w:tc>
                <w:tcPr>
                  <w:tcW w:w="1085" w:type="dxa"/>
                  <w:tcBorders>
                    <w:tl2br w:val="nil"/>
                    <w:tr2bl w:val="nil"/>
                  </w:tcBorders>
                  <w:shd w:val="clear" w:color="auto" w:fill="auto"/>
                  <w:noWrap w:val="0"/>
                  <w:vAlign w:val="center"/>
                </w:tcPr>
                <w:p w14:paraId="67B1D947">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ar-SA"/>
                    </w:rPr>
                  </w:pPr>
                  <w:r>
                    <w:rPr>
                      <w:rFonts w:hint="default" w:ascii="Times New Roman" w:hAnsi="Times New Roman" w:eastAsia="宋体" w:cs="Times New Roman"/>
                      <w:color w:val="auto"/>
                      <w:kern w:val="2"/>
                      <w:sz w:val="18"/>
                      <w:szCs w:val="18"/>
                    </w:rPr>
                    <w:t>≤0.01</w:t>
                  </w:r>
                </w:p>
              </w:tc>
            </w:tr>
            <w:tr w14:paraId="6436DC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62F06C61">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eastAsia="宋体" w:cs="Times New Roman"/>
                      <w:smallCaps w:val="0"/>
                      <w:color w:val="auto"/>
                      <w:spacing w:val="0"/>
                      <w:w w:val="100"/>
                      <w:position w:val="0"/>
                      <w:sz w:val="18"/>
                      <w:szCs w:val="18"/>
                      <w:lang w:val="zh-CN" w:eastAsia="zh-CN" w:bidi="zh-CN"/>
                    </w:rPr>
                    <w:t>溶解性总固体（mg/L）</w:t>
                  </w:r>
                </w:p>
              </w:tc>
              <w:tc>
                <w:tcPr>
                  <w:tcW w:w="990" w:type="dxa"/>
                  <w:tcBorders>
                    <w:tl2br w:val="nil"/>
                    <w:tr2bl w:val="nil"/>
                  </w:tcBorders>
                  <w:shd w:val="clear" w:color="auto" w:fill="auto"/>
                  <w:noWrap w:val="0"/>
                  <w:vAlign w:val="center"/>
                </w:tcPr>
                <w:p w14:paraId="0104D49B">
                  <w:pPr>
                    <w:keepNext w:val="0"/>
                    <w:keepLines w:val="0"/>
                    <w:pageBreakBefore w:val="0"/>
                    <w:widowControl w:val="0"/>
                    <w:numPr>
                      <w:ilvl w:val="0"/>
                      <w:numId w:val="0"/>
                    </w:numPr>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2"/>
                      <w:position w:val="0"/>
                      <w:sz w:val="18"/>
                      <w:szCs w:val="18"/>
                      <w:lang w:val="en-US" w:eastAsia="zh-CN" w:bidi="ar-SA"/>
                    </w:rPr>
                  </w:pPr>
                  <w:r>
                    <w:rPr>
                      <w:rFonts w:hint="eastAsia" w:cs="Times New Roman"/>
                      <w:color w:val="auto"/>
                      <w:sz w:val="18"/>
                      <w:szCs w:val="18"/>
                      <w:highlight w:val="none"/>
                      <w:vertAlign w:val="baseline"/>
                      <w:lang w:val="en-US" w:eastAsia="zh-CN"/>
                    </w:rPr>
                    <w:t>720</w:t>
                  </w:r>
                </w:p>
              </w:tc>
              <w:tc>
                <w:tcPr>
                  <w:tcW w:w="1120" w:type="dxa"/>
                  <w:tcBorders>
                    <w:tl2br w:val="nil"/>
                    <w:tr2bl w:val="nil"/>
                  </w:tcBorders>
                  <w:shd w:val="clear" w:color="auto" w:fill="auto"/>
                  <w:noWrap w:val="0"/>
                  <w:vAlign w:val="center"/>
                </w:tcPr>
                <w:p w14:paraId="0709899F">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smallCaps w:val="0"/>
                      <w:color w:val="auto"/>
                      <w:spacing w:val="0"/>
                      <w:w w:val="100"/>
                      <w:position w:val="0"/>
                      <w:sz w:val="18"/>
                      <w:szCs w:val="18"/>
                      <w:lang w:val="zh-CN" w:eastAsia="zh-CN" w:bidi="zh-CN"/>
                    </w:rPr>
                    <w:t>≤1000</w:t>
                  </w:r>
                </w:p>
              </w:tc>
              <w:tc>
                <w:tcPr>
                  <w:tcW w:w="1790" w:type="dxa"/>
                  <w:tcBorders>
                    <w:tl2br w:val="nil"/>
                    <w:tr2bl w:val="nil"/>
                  </w:tcBorders>
                  <w:shd w:val="clear" w:color="auto" w:fill="auto"/>
                  <w:noWrap w:val="0"/>
                  <w:vAlign w:val="center"/>
                </w:tcPr>
                <w:p w14:paraId="02D1EF36">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zh-CN" w:eastAsia="zh-CN" w:bidi="ar"/>
                    </w:rPr>
                  </w:pPr>
                  <w:r>
                    <w:rPr>
                      <w:rFonts w:hint="default" w:ascii="Times New Roman" w:hAnsi="Times New Roman" w:cs="Times New Roman"/>
                      <w:color w:val="auto"/>
                      <w:sz w:val="18"/>
                      <w:szCs w:val="18"/>
                      <w:highlight w:val="none"/>
                      <w:lang w:val="en-US" w:eastAsia="zh-CN"/>
                    </w:rPr>
                    <w:t>镉</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1010" w:type="dxa"/>
                  <w:tcBorders>
                    <w:tl2br w:val="nil"/>
                    <w:tr2bl w:val="nil"/>
                  </w:tcBorders>
                  <w:shd w:val="clear" w:color="auto" w:fill="auto"/>
                  <w:noWrap w:val="0"/>
                  <w:vAlign w:val="center"/>
                </w:tcPr>
                <w:p w14:paraId="086CD92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zh-CN" w:eastAsia="zh-CN" w:bidi="ar-SA"/>
                    </w:rPr>
                  </w:pPr>
                  <w:r>
                    <w:rPr>
                      <w:rFonts w:hint="eastAsia" w:ascii="Times New Roman" w:hAnsi="Times New Roman" w:cs="Times New Roman"/>
                      <w:color w:val="auto"/>
                      <w:kern w:val="0"/>
                      <w:sz w:val="18"/>
                      <w:szCs w:val="18"/>
                      <w:highlight w:val="none"/>
                      <w:lang w:val="en-US" w:eastAsia="zh-CN" w:bidi="ar-SA"/>
                    </w:rPr>
                    <w:t>0.001ND</w:t>
                  </w:r>
                </w:p>
              </w:tc>
              <w:tc>
                <w:tcPr>
                  <w:tcW w:w="1085" w:type="dxa"/>
                  <w:tcBorders>
                    <w:tl2br w:val="nil"/>
                    <w:tr2bl w:val="nil"/>
                  </w:tcBorders>
                  <w:shd w:val="clear" w:color="auto" w:fill="auto"/>
                  <w:noWrap w:val="0"/>
                  <w:vAlign w:val="center"/>
                </w:tcPr>
                <w:p w14:paraId="6002DDA4">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ar-SA"/>
                    </w:rPr>
                  </w:pPr>
                  <w:r>
                    <w:rPr>
                      <w:rFonts w:hint="default" w:ascii="Times New Roman" w:hAnsi="Times New Roman" w:eastAsia="宋体" w:cs="Times New Roman"/>
                      <w:color w:val="auto"/>
                      <w:kern w:val="2"/>
                      <w:sz w:val="18"/>
                      <w:szCs w:val="18"/>
                    </w:rPr>
                    <w:t>≤0.005</w:t>
                  </w:r>
                </w:p>
              </w:tc>
            </w:tr>
            <w:tr w14:paraId="6BF8CB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3DE42638">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eastAsia="宋体" w:cs="Times New Roman"/>
                      <w:color w:val="auto"/>
                      <w:sz w:val="18"/>
                      <w:szCs w:val="18"/>
                      <w:highlight w:val="none"/>
                      <w:lang w:val="en-US" w:eastAsia="zh-CN"/>
                    </w:rPr>
                    <w:t>硫酸盐</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60E8B10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
                      <w:position w:val="0"/>
                      <w:sz w:val="18"/>
                      <w:szCs w:val="18"/>
                      <w:lang w:val="en-US" w:eastAsia="zh-CN" w:bidi="ar-SA"/>
                    </w:rPr>
                  </w:pPr>
                  <w:r>
                    <w:rPr>
                      <w:rFonts w:hint="eastAsia" w:eastAsia="宋体" w:cs="Times New Roman"/>
                      <w:i w:val="0"/>
                      <w:iCs w:val="0"/>
                      <w:color w:val="auto"/>
                      <w:kern w:val="0"/>
                      <w:sz w:val="18"/>
                      <w:szCs w:val="18"/>
                      <w:u w:val="none"/>
                      <w:lang w:val="en-US" w:eastAsia="zh-CN" w:bidi="ar"/>
                    </w:rPr>
                    <w:t>32.2</w:t>
                  </w:r>
                </w:p>
              </w:tc>
              <w:tc>
                <w:tcPr>
                  <w:tcW w:w="1120" w:type="dxa"/>
                  <w:tcBorders>
                    <w:tl2br w:val="nil"/>
                    <w:tr2bl w:val="nil"/>
                  </w:tcBorders>
                  <w:shd w:val="clear" w:color="auto" w:fill="auto"/>
                  <w:noWrap w:val="0"/>
                  <w:vAlign w:val="center"/>
                </w:tcPr>
                <w:p w14:paraId="55C84986">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kern w:val="2"/>
                      <w:sz w:val="18"/>
                      <w:szCs w:val="18"/>
                    </w:rPr>
                    <w:t>≤250</w:t>
                  </w:r>
                </w:p>
              </w:tc>
              <w:tc>
                <w:tcPr>
                  <w:tcW w:w="1790" w:type="dxa"/>
                  <w:tcBorders>
                    <w:tl2br w:val="nil"/>
                    <w:tr2bl w:val="nil"/>
                  </w:tcBorders>
                  <w:shd w:val="clear" w:color="auto" w:fill="auto"/>
                  <w:noWrap w:val="0"/>
                  <w:vAlign w:val="center"/>
                </w:tcPr>
                <w:p w14:paraId="62938CD6">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zh-CN" w:eastAsia="zh-CN" w:bidi="ar"/>
                    </w:rPr>
                  </w:pPr>
                  <w:r>
                    <w:rPr>
                      <w:rFonts w:hint="default" w:ascii="Times New Roman" w:hAnsi="Times New Roman" w:eastAsia="宋体" w:cs="Times New Roman"/>
                      <w:color w:val="auto"/>
                      <w:sz w:val="18"/>
                      <w:szCs w:val="18"/>
                      <w:highlight w:val="none"/>
                    </w:rPr>
                    <w:t>铬（六价）</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1010" w:type="dxa"/>
                  <w:tcBorders>
                    <w:tl2br w:val="nil"/>
                    <w:tr2bl w:val="nil"/>
                  </w:tcBorders>
                  <w:shd w:val="clear" w:color="auto" w:fill="auto"/>
                  <w:noWrap w:val="0"/>
                  <w:vAlign w:val="center"/>
                </w:tcPr>
                <w:p w14:paraId="2FCEF516">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zh-CN" w:eastAsia="zh-CN" w:bidi="ar-SA"/>
                    </w:rPr>
                  </w:pPr>
                  <w:r>
                    <w:rPr>
                      <w:rFonts w:hint="eastAsia" w:ascii="Times New Roman" w:hAnsi="Times New Roman" w:cs="Times New Roman"/>
                      <w:color w:val="auto"/>
                      <w:sz w:val="18"/>
                      <w:szCs w:val="18"/>
                      <w:highlight w:val="none"/>
                      <w:vertAlign w:val="baseline"/>
                      <w:lang w:val="en-US" w:eastAsia="zh-CN"/>
                    </w:rPr>
                    <w:t>0.004ND</w:t>
                  </w:r>
                </w:p>
              </w:tc>
              <w:tc>
                <w:tcPr>
                  <w:tcW w:w="1085" w:type="dxa"/>
                  <w:tcBorders>
                    <w:tl2br w:val="nil"/>
                    <w:tr2bl w:val="nil"/>
                  </w:tcBorders>
                  <w:shd w:val="clear" w:color="auto" w:fill="auto"/>
                  <w:noWrap w:val="0"/>
                  <w:vAlign w:val="center"/>
                </w:tcPr>
                <w:p w14:paraId="09F4F1C2">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ar-SA"/>
                    </w:rPr>
                  </w:pPr>
                  <w:r>
                    <w:rPr>
                      <w:rFonts w:hint="default" w:ascii="Times New Roman" w:hAnsi="Times New Roman" w:eastAsia="宋体" w:cs="Times New Roman"/>
                      <w:color w:val="auto"/>
                      <w:kern w:val="2"/>
                      <w:sz w:val="18"/>
                      <w:szCs w:val="18"/>
                    </w:rPr>
                    <w:t>≤0.05</w:t>
                  </w:r>
                </w:p>
              </w:tc>
            </w:tr>
            <w:tr w14:paraId="0E53C6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04DBC0F1">
                  <w:pPr>
                    <w:keepNext w:val="0"/>
                    <w:keepLines w:val="0"/>
                    <w:pageBreakBefore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eastAsia="宋体" w:cs="Times New Roman"/>
                      <w:b w:val="0"/>
                      <w:bCs w:val="0"/>
                      <w:color w:val="auto"/>
                      <w:sz w:val="18"/>
                      <w:szCs w:val="18"/>
                      <w:highlight w:val="none"/>
                      <w:lang w:val="en-US" w:eastAsia="zh-CN"/>
                    </w:rPr>
                    <w:t>氯化物</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48CB5D2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
                      <w:position w:val="0"/>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29.</w:t>
                  </w:r>
                  <w:r>
                    <w:rPr>
                      <w:rFonts w:hint="eastAsia" w:eastAsia="宋体" w:cs="Times New Roman"/>
                      <w:i w:val="0"/>
                      <w:iCs w:val="0"/>
                      <w:color w:val="auto"/>
                      <w:kern w:val="0"/>
                      <w:sz w:val="18"/>
                      <w:szCs w:val="18"/>
                      <w:u w:val="none"/>
                      <w:lang w:val="en-US" w:eastAsia="zh-CN" w:bidi="ar"/>
                    </w:rPr>
                    <w:t>1</w:t>
                  </w:r>
                </w:p>
              </w:tc>
              <w:tc>
                <w:tcPr>
                  <w:tcW w:w="1120" w:type="dxa"/>
                  <w:tcBorders>
                    <w:tl2br w:val="nil"/>
                    <w:tr2bl w:val="nil"/>
                  </w:tcBorders>
                  <w:shd w:val="clear" w:color="auto" w:fill="auto"/>
                  <w:noWrap w:val="0"/>
                  <w:vAlign w:val="center"/>
                </w:tcPr>
                <w:p w14:paraId="26222A2D">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kern w:val="2"/>
                      <w:sz w:val="18"/>
                      <w:szCs w:val="18"/>
                    </w:rPr>
                    <w:t>≤250</w:t>
                  </w:r>
                </w:p>
              </w:tc>
              <w:tc>
                <w:tcPr>
                  <w:tcW w:w="1790" w:type="dxa"/>
                  <w:tcBorders>
                    <w:tl2br w:val="nil"/>
                    <w:tr2bl w:val="nil"/>
                  </w:tcBorders>
                  <w:shd w:val="clear" w:color="auto" w:fill="auto"/>
                  <w:noWrap w:val="0"/>
                  <w:vAlign w:val="center"/>
                </w:tcPr>
                <w:p w14:paraId="58D8C69F">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zh-CN" w:eastAsia="zh-CN" w:bidi="ar"/>
                    </w:rPr>
                  </w:pPr>
                  <w:r>
                    <w:rPr>
                      <w:rFonts w:hint="default" w:ascii="Times New Roman" w:hAnsi="Times New Roman" w:cs="Times New Roman"/>
                      <w:color w:val="auto"/>
                      <w:sz w:val="18"/>
                      <w:szCs w:val="18"/>
                      <w:highlight w:val="none"/>
                      <w:lang w:val="en-US" w:eastAsia="zh-CN"/>
                    </w:rPr>
                    <w:t>铅</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1010" w:type="dxa"/>
                  <w:tcBorders>
                    <w:tl2br w:val="nil"/>
                    <w:tr2bl w:val="nil"/>
                  </w:tcBorders>
                  <w:shd w:val="clear" w:color="auto" w:fill="auto"/>
                  <w:noWrap w:val="0"/>
                  <w:vAlign w:val="center"/>
                </w:tcPr>
                <w:p w14:paraId="62C456F4">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zh-CN" w:eastAsia="zh-CN" w:bidi="ar-SA"/>
                    </w:rPr>
                  </w:pPr>
                  <w:r>
                    <w:rPr>
                      <w:rFonts w:hint="eastAsia" w:ascii="Times New Roman" w:hAnsi="Times New Roman" w:cs="Times New Roman"/>
                      <w:color w:val="auto"/>
                      <w:sz w:val="18"/>
                      <w:szCs w:val="18"/>
                      <w:highlight w:val="none"/>
                      <w:vertAlign w:val="baseline"/>
                      <w:lang w:val="en-US" w:eastAsia="zh-CN"/>
                    </w:rPr>
                    <w:t>0.005ND</w:t>
                  </w:r>
                </w:p>
              </w:tc>
              <w:tc>
                <w:tcPr>
                  <w:tcW w:w="1085" w:type="dxa"/>
                  <w:tcBorders>
                    <w:tl2br w:val="nil"/>
                    <w:tr2bl w:val="nil"/>
                  </w:tcBorders>
                  <w:shd w:val="clear" w:color="auto" w:fill="auto"/>
                  <w:noWrap w:val="0"/>
                  <w:vAlign w:val="center"/>
                </w:tcPr>
                <w:p w14:paraId="14FD5E24">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ar-SA"/>
                    </w:rPr>
                  </w:pPr>
                  <w:r>
                    <w:rPr>
                      <w:rFonts w:hint="default" w:ascii="Times New Roman" w:hAnsi="Times New Roman" w:eastAsia="宋体" w:cs="Times New Roman"/>
                      <w:color w:val="auto"/>
                      <w:kern w:val="2"/>
                      <w:sz w:val="18"/>
                      <w:szCs w:val="18"/>
                    </w:rPr>
                    <w:t>≤0.01</w:t>
                  </w:r>
                </w:p>
              </w:tc>
            </w:tr>
            <w:tr w14:paraId="413649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08966912">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sz w:val="18"/>
                      <w:szCs w:val="18"/>
                      <w:highlight w:val="none"/>
                      <w:lang w:val="en-US" w:eastAsia="zh-CN"/>
                    </w:rPr>
                    <w:t>铁</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1F3BA453">
                  <w:pPr>
                    <w:keepNext w:val="0"/>
                    <w:keepLines w:val="0"/>
                    <w:pageBreakBefore w:val="0"/>
                    <w:widowControl w:val="0"/>
                    <w:numPr>
                      <w:ilvl w:val="0"/>
                      <w:numId w:val="0"/>
                    </w:numPr>
                    <w:kinsoku/>
                    <w:wordWrap/>
                    <w:overflowPunct/>
                    <w:topLinePunct w:val="0"/>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pacing w:val="0"/>
                      <w:kern w:val="2"/>
                      <w:position w:val="0"/>
                      <w:sz w:val="18"/>
                      <w:szCs w:val="18"/>
                      <w:lang w:val="en-US" w:eastAsia="zh-CN" w:bidi="ar-SA"/>
                    </w:rPr>
                  </w:pPr>
                  <w:r>
                    <w:rPr>
                      <w:rFonts w:hint="eastAsia" w:ascii="Times New Roman" w:hAnsi="Times New Roman" w:cs="Times New Roman"/>
                      <w:color w:val="auto"/>
                      <w:sz w:val="18"/>
                      <w:szCs w:val="18"/>
                      <w:highlight w:val="none"/>
                      <w:vertAlign w:val="baseline"/>
                      <w:lang w:val="en-US" w:eastAsia="zh-CN"/>
                    </w:rPr>
                    <w:t>0.03ND</w:t>
                  </w:r>
                </w:p>
              </w:tc>
              <w:tc>
                <w:tcPr>
                  <w:tcW w:w="1120" w:type="dxa"/>
                  <w:tcBorders>
                    <w:tl2br w:val="nil"/>
                    <w:tr2bl w:val="nil"/>
                  </w:tcBorders>
                  <w:shd w:val="clear" w:color="auto" w:fill="auto"/>
                  <w:noWrap w:val="0"/>
                  <w:vAlign w:val="center"/>
                </w:tcPr>
                <w:p w14:paraId="60617DBC">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kern w:val="2"/>
                      <w:sz w:val="18"/>
                      <w:szCs w:val="18"/>
                    </w:rPr>
                    <w:t>≤0.3</w:t>
                  </w:r>
                </w:p>
              </w:tc>
              <w:tc>
                <w:tcPr>
                  <w:tcW w:w="1790" w:type="dxa"/>
                  <w:tcBorders>
                    <w:tl2br w:val="nil"/>
                    <w:tr2bl w:val="nil"/>
                  </w:tcBorders>
                  <w:noWrap w:val="0"/>
                  <w:vAlign w:val="center"/>
                </w:tcPr>
                <w:p w14:paraId="0CCD8960">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eastAsia" w:eastAsia="宋体" w:cs="Times New Roman"/>
                      <w:smallCaps w:val="0"/>
                      <w:color w:val="auto"/>
                      <w:spacing w:val="0"/>
                      <w:w w:val="100"/>
                      <w:kern w:val="2"/>
                      <w:position w:val="0"/>
                      <w:sz w:val="18"/>
                      <w:szCs w:val="18"/>
                      <w:lang w:val="en-US" w:eastAsia="zh-CN" w:bidi="zh-CN"/>
                    </w:rPr>
                    <w:t>镍</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1010" w:type="dxa"/>
                  <w:tcBorders>
                    <w:tl2br w:val="nil"/>
                    <w:tr2bl w:val="nil"/>
                  </w:tcBorders>
                  <w:noWrap w:val="0"/>
                  <w:vAlign w:val="center"/>
                </w:tcPr>
                <w:p w14:paraId="41AF0A97">
                  <w:pPr>
                    <w:pStyle w:val="108"/>
                    <w:keepNext w:val="0"/>
                    <w:keepLines w:val="0"/>
                    <w:pageBreakBefore w:val="0"/>
                    <w:widowControl w:val="0"/>
                    <w:shd w:val="clear" w:color="auto" w:fill="auto"/>
                    <w:kinsoku/>
                    <w:wordWrap/>
                    <w:overflowPunct/>
                    <w:topLinePunct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u w:val="none"/>
                      <w:shd w:val="clear" w:color="auto" w:fill="auto"/>
                      <w:lang w:val="en-US" w:eastAsia="zh-CN" w:bidi="zh-CN"/>
                    </w:rPr>
                  </w:pPr>
                  <w:r>
                    <w:rPr>
                      <w:rFonts w:hint="eastAsia" w:ascii="Times New Roman" w:hAnsi="Times New Roman" w:cs="Times New Roman"/>
                      <w:smallCaps w:val="0"/>
                      <w:color w:val="auto"/>
                      <w:spacing w:val="0"/>
                      <w:w w:val="100"/>
                      <w:kern w:val="2"/>
                      <w:position w:val="0"/>
                      <w:sz w:val="18"/>
                      <w:szCs w:val="18"/>
                      <w:u w:val="none"/>
                      <w:shd w:val="clear" w:color="auto" w:fill="auto"/>
                      <w:lang w:val="en-US" w:eastAsia="zh-CN" w:bidi="zh-CN"/>
                    </w:rPr>
                    <w:t>0.01ND</w:t>
                  </w:r>
                </w:p>
              </w:tc>
              <w:tc>
                <w:tcPr>
                  <w:tcW w:w="1085" w:type="dxa"/>
                  <w:tcBorders>
                    <w:tl2br w:val="nil"/>
                    <w:tr2bl w:val="nil"/>
                  </w:tcBorders>
                  <w:noWrap w:val="0"/>
                  <w:vAlign w:val="center"/>
                </w:tcPr>
                <w:p w14:paraId="5DA2530F">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kern w:val="2"/>
                      <w:sz w:val="18"/>
                      <w:szCs w:val="18"/>
                    </w:rPr>
                    <w:t>≤0.0</w:t>
                  </w:r>
                  <w:r>
                    <w:rPr>
                      <w:rFonts w:hint="eastAsia" w:eastAsia="宋体" w:cs="Times New Roman"/>
                      <w:color w:val="auto"/>
                      <w:kern w:val="2"/>
                      <w:sz w:val="18"/>
                      <w:szCs w:val="18"/>
                      <w:lang w:val="en-US" w:eastAsia="zh-CN"/>
                    </w:rPr>
                    <w:t>2</w:t>
                  </w:r>
                </w:p>
              </w:tc>
            </w:tr>
            <w:tr w14:paraId="6CAD57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2BA5471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eastAsia="宋体" w:cs="Times New Roman"/>
                      <w:color w:val="auto"/>
                      <w:sz w:val="18"/>
                      <w:szCs w:val="18"/>
                      <w:highlight w:val="none"/>
                      <w:lang w:val="en-US" w:eastAsia="zh-CN"/>
                    </w:rPr>
                    <w:t>锰</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3842FCB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
                      <w:position w:val="0"/>
                      <w:sz w:val="18"/>
                      <w:szCs w:val="18"/>
                      <w:lang w:val="en-US" w:eastAsia="zh-CN" w:bidi="ar-SA"/>
                    </w:rPr>
                  </w:pPr>
                  <w:r>
                    <w:rPr>
                      <w:rFonts w:hint="eastAsia" w:ascii="Times New Roman" w:hAnsi="Times New Roman" w:cs="Times New Roman"/>
                      <w:color w:val="auto"/>
                      <w:sz w:val="18"/>
                      <w:szCs w:val="18"/>
                      <w:highlight w:val="none"/>
                      <w:vertAlign w:val="baseline"/>
                      <w:lang w:val="en-US" w:eastAsia="zh-CN"/>
                    </w:rPr>
                    <w:t>0.01ND</w:t>
                  </w:r>
                </w:p>
              </w:tc>
              <w:tc>
                <w:tcPr>
                  <w:tcW w:w="1120" w:type="dxa"/>
                  <w:tcBorders>
                    <w:tl2br w:val="nil"/>
                    <w:tr2bl w:val="nil"/>
                  </w:tcBorders>
                  <w:shd w:val="clear" w:color="auto" w:fill="auto"/>
                  <w:noWrap w:val="0"/>
                  <w:vAlign w:val="center"/>
                </w:tcPr>
                <w:p w14:paraId="04BA8A6F">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kern w:val="2"/>
                      <w:sz w:val="18"/>
                      <w:szCs w:val="18"/>
                    </w:rPr>
                    <w:t>≤0.10</w:t>
                  </w:r>
                </w:p>
              </w:tc>
              <w:tc>
                <w:tcPr>
                  <w:tcW w:w="1790" w:type="dxa"/>
                  <w:tcBorders>
                    <w:tl2br w:val="nil"/>
                    <w:tr2bl w:val="nil"/>
                  </w:tcBorders>
                  <w:shd w:val="clear" w:color="auto" w:fill="auto"/>
                  <w:noWrap w:val="0"/>
                  <w:vAlign w:val="center"/>
                </w:tcPr>
                <w:p w14:paraId="158D3CB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sz w:val="18"/>
                      <w:szCs w:val="18"/>
                      <w:highlight w:val="none"/>
                      <w:lang w:val="en-US" w:eastAsia="zh-CN"/>
                    </w:rPr>
                    <w:t>总大肠菌群（MPN/100ml）</w:t>
                  </w:r>
                </w:p>
              </w:tc>
              <w:tc>
                <w:tcPr>
                  <w:tcW w:w="1010" w:type="dxa"/>
                  <w:tcBorders>
                    <w:tl2br w:val="nil"/>
                    <w:tr2bl w:val="nil"/>
                  </w:tcBorders>
                  <w:shd w:val="clear" w:color="auto" w:fill="auto"/>
                  <w:noWrap w:val="0"/>
                  <w:vAlign w:val="center"/>
                </w:tcPr>
                <w:p w14:paraId="4DA03541">
                  <w:pPr>
                    <w:keepNext w:val="0"/>
                    <w:keepLines w:val="0"/>
                    <w:pageBreakBefore w:val="0"/>
                    <w:widowControl w:val="0"/>
                    <w:shd w:val="clear" w:color="auto" w:fill="auto"/>
                    <w:kinsoku/>
                    <w:wordWrap/>
                    <w:overflowPunct/>
                    <w:topLinePunct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18"/>
                      <w:szCs w:val="18"/>
                      <w:lang w:val="en-US" w:eastAsia="zh-CN" w:bidi="ar-SA"/>
                    </w:rPr>
                  </w:pPr>
                  <w:r>
                    <w:rPr>
                      <w:rFonts w:hint="default" w:ascii="Times New Roman" w:hAnsi="Times New Roman" w:cs="Times New Roman"/>
                      <w:color w:val="auto"/>
                      <w:sz w:val="18"/>
                      <w:szCs w:val="18"/>
                      <w:highlight w:val="none"/>
                      <w:vertAlign w:val="baseline"/>
                      <w:lang w:val="en-US" w:eastAsia="zh-CN"/>
                    </w:rPr>
                    <w:t>未检出</w:t>
                  </w:r>
                </w:p>
              </w:tc>
              <w:tc>
                <w:tcPr>
                  <w:tcW w:w="1085" w:type="dxa"/>
                  <w:tcBorders>
                    <w:tl2br w:val="nil"/>
                    <w:tr2bl w:val="nil"/>
                  </w:tcBorders>
                  <w:shd w:val="clear" w:color="auto" w:fill="auto"/>
                  <w:noWrap w:val="0"/>
                  <w:vAlign w:val="center"/>
                </w:tcPr>
                <w:p w14:paraId="1C1281F4">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ar-SA"/>
                    </w:rPr>
                  </w:pPr>
                  <w:r>
                    <w:rPr>
                      <w:rFonts w:hint="default" w:ascii="Times New Roman" w:hAnsi="Times New Roman" w:eastAsia="宋体" w:cs="Times New Roman"/>
                      <w:color w:val="auto"/>
                      <w:kern w:val="2"/>
                      <w:sz w:val="18"/>
                      <w:szCs w:val="18"/>
                    </w:rPr>
                    <w:t>≤</w:t>
                  </w:r>
                  <w:r>
                    <w:rPr>
                      <w:rFonts w:hint="default" w:ascii="Times New Roman" w:hAnsi="Times New Roman" w:eastAsia="宋体" w:cs="Times New Roman"/>
                      <w:smallCaps w:val="0"/>
                      <w:color w:val="auto"/>
                      <w:spacing w:val="0"/>
                      <w:w w:val="100"/>
                      <w:position w:val="0"/>
                      <w:sz w:val="18"/>
                      <w:szCs w:val="18"/>
                      <w:lang w:val="en-US" w:eastAsia="zh-CN"/>
                    </w:rPr>
                    <w:t>3.0</w:t>
                  </w:r>
                </w:p>
              </w:tc>
            </w:tr>
            <w:tr w14:paraId="642A92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0FF3F359">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eastAsia="宋体" w:cs="Times New Roman"/>
                      <w:color w:val="auto"/>
                      <w:sz w:val="18"/>
                      <w:szCs w:val="18"/>
                      <w:highlight w:val="none"/>
                      <w:lang w:val="en-US" w:eastAsia="zh-CN"/>
                    </w:rPr>
                    <w:t>铜</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4C238BEC">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
                      <w:position w:val="0"/>
                      <w:sz w:val="18"/>
                      <w:szCs w:val="18"/>
                      <w:lang w:val="en-US" w:eastAsia="zh-CN" w:bidi="ar-SA"/>
                    </w:rPr>
                  </w:pPr>
                  <w:r>
                    <w:rPr>
                      <w:rFonts w:hint="eastAsia" w:ascii="Times New Roman" w:hAnsi="Times New Roman" w:cs="Times New Roman"/>
                      <w:color w:val="auto"/>
                      <w:sz w:val="18"/>
                      <w:szCs w:val="18"/>
                      <w:highlight w:val="none"/>
                      <w:vertAlign w:val="baseline"/>
                      <w:lang w:val="en-US" w:eastAsia="zh-CN"/>
                    </w:rPr>
                    <w:t>0.01ND</w:t>
                  </w:r>
                </w:p>
              </w:tc>
              <w:tc>
                <w:tcPr>
                  <w:tcW w:w="1120" w:type="dxa"/>
                  <w:tcBorders>
                    <w:tl2br w:val="nil"/>
                    <w:tr2bl w:val="nil"/>
                  </w:tcBorders>
                  <w:shd w:val="clear" w:color="auto" w:fill="auto"/>
                  <w:noWrap w:val="0"/>
                  <w:vAlign w:val="center"/>
                </w:tcPr>
                <w:p w14:paraId="4A294FE3">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kern w:val="2"/>
                      <w:sz w:val="18"/>
                      <w:szCs w:val="18"/>
                    </w:rPr>
                    <w:t>≤1.00</w:t>
                  </w:r>
                </w:p>
              </w:tc>
              <w:tc>
                <w:tcPr>
                  <w:tcW w:w="1790" w:type="dxa"/>
                  <w:tcBorders>
                    <w:tl2br w:val="nil"/>
                    <w:tr2bl w:val="nil"/>
                  </w:tcBorders>
                  <w:shd w:val="clear" w:color="auto" w:fill="auto"/>
                  <w:noWrap w:val="0"/>
                  <w:vAlign w:val="center"/>
                </w:tcPr>
                <w:p w14:paraId="2B471832">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cs="Times New Roman"/>
                      <w:color w:val="auto"/>
                      <w:sz w:val="18"/>
                      <w:szCs w:val="18"/>
                      <w:highlight w:val="none"/>
                      <w:lang w:val="en-US" w:eastAsia="zh-CN"/>
                    </w:rPr>
                    <w:t>菌落总数</w:t>
                  </w:r>
                  <w:r>
                    <w:rPr>
                      <w:rFonts w:hint="default" w:ascii="Times New Roman" w:hAnsi="Times New Roman" w:eastAsia="宋体" w:cs="Times New Roman"/>
                      <w:color w:val="auto"/>
                      <w:sz w:val="18"/>
                      <w:szCs w:val="18"/>
                      <w:highlight w:val="none"/>
                      <w:lang w:val="en-US" w:eastAsia="zh-CN"/>
                    </w:rPr>
                    <w:t>（CFU/ml）</w:t>
                  </w:r>
                </w:p>
              </w:tc>
              <w:tc>
                <w:tcPr>
                  <w:tcW w:w="1010" w:type="dxa"/>
                  <w:tcBorders>
                    <w:tl2br w:val="nil"/>
                    <w:tr2bl w:val="nil"/>
                  </w:tcBorders>
                  <w:shd w:val="clear" w:color="auto" w:fill="auto"/>
                  <w:noWrap w:val="0"/>
                  <w:vAlign w:val="center"/>
                </w:tcPr>
                <w:p w14:paraId="6DF444F6">
                  <w:pPr>
                    <w:pStyle w:val="108"/>
                    <w:keepNext w:val="0"/>
                    <w:keepLines w:val="0"/>
                    <w:pageBreakBefore w:val="0"/>
                    <w:widowControl w:val="0"/>
                    <w:shd w:val="clear" w:color="auto" w:fill="auto"/>
                    <w:kinsoku/>
                    <w:wordWrap/>
                    <w:overflowPunct/>
                    <w:topLinePunct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18"/>
                      <w:szCs w:val="18"/>
                      <w:u w:val="none"/>
                      <w:shd w:val="clear" w:color="auto" w:fill="auto"/>
                      <w:lang w:val="en-US" w:eastAsia="zh-CN" w:bidi="zh-TW"/>
                    </w:rPr>
                  </w:pPr>
                  <w:r>
                    <w:rPr>
                      <w:rFonts w:hint="eastAsia" w:ascii="Times New Roman" w:hAnsi="Times New Roman" w:cs="Times New Roman"/>
                      <w:color w:val="auto"/>
                      <w:spacing w:val="0"/>
                      <w:w w:val="100"/>
                      <w:position w:val="0"/>
                      <w:sz w:val="18"/>
                      <w:szCs w:val="18"/>
                      <w:lang w:val="en-US" w:eastAsia="zh-CN"/>
                    </w:rPr>
                    <w:t>3</w:t>
                  </w:r>
                </w:p>
              </w:tc>
              <w:tc>
                <w:tcPr>
                  <w:tcW w:w="1085" w:type="dxa"/>
                  <w:tcBorders>
                    <w:tl2br w:val="nil"/>
                    <w:tr2bl w:val="nil"/>
                  </w:tcBorders>
                  <w:shd w:val="clear" w:color="auto" w:fill="auto"/>
                  <w:noWrap w:val="0"/>
                  <w:vAlign w:val="center"/>
                </w:tcPr>
                <w:p w14:paraId="69547366">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ar-SA"/>
                    </w:rPr>
                  </w:pPr>
                  <w:r>
                    <w:rPr>
                      <w:rFonts w:hint="default" w:ascii="Times New Roman" w:hAnsi="Times New Roman" w:eastAsia="宋体" w:cs="Times New Roman"/>
                      <w:color w:val="auto"/>
                      <w:kern w:val="2"/>
                      <w:sz w:val="18"/>
                      <w:szCs w:val="18"/>
                    </w:rPr>
                    <w:t>≤100</w:t>
                  </w:r>
                </w:p>
              </w:tc>
            </w:tr>
            <w:tr w14:paraId="4DF036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58030EE3">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eastAsia="宋体" w:cs="Times New Roman"/>
                      <w:color w:val="auto"/>
                      <w:sz w:val="18"/>
                      <w:szCs w:val="18"/>
                      <w:highlight w:val="none"/>
                      <w:lang w:val="en-US" w:eastAsia="zh-CN"/>
                    </w:rPr>
                    <w:t>锌</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042734C1">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
                      <w:position w:val="0"/>
                      <w:sz w:val="18"/>
                      <w:szCs w:val="18"/>
                      <w:lang w:val="en-US" w:eastAsia="zh-CN" w:bidi="ar-SA"/>
                    </w:rPr>
                  </w:pPr>
                  <w:r>
                    <w:rPr>
                      <w:rFonts w:hint="eastAsia" w:ascii="Times New Roman" w:hAnsi="Times New Roman" w:cs="Times New Roman"/>
                      <w:color w:val="auto"/>
                      <w:sz w:val="18"/>
                      <w:szCs w:val="18"/>
                      <w:highlight w:val="none"/>
                      <w:vertAlign w:val="baseline"/>
                      <w:lang w:val="en-US" w:eastAsia="zh-CN"/>
                    </w:rPr>
                    <w:t>0.01ND</w:t>
                  </w:r>
                </w:p>
              </w:tc>
              <w:tc>
                <w:tcPr>
                  <w:tcW w:w="1120" w:type="dxa"/>
                  <w:tcBorders>
                    <w:tl2br w:val="nil"/>
                    <w:tr2bl w:val="nil"/>
                  </w:tcBorders>
                  <w:shd w:val="clear" w:color="auto" w:fill="auto"/>
                  <w:noWrap w:val="0"/>
                  <w:vAlign w:val="center"/>
                </w:tcPr>
                <w:p w14:paraId="2C5087CA">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kern w:val="2"/>
                      <w:sz w:val="18"/>
                      <w:szCs w:val="18"/>
                    </w:rPr>
                    <w:t>≤1.00</w:t>
                  </w:r>
                </w:p>
              </w:tc>
              <w:tc>
                <w:tcPr>
                  <w:tcW w:w="1790" w:type="dxa"/>
                  <w:tcBorders>
                    <w:tl2br w:val="nil"/>
                    <w:tr2bl w:val="nil"/>
                  </w:tcBorders>
                  <w:shd w:val="clear" w:color="auto" w:fill="auto"/>
                  <w:noWrap w:val="0"/>
                  <w:vAlign w:val="center"/>
                </w:tcPr>
                <w:p w14:paraId="3D622222">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spacing w:val="0"/>
                      <w:position w:val="0"/>
                      <w:sz w:val="18"/>
                      <w:szCs w:val="18"/>
                    </w:rPr>
                    <w:t>K</w:t>
                  </w:r>
                  <w:r>
                    <w:rPr>
                      <w:rFonts w:hint="default" w:ascii="Times New Roman" w:hAnsi="Times New Roman" w:eastAsia="宋体" w:cs="Times New Roman"/>
                      <w:color w:val="auto"/>
                      <w:spacing w:val="0"/>
                      <w:position w:val="0"/>
                      <w:sz w:val="18"/>
                      <w:szCs w:val="18"/>
                      <w:vertAlign w:val="superscript"/>
                      <w:lang w:val="en-US" w:eastAsia="zh-CN"/>
                    </w:rPr>
                    <w:t>+</w:t>
                  </w:r>
                  <w:r>
                    <w:rPr>
                      <w:rFonts w:hint="default" w:ascii="Times New Roman" w:hAnsi="Times New Roman" w:eastAsia="宋体" w:cs="Times New Roman"/>
                      <w:color w:val="auto"/>
                      <w:spacing w:val="0"/>
                      <w:position w:val="0"/>
                      <w:sz w:val="18"/>
                      <w:szCs w:val="18"/>
                    </w:rPr>
                    <w:t>（mg/L）</w:t>
                  </w:r>
                </w:p>
              </w:tc>
              <w:tc>
                <w:tcPr>
                  <w:tcW w:w="1010" w:type="dxa"/>
                  <w:tcBorders>
                    <w:tl2br w:val="nil"/>
                    <w:tr2bl w:val="nil"/>
                  </w:tcBorders>
                  <w:shd w:val="clear" w:color="auto" w:fill="auto"/>
                  <w:noWrap w:val="0"/>
                  <w:vAlign w:val="center"/>
                </w:tcPr>
                <w:p w14:paraId="1FDA0F0A">
                  <w:pPr>
                    <w:pStyle w:val="108"/>
                    <w:keepNext w:val="0"/>
                    <w:keepLines w:val="0"/>
                    <w:pageBreakBefore w:val="0"/>
                    <w:widowControl w:val="0"/>
                    <w:shd w:val="clear" w:color="auto" w:fill="auto"/>
                    <w:kinsoku/>
                    <w:wordWrap/>
                    <w:overflowPunct/>
                    <w:topLinePunct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u w:val="none"/>
                      <w:shd w:val="clear" w:color="auto" w:fill="auto"/>
                      <w:lang w:val="en-US" w:eastAsia="zh-CN" w:bidi="zh-CN"/>
                    </w:rPr>
                  </w:pPr>
                  <w:r>
                    <w:rPr>
                      <w:rFonts w:hint="eastAsia" w:ascii="Times New Roman" w:hAnsi="Times New Roman" w:cs="Times New Roman"/>
                      <w:smallCaps w:val="0"/>
                      <w:color w:val="auto"/>
                      <w:spacing w:val="0"/>
                      <w:w w:val="100"/>
                      <w:kern w:val="2"/>
                      <w:position w:val="0"/>
                      <w:sz w:val="18"/>
                      <w:szCs w:val="18"/>
                      <w:u w:val="none"/>
                      <w:shd w:val="clear" w:color="auto" w:fill="auto"/>
                      <w:lang w:val="en-US" w:eastAsia="zh-CN" w:bidi="zh-CN"/>
                    </w:rPr>
                    <w:t>0.98</w:t>
                  </w:r>
                </w:p>
              </w:tc>
              <w:tc>
                <w:tcPr>
                  <w:tcW w:w="1085" w:type="dxa"/>
                  <w:tcBorders>
                    <w:tl2br w:val="nil"/>
                    <w:tr2bl w:val="nil"/>
                  </w:tcBorders>
                  <w:noWrap w:val="0"/>
                  <w:vAlign w:val="center"/>
                </w:tcPr>
                <w:p w14:paraId="63F494AC">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ar-SA"/>
                    </w:rPr>
                  </w:pPr>
                  <w:r>
                    <w:rPr>
                      <w:rFonts w:hint="eastAsia" w:eastAsia="宋体" w:cs="Times New Roman"/>
                      <w:smallCaps w:val="0"/>
                      <w:color w:val="auto"/>
                      <w:spacing w:val="0"/>
                      <w:w w:val="100"/>
                      <w:kern w:val="2"/>
                      <w:position w:val="0"/>
                      <w:sz w:val="18"/>
                      <w:szCs w:val="18"/>
                      <w:lang w:val="en-US" w:eastAsia="zh-CN" w:bidi="ar-SA"/>
                    </w:rPr>
                    <w:t>/</w:t>
                  </w:r>
                </w:p>
              </w:tc>
            </w:tr>
            <w:tr w14:paraId="7CE339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0384B1C1">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
                      <w:position w:val="0"/>
                      <w:sz w:val="18"/>
                      <w:szCs w:val="18"/>
                      <w:lang w:val="zh-CN" w:eastAsia="zh-CN" w:bidi="ar-SA"/>
                    </w:rPr>
                  </w:pPr>
                  <w:r>
                    <w:rPr>
                      <w:rFonts w:hint="default" w:ascii="Times New Roman" w:hAnsi="Times New Roman" w:eastAsia="宋体" w:cs="Times New Roman"/>
                      <w:color w:val="auto"/>
                      <w:kern w:val="0"/>
                      <w:sz w:val="18"/>
                      <w:szCs w:val="18"/>
                      <w:highlight w:val="none"/>
                      <w:lang w:val="en-US" w:eastAsia="zh-CN"/>
                    </w:rPr>
                    <w:t>挥发酚</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3F0F2476">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kern w:val="2"/>
                      <w:position w:val="0"/>
                      <w:sz w:val="18"/>
                      <w:szCs w:val="18"/>
                      <w:lang w:val="en-US" w:eastAsia="zh-CN" w:bidi="ar-SA"/>
                    </w:rPr>
                  </w:pPr>
                  <w:r>
                    <w:rPr>
                      <w:rFonts w:hint="eastAsia" w:ascii="Times New Roman" w:hAnsi="Times New Roman" w:cs="Times New Roman"/>
                      <w:color w:val="auto"/>
                      <w:sz w:val="18"/>
                      <w:szCs w:val="18"/>
                      <w:highlight w:val="none"/>
                      <w:vertAlign w:val="baseline"/>
                      <w:lang w:val="en-US" w:eastAsia="zh-CN"/>
                    </w:rPr>
                    <w:t>0.0003ND</w:t>
                  </w:r>
                </w:p>
              </w:tc>
              <w:tc>
                <w:tcPr>
                  <w:tcW w:w="1120" w:type="dxa"/>
                  <w:tcBorders>
                    <w:tl2br w:val="nil"/>
                    <w:tr2bl w:val="nil"/>
                  </w:tcBorders>
                  <w:shd w:val="clear" w:color="auto" w:fill="auto"/>
                  <w:noWrap w:val="0"/>
                  <w:vAlign w:val="center"/>
                </w:tcPr>
                <w:p w14:paraId="66D4357F">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kern w:val="2"/>
                      <w:sz w:val="18"/>
                      <w:szCs w:val="18"/>
                    </w:rPr>
                    <w:t>≤0.002</w:t>
                  </w:r>
                </w:p>
              </w:tc>
              <w:tc>
                <w:tcPr>
                  <w:tcW w:w="1790" w:type="dxa"/>
                  <w:tcBorders>
                    <w:tl2br w:val="nil"/>
                    <w:tr2bl w:val="nil"/>
                  </w:tcBorders>
                  <w:shd w:val="clear" w:color="auto" w:fill="auto"/>
                  <w:noWrap w:val="0"/>
                  <w:vAlign w:val="center"/>
                </w:tcPr>
                <w:p w14:paraId="66CA1323">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spacing w:val="0"/>
                      <w:position w:val="0"/>
                      <w:sz w:val="18"/>
                      <w:szCs w:val="18"/>
                    </w:rPr>
                    <w:t>Na</w:t>
                  </w:r>
                  <w:r>
                    <w:rPr>
                      <w:rFonts w:hint="default" w:ascii="Times New Roman" w:hAnsi="Times New Roman" w:eastAsia="宋体" w:cs="Times New Roman"/>
                      <w:color w:val="auto"/>
                      <w:spacing w:val="0"/>
                      <w:position w:val="0"/>
                      <w:sz w:val="18"/>
                      <w:szCs w:val="18"/>
                      <w:vertAlign w:val="superscript"/>
                      <w:lang w:val="en-US" w:eastAsia="zh-CN"/>
                    </w:rPr>
                    <w:t>+</w:t>
                  </w:r>
                  <w:r>
                    <w:rPr>
                      <w:rFonts w:hint="default" w:ascii="Times New Roman" w:hAnsi="Times New Roman" w:eastAsia="宋体" w:cs="Times New Roman"/>
                      <w:color w:val="auto"/>
                      <w:spacing w:val="0"/>
                      <w:position w:val="0"/>
                      <w:sz w:val="18"/>
                      <w:szCs w:val="18"/>
                    </w:rPr>
                    <w:t>（mg/L）</w:t>
                  </w:r>
                </w:p>
              </w:tc>
              <w:tc>
                <w:tcPr>
                  <w:tcW w:w="1010" w:type="dxa"/>
                  <w:tcBorders>
                    <w:tl2br w:val="nil"/>
                    <w:tr2bl w:val="nil"/>
                  </w:tcBorders>
                  <w:shd w:val="clear" w:color="auto" w:fill="auto"/>
                  <w:noWrap w:val="0"/>
                  <w:vAlign w:val="center"/>
                </w:tcPr>
                <w:p w14:paraId="06022858">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eastAsia="宋体" w:cs="Times New Roman"/>
                      <w:color w:val="auto"/>
                      <w:kern w:val="0"/>
                      <w:sz w:val="18"/>
                      <w:szCs w:val="18"/>
                      <w:highlight w:val="none"/>
                      <w:lang w:val="en-US" w:eastAsia="zh-CN" w:bidi="ar-SA"/>
                    </w:rPr>
                    <w:t>58.7</w:t>
                  </w:r>
                </w:p>
              </w:tc>
              <w:tc>
                <w:tcPr>
                  <w:tcW w:w="1085" w:type="dxa"/>
                  <w:tcBorders>
                    <w:tl2br w:val="nil"/>
                    <w:tr2bl w:val="nil"/>
                  </w:tcBorders>
                  <w:shd w:val="clear" w:color="auto" w:fill="auto"/>
                  <w:noWrap w:val="0"/>
                  <w:vAlign w:val="center"/>
                </w:tcPr>
                <w:p w14:paraId="0F5EC29C">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ar-SA"/>
                    </w:rPr>
                  </w:pPr>
                  <w:r>
                    <w:rPr>
                      <w:rFonts w:hint="eastAsia" w:eastAsia="宋体" w:cs="Times New Roman"/>
                      <w:smallCaps w:val="0"/>
                      <w:color w:val="auto"/>
                      <w:spacing w:val="0"/>
                      <w:w w:val="100"/>
                      <w:kern w:val="2"/>
                      <w:position w:val="0"/>
                      <w:sz w:val="18"/>
                      <w:szCs w:val="18"/>
                      <w:lang w:val="en-US" w:eastAsia="zh-CN" w:bidi="ar-SA"/>
                    </w:rPr>
                    <w:t>/</w:t>
                  </w:r>
                </w:p>
              </w:tc>
            </w:tr>
            <w:tr w14:paraId="3114A0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24924FF4">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eastAsia" w:eastAsia="宋体" w:cs="Times New Roman"/>
                      <w:smallCaps w:val="0"/>
                      <w:color w:val="auto"/>
                      <w:spacing w:val="0"/>
                      <w:w w:val="100"/>
                      <w:kern w:val="2"/>
                      <w:position w:val="0"/>
                      <w:sz w:val="18"/>
                      <w:szCs w:val="18"/>
                      <w:lang w:val="en-US" w:eastAsia="zh-CN" w:bidi="zh-CN"/>
                    </w:rPr>
                    <w:t>阴离子表面活性剂</w:t>
                  </w:r>
                </w:p>
              </w:tc>
              <w:tc>
                <w:tcPr>
                  <w:tcW w:w="990" w:type="dxa"/>
                  <w:tcBorders>
                    <w:tl2br w:val="nil"/>
                    <w:tr2bl w:val="nil"/>
                  </w:tcBorders>
                  <w:shd w:val="clear" w:color="auto" w:fill="auto"/>
                  <w:noWrap w:val="0"/>
                  <w:vAlign w:val="center"/>
                </w:tcPr>
                <w:p w14:paraId="4CB86C25">
                  <w:pPr>
                    <w:pStyle w:val="108"/>
                    <w:keepNext w:val="0"/>
                    <w:keepLines w:val="0"/>
                    <w:pageBreakBefore w:val="0"/>
                    <w:widowControl w:val="0"/>
                    <w:shd w:val="clear" w:color="auto" w:fill="auto"/>
                    <w:kinsoku/>
                    <w:wordWrap/>
                    <w:overflowPunct/>
                    <w:topLinePunct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u w:val="none"/>
                      <w:shd w:val="clear" w:color="auto" w:fill="auto"/>
                      <w:lang w:val="en-US" w:eastAsia="zh-CN" w:bidi="zh-CN"/>
                    </w:rPr>
                  </w:pPr>
                  <w:r>
                    <w:rPr>
                      <w:rFonts w:hint="eastAsia" w:ascii="Times New Roman" w:hAnsi="Times New Roman" w:cs="Times New Roman"/>
                      <w:smallCaps w:val="0"/>
                      <w:color w:val="auto"/>
                      <w:spacing w:val="0"/>
                      <w:w w:val="100"/>
                      <w:kern w:val="2"/>
                      <w:position w:val="0"/>
                      <w:sz w:val="18"/>
                      <w:szCs w:val="18"/>
                      <w:u w:val="none"/>
                      <w:shd w:val="clear" w:color="auto" w:fill="auto"/>
                      <w:lang w:val="en-US" w:eastAsia="zh-CN" w:bidi="zh-CN"/>
                    </w:rPr>
                    <w:t>0.05ND</w:t>
                  </w:r>
                </w:p>
              </w:tc>
              <w:tc>
                <w:tcPr>
                  <w:tcW w:w="1120" w:type="dxa"/>
                  <w:tcBorders>
                    <w:tl2br w:val="nil"/>
                    <w:tr2bl w:val="nil"/>
                  </w:tcBorders>
                  <w:shd w:val="clear" w:color="auto" w:fill="auto"/>
                  <w:noWrap w:val="0"/>
                  <w:vAlign w:val="center"/>
                </w:tcPr>
                <w:p w14:paraId="592B219C">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kern w:val="2"/>
                      <w:sz w:val="18"/>
                      <w:szCs w:val="18"/>
                    </w:rPr>
                    <w:t>≤0.</w:t>
                  </w:r>
                  <w:r>
                    <w:rPr>
                      <w:rFonts w:hint="eastAsia" w:eastAsia="宋体" w:cs="Times New Roman"/>
                      <w:color w:val="auto"/>
                      <w:kern w:val="2"/>
                      <w:sz w:val="18"/>
                      <w:szCs w:val="18"/>
                      <w:lang w:val="en-US" w:eastAsia="zh-CN"/>
                    </w:rPr>
                    <w:t>3</w:t>
                  </w:r>
                </w:p>
              </w:tc>
              <w:tc>
                <w:tcPr>
                  <w:tcW w:w="1790" w:type="dxa"/>
                  <w:tcBorders>
                    <w:tl2br w:val="nil"/>
                    <w:tr2bl w:val="nil"/>
                  </w:tcBorders>
                  <w:shd w:val="clear" w:color="auto" w:fill="auto"/>
                  <w:noWrap w:val="0"/>
                  <w:vAlign w:val="center"/>
                </w:tcPr>
                <w:p w14:paraId="1B2C7554">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spacing w:val="0"/>
                      <w:position w:val="0"/>
                      <w:sz w:val="18"/>
                      <w:szCs w:val="18"/>
                    </w:rPr>
                    <w:t>Ca</w:t>
                  </w:r>
                  <w:r>
                    <w:rPr>
                      <w:rFonts w:hint="default" w:ascii="Times New Roman" w:hAnsi="Times New Roman" w:eastAsia="宋体" w:cs="Times New Roman"/>
                      <w:color w:val="auto"/>
                      <w:spacing w:val="0"/>
                      <w:position w:val="0"/>
                      <w:sz w:val="18"/>
                      <w:szCs w:val="18"/>
                      <w:vertAlign w:val="superscript"/>
                      <w:lang w:val="en-US" w:eastAsia="zh-CN"/>
                    </w:rPr>
                    <w:t>2+</w:t>
                  </w:r>
                  <w:r>
                    <w:rPr>
                      <w:rFonts w:hint="default" w:ascii="Times New Roman" w:hAnsi="Times New Roman" w:eastAsia="宋体" w:cs="Times New Roman"/>
                      <w:color w:val="auto"/>
                      <w:spacing w:val="0"/>
                      <w:position w:val="0"/>
                      <w:sz w:val="18"/>
                      <w:szCs w:val="18"/>
                    </w:rPr>
                    <w:t>（mg/L）</w:t>
                  </w:r>
                </w:p>
              </w:tc>
              <w:tc>
                <w:tcPr>
                  <w:tcW w:w="1010" w:type="dxa"/>
                  <w:tcBorders>
                    <w:tl2br w:val="nil"/>
                    <w:tr2bl w:val="nil"/>
                  </w:tcBorders>
                  <w:shd w:val="clear" w:color="auto" w:fill="auto"/>
                  <w:noWrap w:val="0"/>
                  <w:vAlign w:val="center"/>
                </w:tcPr>
                <w:p w14:paraId="541838F9">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eastAsia="宋体" w:cs="Times New Roman"/>
                      <w:color w:val="auto"/>
                      <w:kern w:val="0"/>
                      <w:sz w:val="18"/>
                      <w:szCs w:val="18"/>
                      <w:highlight w:val="none"/>
                      <w:lang w:val="en-US" w:eastAsia="zh-CN" w:bidi="ar-SA"/>
                    </w:rPr>
                    <w:t>48.6</w:t>
                  </w:r>
                </w:p>
              </w:tc>
              <w:tc>
                <w:tcPr>
                  <w:tcW w:w="1085" w:type="dxa"/>
                  <w:tcBorders>
                    <w:tl2br w:val="nil"/>
                    <w:tr2bl w:val="nil"/>
                  </w:tcBorders>
                  <w:shd w:val="clear" w:color="auto" w:fill="auto"/>
                  <w:noWrap w:val="0"/>
                  <w:vAlign w:val="center"/>
                </w:tcPr>
                <w:p w14:paraId="4F2F3B94">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ar-SA"/>
                    </w:rPr>
                  </w:pPr>
                  <w:r>
                    <w:rPr>
                      <w:rFonts w:hint="eastAsia" w:eastAsia="宋体" w:cs="Times New Roman"/>
                      <w:smallCaps w:val="0"/>
                      <w:color w:val="auto"/>
                      <w:spacing w:val="0"/>
                      <w:w w:val="100"/>
                      <w:kern w:val="2"/>
                      <w:position w:val="0"/>
                      <w:sz w:val="18"/>
                      <w:szCs w:val="18"/>
                      <w:lang w:val="en-US" w:eastAsia="zh-CN" w:bidi="ar-SA"/>
                    </w:rPr>
                    <w:t>/</w:t>
                  </w:r>
                </w:p>
              </w:tc>
            </w:tr>
            <w:tr w14:paraId="21DF06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2101BFA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eastAsia="宋体" w:cs="Times New Roman"/>
                      <w:color w:val="auto"/>
                      <w:kern w:val="2"/>
                      <w:sz w:val="18"/>
                      <w:szCs w:val="18"/>
                      <w:highlight w:val="none"/>
                    </w:rPr>
                    <w:t>耗氧量</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77378273">
                  <w:pPr>
                    <w:pStyle w:val="108"/>
                    <w:keepNext w:val="0"/>
                    <w:keepLines w:val="0"/>
                    <w:pageBreakBefore w:val="0"/>
                    <w:widowControl w:val="0"/>
                    <w:shd w:val="clear" w:color="auto" w:fill="auto"/>
                    <w:kinsoku/>
                    <w:wordWrap/>
                    <w:overflowPunct/>
                    <w:topLinePunct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u w:val="none"/>
                      <w:shd w:val="clear" w:color="auto" w:fill="auto"/>
                      <w:lang w:val="en-US" w:eastAsia="zh-CN" w:bidi="zh-CN"/>
                    </w:rPr>
                  </w:pPr>
                  <w:r>
                    <w:rPr>
                      <w:rFonts w:hint="eastAsia" w:ascii="Times New Roman" w:hAnsi="Times New Roman" w:cs="Times New Roman"/>
                      <w:smallCaps w:val="0"/>
                      <w:color w:val="auto"/>
                      <w:spacing w:val="0"/>
                      <w:w w:val="100"/>
                      <w:position w:val="0"/>
                      <w:sz w:val="18"/>
                      <w:szCs w:val="18"/>
                      <w:lang w:val="en-US" w:eastAsia="zh-CN" w:bidi="zh-CN"/>
                    </w:rPr>
                    <w:t>0.48</w:t>
                  </w:r>
                </w:p>
              </w:tc>
              <w:tc>
                <w:tcPr>
                  <w:tcW w:w="1120" w:type="dxa"/>
                  <w:tcBorders>
                    <w:tl2br w:val="nil"/>
                    <w:tr2bl w:val="nil"/>
                  </w:tcBorders>
                  <w:shd w:val="clear" w:color="auto" w:fill="auto"/>
                  <w:noWrap w:val="0"/>
                  <w:vAlign w:val="center"/>
                </w:tcPr>
                <w:p w14:paraId="7BFC765E">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kern w:val="2"/>
                      <w:sz w:val="18"/>
                      <w:szCs w:val="18"/>
                    </w:rPr>
                    <w:t>≤3.0</w:t>
                  </w:r>
                </w:p>
              </w:tc>
              <w:tc>
                <w:tcPr>
                  <w:tcW w:w="1790" w:type="dxa"/>
                  <w:tcBorders>
                    <w:tl2br w:val="nil"/>
                    <w:tr2bl w:val="nil"/>
                  </w:tcBorders>
                  <w:shd w:val="clear" w:color="auto" w:fill="auto"/>
                  <w:noWrap w:val="0"/>
                  <w:vAlign w:val="center"/>
                </w:tcPr>
                <w:p w14:paraId="5FEC4275">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spacing w:val="0"/>
                      <w:position w:val="0"/>
                      <w:sz w:val="18"/>
                      <w:szCs w:val="18"/>
                    </w:rPr>
                    <w:t>Mg</w:t>
                  </w:r>
                  <w:r>
                    <w:rPr>
                      <w:rFonts w:hint="default" w:ascii="Times New Roman" w:hAnsi="Times New Roman" w:eastAsia="宋体" w:cs="Times New Roman"/>
                      <w:color w:val="auto"/>
                      <w:spacing w:val="0"/>
                      <w:position w:val="0"/>
                      <w:sz w:val="18"/>
                      <w:szCs w:val="18"/>
                      <w:vertAlign w:val="superscript"/>
                      <w:lang w:val="en-US" w:eastAsia="zh-CN"/>
                    </w:rPr>
                    <w:t>2+</w:t>
                  </w:r>
                  <w:r>
                    <w:rPr>
                      <w:rFonts w:hint="default" w:ascii="Times New Roman" w:hAnsi="Times New Roman" w:eastAsia="宋体" w:cs="Times New Roman"/>
                      <w:color w:val="auto"/>
                      <w:spacing w:val="0"/>
                      <w:position w:val="0"/>
                      <w:sz w:val="18"/>
                      <w:szCs w:val="18"/>
                    </w:rPr>
                    <w:t>（mg/L）</w:t>
                  </w:r>
                </w:p>
              </w:tc>
              <w:tc>
                <w:tcPr>
                  <w:tcW w:w="1010" w:type="dxa"/>
                  <w:tcBorders>
                    <w:tl2br w:val="nil"/>
                    <w:tr2bl w:val="nil"/>
                  </w:tcBorders>
                  <w:shd w:val="clear" w:color="auto" w:fill="auto"/>
                  <w:noWrap w:val="0"/>
                  <w:vAlign w:val="center"/>
                </w:tcPr>
                <w:p w14:paraId="365B4AC7">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eastAsia="宋体" w:cs="Times New Roman"/>
                      <w:color w:val="auto"/>
                      <w:kern w:val="0"/>
                      <w:sz w:val="18"/>
                      <w:szCs w:val="18"/>
                      <w:highlight w:val="none"/>
                      <w:lang w:val="en-US" w:eastAsia="zh-CN" w:bidi="ar-SA"/>
                    </w:rPr>
                    <w:t>17.8</w:t>
                  </w:r>
                </w:p>
              </w:tc>
              <w:tc>
                <w:tcPr>
                  <w:tcW w:w="1085" w:type="dxa"/>
                  <w:tcBorders>
                    <w:tl2br w:val="nil"/>
                    <w:tr2bl w:val="nil"/>
                  </w:tcBorders>
                  <w:shd w:val="clear" w:color="auto" w:fill="auto"/>
                  <w:noWrap w:val="0"/>
                  <w:vAlign w:val="center"/>
                </w:tcPr>
                <w:p w14:paraId="227330B4">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ar-SA"/>
                    </w:rPr>
                  </w:pPr>
                  <w:r>
                    <w:rPr>
                      <w:rFonts w:hint="eastAsia" w:eastAsia="宋体" w:cs="Times New Roman"/>
                      <w:smallCaps w:val="0"/>
                      <w:color w:val="auto"/>
                      <w:spacing w:val="0"/>
                      <w:w w:val="100"/>
                      <w:kern w:val="2"/>
                      <w:position w:val="0"/>
                      <w:sz w:val="18"/>
                      <w:szCs w:val="18"/>
                      <w:lang w:val="en-US" w:eastAsia="zh-CN" w:bidi="ar-SA"/>
                    </w:rPr>
                    <w:t>/</w:t>
                  </w:r>
                </w:p>
              </w:tc>
            </w:tr>
            <w:tr w14:paraId="475A0D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576C769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eastAsia="宋体" w:cs="Times New Roman"/>
                      <w:color w:val="auto"/>
                      <w:sz w:val="18"/>
                      <w:szCs w:val="18"/>
                      <w:highlight w:val="none"/>
                      <w:lang w:val="en-US" w:eastAsia="zh-CN"/>
                    </w:rPr>
                    <w:t>氨氮</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7384CD5A">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eastAsia" w:cs="Times New Roman"/>
                      <w:color w:val="auto"/>
                      <w:sz w:val="18"/>
                      <w:szCs w:val="18"/>
                      <w:highlight w:val="none"/>
                      <w:vertAlign w:val="baseline"/>
                      <w:lang w:val="en-US" w:eastAsia="zh-CN"/>
                    </w:rPr>
                    <w:t>0.056</w:t>
                  </w:r>
                </w:p>
              </w:tc>
              <w:tc>
                <w:tcPr>
                  <w:tcW w:w="1120" w:type="dxa"/>
                  <w:tcBorders>
                    <w:tl2br w:val="nil"/>
                    <w:tr2bl w:val="nil"/>
                  </w:tcBorders>
                  <w:shd w:val="clear" w:color="auto" w:fill="auto"/>
                  <w:noWrap w:val="0"/>
                  <w:vAlign w:val="center"/>
                </w:tcPr>
                <w:p w14:paraId="0CE66A9D">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kern w:val="2"/>
                      <w:sz w:val="18"/>
                      <w:szCs w:val="18"/>
                    </w:rPr>
                    <w:t>≤0.50</w:t>
                  </w:r>
                </w:p>
              </w:tc>
              <w:tc>
                <w:tcPr>
                  <w:tcW w:w="1790" w:type="dxa"/>
                  <w:tcBorders>
                    <w:tl2br w:val="nil"/>
                    <w:tr2bl w:val="nil"/>
                  </w:tcBorders>
                  <w:shd w:val="clear" w:color="auto" w:fill="auto"/>
                  <w:noWrap w:val="0"/>
                  <w:vAlign w:val="center"/>
                </w:tcPr>
                <w:p w14:paraId="1399BD82">
                  <w:pPr>
                    <w:pStyle w:val="6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360" w:firstLineChars="200"/>
                    <w:jc w:val="center"/>
                    <w:textAlignment w:val="auto"/>
                    <w:rPr>
                      <w:rFonts w:hint="default" w:ascii="Times New Roman" w:hAnsi="Times New Roman" w:eastAsia="宋体" w:cs="Times New Roman"/>
                      <w:smallCaps w:val="0"/>
                      <w:color w:val="auto"/>
                      <w:spacing w:val="0"/>
                      <w:w w:val="100"/>
                      <w:kern w:val="0"/>
                      <w:position w:val="0"/>
                      <w:sz w:val="18"/>
                      <w:szCs w:val="18"/>
                      <w:lang w:val="en-US" w:eastAsia="zh-CN" w:bidi="zh-CN"/>
                    </w:rPr>
                  </w:pPr>
                  <w:r>
                    <w:rPr>
                      <w:rFonts w:hint="default" w:ascii="Times New Roman" w:hAnsi="Times New Roman" w:eastAsia="宋体" w:cs="Times New Roman"/>
                      <w:color w:val="auto"/>
                      <w:spacing w:val="0"/>
                      <w:position w:val="0"/>
                      <w:sz w:val="18"/>
                      <w:szCs w:val="18"/>
                    </w:rPr>
                    <w:t>CO</w:t>
                  </w:r>
                  <w:r>
                    <w:rPr>
                      <w:rFonts w:hint="default" w:ascii="Times New Roman" w:hAnsi="Times New Roman" w:eastAsia="宋体" w:cs="Times New Roman"/>
                      <w:color w:val="auto"/>
                      <w:spacing w:val="0"/>
                      <w:position w:val="0"/>
                      <w:sz w:val="18"/>
                      <w:szCs w:val="18"/>
                      <w:vertAlign w:val="subscript"/>
                    </w:rPr>
                    <w:t>3</w:t>
                  </w:r>
                  <w:r>
                    <w:rPr>
                      <w:rFonts w:hint="default" w:ascii="Times New Roman" w:hAnsi="Times New Roman" w:eastAsia="宋体" w:cs="Times New Roman"/>
                      <w:color w:val="auto"/>
                      <w:spacing w:val="0"/>
                      <w:position w:val="0"/>
                      <w:sz w:val="18"/>
                      <w:szCs w:val="18"/>
                      <w:vertAlign w:val="superscript"/>
                      <w:lang w:val="en-US" w:eastAsia="zh-CN"/>
                    </w:rPr>
                    <w:t>2+</w:t>
                  </w:r>
                  <w:r>
                    <w:rPr>
                      <w:rFonts w:hint="default" w:ascii="Times New Roman" w:hAnsi="Times New Roman" w:eastAsia="宋体" w:cs="Times New Roman"/>
                      <w:color w:val="auto"/>
                      <w:spacing w:val="0"/>
                      <w:position w:val="0"/>
                      <w:sz w:val="18"/>
                      <w:szCs w:val="18"/>
                    </w:rPr>
                    <w:t>（mg/L）</w:t>
                  </w:r>
                </w:p>
              </w:tc>
              <w:tc>
                <w:tcPr>
                  <w:tcW w:w="1010" w:type="dxa"/>
                  <w:tcBorders>
                    <w:tl2br w:val="nil"/>
                    <w:tr2bl w:val="nil"/>
                  </w:tcBorders>
                  <w:shd w:val="clear" w:color="auto" w:fill="auto"/>
                  <w:noWrap w:val="0"/>
                  <w:vAlign w:val="center"/>
                </w:tcPr>
                <w:p w14:paraId="727A70CE">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eastAsia="宋体" w:cs="Times New Roman"/>
                      <w:color w:val="auto"/>
                      <w:kern w:val="0"/>
                      <w:sz w:val="18"/>
                      <w:szCs w:val="18"/>
                      <w:highlight w:val="none"/>
                      <w:lang w:val="en-US" w:eastAsia="zh-CN" w:bidi="ar-SA"/>
                    </w:rPr>
                    <w:t>未检出</w:t>
                  </w:r>
                </w:p>
              </w:tc>
              <w:tc>
                <w:tcPr>
                  <w:tcW w:w="1085" w:type="dxa"/>
                  <w:tcBorders>
                    <w:tl2br w:val="nil"/>
                    <w:tr2bl w:val="nil"/>
                  </w:tcBorders>
                  <w:noWrap w:val="0"/>
                  <w:vAlign w:val="center"/>
                </w:tcPr>
                <w:p w14:paraId="6A580094">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ar-SA"/>
                    </w:rPr>
                  </w:pPr>
                  <w:r>
                    <w:rPr>
                      <w:rFonts w:hint="eastAsia" w:eastAsia="宋体" w:cs="Times New Roman"/>
                      <w:smallCaps w:val="0"/>
                      <w:color w:val="auto"/>
                      <w:spacing w:val="0"/>
                      <w:w w:val="100"/>
                      <w:kern w:val="2"/>
                      <w:position w:val="0"/>
                      <w:sz w:val="18"/>
                      <w:szCs w:val="18"/>
                      <w:lang w:val="en-US" w:eastAsia="zh-CN" w:bidi="ar-SA"/>
                    </w:rPr>
                    <w:t>/</w:t>
                  </w:r>
                </w:p>
              </w:tc>
            </w:tr>
            <w:tr w14:paraId="4D1E58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0956137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硫化物</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1017BE7B">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0.003ND</w:t>
                  </w:r>
                </w:p>
              </w:tc>
              <w:tc>
                <w:tcPr>
                  <w:tcW w:w="1120" w:type="dxa"/>
                  <w:tcBorders>
                    <w:tl2br w:val="nil"/>
                    <w:tr2bl w:val="nil"/>
                  </w:tcBorders>
                  <w:shd w:val="clear" w:color="auto" w:fill="auto"/>
                  <w:noWrap w:val="0"/>
                  <w:vAlign w:val="center"/>
                </w:tcPr>
                <w:p w14:paraId="5075D165">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rPr>
                    <w:t>≤0.</w:t>
                  </w:r>
                  <w:r>
                    <w:rPr>
                      <w:rFonts w:hint="eastAsia" w:eastAsia="宋体" w:cs="Times New Roman"/>
                      <w:color w:val="auto"/>
                      <w:kern w:val="2"/>
                      <w:sz w:val="18"/>
                      <w:szCs w:val="18"/>
                      <w:lang w:val="en-US" w:eastAsia="zh-CN"/>
                    </w:rPr>
                    <w:t>02</w:t>
                  </w:r>
                </w:p>
              </w:tc>
              <w:tc>
                <w:tcPr>
                  <w:tcW w:w="1790" w:type="dxa"/>
                  <w:tcBorders>
                    <w:tl2br w:val="nil"/>
                    <w:tr2bl w:val="nil"/>
                  </w:tcBorders>
                  <w:shd w:val="clear" w:color="auto" w:fill="auto"/>
                  <w:noWrap w:val="0"/>
                  <w:vAlign w:val="center"/>
                </w:tcPr>
                <w:p w14:paraId="461549BE">
                  <w:pPr>
                    <w:pStyle w:val="62"/>
                    <w:keepNext w:val="0"/>
                    <w:keepLines w:val="0"/>
                    <w:pageBreakBefore w:val="0"/>
                    <w:kinsoku/>
                    <w:wordWrap/>
                    <w:overflowPunct/>
                    <w:topLinePunct w:val="0"/>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mallCaps w:val="0"/>
                      <w:color w:val="auto"/>
                      <w:spacing w:val="0"/>
                      <w:w w:val="100"/>
                      <w:kern w:val="0"/>
                      <w:position w:val="0"/>
                      <w:sz w:val="18"/>
                      <w:szCs w:val="18"/>
                      <w:lang w:val="en-US" w:eastAsia="zh-CN" w:bidi="zh-CN"/>
                    </w:rPr>
                  </w:pPr>
                  <w:r>
                    <w:rPr>
                      <w:rFonts w:hint="default" w:ascii="Times New Roman" w:hAnsi="Times New Roman" w:eastAsia="宋体" w:cs="Times New Roman"/>
                      <w:color w:val="auto"/>
                      <w:spacing w:val="0"/>
                      <w:position w:val="0"/>
                      <w:sz w:val="18"/>
                      <w:szCs w:val="18"/>
                    </w:rPr>
                    <w:t>HCO</w:t>
                  </w:r>
                  <w:r>
                    <w:rPr>
                      <w:rFonts w:hint="default" w:ascii="Times New Roman" w:hAnsi="Times New Roman" w:eastAsia="宋体" w:cs="Times New Roman"/>
                      <w:color w:val="auto"/>
                      <w:spacing w:val="0"/>
                      <w:position w:val="0"/>
                      <w:sz w:val="18"/>
                      <w:szCs w:val="18"/>
                      <w:vertAlign w:val="subscript"/>
                    </w:rPr>
                    <w:t>3</w:t>
                  </w:r>
                  <w:r>
                    <w:rPr>
                      <w:rFonts w:hint="default" w:ascii="Times New Roman" w:hAnsi="Times New Roman" w:eastAsia="宋体" w:cs="Times New Roman"/>
                      <w:color w:val="auto"/>
                      <w:spacing w:val="0"/>
                      <w:position w:val="0"/>
                      <w:sz w:val="18"/>
                      <w:szCs w:val="18"/>
                      <w:vertAlign w:val="superscript"/>
                    </w:rPr>
                    <w:t>-</w:t>
                  </w:r>
                  <w:r>
                    <w:rPr>
                      <w:rFonts w:hint="default" w:ascii="Times New Roman" w:hAnsi="Times New Roman" w:eastAsia="宋体" w:cs="Times New Roman"/>
                      <w:color w:val="auto"/>
                      <w:spacing w:val="0"/>
                      <w:position w:val="0"/>
                      <w:sz w:val="18"/>
                      <w:szCs w:val="18"/>
                      <w:vertAlign w:val="baseline"/>
                    </w:rPr>
                    <w:t>（以 CaCO</w:t>
                  </w:r>
                  <w:r>
                    <w:rPr>
                      <w:rFonts w:hint="default" w:ascii="Times New Roman" w:hAnsi="Times New Roman" w:eastAsia="宋体" w:cs="Times New Roman"/>
                      <w:color w:val="auto"/>
                      <w:spacing w:val="0"/>
                      <w:position w:val="0"/>
                      <w:sz w:val="18"/>
                      <w:szCs w:val="18"/>
                      <w:vertAlign w:val="subscript"/>
                    </w:rPr>
                    <w:t>3</w:t>
                  </w:r>
                  <w:r>
                    <w:rPr>
                      <w:rFonts w:hint="default" w:ascii="Times New Roman" w:hAnsi="Times New Roman" w:eastAsia="宋体" w:cs="Times New Roman"/>
                      <w:color w:val="auto"/>
                      <w:spacing w:val="0"/>
                      <w:position w:val="0"/>
                      <w:sz w:val="18"/>
                      <w:szCs w:val="18"/>
                      <w:vertAlign w:val="baseline"/>
                    </w:rPr>
                    <w:t>计</w:t>
                  </w:r>
                  <w:r>
                    <w:rPr>
                      <w:rFonts w:hint="eastAsia" w:ascii="Times New Roman" w:hAnsi="Times New Roman" w:eastAsia="宋体" w:cs="Times New Roman"/>
                      <w:color w:val="auto"/>
                      <w:spacing w:val="0"/>
                      <w:position w:val="0"/>
                      <w:sz w:val="18"/>
                      <w:szCs w:val="18"/>
                      <w:vertAlign w:val="baseline"/>
                      <w:lang w:eastAsia="zh-CN"/>
                    </w:rPr>
                    <w:t>、</w:t>
                  </w:r>
                  <w:r>
                    <w:rPr>
                      <w:rFonts w:hint="default" w:ascii="Times New Roman" w:hAnsi="Times New Roman" w:eastAsia="宋体" w:cs="Times New Roman"/>
                      <w:color w:val="auto"/>
                      <w:spacing w:val="0"/>
                      <w:position w:val="0"/>
                      <w:sz w:val="18"/>
                      <w:szCs w:val="18"/>
                      <w:vertAlign w:val="baseline"/>
                    </w:rPr>
                    <w:t>mg/L）</w:t>
                  </w:r>
                </w:p>
              </w:tc>
              <w:tc>
                <w:tcPr>
                  <w:tcW w:w="1010" w:type="dxa"/>
                  <w:tcBorders>
                    <w:tl2br w:val="nil"/>
                    <w:tr2bl w:val="nil"/>
                  </w:tcBorders>
                  <w:shd w:val="clear" w:color="auto" w:fill="auto"/>
                  <w:noWrap w:val="0"/>
                  <w:vAlign w:val="center"/>
                </w:tcPr>
                <w:p w14:paraId="611B1743">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eastAsia="宋体" w:cs="Times New Roman"/>
                      <w:color w:val="auto"/>
                      <w:kern w:val="0"/>
                      <w:sz w:val="18"/>
                      <w:szCs w:val="18"/>
                      <w:highlight w:val="none"/>
                      <w:lang w:val="en-US" w:eastAsia="zh-CN" w:bidi="ar-SA"/>
                    </w:rPr>
                    <w:t>291</w:t>
                  </w:r>
                </w:p>
              </w:tc>
              <w:tc>
                <w:tcPr>
                  <w:tcW w:w="1085" w:type="dxa"/>
                  <w:tcBorders>
                    <w:tl2br w:val="nil"/>
                    <w:tr2bl w:val="nil"/>
                  </w:tcBorders>
                  <w:noWrap w:val="0"/>
                  <w:vAlign w:val="center"/>
                </w:tcPr>
                <w:p w14:paraId="2053DEA5">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rPr>
                  </w:pPr>
                  <w:r>
                    <w:rPr>
                      <w:rFonts w:hint="eastAsia" w:eastAsia="宋体" w:cs="Times New Roman"/>
                      <w:color w:val="auto"/>
                      <w:kern w:val="2"/>
                      <w:sz w:val="18"/>
                      <w:szCs w:val="18"/>
                      <w:lang w:val="en-US" w:eastAsia="zh-CN"/>
                    </w:rPr>
                    <w:t>/</w:t>
                  </w:r>
                </w:p>
              </w:tc>
            </w:tr>
            <w:tr w14:paraId="02F10E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33E97CF6">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cs="Times New Roman"/>
                      <w:color w:val="auto"/>
                      <w:sz w:val="18"/>
                      <w:szCs w:val="18"/>
                      <w:highlight w:val="none"/>
                      <w:lang w:val="en-US" w:eastAsia="zh-CN"/>
                    </w:rPr>
                    <w:t>亚硝酸盐氮</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3C2A965A">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eastAsia" w:ascii="Times New Roman" w:hAnsi="Times New Roman" w:eastAsia="宋体" w:cs="Times New Roman"/>
                      <w:smallCaps w:val="0"/>
                      <w:color w:val="auto"/>
                      <w:spacing w:val="0"/>
                      <w:w w:val="100"/>
                      <w:position w:val="0"/>
                      <w:sz w:val="18"/>
                      <w:szCs w:val="18"/>
                      <w:lang w:val="en-US" w:eastAsia="zh-CN" w:bidi="zh-CN"/>
                    </w:rPr>
                    <w:t>0.00</w:t>
                  </w:r>
                  <w:r>
                    <w:rPr>
                      <w:rFonts w:hint="eastAsia" w:eastAsia="宋体" w:cs="Times New Roman"/>
                      <w:smallCaps w:val="0"/>
                      <w:color w:val="auto"/>
                      <w:spacing w:val="0"/>
                      <w:w w:val="100"/>
                      <w:position w:val="0"/>
                      <w:sz w:val="18"/>
                      <w:szCs w:val="18"/>
                      <w:lang w:val="en-US" w:eastAsia="zh-CN" w:bidi="zh-CN"/>
                    </w:rPr>
                    <w:t>3ND</w:t>
                  </w:r>
                </w:p>
              </w:tc>
              <w:tc>
                <w:tcPr>
                  <w:tcW w:w="1120" w:type="dxa"/>
                  <w:tcBorders>
                    <w:tl2br w:val="nil"/>
                    <w:tr2bl w:val="nil"/>
                  </w:tcBorders>
                  <w:shd w:val="clear" w:color="auto" w:fill="auto"/>
                  <w:noWrap w:val="0"/>
                  <w:vAlign w:val="center"/>
                </w:tcPr>
                <w:p w14:paraId="57382120">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kern w:val="2"/>
                      <w:sz w:val="18"/>
                      <w:szCs w:val="18"/>
                    </w:rPr>
                    <w:t>≤1.00</w:t>
                  </w:r>
                </w:p>
              </w:tc>
              <w:tc>
                <w:tcPr>
                  <w:tcW w:w="1790" w:type="dxa"/>
                  <w:tcBorders>
                    <w:tl2br w:val="nil"/>
                    <w:tr2bl w:val="nil"/>
                  </w:tcBorders>
                  <w:shd w:val="clear" w:color="auto" w:fill="auto"/>
                  <w:noWrap w:val="0"/>
                  <w:vAlign w:val="center"/>
                </w:tcPr>
                <w:p w14:paraId="31ED31C1">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
                    </w:rPr>
                  </w:pPr>
                  <w:r>
                    <w:rPr>
                      <w:rFonts w:hint="eastAsia" w:eastAsia="宋体" w:cs="Times New Roman"/>
                      <w:color w:val="auto"/>
                      <w:kern w:val="0"/>
                      <w:sz w:val="18"/>
                      <w:szCs w:val="18"/>
                      <w:highlight w:val="none"/>
                      <w:lang w:val="en-US" w:eastAsia="zh-CN" w:bidi="ar"/>
                    </w:rPr>
                    <w:t>石油类</w:t>
                  </w:r>
                </w:p>
              </w:tc>
              <w:tc>
                <w:tcPr>
                  <w:tcW w:w="1010" w:type="dxa"/>
                  <w:tcBorders>
                    <w:tl2br w:val="nil"/>
                    <w:tr2bl w:val="nil"/>
                  </w:tcBorders>
                  <w:shd w:val="clear" w:color="auto" w:fill="auto"/>
                  <w:noWrap w:val="0"/>
                  <w:vAlign w:val="center"/>
                </w:tcPr>
                <w:p w14:paraId="1ACF92E5">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eastAsia="宋体" w:cs="Times New Roman"/>
                      <w:color w:val="auto"/>
                      <w:kern w:val="0"/>
                      <w:sz w:val="18"/>
                      <w:szCs w:val="18"/>
                      <w:highlight w:val="none"/>
                      <w:lang w:val="en-US" w:eastAsia="zh-CN" w:bidi="ar-SA"/>
                    </w:rPr>
                    <w:t>0.01ND</w:t>
                  </w:r>
                </w:p>
              </w:tc>
              <w:tc>
                <w:tcPr>
                  <w:tcW w:w="1085" w:type="dxa"/>
                  <w:tcBorders>
                    <w:tl2br w:val="nil"/>
                    <w:tr2bl w:val="nil"/>
                  </w:tcBorders>
                  <w:noWrap w:val="0"/>
                  <w:vAlign w:val="center"/>
                </w:tcPr>
                <w:p w14:paraId="421766BB">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ar-SA"/>
                    </w:rPr>
                  </w:pPr>
                  <w:r>
                    <w:rPr>
                      <w:rFonts w:hint="eastAsia" w:eastAsia="宋体" w:cs="Times New Roman"/>
                      <w:smallCaps w:val="0"/>
                      <w:color w:val="auto"/>
                      <w:spacing w:val="0"/>
                      <w:w w:val="100"/>
                      <w:kern w:val="2"/>
                      <w:position w:val="0"/>
                      <w:sz w:val="18"/>
                      <w:szCs w:val="18"/>
                      <w:lang w:val="en-US" w:eastAsia="zh-CN" w:bidi="ar-SA"/>
                    </w:rPr>
                    <w:t>/</w:t>
                  </w:r>
                </w:p>
              </w:tc>
            </w:tr>
            <w:tr w14:paraId="21FFBC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197711A0">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cs="Times New Roman"/>
                      <w:color w:val="auto"/>
                      <w:sz w:val="18"/>
                      <w:szCs w:val="18"/>
                      <w:highlight w:val="none"/>
                      <w:lang w:val="en-US" w:eastAsia="zh-CN"/>
                    </w:rPr>
                    <w:t>硝酸盐</w:t>
                  </w:r>
                  <w:r>
                    <w:rPr>
                      <w:rFonts w:hint="eastAsia"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以N计</w:t>
                  </w:r>
                  <w:r>
                    <w:rPr>
                      <w:rFonts w:hint="eastAsia" w:ascii="Times New Roman" w:hAnsi="Times New Roman"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130ACA2B">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eastAsia" w:ascii="Times New Roman" w:hAnsi="Times New Roman" w:eastAsia="宋体" w:cs="Times New Roman"/>
                      <w:smallCaps w:val="0"/>
                      <w:color w:val="auto"/>
                      <w:spacing w:val="0"/>
                      <w:w w:val="100"/>
                      <w:position w:val="0"/>
                      <w:sz w:val="18"/>
                      <w:szCs w:val="18"/>
                      <w:lang w:val="en-US" w:eastAsia="zh-CN" w:bidi="zh-CN"/>
                    </w:rPr>
                    <w:t>1.</w:t>
                  </w:r>
                  <w:r>
                    <w:rPr>
                      <w:rFonts w:hint="eastAsia" w:eastAsia="宋体" w:cs="Times New Roman"/>
                      <w:smallCaps w:val="0"/>
                      <w:color w:val="auto"/>
                      <w:spacing w:val="0"/>
                      <w:w w:val="100"/>
                      <w:position w:val="0"/>
                      <w:sz w:val="18"/>
                      <w:szCs w:val="18"/>
                      <w:lang w:val="en-US" w:eastAsia="zh-CN" w:bidi="zh-CN"/>
                    </w:rPr>
                    <w:t>56</w:t>
                  </w:r>
                </w:p>
              </w:tc>
              <w:tc>
                <w:tcPr>
                  <w:tcW w:w="1120" w:type="dxa"/>
                  <w:tcBorders>
                    <w:tl2br w:val="nil"/>
                    <w:tr2bl w:val="nil"/>
                  </w:tcBorders>
                  <w:shd w:val="clear" w:color="auto" w:fill="auto"/>
                  <w:noWrap w:val="0"/>
                  <w:vAlign w:val="center"/>
                </w:tcPr>
                <w:p w14:paraId="1DF89C82">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zh-CN"/>
                    </w:rPr>
                  </w:pPr>
                  <w:r>
                    <w:rPr>
                      <w:rFonts w:hint="default" w:ascii="Times New Roman" w:hAnsi="Times New Roman" w:eastAsia="宋体" w:cs="Times New Roman"/>
                      <w:color w:val="auto"/>
                      <w:kern w:val="2"/>
                      <w:sz w:val="18"/>
                      <w:szCs w:val="18"/>
                    </w:rPr>
                    <w:t>≤20.0</w:t>
                  </w:r>
                </w:p>
              </w:tc>
              <w:tc>
                <w:tcPr>
                  <w:tcW w:w="1790" w:type="dxa"/>
                  <w:tcBorders>
                    <w:tl2br w:val="nil"/>
                    <w:tr2bl w:val="nil"/>
                  </w:tcBorders>
                  <w:shd w:val="clear" w:color="auto" w:fill="auto"/>
                  <w:noWrap w:val="0"/>
                  <w:vAlign w:val="center"/>
                </w:tcPr>
                <w:p w14:paraId="11861C5A">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水位</w:t>
                  </w:r>
                </w:p>
              </w:tc>
              <w:tc>
                <w:tcPr>
                  <w:tcW w:w="1010" w:type="dxa"/>
                  <w:tcBorders>
                    <w:tl2br w:val="nil"/>
                    <w:tr2bl w:val="nil"/>
                  </w:tcBorders>
                  <w:shd w:val="clear" w:color="auto" w:fill="auto"/>
                  <w:noWrap w:val="0"/>
                  <w:vAlign w:val="center"/>
                </w:tcPr>
                <w:p w14:paraId="21745DC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sz w:val="18"/>
                      <w:szCs w:val="18"/>
                      <w:highlight w:val="none"/>
                      <w:vertAlign w:val="baseline"/>
                      <w:lang w:val="en-US" w:eastAsia="zh-CN"/>
                    </w:rPr>
                    <w:t>60.4</w:t>
                  </w:r>
                </w:p>
              </w:tc>
              <w:tc>
                <w:tcPr>
                  <w:tcW w:w="1085" w:type="dxa"/>
                  <w:tcBorders>
                    <w:tl2br w:val="nil"/>
                    <w:tr2bl w:val="nil"/>
                  </w:tcBorders>
                  <w:noWrap w:val="0"/>
                  <w:vAlign w:val="center"/>
                </w:tcPr>
                <w:p w14:paraId="17B7F253">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ar-SA"/>
                    </w:rPr>
                  </w:pPr>
                  <w:r>
                    <w:rPr>
                      <w:rFonts w:hint="eastAsia" w:eastAsia="宋体" w:cs="Times New Roman"/>
                      <w:smallCaps w:val="0"/>
                      <w:color w:val="auto"/>
                      <w:spacing w:val="0"/>
                      <w:w w:val="100"/>
                      <w:kern w:val="2"/>
                      <w:position w:val="0"/>
                      <w:sz w:val="18"/>
                      <w:szCs w:val="18"/>
                      <w:lang w:val="en-US" w:eastAsia="zh-CN" w:bidi="ar-SA"/>
                    </w:rPr>
                    <w:t>/</w:t>
                  </w:r>
                </w:p>
              </w:tc>
            </w:tr>
            <w:tr w14:paraId="73CD58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62F92FF9">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cs="Times New Roman"/>
                      <w:color w:val="auto"/>
                      <w:sz w:val="18"/>
                      <w:szCs w:val="18"/>
                      <w:highlight w:val="none"/>
                      <w:lang w:val="en-US" w:eastAsia="zh-CN"/>
                    </w:rPr>
                    <w:t>氰化物</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45C0B265">
                  <w:pPr>
                    <w:pStyle w:val="108"/>
                    <w:keepNext w:val="0"/>
                    <w:keepLines w:val="0"/>
                    <w:pageBreakBefore w:val="0"/>
                    <w:widowControl w:val="0"/>
                    <w:shd w:val="clear" w:color="auto" w:fill="auto"/>
                    <w:kinsoku/>
                    <w:wordWrap/>
                    <w:overflowPunct/>
                    <w:topLinePunct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u w:val="none"/>
                      <w:shd w:val="clear" w:color="auto" w:fill="auto"/>
                      <w:lang w:val="zh-CN" w:eastAsia="zh-CN" w:bidi="zh-CN"/>
                    </w:rPr>
                  </w:pPr>
                  <w:r>
                    <w:rPr>
                      <w:rFonts w:hint="eastAsia" w:ascii="Times New Roman" w:hAnsi="Times New Roman" w:cs="Times New Roman"/>
                      <w:color w:val="auto"/>
                      <w:sz w:val="18"/>
                      <w:szCs w:val="18"/>
                      <w:highlight w:val="none"/>
                      <w:vertAlign w:val="baseline"/>
                      <w:lang w:val="en-US" w:eastAsia="zh-CN"/>
                    </w:rPr>
                    <w:t>0.002ND</w:t>
                  </w:r>
                </w:p>
              </w:tc>
              <w:tc>
                <w:tcPr>
                  <w:tcW w:w="1120" w:type="dxa"/>
                  <w:tcBorders>
                    <w:tl2br w:val="nil"/>
                    <w:tr2bl w:val="nil"/>
                  </w:tcBorders>
                  <w:shd w:val="clear" w:color="auto" w:fill="auto"/>
                  <w:noWrap w:val="0"/>
                  <w:vAlign w:val="center"/>
                </w:tcPr>
                <w:p w14:paraId="5AB44A07">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eastAsia="宋体" w:cs="Times New Roman"/>
                      <w:color w:val="auto"/>
                      <w:kern w:val="2"/>
                      <w:sz w:val="18"/>
                      <w:szCs w:val="18"/>
                    </w:rPr>
                    <w:t>≤0.05</w:t>
                  </w:r>
                </w:p>
              </w:tc>
              <w:tc>
                <w:tcPr>
                  <w:tcW w:w="1790" w:type="dxa"/>
                  <w:tcBorders>
                    <w:tl2br w:val="nil"/>
                    <w:tr2bl w:val="nil"/>
                  </w:tcBorders>
                  <w:shd w:val="clear" w:color="auto" w:fill="auto"/>
                  <w:noWrap w:val="0"/>
                  <w:vAlign w:val="center"/>
                </w:tcPr>
                <w:p w14:paraId="188D12DD">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
                    </w:rPr>
                  </w:pPr>
                  <w:r>
                    <w:rPr>
                      <w:rFonts w:hint="eastAsia" w:eastAsia="宋体" w:cs="Times New Roman"/>
                      <w:color w:val="auto"/>
                      <w:kern w:val="0"/>
                      <w:sz w:val="18"/>
                      <w:szCs w:val="18"/>
                      <w:highlight w:val="none"/>
                      <w:lang w:val="en-US" w:eastAsia="zh-CN" w:bidi="ar"/>
                    </w:rPr>
                    <w:t>埋深</w:t>
                  </w:r>
                </w:p>
              </w:tc>
              <w:tc>
                <w:tcPr>
                  <w:tcW w:w="1010" w:type="dxa"/>
                  <w:tcBorders>
                    <w:tl2br w:val="nil"/>
                    <w:tr2bl w:val="nil"/>
                  </w:tcBorders>
                  <w:shd w:val="clear" w:color="auto" w:fill="auto"/>
                  <w:noWrap w:val="0"/>
                  <w:vAlign w:val="center"/>
                </w:tcPr>
                <w:p w14:paraId="0DF3FC0C">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eastAsia="宋体" w:cs="Times New Roman"/>
                      <w:color w:val="auto"/>
                      <w:kern w:val="0"/>
                      <w:sz w:val="18"/>
                      <w:szCs w:val="18"/>
                      <w:highlight w:val="none"/>
                      <w:lang w:val="en-US" w:eastAsia="zh-CN" w:bidi="ar-SA"/>
                    </w:rPr>
                    <w:t>59.6</w:t>
                  </w:r>
                </w:p>
              </w:tc>
              <w:tc>
                <w:tcPr>
                  <w:tcW w:w="1085" w:type="dxa"/>
                  <w:tcBorders>
                    <w:tl2br w:val="nil"/>
                    <w:tr2bl w:val="nil"/>
                  </w:tcBorders>
                  <w:noWrap w:val="0"/>
                  <w:vAlign w:val="center"/>
                </w:tcPr>
                <w:p w14:paraId="7AF78E34">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ar-SA"/>
                    </w:rPr>
                  </w:pPr>
                  <w:r>
                    <w:rPr>
                      <w:rFonts w:hint="eastAsia" w:eastAsia="宋体" w:cs="Times New Roman"/>
                      <w:smallCaps w:val="0"/>
                      <w:color w:val="auto"/>
                      <w:spacing w:val="0"/>
                      <w:w w:val="100"/>
                      <w:kern w:val="2"/>
                      <w:position w:val="0"/>
                      <w:sz w:val="18"/>
                      <w:szCs w:val="18"/>
                      <w:lang w:val="en-US" w:eastAsia="zh-CN" w:bidi="ar-SA"/>
                    </w:rPr>
                    <w:t>/</w:t>
                  </w:r>
                </w:p>
              </w:tc>
            </w:tr>
            <w:tr w14:paraId="1D6D66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91" w:hRule="atLeast"/>
                <w:jc w:val="center"/>
              </w:trPr>
              <w:tc>
                <w:tcPr>
                  <w:tcW w:w="2242" w:type="dxa"/>
                  <w:tcBorders>
                    <w:tl2br w:val="nil"/>
                    <w:tr2bl w:val="nil"/>
                  </w:tcBorders>
                  <w:shd w:val="clear" w:color="auto" w:fill="auto"/>
                  <w:noWrap w:val="0"/>
                  <w:vAlign w:val="center"/>
                </w:tcPr>
                <w:p w14:paraId="7E7A555F">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eastAsia="宋体" w:cs="Times New Roman"/>
                      <w:color w:val="auto"/>
                      <w:sz w:val="18"/>
                      <w:szCs w:val="18"/>
                      <w:highlight w:val="none"/>
                      <w:lang w:val="en-US" w:eastAsia="zh-CN"/>
                    </w:rPr>
                    <w:t>氟化物</w:t>
                  </w:r>
                  <w:r>
                    <w:rPr>
                      <w:rFonts w:hint="default" w:ascii="Times New Roman" w:hAnsi="Times New Roman" w:eastAsia="宋体" w:cs="Times New Roman"/>
                      <w:color w:val="auto"/>
                      <w:sz w:val="18"/>
                      <w:szCs w:val="18"/>
                      <w:highlight w:val="none"/>
                      <w:lang w:val="en-US" w:eastAsia="zh-CN" w:bidi="ar-SA"/>
                    </w:rPr>
                    <w:t>（</w:t>
                  </w:r>
                  <w:r>
                    <w:rPr>
                      <w:rFonts w:hint="default" w:ascii="Times New Roman" w:hAnsi="Times New Roman" w:eastAsia="宋体" w:cs="Times New Roman"/>
                      <w:color w:val="auto"/>
                      <w:kern w:val="0"/>
                      <w:sz w:val="18"/>
                      <w:szCs w:val="18"/>
                      <w:highlight w:val="none"/>
                      <w:lang w:val="en-US" w:eastAsia="zh-CN"/>
                    </w:rPr>
                    <w:t>mg/L</w:t>
                  </w:r>
                  <w:r>
                    <w:rPr>
                      <w:rFonts w:hint="default" w:ascii="Times New Roman" w:hAnsi="Times New Roman" w:eastAsia="宋体" w:cs="Times New Roman"/>
                      <w:color w:val="auto"/>
                      <w:sz w:val="18"/>
                      <w:szCs w:val="18"/>
                      <w:highlight w:val="none"/>
                      <w:lang w:val="en-US" w:eastAsia="zh-CN" w:bidi="ar-SA"/>
                    </w:rPr>
                    <w:t>）</w:t>
                  </w:r>
                </w:p>
              </w:tc>
              <w:tc>
                <w:tcPr>
                  <w:tcW w:w="990" w:type="dxa"/>
                  <w:tcBorders>
                    <w:tl2br w:val="nil"/>
                    <w:tr2bl w:val="nil"/>
                  </w:tcBorders>
                  <w:shd w:val="clear" w:color="auto" w:fill="auto"/>
                  <w:noWrap w:val="0"/>
                  <w:vAlign w:val="center"/>
                </w:tcPr>
                <w:p w14:paraId="3080E6B0">
                  <w:pPr>
                    <w:pStyle w:val="108"/>
                    <w:keepNext w:val="0"/>
                    <w:keepLines w:val="0"/>
                    <w:pageBreakBefore w:val="0"/>
                    <w:widowControl w:val="0"/>
                    <w:shd w:val="clear" w:color="auto" w:fill="auto"/>
                    <w:kinsoku/>
                    <w:wordWrap/>
                    <w:overflowPunct/>
                    <w:topLinePunct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u w:val="none"/>
                      <w:shd w:val="clear" w:color="auto" w:fill="auto"/>
                      <w:lang w:val="en-US" w:eastAsia="zh-CN" w:bidi="zh-CN"/>
                    </w:rPr>
                  </w:pPr>
                  <w:r>
                    <w:rPr>
                      <w:rFonts w:hint="eastAsia" w:ascii="Times New Roman" w:hAnsi="Times New Roman" w:cs="Times New Roman"/>
                      <w:smallCaps w:val="0"/>
                      <w:color w:val="auto"/>
                      <w:spacing w:val="0"/>
                      <w:w w:val="100"/>
                      <w:position w:val="0"/>
                      <w:sz w:val="18"/>
                      <w:szCs w:val="18"/>
                      <w:lang w:val="en-US" w:eastAsia="zh-CN" w:bidi="zh-CN"/>
                    </w:rPr>
                    <w:t>0.49</w:t>
                  </w:r>
                </w:p>
              </w:tc>
              <w:tc>
                <w:tcPr>
                  <w:tcW w:w="1120" w:type="dxa"/>
                  <w:tcBorders>
                    <w:tl2br w:val="nil"/>
                    <w:tr2bl w:val="nil"/>
                  </w:tcBorders>
                  <w:shd w:val="clear" w:color="auto" w:fill="auto"/>
                  <w:noWrap w:val="0"/>
                  <w:vAlign w:val="center"/>
                </w:tcPr>
                <w:p w14:paraId="3DBF5B9A">
                  <w:pPr>
                    <w:keepNext w:val="0"/>
                    <w:keepLines w:val="0"/>
                    <w:pageBreakBefore w:val="0"/>
                    <w:widowControl w:val="0"/>
                    <w:kinsoku/>
                    <w:wordWrap/>
                    <w:overflowPunct/>
                    <w:topLinePunct w:val="0"/>
                    <w:bidi w:val="0"/>
                    <w:adjustRightInd/>
                    <w:snapToGrid/>
                    <w:spacing w:after="0" w:line="240" w:lineRule="auto"/>
                    <w:ind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zh-CN" w:eastAsia="zh-CN" w:bidi="zh-CN"/>
                    </w:rPr>
                  </w:pPr>
                  <w:r>
                    <w:rPr>
                      <w:rFonts w:hint="default" w:ascii="Times New Roman" w:hAnsi="Times New Roman" w:eastAsia="宋体" w:cs="Times New Roman"/>
                      <w:color w:val="auto"/>
                      <w:kern w:val="2"/>
                      <w:sz w:val="18"/>
                      <w:szCs w:val="18"/>
                    </w:rPr>
                    <w:t>≤1.0</w:t>
                  </w:r>
                </w:p>
              </w:tc>
              <w:tc>
                <w:tcPr>
                  <w:tcW w:w="1790" w:type="dxa"/>
                  <w:tcBorders>
                    <w:tl2br w:val="nil"/>
                    <w:tr2bl w:val="nil"/>
                  </w:tcBorders>
                  <w:shd w:val="clear" w:color="auto" w:fill="auto"/>
                  <w:noWrap w:val="0"/>
                  <w:vAlign w:val="center"/>
                </w:tcPr>
                <w:p w14:paraId="18A51E8B">
                  <w:pPr>
                    <w:keepNext w:val="0"/>
                    <w:keepLines w:val="0"/>
                    <w:pageBreakBefore w:val="0"/>
                    <w:widowControl/>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
                    </w:rPr>
                  </w:pPr>
                  <w:r>
                    <w:rPr>
                      <w:rFonts w:hint="eastAsia" w:eastAsia="宋体" w:cs="Times New Roman"/>
                      <w:color w:val="auto"/>
                      <w:kern w:val="0"/>
                      <w:sz w:val="18"/>
                      <w:szCs w:val="18"/>
                      <w:highlight w:val="none"/>
                      <w:lang w:val="en-US" w:eastAsia="zh-CN" w:bidi="ar"/>
                    </w:rPr>
                    <w:t>井深</w:t>
                  </w:r>
                </w:p>
              </w:tc>
              <w:tc>
                <w:tcPr>
                  <w:tcW w:w="1010" w:type="dxa"/>
                  <w:tcBorders>
                    <w:tl2br w:val="nil"/>
                    <w:tr2bl w:val="nil"/>
                  </w:tcBorders>
                  <w:shd w:val="clear" w:color="auto" w:fill="auto"/>
                  <w:noWrap w:val="0"/>
                  <w:vAlign w:val="center"/>
                </w:tcPr>
                <w:p w14:paraId="02CB01E1">
                  <w:pPr>
                    <w:keepNext w:val="0"/>
                    <w:keepLines w:val="0"/>
                    <w:pageBreakBefore w:val="0"/>
                    <w:widowControl w:val="0"/>
                    <w:shd w:val="clear" w:color="auto" w:fill="auto"/>
                    <w:kinsoku/>
                    <w:wordWrap/>
                    <w:overflowPunct/>
                    <w:topLinePunct w:val="0"/>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position w:val="0"/>
                      <w:sz w:val="18"/>
                      <w:szCs w:val="18"/>
                      <w:lang w:val="en-US" w:eastAsia="zh-CN" w:bidi="ar-SA"/>
                    </w:rPr>
                  </w:pPr>
                  <w:r>
                    <w:rPr>
                      <w:rFonts w:hint="eastAsia" w:eastAsia="宋体" w:cs="Times New Roman"/>
                      <w:color w:val="auto"/>
                      <w:spacing w:val="0"/>
                      <w:w w:val="100"/>
                      <w:kern w:val="2"/>
                      <w:position w:val="0"/>
                      <w:sz w:val="18"/>
                      <w:szCs w:val="18"/>
                      <w:lang w:val="en-US" w:eastAsia="zh-CN" w:bidi="ar-SA"/>
                    </w:rPr>
                    <w:t>120</w:t>
                  </w:r>
                </w:p>
              </w:tc>
              <w:tc>
                <w:tcPr>
                  <w:tcW w:w="1085" w:type="dxa"/>
                  <w:tcBorders>
                    <w:tl2br w:val="nil"/>
                    <w:tr2bl w:val="nil"/>
                  </w:tcBorders>
                  <w:shd w:val="clear" w:color="auto" w:fill="auto"/>
                  <w:noWrap w:val="0"/>
                  <w:vAlign w:val="center"/>
                </w:tcPr>
                <w:p w14:paraId="1B01DC4E">
                  <w:pPr>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mallCaps w:val="0"/>
                      <w:color w:val="auto"/>
                      <w:spacing w:val="0"/>
                      <w:w w:val="100"/>
                      <w:kern w:val="2"/>
                      <w:position w:val="0"/>
                      <w:sz w:val="18"/>
                      <w:szCs w:val="18"/>
                      <w:lang w:val="en-US" w:eastAsia="zh-CN" w:bidi="ar-SA"/>
                    </w:rPr>
                  </w:pPr>
                  <w:r>
                    <w:rPr>
                      <w:rFonts w:hint="eastAsia" w:eastAsia="宋体" w:cs="Times New Roman"/>
                      <w:smallCaps w:val="0"/>
                      <w:color w:val="auto"/>
                      <w:spacing w:val="0"/>
                      <w:w w:val="100"/>
                      <w:kern w:val="2"/>
                      <w:position w:val="0"/>
                      <w:sz w:val="18"/>
                      <w:szCs w:val="18"/>
                      <w:lang w:val="en-US" w:eastAsia="zh-CN" w:bidi="ar-SA"/>
                    </w:rPr>
                    <w:t>/</w:t>
                  </w:r>
                </w:p>
              </w:tc>
            </w:tr>
          </w:tbl>
          <w:p w14:paraId="73A22B3E">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根据上表可知，项目所在区域地下水各项指标均满足《地下水质量标准》</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GB/T14848-2017</w:t>
            </w:r>
            <w:r>
              <w:rPr>
                <w:rFonts w:hint="eastAsia" w:cs="Times New Roman"/>
                <w:color w:val="auto"/>
                <w:kern w:val="0"/>
                <w:sz w:val="24"/>
                <w:szCs w:val="24"/>
                <w:highlight w:val="none"/>
                <w:lang w:val="en-US" w:eastAsia="zh-CN" w:bidi="ar"/>
              </w:rPr>
              <w:t>）Ⅲ</w:t>
            </w:r>
            <w:r>
              <w:rPr>
                <w:rFonts w:hint="eastAsia" w:ascii="Times New Roman" w:hAnsi="Times New Roman" w:eastAsia="宋体" w:cs="Times New Roman"/>
                <w:color w:val="auto"/>
                <w:kern w:val="0"/>
                <w:sz w:val="24"/>
                <w:szCs w:val="24"/>
                <w:highlight w:val="none"/>
                <w:lang w:val="en-US" w:eastAsia="zh-CN" w:bidi="ar"/>
              </w:rPr>
              <w:t>类标准要求。</w:t>
            </w:r>
          </w:p>
          <w:p w14:paraId="27EC0647">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eastAsia"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为查清项目所在区域土壤环境质量现状，保留背景值，建设单位委托</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陕西青源环保科技有限公司于2025</w:t>
            </w:r>
            <w:r>
              <w:rPr>
                <w:rFonts w:hint="eastAsia" w:cs="Times New Roman"/>
                <w:color w:val="000000" w:themeColor="text1"/>
                <w:kern w:val="0"/>
                <w:sz w:val="24"/>
                <w:szCs w:val="24"/>
                <w:highlight w:val="none"/>
                <w:lang w:val="en-US" w:eastAsia="zh-CN" w:bidi="ar"/>
                <w14:textFill>
                  <w14:solidFill>
                    <w14:schemeClr w14:val="tx1"/>
                  </w14:solidFill>
                </w14:textFill>
              </w:rPr>
              <w:t>年8月</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14</w:t>
            </w:r>
            <w:r>
              <w:rPr>
                <w:rFonts w:hint="eastAsia" w:cs="Times New Roman"/>
                <w:color w:val="000000" w:themeColor="text1"/>
                <w:kern w:val="0"/>
                <w:sz w:val="24"/>
                <w:szCs w:val="24"/>
                <w:highlight w:val="none"/>
                <w:lang w:val="en-US" w:eastAsia="zh-CN" w:bidi="ar"/>
                <w14:textFill>
                  <w14:solidFill>
                    <w14:schemeClr w14:val="tx1"/>
                  </w14:solidFill>
                </w14:textFill>
              </w:rPr>
              <w:t>日</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、2025</w:t>
            </w:r>
            <w:r>
              <w:rPr>
                <w:rFonts w:hint="eastAsia" w:cs="Times New Roman"/>
                <w:color w:val="000000" w:themeColor="text1"/>
                <w:kern w:val="0"/>
                <w:sz w:val="24"/>
                <w:szCs w:val="24"/>
                <w:highlight w:val="none"/>
                <w:lang w:val="en-US" w:eastAsia="zh-CN" w:bidi="ar"/>
                <w14:textFill>
                  <w14:solidFill>
                    <w14:schemeClr w14:val="tx1"/>
                  </w14:solidFill>
                </w14:textFill>
              </w:rPr>
              <w:t>年</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8</w:t>
            </w:r>
            <w:r>
              <w:rPr>
                <w:rFonts w:hint="eastAsia" w:cs="Times New Roman"/>
                <w:color w:val="000000" w:themeColor="text1"/>
                <w:kern w:val="0"/>
                <w:sz w:val="24"/>
                <w:szCs w:val="24"/>
                <w:highlight w:val="none"/>
                <w:lang w:val="en-US" w:eastAsia="zh-CN" w:bidi="ar"/>
                <w14:textFill>
                  <w14:solidFill>
                    <w14:schemeClr w14:val="tx1"/>
                  </w14:solidFill>
                </w14:textFill>
              </w:rPr>
              <w:t>月</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27</w:t>
            </w:r>
            <w:r>
              <w:rPr>
                <w:rFonts w:hint="eastAsia" w:cs="Times New Roman"/>
                <w:color w:val="000000" w:themeColor="text1"/>
                <w:kern w:val="0"/>
                <w:sz w:val="24"/>
                <w:szCs w:val="24"/>
                <w:highlight w:val="none"/>
                <w:lang w:val="en-US" w:eastAsia="zh-CN" w:bidi="ar"/>
                <w14:textFill>
                  <w14:solidFill>
                    <w14:schemeClr w14:val="tx1"/>
                  </w14:solidFill>
                </w14:textFill>
              </w:rPr>
              <w:t>日分别对</w:t>
            </w:r>
            <w:r>
              <w:rPr>
                <w:rFonts w:hint="eastAsia" w:ascii="Times New Roman" w:hAnsi="Times New Roman" w:eastAsia="宋体" w:cs="Times New Roman"/>
                <w:color w:val="auto"/>
                <w:kern w:val="0"/>
                <w:sz w:val="24"/>
                <w:szCs w:val="24"/>
                <w:highlight w:val="none"/>
                <w:lang w:val="en-US" w:eastAsia="zh-CN" w:bidi="ar"/>
              </w:rPr>
              <w:t>项目厂区</w:t>
            </w:r>
            <w:r>
              <w:rPr>
                <w:rFonts w:hint="eastAsia" w:cs="Times New Roman"/>
                <w:color w:val="auto"/>
                <w:kern w:val="0"/>
                <w:sz w:val="24"/>
                <w:szCs w:val="24"/>
                <w:highlight w:val="none"/>
                <w:lang w:val="en-US" w:eastAsia="zh-CN" w:bidi="ar"/>
              </w:rPr>
              <w:t>内土壤</w:t>
            </w:r>
            <w:r>
              <w:rPr>
                <w:rFonts w:hint="eastAsia" w:ascii="Times New Roman" w:hAnsi="Times New Roman" w:eastAsia="宋体" w:cs="Times New Roman"/>
                <w:color w:val="auto"/>
                <w:kern w:val="0"/>
                <w:sz w:val="24"/>
                <w:szCs w:val="24"/>
                <w:highlight w:val="none"/>
                <w:lang w:val="en-US" w:eastAsia="zh-CN" w:bidi="ar"/>
              </w:rPr>
              <w:t>进行采样检测，检测</w:t>
            </w:r>
            <w:r>
              <w:rPr>
                <w:rFonts w:hint="eastAsia" w:cs="Times New Roman"/>
                <w:color w:val="auto"/>
                <w:kern w:val="0"/>
                <w:sz w:val="24"/>
                <w:szCs w:val="24"/>
                <w:highlight w:val="none"/>
                <w:lang w:val="en-US" w:eastAsia="zh-CN" w:bidi="ar"/>
              </w:rPr>
              <w:t>情况</w:t>
            </w:r>
            <w:r>
              <w:rPr>
                <w:rFonts w:hint="eastAsia" w:ascii="Times New Roman" w:hAnsi="Times New Roman" w:eastAsia="宋体" w:cs="Times New Roman"/>
                <w:color w:val="auto"/>
                <w:kern w:val="0"/>
                <w:sz w:val="24"/>
                <w:szCs w:val="24"/>
                <w:highlight w:val="none"/>
                <w:lang w:val="en-US" w:eastAsia="zh-CN" w:bidi="ar"/>
              </w:rPr>
              <w:t>如下</w:t>
            </w:r>
            <w:r>
              <w:rPr>
                <w:rFonts w:hint="eastAsia" w:cs="Times New Roman"/>
                <w:color w:val="auto"/>
                <w:kern w:val="0"/>
                <w:sz w:val="24"/>
                <w:szCs w:val="24"/>
                <w:highlight w:val="none"/>
                <w:lang w:val="en-US" w:eastAsia="zh-CN" w:bidi="ar"/>
              </w:rPr>
              <w:t>：</w:t>
            </w:r>
          </w:p>
          <w:p w14:paraId="1B7C7982">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①</w:t>
            </w:r>
            <w:r>
              <w:rPr>
                <w:rFonts w:hint="eastAsia" w:ascii="Times New Roman" w:hAnsi="Times New Roman" w:eastAsia="宋体" w:cs="Times New Roman"/>
                <w:color w:val="auto"/>
                <w:kern w:val="0"/>
                <w:sz w:val="24"/>
                <w:szCs w:val="24"/>
                <w:highlight w:val="none"/>
                <w:lang w:val="en-US" w:eastAsia="zh-CN" w:bidi="ar"/>
              </w:rPr>
              <w:t>检测点位</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本次在厂区内液化石油气及丙烷储罐区布设1个柱状样S1（0~0.5m、0.5~1.5m、1.5~3.0m、3.6m以下~6.0m 处分别取样）、在厂区西南角布设1个表层样S2，地块内东侧布设1个表层样S3，共3个点位，各监测点位置详见附图。</w:t>
            </w:r>
          </w:p>
          <w:p w14:paraId="00091998">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②</w:t>
            </w:r>
            <w:r>
              <w:rPr>
                <w:rFonts w:hint="eastAsia" w:ascii="Times New Roman" w:hAnsi="Times New Roman" w:eastAsia="宋体" w:cs="Times New Roman"/>
                <w:color w:val="auto"/>
                <w:kern w:val="0"/>
                <w:sz w:val="24"/>
                <w:szCs w:val="24"/>
                <w:highlight w:val="none"/>
                <w:lang w:val="en-US" w:eastAsia="zh-CN" w:bidi="ar"/>
              </w:rPr>
              <w:t>检测项目</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建设用地45项基本因子</w:t>
            </w:r>
            <w:r>
              <w:rPr>
                <w:rFonts w:hint="eastAsia" w:cs="Times New Roman"/>
                <w:color w:val="auto"/>
                <w:kern w:val="0"/>
                <w:sz w:val="24"/>
                <w:szCs w:val="24"/>
                <w:highlight w:val="none"/>
                <w:lang w:val="en-US" w:eastAsia="zh-CN" w:bidi="ar"/>
              </w:rPr>
              <w:t>+石油烃，同时监测</w:t>
            </w:r>
            <w:r>
              <w:rPr>
                <w:rFonts w:hint="eastAsia" w:ascii="Times New Roman" w:hAnsi="Times New Roman" w:eastAsia="宋体" w:cs="Times New Roman"/>
                <w:color w:val="auto"/>
                <w:kern w:val="0"/>
                <w:sz w:val="24"/>
                <w:szCs w:val="24"/>
                <w:highlight w:val="none"/>
                <w:lang w:val="en-US" w:eastAsia="zh-CN" w:bidi="ar"/>
              </w:rPr>
              <w:t>土壤理化指标：pH值、阳离子交换量、氧化还原电位、饱和导水率、土壤容重、孔隙度。</w:t>
            </w:r>
          </w:p>
          <w:p w14:paraId="1CCF25B8">
            <w:pPr>
              <w:keepNext w:val="0"/>
              <w:keepLines w:val="0"/>
              <w:pageBreakBefore w:val="0"/>
              <w:widowControl/>
              <w:suppressLineNumbers w:val="0"/>
              <w:kinsoku/>
              <w:wordWrap/>
              <w:overflowPunct/>
              <w:topLinePunct w:val="0"/>
              <w:autoSpaceDE/>
              <w:autoSpaceDN/>
              <w:bidi w:val="0"/>
              <w:adjustRightInd/>
              <w:snapToGrid/>
              <w:spacing w:line="360" w:lineRule="auto"/>
              <w:ind w:right="0" w:firstLine="480" w:firstLineChars="200"/>
              <w:jc w:val="both"/>
              <w:textAlignment w:val="auto"/>
              <w:rPr>
                <w:rFonts w:hint="eastAsia"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③</w:t>
            </w:r>
            <w:r>
              <w:rPr>
                <w:rFonts w:hint="eastAsia" w:ascii="Times New Roman" w:hAnsi="Times New Roman" w:eastAsia="宋体" w:cs="Times New Roman"/>
                <w:color w:val="auto"/>
                <w:kern w:val="0"/>
                <w:sz w:val="24"/>
                <w:szCs w:val="24"/>
                <w:highlight w:val="none"/>
                <w:lang w:val="en-US" w:eastAsia="zh-CN" w:bidi="ar"/>
              </w:rPr>
              <w:t>检测</w:t>
            </w:r>
            <w:r>
              <w:rPr>
                <w:rFonts w:hint="eastAsia" w:cs="Times New Roman"/>
                <w:color w:val="auto"/>
                <w:kern w:val="0"/>
                <w:sz w:val="24"/>
                <w:szCs w:val="24"/>
                <w:highlight w:val="none"/>
                <w:lang w:val="en-US" w:eastAsia="zh-CN" w:bidi="ar"/>
              </w:rPr>
              <w:t>结果</w:t>
            </w:r>
          </w:p>
          <w:p w14:paraId="1EB98C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spacing w:val="0"/>
                <w:position w:val="0"/>
                <w:sz w:val="21"/>
                <w:szCs w:val="21"/>
                <w:lang w:val="en-US" w:bidi="zh-CN"/>
              </w:rPr>
              <w:t>表3-</w:t>
            </w:r>
            <w:r>
              <w:rPr>
                <w:rFonts w:hint="eastAsia" w:eastAsia="宋体" w:cs="Times New Roman"/>
                <w:b/>
                <w:bCs/>
                <w:color w:val="auto"/>
                <w:spacing w:val="0"/>
                <w:position w:val="0"/>
                <w:sz w:val="21"/>
                <w:szCs w:val="21"/>
                <w:lang w:val="en-US" w:bidi="zh-CN"/>
              </w:rPr>
              <w:t>4</w:t>
            </w:r>
            <w:r>
              <w:rPr>
                <w:rFonts w:hint="eastAsia" w:ascii="Times New Roman" w:hAnsi="Times New Roman" w:eastAsia="宋体" w:cs="Times New Roman"/>
                <w:b/>
                <w:bCs/>
                <w:color w:val="auto"/>
                <w:spacing w:val="0"/>
                <w:position w:val="0"/>
                <w:sz w:val="21"/>
                <w:szCs w:val="21"/>
                <w:lang w:val="en-US" w:bidi="zh-CN"/>
              </w:rPr>
              <w:t xml:space="preserve">   柱状</w:t>
            </w:r>
            <w:r>
              <w:rPr>
                <w:rFonts w:hint="default" w:ascii="Times New Roman" w:hAnsi="Times New Roman" w:eastAsia="宋体" w:cs="Times New Roman"/>
                <w:b/>
                <w:bCs/>
                <w:color w:val="auto"/>
                <w:spacing w:val="0"/>
                <w:position w:val="0"/>
                <w:sz w:val="21"/>
                <w:szCs w:val="21"/>
                <w:lang w:val="zh-CN" w:bidi="zh-CN"/>
              </w:rPr>
              <w:t>样土壤质量现状监测结果统计表</w:t>
            </w:r>
          </w:p>
          <w:tbl>
            <w:tblPr>
              <w:tblStyle w:val="30"/>
              <w:tblW w:w="82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6"/>
              <w:gridCol w:w="1825"/>
              <w:gridCol w:w="706"/>
              <w:gridCol w:w="979"/>
              <w:gridCol w:w="1121"/>
              <w:gridCol w:w="1094"/>
              <w:gridCol w:w="1088"/>
              <w:gridCol w:w="1093"/>
            </w:tblGrid>
            <w:tr w14:paraId="1E75E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151" w:type="dxa"/>
                  <w:gridSpan w:val="2"/>
                  <w:vMerge w:val="restart"/>
                  <w:tcBorders>
                    <w:tl2br w:val="nil"/>
                    <w:tr2bl w:val="nil"/>
                  </w:tcBorders>
                  <w:noWrap w:val="0"/>
                  <w:vAlign w:val="center"/>
                </w:tcPr>
                <w:p w14:paraId="259BD7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kern w:val="0"/>
                      <w:sz w:val="18"/>
                      <w:szCs w:val="18"/>
                      <w:highlight w:val="none"/>
                      <w:u w:val="none"/>
                      <w:lang w:val="en-US" w:eastAsia="zh-CN" w:bidi="ar"/>
                    </w:rPr>
                  </w:pPr>
                  <w:r>
                    <w:rPr>
                      <w:rFonts w:hint="default" w:ascii="Times New Roman" w:hAnsi="Times New Roman" w:eastAsia="宋体" w:cs="Times New Roman"/>
                      <w:b/>
                      <w:bCs/>
                      <w:i w:val="0"/>
                      <w:color w:val="auto"/>
                      <w:kern w:val="0"/>
                      <w:sz w:val="18"/>
                      <w:szCs w:val="18"/>
                      <w:highlight w:val="none"/>
                      <w:u w:val="none"/>
                      <w:lang w:val="en-US" w:eastAsia="zh-CN" w:bidi="ar"/>
                    </w:rPr>
                    <w:t>检测因子</w:t>
                  </w:r>
                </w:p>
              </w:tc>
              <w:tc>
                <w:tcPr>
                  <w:tcW w:w="706" w:type="dxa"/>
                  <w:vMerge w:val="restart"/>
                  <w:tcBorders>
                    <w:tl2br w:val="nil"/>
                    <w:tr2bl w:val="nil"/>
                  </w:tcBorders>
                  <w:noWrap w:val="0"/>
                  <w:vAlign w:val="center"/>
                </w:tcPr>
                <w:p w14:paraId="00F0DC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color w:val="auto"/>
                      <w:kern w:val="2"/>
                      <w:sz w:val="18"/>
                      <w:szCs w:val="18"/>
                      <w:highlight w:val="none"/>
                      <w:lang w:val="en-US" w:eastAsia="zh-CN"/>
                    </w:rPr>
                  </w:pPr>
                  <w:r>
                    <w:rPr>
                      <w:rFonts w:hint="default" w:ascii="Times New Roman" w:hAnsi="Times New Roman" w:eastAsia="宋体" w:cs="Times New Roman"/>
                      <w:b/>
                      <w:bCs/>
                      <w:color w:val="auto"/>
                      <w:kern w:val="2"/>
                      <w:sz w:val="18"/>
                      <w:szCs w:val="18"/>
                      <w:highlight w:val="none"/>
                      <w:lang w:val="en-US" w:eastAsia="zh-CN"/>
                    </w:rPr>
                    <w:t>单位</w:t>
                  </w:r>
                </w:p>
              </w:tc>
              <w:tc>
                <w:tcPr>
                  <w:tcW w:w="4282" w:type="dxa"/>
                  <w:gridSpan w:val="4"/>
                  <w:tcBorders>
                    <w:tl2br w:val="nil"/>
                    <w:tr2bl w:val="nil"/>
                  </w:tcBorders>
                  <w:noWrap w:val="0"/>
                  <w:vAlign w:val="center"/>
                </w:tcPr>
                <w:p w14:paraId="38DA9C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kern w:val="0"/>
                      <w:sz w:val="18"/>
                      <w:szCs w:val="18"/>
                      <w:highlight w:val="none"/>
                      <w:lang w:val="en-US" w:eastAsia="zh-CN"/>
                    </w:rPr>
                    <w:t>采样点位</w:t>
                  </w:r>
                  <w:r>
                    <w:rPr>
                      <w:rFonts w:hint="eastAsia" w:ascii="Times New Roman" w:hAnsi="Times New Roman" w:eastAsia="宋体" w:cs="Times New Roman"/>
                      <w:b/>
                      <w:bCs/>
                      <w:color w:val="auto"/>
                      <w:kern w:val="0"/>
                      <w:sz w:val="18"/>
                      <w:szCs w:val="18"/>
                      <w:highlight w:val="none"/>
                      <w:lang w:val="en-US" w:eastAsia="zh-CN"/>
                    </w:rPr>
                    <w:t>（厂区内液化石油气及丙烷储罐区）</w:t>
                  </w:r>
                </w:p>
              </w:tc>
              <w:tc>
                <w:tcPr>
                  <w:tcW w:w="1093" w:type="dxa"/>
                  <w:vMerge w:val="restart"/>
                  <w:tcBorders>
                    <w:tl2br w:val="nil"/>
                    <w:tr2bl w:val="nil"/>
                  </w:tcBorders>
                  <w:noWrap w:val="0"/>
                  <w:vAlign w:val="center"/>
                </w:tcPr>
                <w:p w14:paraId="76246F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kern w:val="0"/>
                      <w:sz w:val="18"/>
                      <w:szCs w:val="18"/>
                      <w:highlight w:val="none"/>
                      <w:lang w:val="en-US" w:eastAsia="zh-CN"/>
                    </w:rPr>
                    <w:t>二类用地风险筛选值(mg/kg)</w:t>
                  </w:r>
                </w:p>
              </w:tc>
            </w:tr>
            <w:tr w14:paraId="74A7E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blHeader/>
                <w:jc w:val="center"/>
              </w:trPr>
              <w:tc>
                <w:tcPr>
                  <w:tcW w:w="2151" w:type="dxa"/>
                  <w:gridSpan w:val="2"/>
                  <w:vMerge w:val="continue"/>
                  <w:tcBorders>
                    <w:tl2br w:val="nil"/>
                    <w:tr2bl w:val="nil"/>
                  </w:tcBorders>
                  <w:noWrap w:val="0"/>
                  <w:vAlign w:val="center"/>
                </w:tcPr>
                <w:p w14:paraId="206A53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p>
              </w:tc>
              <w:tc>
                <w:tcPr>
                  <w:tcW w:w="706" w:type="dxa"/>
                  <w:vMerge w:val="continue"/>
                  <w:tcBorders>
                    <w:tl2br w:val="nil"/>
                    <w:tr2bl w:val="nil"/>
                  </w:tcBorders>
                  <w:noWrap w:val="0"/>
                  <w:vAlign w:val="center"/>
                </w:tcPr>
                <w:p w14:paraId="7A9F19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highlight w:val="none"/>
                      <w:lang w:val="en-US" w:eastAsia="zh-CN"/>
                    </w:rPr>
                  </w:pPr>
                </w:p>
              </w:tc>
              <w:tc>
                <w:tcPr>
                  <w:tcW w:w="979" w:type="dxa"/>
                  <w:tcBorders>
                    <w:tl2br w:val="nil"/>
                    <w:tr2bl w:val="nil"/>
                  </w:tcBorders>
                  <w:noWrap w:val="0"/>
                  <w:vAlign w:val="center"/>
                </w:tcPr>
                <w:p w14:paraId="0084AB9D">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kern w:val="0"/>
                      <w:sz w:val="18"/>
                      <w:szCs w:val="18"/>
                      <w:highlight w:val="none"/>
                      <w:lang w:val="en-US" w:eastAsia="zh-CN"/>
                    </w:rPr>
                    <w:t>S1</w:t>
                  </w:r>
                </w:p>
                <w:p w14:paraId="355CC4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color w:val="auto"/>
                      <w:kern w:val="0"/>
                      <w:sz w:val="18"/>
                      <w:szCs w:val="18"/>
                      <w:highlight w:val="none"/>
                      <w:lang w:val="en-US" w:eastAsia="zh-CN"/>
                    </w:rPr>
                  </w:pPr>
                  <w:r>
                    <w:rPr>
                      <w:rFonts w:hint="eastAsia" w:cs="Times New Roman"/>
                      <w:b/>
                      <w:bCs/>
                      <w:color w:val="auto"/>
                      <w:kern w:val="0"/>
                      <w:sz w:val="18"/>
                      <w:szCs w:val="18"/>
                      <w:highlight w:val="none"/>
                      <w:lang w:val="en-US" w:eastAsia="zh-CN"/>
                    </w:rPr>
                    <w:t>(</w:t>
                  </w:r>
                  <w:r>
                    <w:rPr>
                      <w:rFonts w:hint="default" w:ascii="Times New Roman" w:hAnsi="Times New Roman" w:eastAsia="宋体" w:cs="Times New Roman"/>
                      <w:b/>
                      <w:bCs/>
                      <w:color w:val="auto"/>
                      <w:kern w:val="0"/>
                      <w:sz w:val="18"/>
                      <w:szCs w:val="18"/>
                      <w:highlight w:val="none"/>
                      <w:lang w:val="en-US" w:eastAsia="zh-CN"/>
                    </w:rPr>
                    <w:t>0~0.</w:t>
                  </w:r>
                  <w:r>
                    <w:rPr>
                      <w:rFonts w:hint="default" w:ascii="Times New Roman" w:hAnsi="Times New Roman" w:cs="Times New Roman"/>
                      <w:b/>
                      <w:bCs/>
                      <w:color w:val="auto"/>
                      <w:kern w:val="0"/>
                      <w:sz w:val="18"/>
                      <w:szCs w:val="18"/>
                      <w:highlight w:val="none"/>
                      <w:lang w:val="en-US" w:eastAsia="zh-CN"/>
                    </w:rPr>
                    <w:t>5</w:t>
                  </w:r>
                  <w:r>
                    <w:rPr>
                      <w:rFonts w:hint="default" w:ascii="Times New Roman" w:hAnsi="Times New Roman" w:eastAsia="宋体" w:cs="Times New Roman"/>
                      <w:b/>
                      <w:bCs/>
                      <w:color w:val="auto"/>
                      <w:kern w:val="0"/>
                      <w:sz w:val="18"/>
                      <w:szCs w:val="18"/>
                      <w:highlight w:val="none"/>
                      <w:lang w:val="en-US" w:eastAsia="zh-CN"/>
                    </w:rPr>
                    <w:t>m)</w:t>
                  </w:r>
                </w:p>
              </w:tc>
              <w:tc>
                <w:tcPr>
                  <w:tcW w:w="1121" w:type="dxa"/>
                  <w:tcBorders>
                    <w:tl2br w:val="nil"/>
                    <w:tr2bl w:val="nil"/>
                  </w:tcBorders>
                  <w:noWrap w:val="0"/>
                  <w:vAlign w:val="center"/>
                </w:tcPr>
                <w:p w14:paraId="192AC300">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b/>
                      <w:bCs/>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S1</w:t>
                  </w:r>
                </w:p>
                <w:p w14:paraId="153E28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(0.5~1.5</w:t>
                  </w:r>
                  <w:r>
                    <w:rPr>
                      <w:rFonts w:hint="default" w:ascii="Times New Roman" w:hAnsi="Times New Roman" w:eastAsia="宋体" w:cs="Times New Roman"/>
                      <w:b/>
                      <w:bCs/>
                      <w:color w:val="auto"/>
                      <w:kern w:val="0"/>
                      <w:sz w:val="18"/>
                      <w:szCs w:val="18"/>
                      <w:highlight w:val="none"/>
                      <w:lang w:val="en-US" w:eastAsia="zh-CN"/>
                    </w:rPr>
                    <w:t>m</w:t>
                  </w:r>
                  <w:r>
                    <w:rPr>
                      <w:rFonts w:hint="default" w:ascii="Times New Roman" w:hAnsi="Times New Roman" w:eastAsia="宋体" w:cs="Times New Roman"/>
                      <w:b/>
                      <w:bCs/>
                      <w:color w:val="auto"/>
                      <w:sz w:val="18"/>
                      <w:szCs w:val="18"/>
                      <w:highlight w:val="none"/>
                      <w:lang w:val="en-US" w:eastAsia="zh-CN"/>
                    </w:rPr>
                    <w:t>)</w:t>
                  </w:r>
                </w:p>
              </w:tc>
              <w:tc>
                <w:tcPr>
                  <w:tcW w:w="1094" w:type="dxa"/>
                  <w:tcBorders>
                    <w:tl2br w:val="nil"/>
                    <w:tr2bl w:val="nil"/>
                  </w:tcBorders>
                  <w:noWrap w:val="0"/>
                  <w:vAlign w:val="center"/>
                </w:tcPr>
                <w:p w14:paraId="7A76027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b/>
                      <w:bCs/>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S1</w:t>
                  </w:r>
                </w:p>
                <w:p w14:paraId="0CC796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(1.5~3.0</w:t>
                  </w:r>
                  <w:r>
                    <w:rPr>
                      <w:rFonts w:hint="default" w:ascii="Times New Roman" w:hAnsi="Times New Roman" w:eastAsia="宋体" w:cs="Times New Roman"/>
                      <w:b/>
                      <w:bCs/>
                      <w:color w:val="auto"/>
                      <w:kern w:val="0"/>
                      <w:sz w:val="18"/>
                      <w:szCs w:val="18"/>
                      <w:highlight w:val="none"/>
                      <w:lang w:val="en-US" w:eastAsia="zh-CN"/>
                    </w:rPr>
                    <w:t>m</w:t>
                  </w:r>
                  <w:r>
                    <w:rPr>
                      <w:rFonts w:hint="default" w:ascii="Times New Roman" w:hAnsi="Times New Roman" w:eastAsia="宋体" w:cs="Times New Roman"/>
                      <w:b/>
                      <w:bCs/>
                      <w:color w:val="auto"/>
                      <w:sz w:val="18"/>
                      <w:szCs w:val="18"/>
                      <w:highlight w:val="none"/>
                      <w:lang w:val="en-US" w:eastAsia="zh-CN"/>
                    </w:rPr>
                    <w:t>)</w:t>
                  </w:r>
                </w:p>
              </w:tc>
              <w:tc>
                <w:tcPr>
                  <w:tcW w:w="1088" w:type="dxa"/>
                  <w:tcBorders>
                    <w:tl2br w:val="nil"/>
                    <w:tr2bl w:val="nil"/>
                  </w:tcBorders>
                  <w:noWrap w:val="0"/>
                  <w:vAlign w:val="center"/>
                </w:tcPr>
                <w:p w14:paraId="096CBC2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kern w:val="0"/>
                      <w:sz w:val="18"/>
                      <w:szCs w:val="18"/>
                      <w:highlight w:val="none"/>
                      <w:lang w:val="en-US" w:eastAsia="zh-CN"/>
                    </w:rPr>
                    <w:t>S</w:t>
                  </w:r>
                  <w:r>
                    <w:rPr>
                      <w:rFonts w:hint="eastAsia" w:ascii="Times New Roman" w:hAnsi="Times New Roman" w:eastAsia="宋体" w:cs="Times New Roman"/>
                      <w:b/>
                      <w:bCs/>
                      <w:color w:val="auto"/>
                      <w:kern w:val="0"/>
                      <w:sz w:val="18"/>
                      <w:szCs w:val="18"/>
                      <w:highlight w:val="none"/>
                      <w:lang w:val="en-US" w:eastAsia="zh-CN"/>
                    </w:rPr>
                    <w:t>1</w:t>
                  </w:r>
                </w:p>
                <w:p w14:paraId="6D0BF5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iCs w:val="0"/>
                      <w:color w:val="auto"/>
                      <w:kern w:val="0"/>
                      <w:sz w:val="18"/>
                      <w:szCs w:val="18"/>
                      <w:highlight w:val="none"/>
                      <w:u w:val="none"/>
                      <w:lang w:val="en-US" w:eastAsia="zh-CN" w:bidi="ar"/>
                    </w:rPr>
                  </w:pPr>
                  <w:r>
                    <w:rPr>
                      <w:rFonts w:hint="default" w:ascii="Times New Roman" w:hAnsi="Times New Roman" w:eastAsia="宋体" w:cs="Times New Roman"/>
                      <w:b/>
                      <w:bCs/>
                      <w:color w:val="auto"/>
                      <w:kern w:val="0"/>
                      <w:sz w:val="18"/>
                      <w:szCs w:val="18"/>
                      <w:highlight w:val="none"/>
                      <w:lang w:val="en-US" w:eastAsia="zh-CN"/>
                    </w:rPr>
                    <w:t>(</w:t>
                  </w:r>
                  <w:r>
                    <w:rPr>
                      <w:rFonts w:hint="eastAsia" w:ascii="Times New Roman" w:hAnsi="Times New Roman" w:eastAsia="宋体" w:cs="Times New Roman"/>
                      <w:b/>
                      <w:bCs/>
                      <w:color w:val="auto"/>
                      <w:kern w:val="0"/>
                      <w:sz w:val="18"/>
                      <w:szCs w:val="18"/>
                      <w:highlight w:val="none"/>
                      <w:lang w:val="en-US" w:eastAsia="zh-CN"/>
                    </w:rPr>
                    <w:t>3.6</w:t>
                  </w:r>
                  <w:r>
                    <w:rPr>
                      <w:rFonts w:hint="default" w:ascii="Times New Roman" w:hAnsi="Times New Roman" w:eastAsia="宋体" w:cs="Times New Roman"/>
                      <w:b/>
                      <w:bCs/>
                      <w:color w:val="auto"/>
                      <w:kern w:val="0"/>
                      <w:sz w:val="18"/>
                      <w:szCs w:val="18"/>
                      <w:highlight w:val="none"/>
                      <w:lang w:val="en-US" w:eastAsia="zh-CN"/>
                    </w:rPr>
                    <w:t>~</w:t>
                  </w:r>
                  <w:r>
                    <w:rPr>
                      <w:rFonts w:hint="eastAsia" w:ascii="Times New Roman" w:hAnsi="Times New Roman" w:eastAsia="宋体" w:cs="Times New Roman"/>
                      <w:b/>
                      <w:bCs/>
                      <w:color w:val="auto"/>
                      <w:kern w:val="0"/>
                      <w:sz w:val="18"/>
                      <w:szCs w:val="18"/>
                      <w:highlight w:val="none"/>
                      <w:lang w:val="en-US" w:eastAsia="zh-CN"/>
                    </w:rPr>
                    <w:t>6.0</w:t>
                  </w:r>
                  <w:r>
                    <w:rPr>
                      <w:rFonts w:hint="default" w:ascii="Times New Roman" w:hAnsi="Times New Roman" w:eastAsia="宋体" w:cs="Times New Roman"/>
                      <w:b/>
                      <w:bCs/>
                      <w:color w:val="auto"/>
                      <w:kern w:val="0"/>
                      <w:sz w:val="18"/>
                      <w:szCs w:val="18"/>
                      <w:highlight w:val="none"/>
                      <w:lang w:val="en-US" w:eastAsia="zh-CN"/>
                    </w:rPr>
                    <w:t>m)</w:t>
                  </w:r>
                </w:p>
              </w:tc>
              <w:tc>
                <w:tcPr>
                  <w:tcW w:w="1093" w:type="dxa"/>
                  <w:vMerge w:val="continue"/>
                  <w:tcBorders>
                    <w:tl2br w:val="nil"/>
                    <w:tr2bl w:val="nil"/>
                  </w:tcBorders>
                  <w:noWrap w:val="0"/>
                  <w:vAlign w:val="center"/>
                </w:tcPr>
                <w:p w14:paraId="4F118E5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p>
              </w:tc>
            </w:tr>
            <w:tr w14:paraId="03B39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51" w:type="dxa"/>
                  <w:gridSpan w:val="2"/>
                  <w:tcBorders>
                    <w:tl2br w:val="nil"/>
                    <w:tr2bl w:val="nil"/>
                  </w:tcBorders>
                  <w:noWrap w:val="0"/>
                  <w:vAlign w:val="center"/>
                </w:tcPr>
                <w:p w14:paraId="0870A9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砷</w:t>
                  </w:r>
                </w:p>
              </w:tc>
              <w:tc>
                <w:tcPr>
                  <w:tcW w:w="706" w:type="dxa"/>
                  <w:tcBorders>
                    <w:tl2br w:val="nil"/>
                    <w:tr2bl w:val="nil"/>
                  </w:tcBorders>
                  <w:noWrap w:val="0"/>
                  <w:vAlign w:val="center"/>
                </w:tcPr>
                <w:p w14:paraId="668B47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mg/kg</w:t>
                  </w:r>
                </w:p>
              </w:tc>
              <w:tc>
                <w:tcPr>
                  <w:tcW w:w="979" w:type="dxa"/>
                  <w:tcBorders>
                    <w:tl2br w:val="nil"/>
                    <w:tr2bl w:val="nil"/>
                  </w:tcBorders>
                  <w:noWrap w:val="0"/>
                  <w:vAlign w:val="center"/>
                </w:tcPr>
                <w:p w14:paraId="311AEA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14.8</w:t>
                  </w:r>
                </w:p>
              </w:tc>
              <w:tc>
                <w:tcPr>
                  <w:tcW w:w="1121" w:type="dxa"/>
                  <w:tcBorders>
                    <w:tl2br w:val="nil"/>
                    <w:tr2bl w:val="nil"/>
                  </w:tcBorders>
                  <w:noWrap w:val="0"/>
                  <w:vAlign w:val="center"/>
                </w:tcPr>
                <w:p w14:paraId="182818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12.9</w:t>
                  </w:r>
                </w:p>
              </w:tc>
              <w:tc>
                <w:tcPr>
                  <w:tcW w:w="1094" w:type="dxa"/>
                  <w:tcBorders>
                    <w:tl2br w:val="nil"/>
                    <w:tr2bl w:val="nil"/>
                  </w:tcBorders>
                  <w:noWrap w:val="0"/>
                  <w:vAlign w:val="center"/>
                </w:tcPr>
                <w:p w14:paraId="4A7A9C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12.0</w:t>
                  </w:r>
                </w:p>
              </w:tc>
              <w:tc>
                <w:tcPr>
                  <w:tcW w:w="1088" w:type="dxa"/>
                  <w:tcBorders>
                    <w:tl2br w:val="nil"/>
                    <w:tr2bl w:val="nil"/>
                  </w:tcBorders>
                  <w:noWrap w:val="0"/>
                  <w:vAlign w:val="center"/>
                </w:tcPr>
                <w:p w14:paraId="3C6766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11.6</w:t>
                  </w:r>
                </w:p>
              </w:tc>
              <w:tc>
                <w:tcPr>
                  <w:tcW w:w="1093" w:type="dxa"/>
                  <w:tcBorders>
                    <w:tl2br w:val="nil"/>
                    <w:tr2bl w:val="nil"/>
                  </w:tcBorders>
                  <w:shd w:val="clear" w:color="auto" w:fill="auto"/>
                  <w:noWrap w:val="0"/>
                  <w:vAlign w:val="center"/>
                </w:tcPr>
                <w:p w14:paraId="200F26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≤60</w:t>
                  </w:r>
                </w:p>
              </w:tc>
            </w:tr>
            <w:tr w14:paraId="0AD22F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51" w:type="dxa"/>
                  <w:gridSpan w:val="2"/>
                  <w:tcBorders>
                    <w:tl2br w:val="nil"/>
                    <w:tr2bl w:val="nil"/>
                  </w:tcBorders>
                  <w:noWrap w:val="0"/>
                  <w:vAlign w:val="center"/>
                </w:tcPr>
                <w:p w14:paraId="53C45F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镉</w:t>
                  </w:r>
                </w:p>
              </w:tc>
              <w:tc>
                <w:tcPr>
                  <w:tcW w:w="706" w:type="dxa"/>
                  <w:tcBorders>
                    <w:tl2br w:val="nil"/>
                    <w:tr2bl w:val="nil"/>
                  </w:tcBorders>
                  <w:noWrap w:val="0"/>
                  <w:vAlign w:val="center"/>
                </w:tcPr>
                <w:p w14:paraId="2EBEAA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7737CC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0.</w:t>
                  </w:r>
                  <w:r>
                    <w:rPr>
                      <w:rFonts w:hint="eastAsia" w:ascii="Times New Roman" w:hAnsi="Times New Roman" w:cs="Times New Roman"/>
                      <w:i w:val="0"/>
                      <w:color w:val="auto"/>
                      <w:kern w:val="0"/>
                      <w:sz w:val="18"/>
                      <w:szCs w:val="18"/>
                      <w:highlight w:val="none"/>
                      <w:u w:val="none"/>
                      <w:lang w:val="en-US" w:eastAsia="zh-CN" w:bidi="ar"/>
                    </w:rPr>
                    <w:t>14</w:t>
                  </w:r>
                </w:p>
              </w:tc>
              <w:tc>
                <w:tcPr>
                  <w:tcW w:w="1121" w:type="dxa"/>
                  <w:tcBorders>
                    <w:tl2br w:val="nil"/>
                    <w:tr2bl w:val="nil"/>
                  </w:tcBorders>
                  <w:noWrap w:val="0"/>
                  <w:vAlign w:val="center"/>
                </w:tcPr>
                <w:p w14:paraId="599048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0.</w:t>
                  </w:r>
                  <w:r>
                    <w:rPr>
                      <w:rFonts w:hint="eastAsia" w:ascii="Times New Roman" w:hAnsi="Times New Roman" w:cs="Times New Roman"/>
                      <w:i w:val="0"/>
                      <w:color w:val="auto"/>
                      <w:kern w:val="0"/>
                      <w:sz w:val="18"/>
                      <w:szCs w:val="18"/>
                      <w:highlight w:val="none"/>
                      <w:u w:val="none"/>
                      <w:lang w:val="en-US" w:eastAsia="zh-CN" w:bidi="ar"/>
                    </w:rPr>
                    <w:t>10</w:t>
                  </w:r>
                </w:p>
              </w:tc>
              <w:tc>
                <w:tcPr>
                  <w:tcW w:w="1094" w:type="dxa"/>
                  <w:tcBorders>
                    <w:tl2br w:val="nil"/>
                    <w:tr2bl w:val="nil"/>
                  </w:tcBorders>
                  <w:noWrap w:val="0"/>
                  <w:vAlign w:val="center"/>
                </w:tcPr>
                <w:p w14:paraId="683B96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0.</w:t>
                  </w:r>
                  <w:r>
                    <w:rPr>
                      <w:rFonts w:hint="eastAsia" w:ascii="Times New Roman" w:hAnsi="Times New Roman" w:cs="Times New Roman"/>
                      <w:i w:val="0"/>
                      <w:color w:val="auto"/>
                      <w:kern w:val="0"/>
                      <w:sz w:val="18"/>
                      <w:szCs w:val="18"/>
                      <w:highlight w:val="none"/>
                      <w:u w:val="none"/>
                      <w:lang w:val="en-US" w:eastAsia="zh-CN" w:bidi="ar"/>
                    </w:rPr>
                    <w:t>09</w:t>
                  </w:r>
                </w:p>
              </w:tc>
              <w:tc>
                <w:tcPr>
                  <w:tcW w:w="1088" w:type="dxa"/>
                  <w:tcBorders>
                    <w:tl2br w:val="nil"/>
                    <w:tr2bl w:val="nil"/>
                  </w:tcBorders>
                  <w:noWrap w:val="0"/>
                  <w:vAlign w:val="center"/>
                </w:tcPr>
                <w:p w14:paraId="3D14DB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0</w:t>
                  </w: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08</w:t>
                  </w:r>
                </w:p>
              </w:tc>
              <w:tc>
                <w:tcPr>
                  <w:tcW w:w="1093" w:type="dxa"/>
                  <w:tcBorders>
                    <w:tl2br w:val="nil"/>
                    <w:tr2bl w:val="nil"/>
                  </w:tcBorders>
                  <w:shd w:val="clear" w:color="auto" w:fill="auto"/>
                  <w:noWrap w:val="0"/>
                  <w:vAlign w:val="center"/>
                </w:tcPr>
                <w:p w14:paraId="415CB2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≤65</w:t>
                  </w:r>
                </w:p>
              </w:tc>
            </w:tr>
            <w:tr w14:paraId="7CA88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51" w:type="dxa"/>
                  <w:gridSpan w:val="2"/>
                  <w:tcBorders>
                    <w:tl2br w:val="nil"/>
                    <w:tr2bl w:val="nil"/>
                  </w:tcBorders>
                  <w:noWrap w:val="0"/>
                  <w:vAlign w:val="center"/>
                </w:tcPr>
                <w:p w14:paraId="0FA69F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六价铬</w:t>
                  </w:r>
                </w:p>
              </w:tc>
              <w:tc>
                <w:tcPr>
                  <w:tcW w:w="706" w:type="dxa"/>
                  <w:tcBorders>
                    <w:tl2br w:val="nil"/>
                    <w:tr2bl w:val="nil"/>
                  </w:tcBorders>
                  <w:noWrap w:val="0"/>
                  <w:vAlign w:val="center"/>
                </w:tcPr>
                <w:p w14:paraId="2E6A50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6CAB5C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＜0.5</w:t>
                  </w:r>
                </w:p>
              </w:tc>
              <w:tc>
                <w:tcPr>
                  <w:tcW w:w="1121" w:type="dxa"/>
                  <w:tcBorders>
                    <w:tl2br w:val="nil"/>
                    <w:tr2bl w:val="nil"/>
                  </w:tcBorders>
                  <w:noWrap w:val="0"/>
                  <w:vAlign w:val="center"/>
                </w:tcPr>
                <w:p w14:paraId="36538E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＜0.5</w:t>
                  </w:r>
                </w:p>
              </w:tc>
              <w:tc>
                <w:tcPr>
                  <w:tcW w:w="1094" w:type="dxa"/>
                  <w:tcBorders>
                    <w:tl2br w:val="nil"/>
                    <w:tr2bl w:val="nil"/>
                  </w:tcBorders>
                  <w:noWrap w:val="0"/>
                  <w:vAlign w:val="center"/>
                </w:tcPr>
                <w:p w14:paraId="168ECB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＜0.5</w:t>
                  </w:r>
                </w:p>
              </w:tc>
              <w:tc>
                <w:tcPr>
                  <w:tcW w:w="1088" w:type="dxa"/>
                  <w:tcBorders>
                    <w:tl2br w:val="nil"/>
                    <w:tr2bl w:val="nil"/>
                  </w:tcBorders>
                  <w:noWrap w:val="0"/>
                  <w:vAlign w:val="center"/>
                </w:tcPr>
                <w:p w14:paraId="19B2BEB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＜0.5</w:t>
                  </w:r>
                </w:p>
              </w:tc>
              <w:tc>
                <w:tcPr>
                  <w:tcW w:w="1093" w:type="dxa"/>
                  <w:tcBorders>
                    <w:tl2br w:val="nil"/>
                    <w:tr2bl w:val="nil"/>
                  </w:tcBorders>
                  <w:shd w:val="clear" w:color="auto" w:fill="auto"/>
                  <w:noWrap w:val="0"/>
                  <w:vAlign w:val="center"/>
                </w:tcPr>
                <w:p w14:paraId="6136D6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≤5.7</w:t>
                  </w:r>
                </w:p>
              </w:tc>
            </w:tr>
            <w:tr w14:paraId="0F18A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51" w:type="dxa"/>
                  <w:gridSpan w:val="2"/>
                  <w:tcBorders>
                    <w:tl2br w:val="nil"/>
                    <w:tr2bl w:val="nil"/>
                  </w:tcBorders>
                  <w:noWrap w:val="0"/>
                  <w:vAlign w:val="center"/>
                </w:tcPr>
                <w:p w14:paraId="62E826E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sz w:val="18"/>
                      <w:szCs w:val="18"/>
                      <w:highlight w:val="none"/>
                      <w:lang w:val="en-US" w:eastAsia="zh-CN"/>
                    </w:rPr>
                    <w:t>铜</w:t>
                  </w:r>
                </w:p>
              </w:tc>
              <w:tc>
                <w:tcPr>
                  <w:tcW w:w="706" w:type="dxa"/>
                  <w:tcBorders>
                    <w:tl2br w:val="nil"/>
                    <w:tr2bl w:val="nil"/>
                  </w:tcBorders>
                  <w:noWrap w:val="0"/>
                  <w:vAlign w:val="center"/>
                </w:tcPr>
                <w:p w14:paraId="5289C0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6A1095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22</w:t>
                  </w:r>
                </w:p>
              </w:tc>
              <w:tc>
                <w:tcPr>
                  <w:tcW w:w="1121" w:type="dxa"/>
                  <w:tcBorders>
                    <w:tl2br w:val="nil"/>
                    <w:tr2bl w:val="nil"/>
                  </w:tcBorders>
                  <w:noWrap w:val="0"/>
                  <w:vAlign w:val="center"/>
                </w:tcPr>
                <w:p w14:paraId="29F147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20</w:t>
                  </w:r>
                </w:p>
              </w:tc>
              <w:tc>
                <w:tcPr>
                  <w:tcW w:w="1094" w:type="dxa"/>
                  <w:tcBorders>
                    <w:tl2br w:val="nil"/>
                    <w:tr2bl w:val="nil"/>
                  </w:tcBorders>
                  <w:noWrap w:val="0"/>
                  <w:vAlign w:val="center"/>
                </w:tcPr>
                <w:p w14:paraId="236D185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20</w:t>
                  </w:r>
                </w:p>
              </w:tc>
              <w:tc>
                <w:tcPr>
                  <w:tcW w:w="1088" w:type="dxa"/>
                  <w:tcBorders>
                    <w:tl2br w:val="nil"/>
                    <w:tr2bl w:val="nil"/>
                  </w:tcBorders>
                  <w:noWrap w:val="0"/>
                  <w:vAlign w:val="center"/>
                </w:tcPr>
                <w:p w14:paraId="26956A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9</w:t>
                  </w:r>
                </w:p>
              </w:tc>
              <w:tc>
                <w:tcPr>
                  <w:tcW w:w="1093" w:type="dxa"/>
                  <w:tcBorders>
                    <w:tl2br w:val="nil"/>
                    <w:tr2bl w:val="nil"/>
                  </w:tcBorders>
                  <w:shd w:val="clear" w:color="auto" w:fill="auto"/>
                  <w:noWrap w:val="0"/>
                  <w:vAlign w:val="center"/>
                </w:tcPr>
                <w:p w14:paraId="523EF1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≤18000</w:t>
                  </w:r>
                </w:p>
              </w:tc>
            </w:tr>
            <w:tr w14:paraId="6868C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51" w:type="dxa"/>
                  <w:gridSpan w:val="2"/>
                  <w:tcBorders>
                    <w:tl2br w:val="nil"/>
                    <w:tr2bl w:val="nil"/>
                  </w:tcBorders>
                  <w:noWrap w:val="0"/>
                  <w:vAlign w:val="center"/>
                </w:tcPr>
                <w:p w14:paraId="22F663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铅</w:t>
                  </w:r>
                </w:p>
              </w:tc>
              <w:tc>
                <w:tcPr>
                  <w:tcW w:w="706" w:type="dxa"/>
                  <w:tcBorders>
                    <w:tl2br w:val="nil"/>
                    <w:tr2bl w:val="nil"/>
                  </w:tcBorders>
                  <w:noWrap w:val="0"/>
                  <w:vAlign w:val="center"/>
                </w:tcPr>
                <w:p w14:paraId="4CB5BA2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2B9CBC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21.8</w:t>
                  </w:r>
                </w:p>
              </w:tc>
              <w:tc>
                <w:tcPr>
                  <w:tcW w:w="1121" w:type="dxa"/>
                  <w:tcBorders>
                    <w:tl2br w:val="nil"/>
                    <w:tr2bl w:val="nil"/>
                  </w:tcBorders>
                  <w:noWrap w:val="0"/>
                  <w:vAlign w:val="center"/>
                </w:tcPr>
                <w:p w14:paraId="0347E5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19.3</w:t>
                  </w:r>
                </w:p>
              </w:tc>
              <w:tc>
                <w:tcPr>
                  <w:tcW w:w="1094" w:type="dxa"/>
                  <w:tcBorders>
                    <w:tl2br w:val="nil"/>
                    <w:tr2bl w:val="nil"/>
                  </w:tcBorders>
                  <w:noWrap w:val="0"/>
                  <w:vAlign w:val="center"/>
                </w:tcPr>
                <w:p w14:paraId="7BB4A4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17.0</w:t>
                  </w:r>
                </w:p>
              </w:tc>
              <w:tc>
                <w:tcPr>
                  <w:tcW w:w="1088" w:type="dxa"/>
                  <w:tcBorders>
                    <w:tl2br w:val="nil"/>
                    <w:tr2bl w:val="nil"/>
                  </w:tcBorders>
                  <w:noWrap w:val="0"/>
                  <w:vAlign w:val="center"/>
                </w:tcPr>
                <w:p w14:paraId="0B0B55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eastAsia="宋体" w:cs="Times New Roman"/>
                      <w:i w:val="0"/>
                      <w:color w:val="auto"/>
                      <w:kern w:val="0"/>
                      <w:sz w:val="18"/>
                      <w:szCs w:val="18"/>
                      <w:highlight w:val="none"/>
                      <w:u w:val="none"/>
                      <w:lang w:val="en-US" w:eastAsia="zh-CN" w:bidi="ar"/>
                    </w:rPr>
                    <w:t>15.0</w:t>
                  </w:r>
                </w:p>
              </w:tc>
              <w:tc>
                <w:tcPr>
                  <w:tcW w:w="1093" w:type="dxa"/>
                  <w:tcBorders>
                    <w:tl2br w:val="nil"/>
                    <w:tr2bl w:val="nil"/>
                  </w:tcBorders>
                  <w:shd w:val="clear" w:color="auto" w:fill="auto"/>
                  <w:noWrap w:val="0"/>
                  <w:vAlign w:val="center"/>
                </w:tcPr>
                <w:p w14:paraId="7DABF2D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≤800</w:t>
                  </w:r>
                </w:p>
              </w:tc>
            </w:tr>
            <w:tr w14:paraId="704FD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51" w:type="dxa"/>
                  <w:gridSpan w:val="2"/>
                  <w:tcBorders>
                    <w:tl2br w:val="nil"/>
                    <w:tr2bl w:val="nil"/>
                  </w:tcBorders>
                  <w:noWrap w:val="0"/>
                  <w:vAlign w:val="center"/>
                </w:tcPr>
                <w:p w14:paraId="783DA4D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sz w:val="18"/>
                      <w:szCs w:val="18"/>
                      <w:highlight w:val="none"/>
                      <w:lang w:val="en-US" w:eastAsia="zh-CN"/>
                    </w:rPr>
                    <w:t>汞</w:t>
                  </w:r>
                </w:p>
              </w:tc>
              <w:tc>
                <w:tcPr>
                  <w:tcW w:w="706" w:type="dxa"/>
                  <w:tcBorders>
                    <w:tl2br w:val="nil"/>
                    <w:tr2bl w:val="nil"/>
                  </w:tcBorders>
                  <w:noWrap w:val="0"/>
                  <w:vAlign w:val="center"/>
                </w:tcPr>
                <w:p w14:paraId="69AFCC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mg/kg</w:t>
                  </w:r>
                </w:p>
              </w:tc>
              <w:tc>
                <w:tcPr>
                  <w:tcW w:w="979" w:type="dxa"/>
                  <w:tcBorders>
                    <w:tl2br w:val="nil"/>
                    <w:tr2bl w:val="nil"/>
                  </w:tcBorders>
                  <w:noWrap w:val="0"/>
                  <w:vAlign w:val="center"/>
                </w:tcPr>
                <w:p w14:paraId="3F851F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0.040</w:t>
                  </w:r>
                </w:p>
              </w:tc>
              <w:tc>
                <w:tcPr>
                  <w:tcW w:w="1121" w:type="dxa"/>
                  <w:tcBorders>
                    <w:tl2br w:val="nil"/>
                    <w:tr2bl w:val="nil"/>
                  </w:tcBorders>
                  <w:noWrap w:val="0"/>
                  <w:vAlign w:val="center"/>
                </w:tcPr>
                <w:p w14:paraId="7AD63A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0.</w:t>
                  </w:r>
                  <w:r>
                    <w:rPr>
                      <w:rFonts w:hint="eastAsia" w:ascii="Times New Roman" w:hAnsi="Times New Roman" w:cs="Times New Roman"/>
                      <w:i w:val="0"/>
                      <w:color w:val="auto"/>
                      <w:kern w:val="0"/>
                      <w:sz w:val="18"/>
                      <w:szCs w:val="18"/>
                      <w:highlight w:val="none"/>
                      <w:u w:val="none"/>
                      <w:lang w:val="en-US" w:eastAsia="zh-CN" w:bidi="ar"/>
                    </w:rPr>
                    <w:t>023</w:t>
                  </w:r>
                </w:p>
              </w:tc>
              <w:tc>
                <w:tcPr>
                  <w:tcW w:w="1094" w:type="dxa"/>
                  <w:tcBorders>
                    <w:tl2br w:val="nil"/>
                    <w:tr2bl w:val="nil"/>
                  </w:tcBorders>
                  <w:noWrap w:val="0"/>
                  <w:vAlign w:val="center"/>
                </w:tcPr>
                <w:p w14:paraId="461AB9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0.0</w:t>
                  </w:r>
                  <w:r>
                    <w:rPr>
                      <w:rFonts w:hint="eastAsia" w:ascii="Times New Roman" w:hAnsi="Times New Roman" w:cs="Times New Roman"/>
                      <w:i w:val="0"/>
                      <w:color w:val="auto"/>
                      <w:kern w:val="0"/>
                      <w:sz w:val="18"/>
                      <w:szCs w:val="18"/>
                      <w:highlight w:val="none"/>
                      <w:u w:val="none"/>
                      <w:lang w:val="en-US" w:eastAsia="zh-CN" w:bidi="ar"/>
                    </w:rPr>
                    <w:t>12</w:t>
                  </w:r>
                </w:p>
              </w:tc>
              <w:tc>
                <w:tcPr>
                  <w:tcW w:w="1088" w:type="dxa"/>
                  <w:tcBorders>
                    <w:tl2br w:val="nil"/>
                    <w:tr2bl w:val="nil"/>
                  </w:tcBorders>
                  <w:noWrap w:val="0"/>
                  <w:vAlign w:val="center"/>
                </w:tcPr>
                <w:p w14:paraId="11B703C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0.07</w:t>
                  </w:r>
                  <w:r>
                    <w:rPr>
                      <w:rFonts w:hint="eastAsia" w:ascii="Times New Roman" w:hAnsi="Times New Roman" w:cs="Times New Roman"/>
                      <w:i w:val="0"/>
                      <w:color w:val="auto"/>
                      <w:kern w:val="0"/>
                      <w:sz w:val="18"/>
                      <w:szCs w:val="18"/>
                      <w:highlight w:val="none"/>
                      <w:u w:val="none"/>
                      <w:lang w:val="en-US" w:eastAsia="zh-CN" w:bidi="ar"/>
                    </w:rPr>
                    <w:t>0</w:t>
                  </w:r>
                </w:p>
              </w:tc>
              <w:tc>
                <w:tcPr>
                  <w:tcW w:w="1093" w:type="dxa"/>
                  <w:tcBorders>
                    <w:tl2br w:val="nil"/>
                    <w:tr2bl w:val="nil"/>
                  </w:tcBorders>
                  <w:shd w:val="clear" w:color="auto" w:fill="auto"/>
                  <w:noWrap w:val="0"/>
                  <w:vAlign w:val="center"/>
                </w:tcPr>
                <w:p w14:paraId="534F70B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≤38</w:t>
                  </w:r>
                </w:p>
              </w:tc>
            </w:tr>
            <w:tr w14:paraId="09C413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51" w:type="dxa"/>
                  <w:gridSpan w:val="2"/>
                  <w:tcBorders>
                    <w:tl2br w:val="nil"/>
                    <w:tr2bl w:val="nil"/>
                  </w:tcBorders>
                  <w:noWrap w:val="0"/>
                  <w:vAlign w:val="center"/>
                </w:tcPr>
                <w:p w14:paraId="428D86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镍</w:t>
                  </w:r>
                </w:p>
              </w:tc>
              <w:tc>
                <w:tcPr>
                  <w:tcW w:w="706" w:type="dxa"/>
                  <w:tcBorders>
                    <w:tl2br w:val="nil"/>
                    <w:tr2bl w:val="nil"/>
                  </w:tcBorders>
                  <w:noWrap w:val="0"/>
                  <w:vAlign w:val="center"/>
                </w:tcPr>
                <w:p w14:paraId="0CAA47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3AC2F2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3</w:t>
                  </w:r>
                  <w:r>
                    <w:rPr>
                      <w:rFonts w:hint="default" w:ascii="Times New Roman" w:hAnsi="Times New Roman" w:cs="Times New Roman"/>
                      <w:i w:val="0"/>
                      <w:color w:val="auto"/>
                      <w:kern w:val="0"/>
                      <w:sz w:val="18"/>
                      <w:szCs w:val="18"/>
                      <w:highlight w:val="none"/>
                      <w:u w:val="none"/>
                      <w:lang w:val="en-US" w:eastAsia="zh-CN" w:bidi="ar"/>
                    </w:rPr>
                    <w:t>1</w:t>
                  </w:r>
                </w:p>
              </w:tc>
              <w:tc>
                <w:tcPr>
                  <w:tcW w:w="1121" w:type="dxa"/>
                  <w:tcBorders>
                    <w:tl2br w:val="nil"/>
                    <w:tr2bl w:val="nil"/>
                  </w:tcBorders>
                  <w:noWrap w:val="0"/>
                  <w:vAlign w:val="center"/>
                </w:tcPr>
                <w:p w14:paraId="5AEEF7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2</w:t>
                  </w:r>
                  <w:r>
                    <w:rPr>
                      <w:rFonts w:hint="default" w:ascii="Times New Roman" w:hAnsi="Times New Roman" w:cs="Times New Roman"/>
                      <w:i w:val="0"/>
                      <w:color w:val="auto"/>
                      <w:kern w:val="0"/>
                      <w:sz w:val="18"/>
                      <w:szCs w:val="18"/>
                      <w:highlight w:val="none"/>
                      <w:u w:val="none"/>
                      <w:lang w:val="en-US" w:eastAsia="zh-CN" w:bidi="ar"/>
                    </w:rPr>
                    <w:t>8</w:t>
                  </w:r>
                </w:p>
              </w:tc>
              <w:tc>
                <w:tcPr>
                  <w:tcW w:w="1094" w:type="dxa"/>
                  <w:tcBorders>
                    <w:tl2br w:val="nil"/>
                    <w:tr2bl w:val="nil"/>
                  </w:tcBorders>
                  <w:noWrap w:val="0"/>
                  <w:vAlign w:val="center"/>
                </w:tcPr>
                <w:p w14:paraId="4DB7AD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28</w:t>
                  </w:r>
                </w:p>
              </w:tc>
              <w:tc>
                <w:tcPr>
                  <w:tcW w:w="1088" w:type="dxa"/>
                  <w:tcBorders>
                    <w:tl2br w:val="nil"/>
                    <w:tr2bl w:val="nil"/>
                  </w:tcBorders>
                  <w:noWrap w:val="0"/>
                  <w:vAlign w:val="center"/>
                </w:tcPr>
                <w:p w14:paraId="631F3B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27</w:t>
                  </w:r>
                </w:p>
              </w:tc>
              <w:tc>
                <w:tcPr>
                  <w:tcW w:w="1093" w:type="dxa"/>
                  <w:tcBorders>
                    <w:tl2br w:val="nil"/>
                    <w:tr2bl w:val="nil"/>
                  </w:tcBorders>
                  <w:shd w:val="clear" w:color="auto" w:fill="auto"/>
                  <w:noWrap w:val="0"/>
                  <w:vAlign w:val="center"/>
                </w:tcPr>
                <w:p w14:paraId="2D0D4F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≤900</w:t>
                  </w:r>
                </w:p>
              </w:tc>
            </w:tr>
            <w:tr w14:paraId="1E2AE6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restart"/>
                  <w:tcBorders>
                    <w:tl2br w:val="nil"/>
                    <w:tr2bl w:val="nil"/>
                  </w:tcBorders>
                  <w:noWrap w:val="0"/>
                  <w:vAlign w:val="center"/>
                </w:tcPr>
                <w:p w14:paraId="40E71A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2666E6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670765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5A1050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334004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467B53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3B7D403C">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挥</w:t>
                  </w:r>
                </w:p>
                <w:p w14:paraId="0B79D97C">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发</w:t>
                  </w:r>
                </w:p>
                <w:p w14:paraId="70556A6B">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性</w:t>
                  </w:r>
                </w:p>
                <w:p w14:paraId="221FB215">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有</w:t>
                  </w:r>
                </w:p>
                <w:p w14:paraId="32779371">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机</w:t>
                  </w:r>
                </w:p>
                <w:p w14:paraId="59434BC8">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物</w:t>
                  </w:r>
                </w:p>
                <w:p w14:paraId="7A71A6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242C3E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四氯化碳</w:t>
                  </w:r>
                </w:p>
              </w:tc>
              <w:tc>
                <w:tcPr>
                  <w:tcW w:w="706" w:type="dxa"/>
                  <w:tcBorders>
                    <w:tl2br w:val="nil"/>
                    <w:tr2bl w:val="nil"/>
                  </w:tcBorders>
                  <w:noWrap w:val="0"/>
                  <w:vAlign w:val="center"/>
                </w:tcPr>
                <w:p w14:paraId="74EF0C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796072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＜1.3</w:t>
                  </w:r>
                </w:p>
              </w:tc>
              <w:tc>
                <w:tcPr>
                  <w:tcW w:w="1121" w:type="dxa"/>
                  <w:tcBorders>
                    <w:tl2br w:val="nil"/>
                    <w:tr2bl w:val="nil"/>
                  </w:tcBorders>
                  <w:noWrap w:val="0"/>
                  <w:vAlign w:val="center"/>
                </w:tcPr>
                <w:p w14:paraId="0067E5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＜1.3</w:t>
                  </w:r>
                </w:p>
              </w:tc>
              <w:tc>
                <w:tcPr>
                  <w:tcW w:w="1094" w:type="dxa"/>
                  <w:tcBorders>
                    <w:tl2br w:val="nil"/>
                    <w:tr2bl w:val="nil"/>
                  </w:tcBorders>
                  <w:noWrap w:val="0"/>
                  <w:vAlign w:val="center"/>
                </w:tcPr>
                <w:p w14:paraId="1B50ADC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＜1.3</w:t>
                  </w:r>
                </w:p>
              </w:tc>
              <w:tc>
                <w:tcPr>
                  <w:tcW w:w="1088" w:type="dxa"/>
                  <w:tcBorders>
                    <w:tl2br w:val="nil"/>
                    <w:tr2bl w:val="nil"/>
                  </w:tcBorders>
                  <w:noWrap w:val="0"/>
                  <w:vAlign w:val="center"/>
                </w:tcPr>
                <w:p w14:paraId="018BEC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＜1.3</w:t>
                  </w:r>
                </w:p>
              </w:tc>
              <w:tc>
                <w:tcPr>
                  <w:tcW w:w="1093" w:type="dxa"/>
                  <w:tcBorders>
                    <w:tl2br w:val="nil"/>
                    <w:tr2bl w:val="nil"/>
                  </w:tcBorders>
                  <w:shd w:val="clear" w:color="auto" w:fill="auto"/>
                  <w:noWrap w:val="0"/>
                  <w:vAlign w:val="center"/>
                </w:tcPr>
                <w:p w14:paraId="0C76F3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w:t>
                  </w:r>
                  <w:r>
                    <w:rPr>
                      <w:rFonts w:hint="eastAsia" w:ascii="Times New Roman" w:hAnsi="Times New Roman" w:cs="Times New Roman"/>
                      <w:i w:val="0"/>
                      <w:color w:val="auto"/>
                      <w:kern w:val="0"/>
                      <w:sz w:val="18"/>
                      <w:szCs w:val="18"/>
                      <w:highlight w:val="none"/>
                      <w:u w:val="none"/>
                      <w:lang w:val="en-US" w:eastAsia="zh-CN" w:bidi="ar"/>
                    </w:rPr>
                    <w:t>800</w:t>
                  </w:r>
                </w:p>
              </w:tc>
            </w:tr>
            <w:tr w14:paraId="2815A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4583A3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7933DC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氯仿</w:t>
                  </w:r>
                </w:p>
              </w:tc>
              <w:tc>
                <w:tcPr>
                  <w:tcW w:w="706" w:type="dxa"/>
                  <w:tcBorders>
                    <w:tl2br w:val="nil"/>
                    <w:tr2bl w:val="nil"/>
                  </w:tcBorders>
                  <w:noWrap w:val="0"/>
                  <w:vAlign w:val="center"/>
                </w:tcPr>
                <w:p w14:paraId="4892EF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3004CA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121" w:type="dxa"/>
                  <w:tcBorders>
                    <w:tl2br w:val="nil"/>
                    <w:tr2bl w:val="nil"/>
                  </w:tcBorders>
                  <w:noWrap w:val="0"/>
                  <w:vAlign w:val="center"/>
                </w:tcPr>
                <w:p w14:paraId="6FE790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094" w:type="dxa"/>
                  <w:tcBorders>
                    <w:tl2br w:val="nil"/>
                    <w:tr2bl w:val="nil"/>
                  </w:tcBorders>
                  <w:noWrap w:val="0"/>
                  <w:vAlign w:val="center"/>
                </w:tcPr>
                <w:p w14:paraId="6BEDE4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088" w:type="dxa"/>
                  <w:tcBorders>
                    <w:tl2br w:val="nil"/>
                    <w:tr2bl w:val="nil"/>
                  </w:tcBorders>
                  <w:noWrap w:val="0"/>
                  <w:vAlign w:val="center"/>
                </w:tcPr>
                <w:p w14:paraId="451FC3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093" w:type="dxa"/>
                  <w:tcBorders>
                    <w:tl2br w:val="nil"/>
                    <w:tr2bl w:val="nil"/>
                  </w:tcBorders>
                  <w:shd w:val="clear" w:color="auto" w:fill="auto"/>
                  <w:noWrap w:val="0"/>
                  <w:vAlign w:val="center"/>
                </w:tcPr>
                <w:p w14:paraId="35687F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900</w:t>
                  </w:r>
                </w:p>
              </w:tc>
            </w:tr>
            <w:tr w14:paraId="5E31C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7CE3B7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3E1B82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氯甲烷</w:t>
                  </w:r>
                </w:p>
              </w:tc>
              <w:tc>
                <w:tcPr>
                  <w:tcW w:w="706" w:type="dxa"/>
                  <w:tcBorders>
                    <w:tl2br w:val="nil"/>
                    <w:tr2bl w:val="nil"/>
                  </w:tcBorders>
                  <w:noWrap w:val="0"/>
                  <w:vAlign w:val="center"/>
                </w:tcPr>
                <w:p w14:paraId="07FDF1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7B1C3C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121" w:type="dxa"/>
                  <w:tcBorders>
                    <w:tl2br w:val="nil"/>
                    <w:tr2bl w:val="nil"/>
                  </w:tcBorders>
                  <w:noWrap w:val="0"/>
                  <w:vAlign w:val="center"/>
                </w:tcPr>
                <w:p w14:paraId="1E7D861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094" w:type="dxa"/>
                  <w:tcBorders>
                    <w:tl2br w:val="nil"/>
                    <w:tr2bl w:val="nil"/>
                  </w:tcBorders>
                  <w:noWrap w:val="0"/>
                  <w:vAlign w:val="center"/>
                </w:tcPr>
                <w:p w14:paraId="0CFA03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088" w:type="dxa"/>
                  <w:tcBorders>
                    <w:tl2br w:val="nil"/>
                    <w:tr2bl w:val="nil"/>
                  </w:tcBorders>
                  <w:noWrap w:val="0"/>
                  <w:vAlign w:val="center"/>
                </w:tcPr>
                <w:p w14:paraId="1313E8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093" w:type="dxa"/>
                  <w:tcBorders>
                    <w:tl2br w:val="nil"/>
                    <w:tr2bl w:val="nil"/>
                  </w:tcBorders>
                  <w:shd w:val="clear" w:color="auto" w:fill="auto"/>
                  <w:noWrap w:val="0"/>
                  <w:vAlign w:val="center"/>
                </w:tcPr>
                <w:p w14:paraId="026DE2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≤37</w:t>
                  </w:r>
                  <w:r>
                    <w:rPr>
                      <w:rFonts w:hint="eastAsia" w:ascii="Times New Roman" w:hAnsi="Times New Roman" w:cs="Times New Roman"/>
                      <w:i w:val="0"/>
                      <w:color w:val="auto"/>
                      <w:kern w:val="0"/>
                      <w:sz w:val="18"/>
                      <w:szCs w:val="18"/>
                      <w:highlight w:val="none"/>
                      <w:u w:val="none"/>
                      <w:lang w:val="en-US" w:eastAsia="zh-CN" w:bidi="ar"/>
                    </w:rPr>
                    <w:t>000</w:t>
                  </w:r>
                </w:p>
              </w:tc>
            </w:tr>
            <w:tr w14:paraId="5E9C3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7B5B29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3DF63B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1,1-二氯乙烷</w:t>
                  </w:r>
                </w:p>
              </w:tc>
              <w:tc>
                <w:tcPr>
                  <w:tcW w:w="706" w:type="dxa"/>
                  <w:tcBorders>
                    <w:tl2br w:val="nil"/>
                    <w:tr2bl w:val="nil"/>
                  </w:tcBorders>
                  <w:noWrap w:val="0"/>
                  <w:vAlign w:val="center"/>
                </w:tcPr>
                <w:p w14:paraId="6BBF17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6DC2F1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121" w:type="dxa"/>
                  <w:tcBorders>
                    <w:tl2br w:val="nil"/>
                    <w:tr2bl w:val="nil"/>
                  </w:tcBorders>
                  <w:noWrap w:val="0"/>
                  <w:vAlign w:val="center"/>
                </w:tcPr>
                <w:p w14:paraId="2DCBD1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4" w:type="dxa"/>
                  <w:tcBorders>
                    <w:tl2br w:val="nil"/>
                    <w:tr2bl w:val="nil"/>
                  </w:tcBorders>
                  <w:noWrap w:val="0"/>
                  <w:vAlign w:val="center"/>
                </w:tcPr>
                <w:p w14:paraId="2E0EF9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88" w:type="dxa"/>
                  <w:tcBorders>
                    <w:tl2br w:val="nil"/>
                    <w:tr2bl w:val="nil"/>
                  </w:tcBorders>
                  <w:noWrap w:val="0"/>
                  <w:vAlign w:val="center"/>
                </w:tcPr>
                <w:p w14:paraId="6D09C3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3" w:type="dxa"/>
                  <w:tcBorders>
                    <w:tl2br w:val="nil"/>
                    <w:tr2bl w:val="nil"/>
                  </w:tcBorders>
                  <w:shd w:val="clear" w:color="auto" w:fill="auto"/>
                  <w:noWrap w:val="0"/>
                  <w:vAlign w:val="center"/>
                </w:tcPr>
                <w:p w14:paraId="43BB5E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≤9</w:t>
                  </w:r>
                  <w:r>
                    <w:rPr>
                      <w:rFonts w:hint="eastAsia" w:ascii="Times New Roman" w:hAnsi="Times New Roman" w:cs="Times New Roman"/>
                      <w:i w:val="0"/>
                      <w:color w:val="auto"/>
                      <w:kern w:val="0"/>
                      <w:sz w:val="18"/>
                      <w:szCs w:val="18"/>
                      <w:highlight w:val="none"/>
                      <w:u w:val="none"/>
                      <w:lang w:val="en-US" w:eastAsia="zh-CN" w:bidi="ar"/>
                    </w:rPr>
                    <w:t>000</w:t>
                  </w:r>
                </w:p>
              </w:tc>
            </w:tr>
            <w:tr w14:paraId="12D28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144D8F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124133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1,2-二氯乙烷</w:t>
                  </w:r>
                </w:p>
              </w:tc>
              <w:tc>
                <w:tcPr>
                  <w:tcW w:w="706" w:type="dxa"/>
                  <w:tcBorders>
                    <w:tl2br w:val="nil"/>
                    <w:tr2bl w:val="nil"/>
                  </w:tcBorders>
                  <w:noWrap w:val="0"/>
                  <w:vAlign w:val="center"/>
                </w:tcPr>
                <w:p w14:paraId="4AEDE7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7E5135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121" w:type="dxa"/>
                  <w:tcBorders>
                    <w:tl2br w:val="nil"/>
                    <w:tr2bl w:val="nil"/>
                  </w:tcBorders>
                  <w:noWrap w:val="0"/>
                  <w:vAlign w:val="center"/>
                </w:tcPr>
                <w:p w14:paraId="2DDBBA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094" w:type="dxa"/>
                  <w:tcBorders>
                    <w:tl2br w:val="nil"/>
                    <w:tr2bl w:val="nil"/>
                  </w:tcBorders>
                  <w:noWrap w:val="0"/>
                  <w:vAlign w:val="center"/>
                </w:tcPr>
                <w:p w14:paraId="3DF61B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088" w:type="dxa"/>
                  <w:tcBorders>
                    <w:tl2br w:val="nil"/>
                    <w:tr2bl w:val="nil"/>
                  </w:tcBorders>
                  <w:noWrap w:val="0"/>
                  <w:vAlign w:val="center"/>
                </w:tcPr>
                <w:p w14:paraId="02BE6B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093" w:type="dxa"/>
                  <w:tcBorders>
                    <w:tl2br w:val="nil"/>
                    <w:tr2bl w:val="nil"/>
                  </w:tcBorders>
                  <w:shd w:val="clear" w:color="auto" w:fill="auto"/>
                  <w:noWrap w:val="0"/>
                  <w:vAlign w:val="center"/>
                </w:tcPr>
                <w:p w14:paraId="038D24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w:t>
                  </w:r>
                  <w:r>
                    <w:rPr>
                      <w:rFonts w:hint="eastAsia" w:ascii="Times New Roman" w:hAnsi="Times New Roman" w:cs="Times New Roman"/>
                      <w:i w:val="0"/>
                      <w:color w:val="auto"/>
                      <w:kern w:val="0"/>
                      <w:sz w:val="18"/>
                      <w:szCs w:val="18"/>
                      <w:highlight w:val="none"/>
                      <w:u w:val="none"/>
                      <w:lang w:val="en-US" w:eastAsia="zh-CN" w:bidi="ar"/>
                    </w:rPr>
                    <w:t>000</w:t>
                  </w:r>
                </w:p>
              </w:tc>
            </w:tr>
            <w:tr w14:paraId="4456B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6E1F52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2E34A1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1,1-二氯乙烯</w:t>
                  </w:r>
                </w:p>
              </w:tc>
              <w:tc>
                <w:tcPr>
                  <w:tcW w:w="706" w:type="dxa"/>
                  <w:tcBorders>
                    <w:tl2br w:val="nil"/>
                    <w:tr2bl w:val="nil"/>
                  </w:tcBorders>
                  <w:noWrap w:val="0"/>
                  <w:vAlign w:val="center"/>
                </w:tcPr>
                <w:p w14:paraId="38A649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198901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121" w:type="dxa"/>
                  <w:tcBorders>
                    <w:tl2br w:val="nil"/>
                    <w:tr2bl w:val="nil"/>
                  </w:tcBorders>
                  <w:noWrap w:val="0"/>
                  <w:vAlign w:val="center"/>
                </w:tcPr>
                <w:p w14:paraId="686C8F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094" w:type="dxa"/>
                  <w:tcBorders>
                    <w:tl2br w:val="nil"/>
                    <w:tr2bl w:val="nil"/>
                  </w:tcBorders>
                  <w:noWrap w:val="0"/>
                  <w:vAlign w:val="center"/>
                </w:tcPr>
                <w:p w14:paraId="38AC25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088" w:type="dxa"/>
                  <w:tcBorders>
                    <w:tl2br w:val="nil"/>
                    <w:tr2bl w:val="nil"/>
                  </w:tcBorders>
                  <w:noWrap w:val="0"/>
                  <w:vAlign w:val="center"/>
                </w:tcPr>
                <w:p w14:paraId="70127B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093" w:type="dxa"/>
                  <w:tcBorders>
                    <w:tl2br w:val="nil"/>
                    <w:tr2bl w:val="nil"/>
                  </w:tcBorders>
                  <w:shd w:val="clear" w:color="auto" w:fill="auto"/>
                  <w:noWrap w:val="0"/>
                  <w:vAlign w:val="center"/>
                </w:tcPr>
                <w:p w14:paraId="7E0E57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≤66</w:t>
                  </w:r>
                  <w:r>
                    <w:rPr>
                      <w:rFonts w:hint="eastAsia" w:ascii="Times New Roman" w:hAnsi="Times New Roman" w:cs="Times New Roman"/>
                      <w:i w:val="0"/>
                      <w:color w:val="auto"/>
                      <w:kern w:val="0"/>
                      <w:sz w:val="18"/>
                      <w:szCs w:val="18"/>
                      <w:highlight w:val="none"/>
                      <w:u w:val="none"/>
                      <w:lang w:val="en-US" w:eastAsia="zh-CN" w:bidi="ar"/>
                    </w:rPr>
                    <w:t>000</w:t>
                  </w:r>
                </w:p>
              </w:tc>
            </w:tr>
            <w:tr w14:paraId="507C1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14F86A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5FEFB5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顺-1,2-二氯乙烯</w:t>
                  </w:r>
                </w:p>
              </w:tc>
              <w:tc>
                <w:tcPr>
                  <w:tcW w:w="706" w:type="dxa"/>
                  <w:tcBorders>
                    <w:tl2br w:val="nil"/>
                    <w:tr2bl w:val="nil"/>
                  </w:tcBorders>
                  <w:noWrap w:val="0"/>
                  <w:vAlign w:val="center"/>
                </w:tcPr>
                <w:p w14:paraId="6D9D658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3D79ED7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121" w:type="dxa"/>
                  <w:tcBorders>
                    <w:tl2br w:val="nil"/>
                    <w:tr2bl w:val="nil"/>
                  </w:tcBorders>
                  <w:noWrap w:val="0"/>
                  <w:vAlign w:val="center"/>
                </w:tcPr>
                <w:p w14:paraId="291174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094" w:type="dxa"/>
                  <w:tcBorders>
                    <w:tl2br w:val="nil"/>
                    <w:tr2bl w:val="nil"/>
                  </w:tcBorders>
                  <w:noWrap w:val="0"/>
                  <w:vAlign w:val="center"/>
                </w:tcPr>
                <w:p w14:paraId="122548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088" w:type="dxa"/>
                  <w:tcBorders>
                    <w:tl2br w:val="nil"/>
                    <w:tr2bl w:val="nil"/>
                  </w:tcBorders>
                  <w:noWrap w:val="0"/>
                  <w:vAlign w:val="center"/>
                </w:tcPr>
                <w:p w14:paraId="27F818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093" w:type="dxa"/>
                  <w:tcBorders>
                    <w:tl2br w:val="nil"/>
                    <w:tr2bl w:val="nil"/>
                  </w:tcBorders>
                  <w:shd w:val="clear" w:color="auto" w:fill="auto"/>
                  <w:noWrap w:val="0"/>
                  <w:vAlign w:val="center"/>
                </w:tcPr>
                <w:p w14:paraId="2B68C2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≤596</w:t>
                  </w:r>
                  <w:r>
                    <w:rPr>
                      <w:rFonts w:hint="eastAsia" w:ascii="Times New Roman" w:hAnsi="Times New Roman" w:cs="Times New Roman"/>
                      <w:i w:val="0"/>
                      <w:color w:val="auto"/>
                      <w:kern w:val="0"/>
                      <w:sz w:val="18"/>
                      <w:szCs w:val="18"/>
                      <w:highlight w:val="none"/>
                      <w:u w:val="none"/>
                      <w:lang w:val="en-US" w:eastAsia="zh-CN" w:bidi="ar"/>
                    </w:rPr>
                    <w:t>000</w:t>
                  </w:r>
                </w:p>
              </w:tc>
            </w:tr>
            <w:tr w14:paraId="11BC2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63E450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7B7210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反-1,2-二氯乙烯</w:t>
                  </w:r>
                </w:p>
              </w:tc>
              <w:tc>
                <w:tcPr>
                  <w:tcW w:w="706" w:type="dxa"/>
                  <w:tcBorders>
                    <w:tl2br w:val="nil"/>
                    <w:tr2bl w:val="nil"/>
                  </w:tcBorders>
                  <w:noWrap w:val="0"/>
                  <w:vAlign w:val="center"/>
                </w:tcPr>
                <w:p w14:paraId="00449E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380E45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121" w:type="dxa"/>
                  <w:tcBorders>
                    <w:tl2br w:val="nil"/>
                    <w:tr2bl w:val="nil"/>
                  </w:tcBorders>
                  <w:noWrap w:val="0"/>
                  <w:vAlign w:val="center"/>
                </w:tcPr>
                <w:p w14:paraId="4AE471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094" w:type="dxa"/>
                  <w:tcBorders>
                    <w:tl2br w:val="nil"/>
                    <w:tr2bl w:val="nil"/>
                  </w:tcBorders>
                  <w:noWrap w:val="0"/>
                  <w:vAlign w:val="center"/>
                </w:tcPr>
                <w:p w14:paraId="0436F3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088" w:type="dxa"/>
                  <w:tcBorders>
                    <w:tl2br w:val="nil"/>
                    <w:tr2bl w:val="nil"/>
                  </w:tcBorders>
                  <w:noWrap w:val="0"/>
                  <w:vAlign w:val="center"/>
                </w:tcPr>
                <w:p w14:paraId="63D2FD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093" w:type="dxa"/>
                  <w:tcBorders>
                    <w:tl2br w:val="nil"/>
                    <w:tr2bl w:val="nil"/>
                  </w:tcBorders>
                  <w:shd w:val="clear" w:color="auto" w:fill="auto"/>
                  <w:noWrap w:val="0"/>
                  <w:vAlign w:val="center"/>
                </w:tcPr>
                <w:p w14:paraId="36D748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≤54</w:t>
                  </w:r>
                  <w:r>
                    <w:rPr>
                      <w:rFonts w:hint="eastAsia" w:ascii="Times New Roman" w:hAnsi="Times New Roman" w:cs="Times New Roman"/>
                      <w:i w:val="0"/>
                      <w:color w:val="auto"/>
                      <w:kern w:val="0"/>
                      <w:sz w:val="18"/>
                      <w:szCs w:val="18"/>
                      <w:highlight w:val="none"/>
                      <w:u w:val="none"/>
                      <w:lang w:val="en-US" w:eastAsia="zh-CN" w:bidi="ar"/>
                    </w:rPr>
                    <w:t>000</w:t>
                  </w:r>
                </w:p>
              </w:tc>
            </w:tr>
            <w:tr w14:paraId="47F957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02179B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4A031F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二氯甲烷</w:t>
                  </w:r>
                </w:p>
              </w:tc>
              <w:tc>
                <w:tcPr>
                  <w:tcW w:w="706" w:type="dxa"/>
                  <w:tcBorders>
                    <w:tl2br w:val="nil"/>
                    <w:tr2bl w:val="nil"/>
                  </w:tcBorders>
                  <w:noWrap w:val="0"/>
                  <w:vAlign w:val="center"/>
                </w:tcPr>
                <w:p w14:paraId="21D2AF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00ECC9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121" w:type="dxa"/>
                  <w:tcBorders>
                    <w:tl2br w:val="nil"/>
                    <w:tr2bl w:val="nil"/>
                  </w:tcBorders>
                  <w:noWrap w:val="0"/>
                  <w:vAlign w:val="center"/>
                </w:tcPr>
                <w:p w14:paraId="445E4D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094" w:type="dxa"/>
                  <w:tcBorders>
                    <w:tl2br w:val="nil"/>
                    <w:tr2bl w:val="nil"/>
                  </w:tcBorders>
                  <w:noWrap w:val="0"/>
                  <w:vAlign w:val="center"/>
                </w:tcPr>
                <w:p w14:paraId="4C42B1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088" w:type="dxa"/>
                  <w:tcBorders>
                    <w:tl2br w:val="nil"/>
                    <w:tr2bl w:val="nil"/>
                  </w:tcBorders>
                  <w:noWrap w:val="0"/>
                  <w:vAlign w:val="center"/>
                </w:tcPr>
                <w:p w14:paraId="205660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093" w:type="dxa"/>
                  <w:tcBorders>
                    <w:tl2br w:val="nil"/>
                    <w:tr2bl w:val="nil"/>
                  </w:tcBorders>
                  <w:shd w:val="clear" w:color="auto" w:fill="auto"/>
                  <w:noWrap w:val="0"/>
                  <w:vAlign w:val="center"/>
                </w:tcPr>
                <w:p w14:paraId="6CF5A1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≤616</w:t>
                  </w:r>
                  <w:r>
                    <w:rPr>
                      <w:rFonts w:hint="eastAsia" w:ascii="Times New Roman" w:hAnsi="Times New Roman" w:cs="Times New Roman"/>
                      <w:i w:val="0"/>
                      <w:color w:val="auto"/>
                      <w:kern w:val="0"/>
                      <w:sz w:val="18"/>
                      <w:szCs w:val="18"/>
                      <w:highlight w:val="none"/>
                      <w:u w:val="none"/>
                      <w:lang w:val="en-US" w:eastAsia="zh-CN" w:bidi="ar"/>
                    </w:rPr>
                    <w:t>000</w:t>
                  </w:r>
                </w:p>
              </w:tc>
            </w:tr>
            <w:tr w14:paraId="390A1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6E1B67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4B62E2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1,2-二氯丙烷</w:t>
                  </w:r>
                </w:p>
              </w:tc>
              <w:tc>
                <w:tcPr>
                  <w:tcW w:w="706" w:type="dxa"/>
                  <w:tcBorders>
                    <w:tl2br w:val="nil"/>
                    <w:tr2bl w:val="nil"/>
                  </w:tcBorders>
                  <w:noWrap w:val="0"/>
                  <w:vAlign w:val="center"/>
                </w:tcPr>
                <w:p w14:paraId="7A6A8B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5F1F24C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121" w:type="dxa"/>
                  <w:tcBorders>
                    <w:tl2br w:val="nil"/>
                    <w:tr2bl w:val="nil"/>
                  </w:tcBorders>
                  <w:noWrap w:val="0"/>
                  <w:vAlign w:val="center"/>
                </w:tcPr>
                <w:p w14:paraId="7CE952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094" w:type="dxa"/>
                  <w:tcBorders>
                    <w:tl2br w:val="nil"/>
                    <w:tr2bl w:val="nil"/>
                  </w:tcBorders>
                  <w:noWrap w:val="0"/>
                  <w:vAlign w:val="center"/>
                </w:tcPr>
                <w:p w14:paraId="1F8440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088" w:type="dxa"/>
                  <w:tcBorders>
                    <w:tl2br w:val="nil"/>
                    <w:tr2bl w:val="nil"/>
                  </w:tcBorders>
                  <w:noWrap w:val="0"/>
                  <w:vAlign w:val="center"/>
                </w:tcPr>
                <w:p w14:paraId="272E6A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093" w:type="dxa"/>
                  <w:tcBorders>
                    <w:tl2br w:val="nil"/>
                    <w:tr2bl w:val="nil"/>
                  </w:tcBorders>
                  <w:shd w:val="clear" w:color="auto" w:fill="auto"/>
                  <w:noWrap w:val="0"/>
                  <w:vAlign w:val="center"/>
                </w:tcPr>
                <w:p w14:paraId="317B69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w:t>
                  </w:r>
                  <w:r>
                    <w:rPr>
                      <w:rFonts w:hint="eastAsia" w:ascii="Times New Roman" w:hAnsi="Times New Roman" w:cs="Times New Roman"/>
                      <w:i w:val="0"/>
                      <w:color w:val="auto"/>
                      <w:kern w:val="0"/>
                      <w:sz w:val="18"/>
                      <w:szCs w:val="18"/>
                      <w:highlight w:val="none"/>
                      <w:u w:val="none"/>
                      <w:lang w:val="en-US" w:eastAsia="zh-CN" w:bidi="ar"/>
                    </w:rPr>
                    <w:t>000</w:t>
                  </w:r>
                </w:p>
              </w:tc>
            </w:tr>
            <w:tr w14:paraId="5EF47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295443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6E5CC0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1,1,1,2-四氯乙烷</w:t>
                  </w:r>
                </w:p>
              </w:tc>
              <w:tc>
                <w:tcPr>
                  <w:tcW w:w="706" w:type="dxa"/>
                  <w:tcBorders>
                    <w:tl2br w:val="nil"/>
                    <w:tr2bl w:val="nil"/>
                  </w:tcBorders>
                  <w:noWrap w:val="0"/>
                  <w:vAlign w:val="center"/>
                </w:tcPr>
                <w:p w14:paraId="7887B9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309EB9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121" w:type="dxa"/>
                  <w:tcBorders>
                    <w:tl2br w:val="nil"/>
                    <w:tr2bl w:val="nil"/>
                  </w:tcBorders>
                  <w:noWrap w:val="0"/>
                  <w:vAlign w:val="center"/>
                </w:tcPr>
                <w:p w14:paraId="772ADC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4" w:type="dxa"/>
                  <w:tcBorders>
                    <w:tl2br w:val="nil"/>
                    <w:tr2bl w:val="nil"/>
                  </w:tcBorders>
                  <w:noWrap w:val="0"/>
                  <w:vAlign w:val="center"/>
                </w:tcPr>
                <w:p w14:paraId="60D942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88" w:type="dxa"/>
                  <w:tcBorders>
                    <w:tl2br w:val="nil"/>
                    <w:tr2bl w:val="nil"/>
                  </w:tcBorders>
                  <w:noWrap w:val="0"/>
                  <w:vAlign w:val="center"/>
                </w:tcPr>
                <w:p w14:paraId="2A99995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3" w:type="dxa"/>
                  <w:tcBorders>
                    <w:tl2br w:val="nil"/>
                    <w:tr2bl w:val="nil"/>
                  </w:tcBorders>
                  <w:shd w:val="clear" w:color="auto" w:fill="auto"/>
                  <w:noWrap w:val="0"/>
                  <w:vAlign w:val="center"/>
                </w:tcPr>
                <w:p w14:paraId="589CE2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≤10</w:t>
                  </w:r>
                  <w:r>
                    <w:rPr>
                      <w:rFonts w:hint="eastAsia" w:ascii="Times New Roman" w:hAnsi="Times New Roman" w:cs="Times New Roman"/>
                      <w:i w:val="0"/>
                      <w:color w:val="auto"/>
                      <w:kern w:val="0"/>
                      <w:sz w:val="18"/>
                      <w:szCs w:val="18"/>
                      <w:highlight w:val="none"/>
                      <w:u w:val="none"/>
                      <w:lang w:val="en-US" w:eastAsia="zh-CN" w:bidi="ar"/>
                    </w:rPr>
                    <w:t>000</w:t>
                  </w:r>
                </w:p>
              </w:tc>
            </w:tr>
            <w:tr w14:paraId="7826A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1089F7D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35CDC1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1,1,2,2-四氯乙烷</w:t>
                  </w:r>
                </w:p>
              </w:tc>
              <w:tc>
                <w:tcPr>
                  <w:tcW w:w="706" w:type="dxa"/>
                  <w:tcBorders>
                    <w:tl2br w:val="nil"/>
                    <w:tr2bl w:val="nil"/>
                  </w:tcBorders>
                  <w:noWrap w:val="0"/>
                  <w:vAlign w:val="center"/>
                </w:tcPr>
                <w:p w14:paraId="3F5F971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1CAA11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121" w:type="dxa"/>
                  <w:tcBorders>
                    <w:tl2br w:val="nil"/>
                    <w:tr2bl w:val="nil"/>
                  </w:tcBorders>
                  <w:noWrap w:val="0"/>
                  <w:vAlign w:val="center"/>
                </w:tcPr>
                <w:p w14:paraId="7A4DDD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4" w:type="dxa"/>
                  <w:tcBorders>
                    <w:tl2br w:val="nil"/>
                    <w:tr2bl w:val="nil"/>
                  </w:tcBorders>
                  <w:noWrap w:val="0"/>
                  <w:vAlign w:val="center"/>
                </w:tcPr>
                <w:p w14:paraId="11B568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88" w:type="dxa"/>
                  <w:tcBorders>
                    <w:tl2br w:val="nil"/>
                    <w:tr2bl w:val="nil"/>
                  </w:tcBorders>
                  <w:noWrap w:val="0"/>
                  <w:vAlign w:val="center"/>
                </w:tcPr>
                <w:p w14:paraId="0F0DE6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3" w:type="dxa"/>
                  <w:tcBorders>
                    <w:tl2br w:val="nil"/>
                    <w:tr2bl w:val="nil"/>
                  </w:tcBorders>
                  <w:shd w:val="clear" w:color="auto" w:fill="auto"/>
                  <w:noWrap w:val="0"/>
                  <w:vAlign w:val="center"/>
                </w:tcPr>
                <w:p w14:paraId="3809CA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w:t>
                  </w:r>
                  <w:r>
                    <w:rPr>
                      <w:rFonts w:hint="eastAsia" w:ascii="Times New Roman" w:hAnsi="Times New Roman" w:cs="Times New Roman"/>
                      <w:i w:val="0"/>
                      <w:color w:val="auto"/>
                      <w:kern w:val="0"/>
                      <w:sz w:val="18"/>
                      <w:szCs w:val="18"/>
                      <w:highlight w:val="none"/>
                      <w:u w:val="none"/>
                      <w:lang w:val="en-US" w:eastAsia="zh-CN" w:bidi="ar"/>
                    </w:rPr>
                    <w:t>800</w:t>
                  </w:r>
                </w:p>
              </w:tc>
            </w:tr>
            <w:tr w14:paraId="1EC55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406248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64CF0E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四氯乙烯</w:t>
                  </w:r>
                </w:p>
              </w:tc>
              <w:tc>
                <w:tcPr>
                  <w:tcW w:w="706" w:type="dxa"/>
                  <w:tcBorders>
                    <w:tl2br w:val="nil"/>
                    <w:tr2bl w:val="nil"/>
                  </w:tcBorders>
                  <w:noWrap w:val="0"/>
                  <w:vAlign w:val="center"/>
                </w:tcPr>
                <w:p w14:paraId="376F53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671592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121" w:type="dxa"/>
                  <w:tcBorders>
                    <w:tl2br w:val="nil"/>
                    <w:tr2bl w:val="nil"/>
                  </w:tcBorders>
                  <w:noWrap w:val="0"/>
                  <w:vAlign w:val="center"/>
                </w:tcPr>
                <w:p w14:paraId="77E860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094" w:type="dxa"/>
                  <w:tcBorders>
                    <w:tl2br w:val="nil"/>
                    <w:tr2bl w:val="nil"/>
                  </w:tcBorders>
                  <w:noWrap w:val="0"/>
                  <w:vAlign w:val="center"/>
                </w:tcPr>
                <w:p w14:paraId="4E53E6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088" w:type="dxa"/>
                  <w:tcBorders>
                    <w:tl2br w:val="nil"/>
                    <w:tr2bl w:val="nil"/>
                  </w:tcBorders>
                  <w:noWrap w:val="0"/>
                  <w:vAlign w:val="center"/>
                </w:tcPr>
                <w:p w14:paraId="4A8B48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093" w:type="dxa"/>
                  <w:tcBorders>
                    <w:tl2br w:val="nil"/>
                    <w:tr2bl w:val="nil"/>
                  </w:tcBorders>
                  <w:shd w:val="clear" w:color="auto" w:fill="auto"/>
                  <w:noWrap w:val="0"/>
                  <w:vAlign w:val="center"/>
                </w:tcPr>
                <w:p w14:paraId="750031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≤53</w:t>
                  </w:r>
                  <w:r>
                    <w:rPr>
                      <w:rFonts w:hint="eastAsia" w:ascii="Times New Roman" w:hAnsi="Times New Roman" w:cs="Times New Roman"/>
                      <w:i w:val="0"/>
                      <w:color w:val="auto"/>
                      <w:kern w:val="0"/>
                      <w:sz w:val="18"/>
                      <w:szCs w:val="18"/>
                      <w:highlight w:val="none"/>
                      <w:u w:val="none"/>
                      <w:lang w:val="en-US" w:eastAsia="zh-CN" w:bidi="ar"/>
                    </w:rPr>
                    <w:t>000</w:t>
                  </w:r>
                </w:p>
              </w:tc>
            </w:tr>
            <w:tr w14:paraId="216D4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4197E3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2287B9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1,1,1-三氯乙烷</w:t>
                  </w:r>
                </w:p>
              </w:tc>
              <w:tc>
                <w:tcPr>
                  <w:tcW w:w="706" w:type="dxa"/>
                  <w:tcBorders>
                    <w:tl2br w:val="nil"/>
                    <w:tr2bl w:val="nil"/>
                  </w:tcBorders>
                  <w:noWrap w:val="0"/>
                  <w:vAlign w:val="center"/>
                </w:tcPr>
                <w:p w14:paraId="3CCEB0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63A7818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121" w:type="dxa"/>
                  <w:tcBorders>
                    <w:tl2br w:val="nil"/>
                    <w:tr2bl w:val="nil"/>
                  </w:tcBorders>
                  <w:noWrap w:val="0"/>
                  <w:vAlign w:val="center"/>
                </w:tcPr>
                <w:p w14:paraId="586E74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094" w:type="dxa"/>
                  <w:tcBorders>
                    <w:tl2br w:val="nil"/>
                    <w:tr2bl w:val="nil"/>
                  </w:tcBorders>
                  <w:noWrap w:val="0"/>
                  <w:vAlign w:val="center"/>
                </w:tcPr>
                <w:p w14:paraId="20400D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088" w:type="dxa"/>
                  <w:tcBorders>
                    <w:tl2br w:val="nil"/>
                    <w:tr2bl w:val="nil"/>
                  </w:tcBorders>
                  <w:noWrap w:val="0"/>
                  <w:vAlign w:val="center"/>
                </w:tcPr>
                <w:p w14:paraId="43FF05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093" w:type="dxa"/>
                  <w:tcBorders>
                    <w:tl2br w:val="nil"/>
                    <w:tr2bl w:val="nil"/>
                  </w:tcBorders>
                  <w:shd w:val="clear" w:color="auto" w:fill="auto"/>
                  <w:noWrap w:val="0"/>
                  <w:vAlign w:val="center"/>
                </w:tcPr>
                <w:p w14:paraId="4166DB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≤840</w:t>
                  </w:r>
                  <w:r>
                    <w:rPr>
                      <w:rFonts w:hint="eastAsia" w:ascii="Times New Roman" w:hAnsi="Times New Roman" w:cs="Times New Roman"/>
                      <w:i w:val="0"/>
                      <w:color w:val="auto"/>
                      <w:kern w:val="0"/>
                      <w:sz w:val="18"/>
                      <w:szCs w:val="18"/>
                      <w:highlight w:val="none"/>
                      <w:u w:val="none"/>
                      <w:lang w:val="en-US" w:eastAsia="zh-CN" w:bidi="ar"/>
                    </w:rPr>
                    <w:t>000</w:t>
                  </w:r>
                </w:p>
              </w:tc>
            </w:tr>
            <w:tr w14:paraId="277A8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49A333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1E5934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1,1,2-三氯乙烷</w:t>
                  </w:r>
                </w:p>
              </w:tc>
              <w:tc>
                <w:tcPr>
                  <w:tcW w:w="706" w:type="dxa"/>
                  <w:tcBorders>
                    <w:tl2br w:val="nil"/>
                    <w:tr2bl w:val="nil"/>
                  </w:tcBorders>
                  <w:noWrap w:val="0"/>
                  <w:vAlign w:val="center"/>
                </w:tcPr>
                <w:p w14:paraId="253E17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62EB36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121" w:type="dxa"/>
                  <w:tcBorders>
                    <w:tl2br w:val="nil"/>
                    <w:tr2bl w:val="nil"/>
                  </w:tcBorders>
                  <w:noWrap w:val="0"/>
                  <w:vAlign w:val="center"/>
                </w:tcPr>
                <w:p w14:paraId="6B6550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4" w:type="dxa"/>
                  <w:tcBorders>
                    <w:tl2br w:val="nil"/>
                    <w:tr2bl w:val="nil"/>
                  </w:tcBorders>
                  <w:noWrap w:val="0"/>
                  <w:vAlign w:val="center"/>
                </w:tcPr>
                <w:p w14:paraId="5ED19D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88" w:type="dxa"/>
                  <w:tcBorders>
                    <w:tl2br w:val="nil"/>
                    <w:tr2bl w:val="nil"/>
                  </w:tcBorders>
                  <w:noWrap w:val="0"/>
                  <w:vAlign w:val="center"/>
                </w:tcPr>
                <w:p w14:paraId="76D3E3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3" w:type="dxa"/>
                  <w:tcBorders>
                    <w:tl2br w:val="nil"/>
                    <w:tr2bl w:val="nil"/>
                  </w:tcBorders>
                  <w:shd w:val="clear" w:color="auto" w:fill="auto"/>
                  <w:noWrap w:val="0"/>
                  <w:vAlign w:val="center"/>
                </w:tcPr>
                <w:p w14:paraId="4A51935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w:t>
                  </w:r>
                  <w:r>
                    <w:rPr>
                      <w:rFonts w:hint="eastAsia" w:ascii="Times New Roman" w:hAnsi="Times New Roman" w:cs="Times New Roman"/>
                      <w:i w:val="0"/>
                      <w:color w:val="auto"/>
                      <w:kern w:val="0"/>
                      <w:sz w:val="18"/>
                      <w:szCs w:val="18"/>
                      <w:highlight w:val="none"/>
                      <w:u w:val="none"/>
                      <w:lang w:val="en-US" w:eastAsia="zh-CN" w:bidi="ar"/>
                    </w:rPr>
                    <w:t>800</w:t>
                  </w:r>
                </w:p>
              </w:tc>
            </w:tr>
            <w:tr w14:paraId="7A32AE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5F380D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104F64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三氯乙烯</w:t>
                  </w:r>
                </w:p>
              </w:tc>
              <w:tc>
                <w:tcPr>
                  <w:tcW w:w="706" w:type="dxa"/>
                  <w:tcBorders>
                    <w:tl2br w:val="nil"/>
                    <w:tr2bl w:val="nil"/>
                  </w:tcBorders>
                  <w:noWrap w:val="0"/>
                  <w:vAlign w:val="center"/>
                </w:tcPr>
                <w:p w14:paraId="469F70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5F6D3A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121" w:type="dxa"/>
                  <w:tcBorders>
                    <w:tl2br w:val="nil"/>
                    <w:tr2bl w:val="nil"/>
                  </w:tcBorders>
                  <w:noWrap w:val="0"/>
                  <w:vAlign w:val="center"/>
                </w:tcPr>
                <w:p w14:paraId="1D73AC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4" w:type="dxa"/>
                  <w:tcBorders>
                    <w:tl2br w:val="nil"/>
                    <w:tr2bl w:val="nil"/>
                  </w:tcBorders>
                  <w:noWrap w:val="0"/>
                  <w:vAlign w:val="center"/>
                </w:tcPr>
                <w:p w14:paraId="015A9D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88" w:type="dxa"/>
                  <w:tcBorders>
                    <w:tl2br w:val="nil"/>
                    <w:tr2bl w:val="nil"/>
                  </w:tcBorders>
                  <w:noWrap w:val="0"/>
                  <w:vAlign w:val="center"/>
                </w:tcPr>
                <w:p w14:paraId="320ED81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3" w:type="dxa"/>
                  <w:tcBorders>
                    <w:tl2br w:val="nil"/>
                    <w:tr2bl w:val="nil"/>
                  </w:tcBorders>
                  <w:shd w:val="clear" w:color="auto" w:fill="auto"/>
                  <w:noWrap w:val="0"/>
                  <w:vAlign w:val="center"/>
                </w:tcPr>
                <w:p w14:paraId="28D0BA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w:t>
                  </w:r>
                  <w:r>
                    <w:rPr>
                      <w:rFonts w:hint="eastAsia" w:ascii="Times New Roman" w:hAnsi="Times New Roman" w:cs="Times New Roman"/>
                      <w:i w:val="0"/>
                      <w:color w:val="auto"/>
                      <w:kern w:val="0"/>
                      <w:sz w:val="18"/>
                      <w:szCs w:val="18"/>
                      <w:highlight w:val="none"/>
                      <w:u w:val="none"/>
                      <w:lang w:val="en-US" w:eastAsia="zh-CN" w:bidi="ar"/>
                    </w:rPr>
                    <w:t>800</w:t>
                  </w:r>
                </w:p>
              </w:tc>
            </w:tr>
            <w:tr w14:paraId="4C6BE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005FD0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2005EA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1,2,3-三氯丙烷</w:t>
                  </w:r>
                </w:p>
              </w:tc>
              <w:tc>
                <w:tcPr>
                  <w:tcW w:w="706" w:type="dxa"/>
                  <w:tcBorders>
                    <w:tl2br w:val="nil"/>
                    <w:tr2bl w:val="nil"/>
                  </w:tcBorders>
                  <w:noWrap w:val="0"/>
                  <w:vAlign w:val="center"/>
                </w:tcPr>
                <w:p w14:paraId="3C3657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612B30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121" w:type="dxa"/>
                  <w:tcBorders>
                    <w:tl2br w:val="nil"/>
                    <w:tr2bl w:val="nil"/>
                  </w:tcBorders>
                  <w:noWrap w:val="0"/>
                  <w:vAlign w:val="center"/>
                </w:tcPr>
                <w:p w14:paraId="006FE8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4" w:type="dxa"/>
                  <w:tcBorders>
                    <w:tl2br w:val="nil"/>
                    <w:tr2bl w:val="nil"/>
                  </w:tcBorders>
                  <w:noWrap w:val="0"/>
                  <w:vAlign w:val="center"/>
                </w:tcPr>
                <w:p w14:paraId="379CE5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88" w:type="dxa"/>
                  <w:tcBorders>
                    <w:tl2br w:val="nil"/>
                    <w:tr2bl w:val="nil"/>
                  </w:tcBorders>
                  <w:noWrap w:val="0"/>
                  <w:vAlign w:val="center"/>
                </w:tcPr>
                <w:p w14:paraId="05AA1D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3" w:type="dxa"/>
                  <w:tcBorders>
                    <w:tl2br w:val="nil"/>
                    <w:tr2bl w:val="nil"/>
                  </w:tcBorders>
                  <w:shd w:val="clear" w:color="auto" w:fill="auto"/>
                  <w:noWrap w:val="0"/>
                  <w:vAlign w:val="center"/>
                </w:tcPr>
                <w:p w14:paraId="56AE1B8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500</w:t>
                  </w:r>
                </w:p>
              </w:tc>
            </w:tr>
            <w:tr w14:paraId="7ADC5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65307F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64DE6F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氯乙烯</w:t>
                  </w:r>
                </w:p>
              </w:tc>
              <w:tc>
                <w:tcPr>
                  <w:tcW w:w="706" w:type="dxa"/>
                  <w:tcBorders>
                    <w:tl2br w:val="nil"/>
                    <w:tr2bl w:val="nil"/>
                  </w:tcBorders>
                  <w:noWrap w:val="0"/>
                  <w:vAlign w:val="center"/>
                </w:tcPr>
                <w:p w14:paraId="793104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59C0CB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121" w:type="dxa"/>
                  <w:tcBorders>
                    <w:tl2br w:val="nil"/>
                    <w:tr2bl w:val="nil"/>
                  </w:tcBorders>
                  <w:noWrap w:val="0"/>
                  <w:vAlign w:val="center"/>
                </w:tcPr>
                <w:p w14:paraId="256378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094" w:type="dxa"/>
                  <w:tcBorders>
                    <w:tl2br w:val="nil"/>
                    <w:tr2bl w:val="nil"/>
                  </w:tcBorders>
                  <w:noWrap w:val="0"/>
                  <w:vAlign w:val="center"/>
                </w:tcPr>
                <w:p w14:paraId="53A2FC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088" w:type="dxa"/>
                  <w:tcBorders>
                    <w:tl2br w:val="nil"/>
                    <w:tr2bl w:val="nil"/>
                  </w:tcBorders>
                  <w:noWrap w:val="0"/>
                  <w:vAlign w:val="center"/>
                </w:tcPr>
                <w:p w14:paraId="00A0D5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093" w:type="dxa"/>
                  <w:tcBorders>
                    <w:tl2br w:val="nil"/>
                    <w:tr2bl w:val="nil"/>
                  </w:tcBorders>
                  <w:shd w:val="clear" w:color="auto" w:fill="auto"/>
                  <w:noWrap w:val="0"/>
                  <w:vAlign w:val="center"/>
                </w:tcPr>
                <w:p w14:paraId="1793C65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430</w:t>
                  </w:r>
                </w:p>
              </w:tc>
            </w:tr>
            <w:tr w14:paraId="0B41E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293991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542E01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苯</w:t>
                  </w:r>
                </w:p>
              </w:tc>
              <w:tc>
                <w:tcPr>
                  <w:tcW w:w="706" w:type="dxa"/>
                  <w:tcBorders>
                    <w:tl2br w:val="nil"/>
                    <w:tr2bl w:val="nil"/>
                  </w:tcBorders>
                  <w:noWrap w:val="0"/>
                  <w:vAlign w:val="center"/>
                </w:tcPr>
                <w:p w14:paraId="075702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1477B9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9</w:t>
                  </w:r>
                </w:p>
              </w:tc>
              <w:tc>
                <w:tcPr>
                  <w:tcW w:w="1121" w:type="dxa"/>
                  <w:tcBorders>
                    <w:tl2br w:val="nil"/>
                    <w:tr2bl w:val="nil"/>
                  </w:tcBorders>
                  <w:noWrap w:val="0"/>
                  <w:vAlign w:val="center"/>
                </w:tcPr>
                <w:p w14:paraId="1143B4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9</w:t>
                  </w:r>
                </w:p>
              </w:tc>
              <w:tc>
                <w:tcPr>
                  <w:tcW w:w="1094" w:type="dxa"/>
                  <w:tcBorders>
                    <w:tl2br w:val="nil"/>
                    <w:tr2bl w:val="nil"/>
                  </w:tcBorders>
                  <w:noWrap w:val="0"/>
                  <w:vAlign w:val="center"/>
                </w:tcPr>
                <w:p w14:paraId="1D37D8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9</w:t>
                  </w:r>
                </w:p>
              </w:tc>
              <w:tc>
                <w:tcPr>
                  <w:tcW w:w="1088" w:type="dxa"/>
                  <w:tcBorders>
                    <w:tl2br w:val="nil"/>
                    <w:tr2bl w:val="nil"/>
                  </w:tcBorders>
                  <w:noWrap w:val="0"/>
                  <w:vAlign w:val="center"/>
                </w:tcPr>
                <w:p w14:paraId="3DC15A4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9</w:t>
                  </w:r>
                </w:p>
              </w:tc>
              <w:tc>
                <w:tcPr>
                  <w:tcW w:w="1093" w:type="dxa"/>
                  <w:tcBorders>
                    <w:tl2br w:val="nil"/>
                    <w:tr2bl w:val="nil"/>
                  </w:tcBorders>
                  <w:shd w:val="clear" w:color="auto" w:fill="auto"/>
                  <w:noWrap w:val="0"/>
                  <w:vAlign w:val="center"/>
                </w:tcPr>
                <w:p w14:paraId="3B7507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≤4</w:t>
                  </w:r>
                  <w:r>
                    <w:rPr>
                      <w:rFonts w:hint="eastAsia" w:ascii="Times New Roman" w:hAnsi="Times New Roman" w:cs="Times New Roman"/>
                      <w:i w:val="0"/>
                      <w:color w:val="auto"/>
                      <w:kern w:val="0"/>
                      <w:sz w:val="18"/>
                      <w:szCs w:val="18"/>
                      <w:highlight w:val="none"/>
                      <w:u w:val="none"/>
                      <w:lang w:val="en-US" w:eastAsia="zh-CN" w:bidi="ar"/>
                    </w:rPr>
                    <w:t>000</w:t>
                  </w:r>
                </w:p>
              </w:tc>
            </w:tr>
            <w:tr w14:paraId="3ACFA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0AB49E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57591F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氯苯</w:t>
                  </w:r>
                </w:p>
              </w:tc>
              <w:tc>
                <w:tcPr>
                  <w:tcW w:w="706" w:type="dxa"/>
                  <w:tcBorders>
                    <w:tl2br w:val="nil"/>
                    <w:tr2bl w:val="nil"/>
                  </w:tcBorders>
                  <w:noWrap w:val="0"/>
                  <w:vAlign w:val="center"/>
                </w:tcPr>
                <w:p w14:paraId="7DEDC7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6D195C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121" w:type="dxa"/>
                  <w:tcBorders>
                    <w:tl2br w:val="nil"/>
                    <w:tr2bl w:val="nil"/>
                  </w:tcBorders>
                  <w:noWrap w:val="0"/>
                  <w:vAlign w:val="center"/>
                </w:tcPr>
                <w:p w14:paraId="6CE6EB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4" w:type="dxa"/>
                  <w:tcBorders>
                    <w:tl2br w:val="nil"/>
                    <w:tr2bl w:val="nil"/>
                  </w:tcBorders>
                  <w:noWrap w:val="0"/>
                  <w:vAlign w:val="center"/>
                </w:tcPr>
                <w:p w14:paraId="46ADF3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88" w:type="dxa"/>
                  <w:tcBorders>
                    <w:tl2br w:val="nil"/>
                    <w:tr2bl w:val="nil"/>
                  </w:tcBorders>
                  <w:noWrap w:val="0"/>
                  <w:vAlign w:val="center"/>
                </w:tcPr>
                <w:p w14:paraId="2DE29A1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3" w:type="dxa"/>
                  <w:tcBorders>
                    <w:tl2br w:val="nil"/>
                    <w:tr2bl w:val="nil"/>
                  </w:tcBorders>
                  <w:shd w:val="clear" w:color="auto" w:fill="auto"/>
                  <w:noWrap w:val="0"/>
                  <w:vAlign w:val="center"/>
                </w:tcPr>
                <w:p w14:paraId="2EFA5E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≤270</w:t>
                  </w:r>
                  <w:r>
                    <w:rPr>
                      <w:rFonts w:hint="eastAsia" w:ascii="Times New Roman" w:hAnsi="Times New Roman" w:cs="Times New Roman"/>
                      <w:i w:val="0"/>
                      <w:color w:val="auto"/>
                      <w:kern w:val="0"/>
                      <w:sz w:val="18"/>
                      <w:szCs w:val="18"/>
                      <w:highlight w:val="none"/>
                      <w:u w:val="none"/>
                      <w:lang w:val="en-US" w:eastAsia="zh-CN" w:bidi="ar"/>
                    </w:rPr>
                    <w:t>000</w:t>
                  </w:r>
                </w:p>
              </w:tc>
            </w:tr>
            <w:tr w14:paraId="15F1E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1802A2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6C4ABF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w:t>
                  </w:r>
                  <w:r>
                    <w:rPr>
                      <w:rFonts w:hint="default" w:ascii="Times New Roman" w:hAnsi="Times New Roman" w:eastAsia="宋体" w:cs="Times New Roman"/>
                      <w:color w:val="auto"/>
                      <w:kern w:val="0"/>
                      <w:sz w:val="18"/>
                      <w:szCs w:val="18"/>
                      <w:highlight w:val="none"/>
                      <w:lang w:val="en-US" w:eastAsia="zh-CN"/>
                    </w:rPr>
                    <w:t>,</w:t>
                  </w:r>
                  <w:r>
                    <w:rPr>
                      <w:rFonts w:hint="default" w:ascii="Times New Roman" w:hAnsi="Times New Roman" w:eastAsia="宋体" w:cs="Times New Roman"/>
                      <w:color w:val="auto"/>
                      <w:kern w:val="0"/>
                      <w:sz w:val="18"/>
                      <w:szCs w:val="18"/>
                      <w:highlight w:val="none"/>
                    </w:rPr>
                    <w:t>2-二氯苯</w:t>
                  </w:r>
                </w:p>
              </w:tc>
              <w:tc>
                <w:tcPr>
                  <w:tcW w:w="706" w:type="dxa"/>
                  <w:tcBorders>
                    <w:tl2br w:val="nil"/>
                    <w:tr2bl w:val="nil"/>
                  </w:tcBorders>
                  <w:noWrap w:val="0"/>
                  <w:vAlign w:val="center"/>
                </w:tcPr>
                <w:p w14:paraId="3593CB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7B4C36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121" w:type="dxa"/>
                  <w:tcBorders>
                    <w:tl2br w:val="nil"/>
                    <w:tr2bl w:val="nil"/>
                  </w:tcBorders>
                  <w:noWrap w:val="0"/>
                  <w:vAlign w:val="center"/>
                </w:tcPr>
                <w:p w14:paraId="141C3A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094" w:type="dxa"/>
                  <w:tcBorders>
                    <w:tl2br w:val="nil"/>
                    <w:tr2bl w:val="nil"/>
                  </w:tcBorders>
                  <w:noWrap w:val="0"/>
                  <w:vAlign w:val="center"/>
                </w:tcPr>
                <w:p w14:paraId="54E7DF6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088" w:type="dxa"/>
                  <w:tcBorders>
                    <w:tl2br w:val="nil"/>
                    <w:tr2bl w:val="nil"/>
                  </w:tcBorders>
                  <w:noWrap w:val="0"/>
                  <w:vAlign w:val="center"/>
                </w:tcPr>
                <w:p w14:paraId="56B6A50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093" w:type="dxa"/>
                  <w:tcBorders>
                    <w:tl2br w:val="nil"/>
                    <w:tr2bl w:val="nil"/>
                  </w:tcBorders>
                  <w:shd w:val="clear" w:color="auto" w:fill="auto"/>
                  <w:noWrap w:val="0"/>
                  <w:vAlign w:val="center"/>
                </w:tcPr>
                <w:p w14:paraId="53D3AF1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≤560</w:t>
                  </w:r>
                  <w:r>
                    <w:rPr>
                      <w:rFonts w:hint="eastAsia" w:ascii="Times New Roman" w:hAnsi="Times New Roman" w:cs="Times New Roman"/>
                      <w:i w:val="0"/>
                      <w:color w:val="auto"/>
                      <w:kern w:val="0"/>
                      <w:sz w:val="18"/>
                      <w:szCs w:val="18"/>
                      <w:highlight w:val="none"/>
                      <w:u w:val="none"/>
                      <w:lang w:val="en-US" w:eastAsia="zh-CN" w:bidi="ar"/>
                    </w:rPr>
                    <w:t>000</w:t>
                  </w:r>
                </w:p>
              </w:tc>
            </w:tr>
            <w:tr w14:paraId="11E6DB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790A3D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6DE455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1,4-二氯苯</w:t>
                  </w:r>
                </w:p>
              </w:tc>
              <w:tc>
                <w:tcPr>
                  <w:tcW w:w="706" w:type="dxa"/>
                  <w:tcBorders>
                    <w:tl2br w:val="nil"/>
                    <w:tr2bl w:val="nil"/>
                  </w:tcBorders>
                  <w:noWrap w:val="0"/>
                  <w:vAlign w:val="center"/>
                </w:tcPr>
                <w:p w14:paraId="60E996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7264D7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121" w:type="dxa"/>
                  <w:tcBorders>
                    <w:tl2br w:val="nil"/>
                    <w:tr2bl w:val="nil"/>
                  </w:tcBorders>
                  <w:noWrap w:val="0"/>
                  <w:vAlign w:val="center"/>
                </w:tcPr>
                <w:p w14:paraId="4E9B98E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094" w:type="dxa"/>
                  <w:tcBorders>
                    <w:tl2br w:val="nil"/>
                    <w:tr2bl w:val="nil"/>
                  </w:tcBorders>
                  <w:noWrap w:val="0"/>
                  <w:vAlign w:val="center"/>
                </w:tcPr>
                <w:p w14:paraId="6EC33F7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088" w:type="dxa"/>
                  <w:tcBorders>
                    <w:tl2br w:val="nil"/>
                    <w:tr2bl w:val="nil"/>
                  </w:tcBorders>
                  <w:noWrap w:val="0"/>
                  <w:vAlign w:val="center"/>
                </w:tcPr>
                <w:p w14:paraId="2B58A6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093" w:type="dxa"/>
                  <w:tcBorders>
                    <w:tl2br w:val="nil"/>
                    <w:tr2bl w:val="nil"/>
                  </w:tcBorders>
                  <w:shd w:val="clear" w:color="auto" w:fill="auto"/>
                  <w:noWrap w:val="0"/>
                  <w:vAlign w:val="center"/>
                </w:tcPr>
                <w:p w14:paraId="3023D9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≤20</w:t>
                  </w:r>
                  <w:r>
                    <w:rPr>
                      <w:rFonts w:hint="eastAsia" w:ascii="Times New Roman" w:hAnsi="Times New Roman" w:cs="Times New Roman"/>
                      <w:i w:val="0"/>
                      <w:color w:val="auto"/>
                      <w:kern w:val="0"/>
                      <w:sz w:val="18"/>
                      <w:szCs w:val="18"/>
                      <w:highlight w:val="none"/>
                      <w:u w:val="none"/>
                      <w:lang w:val="en-US" w:eastAsia="zh-CN" w:bidi="ar"/>
                    </w:rPr>
                    <w:t>000</w:t>
                  </w:r>
                </w:p>
              </w:tc>
            </w:tr>
            <w:tr w14:paraId="7C2F5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7D63C8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25" w:type="dxa"/>
                  <w:tcBorders>
                    <w:tl2br w:val="nil"/>
                    <w:tr2bl w:val="nil"/>
                  </w:tcBorders>
                  <w:noWrap w:val="0"/>
                  <w:vAlign w:val="center"/>
                </w:tcPr>
                <w:p w14:paraId="372668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乙苯</w:t>
                  </w:r>
                </w:p>
              </w:tc>
              <w:tc>
                <w:tcPr>
                  <w:tcW w:w="706" w:type="dxa"/>
                  <w:tcBorders>
                    <w:tl2br w:val="nil"/>
                    <w:tr2bl w:val="nil"/>
                  </w:tcBorders>
                  <w:noWrap w:val="0"/>
                  <w:vAlign w:val="center"/>
                </w:tcPr>
                <w:p w14:paraId="51B220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53437F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121" w:type="dxa"/>
                  <w:tcBorders>
                    <w:tl2br w:val="nil"/>
                    <w:tr2bl w:val="nil"/>
                  </w:tcBorders>
                  <w:noWrap w:val="0"/>
                  <w:vAlign w:val="center"/>
                </w:tcPr>
                <w:p w14:paraId="7E0AA5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4" w:type="dxa"/>
                  <w:tcBorders>
                    <w:tl2br w:val="nil"/>
                    <w:tr2bl w:val="nil"/>
                  </w:tcBorders>
                  <w:noWrap w:val="0"/>
                  <w:vAlign w:val="center"/>
                </w:tcPr>
                <w:p w14:paraId="6F0BC6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88" w:type="dxa"/>
                  <w:tcBorders>
                    <w:tl2br w:val="nil"/>
                    <w:tr2bl w:val="nil"/>
                  </w:tcBorders>
                  <w:noWrap w:val="0"/>
                  <w:vAlign w:val="center"/>
                </w:tcPr>
                <w:p w14:paraId="64BDE67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3" w:type="dxa"/>
                  <w:tcBorders>
                    <w:tl2br w:val="nil"/>
                    <w:tr2bl w:val="nil"/>
                  </w:tcBorders>
                  <w:shd w:val="clear" w:color="auto" w:fill="auto"/>
                  <w:noWrap w:val="0"/>
                  <w:vAlign w:val="center"/>
                </w:tcPr>
                <w:p w14:paraId="01D829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≤28</w:t>
                  </w:r>
                  <w:r>
                    <w:rPr>
                      <w:rFonts w:hint="eastAsia" w:ascii="Times New Roman" w:hAnsi="Times New Roman" w:cs="Times New Roman"/>
                      <w:i w:val="0"/>
                      <w:color w:val="auto"/>
                      <w:kern w:val="0"/>
                      <w:sz w:val="18"/>
                      <w:szCs w:val="18"/>
                      <w:highlight w:val="none"/>
                      <w:u w:val="none"/>
                      <w:lang w:val="en-US" w:eastAsia="zh-CN" w:bidi="ar"/>
                    </w:rPr>
                    <w:t>000</w:t>
                  </w:r>
                </w:p>
              </w:tc>
            </w:tr>
            <w:tr w14:paraId="7BDFA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1C9BBC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5F12C0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苯乙烯</w:t>
                  </w:r>
                </w:p>
              </w:tc>
              <w:tc>
                <w:tcPr>
                  <w:tcW w:w="706" w:type="dxa"/>
                  <w:tcBorders>
                    <w:tl2br w:val="nil"/>
                    <w:tr2bl w:val="nil"/>
                  </w:tcBorders>
                  <w:noWrap w:val="0"/>
                  <w:vAlign w:val="center"/>
                </w:tcPr>
                <w:p w14:paraId="2BF434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5BF0BD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121" w:type="dxa"/>
                  <w:tcBorders>
                    <w:tl2br w:val="nil"/>
                    <w:tr2bl w:val="nil"/>
                  </w:tcBorders>
                  <w:noWrap w:val="0"/>
                  <w:vAlign w:val="center"/>
                </w:tcPr>
                <w:p w14:paraId="2E6A1B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094" w:type="dxa"/>
                  <w:tcBorders>
                    <w:tl2br w:val="nil"/>
                    <w:tr2bl w:val="nil"/>
                  </w:tcBorders>
                  <w:noWrap w:val="0"/>
                  <w:vAlign w:val="center"/>
                </w:tcPr>
                <w:p w14:paraId="5D7C45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088" w:type="dxa"/>
                  <w:tcBorders>
                    <w:tl2br w:val="nil"/>
                    <w:tr2bl w:val="nil"/>
                  </w:tcBorders>
                  <w:noWrap w:val="0"/>
                  <w:vAlign w:val="center"/>
                </w:tcPr>
                <w:p w14:paraId="3486D3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093" w:type="dxa"/>
                  <w:tcBorders>
                    <w:tl2br w:val="nil"/>
                    <w:tr2bl w:val="nil"/>
                  </w:tcBorders>
                  <w:shd w:val="clear" w:color="auto" w:fill="auto"/>
                  <w:noWrap w:val="0"/>
                  <w:vAlign w:val="center"/>
                </w:tcPr>
                <w:p w14:paraId="5707F4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≤1290</w:t>
                  </w:r>
                  <w:r>
                    <w:rPr>
                      <w:rFonts w:hint="eastAsia" w:ascii="Times New Roman" w:hAnsi="Times New Roman" w:cs="Times New Roman"/>
                      <w:i w:val="0"/>
                      <w:color w:val="auto"/>
                      <w:kern w:val="0"/>
                      <w:sz w:val="18"/>
                      <w:szCs w:val="18"/>
                      <w:highlight w:val="none"/>
                      <w:u w:val="none"/>
                      <w:lang w:val="en-US" w:eastAsia="zh-CN" w:bidi="ar"/>
                    </w:rPr>
                    <w:t>000</w:t>
                  </w:r>
                </w:p>
              </w:tc>
            </w:tr>
            <w:tr w14:paraId="49537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199258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36C5C9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甲苯</w:t>
                  </w:r>
                </w:p>
              </w:tc>
              <w:tc>
                <w:tcPr>
                  <w:tcW w:w="706" w:type="dxa"/>
                  <w:tcBorders>
                    <w:tl2br w:val="nil"/>
                    <w:tr2bl w:val="nil"/>
                  </w:tcBorders>
                  <w:noWrap w:val="0"/>
                  <w:vAlign w:val="center"/>
                </w:tcPr>
                <w:p w14:paraId="3A0804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66A1AE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121" w:type="dxa"/>
                  <w:tcBorders>
                    <w:tl2br w:val="nil"/>
                    <w:tr2bl w:val="nil"/>
                  </w:tcBorders>
                  <w:noWrap w:val="0"/>
                  <w:vAlign w:val="center"/>
                </w:tcPr>
                <w:p w14:paraId="3170EF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094" w:type="dxa"/>
                  <w:tcBorders>
                    <w:tl2br w:val="nil"/>
                    <w:tr2bl w:val="nil"/>
                  </w:tcBorders>
                  <w:noWrap w:val="0"/>
                  <w:vAlign w:val="center"/>
                </w:tcPr>
                <w:p w14:paraId="1CF09C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088" w:type="dxa"/>
                  <w:tcBorders>
                    <w:tl2br w:val="nil"/>
                    <w:tr2bl w:val="nil"/>
                  </w:tcBorders>
                  <w:noWrap w:val="0"/>
                  <w:vAlign w:val="center"/>
                </w:tcPr>
                <w:p w14:paraId="1BDC99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093" w:type="dxa"/>
                  <w:tcBorders>
                    <w:tl2br w:val="nil"/>
                    <w:tr2bl w:val="nil"/>
                  </w:tcBorders>
                  <w:shd w:val="clear" w:color="auto" w:fill="auto"/>
                  <w:noWrap w:val="0"/>
                  <w:vAlign w:val="center"/>
                </w:tcPr>
                <w:p w14:paraId="4693A9D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≤1200</w:t>
                  </w:r>
                  <w:r>
                    <w:rPr>
                      <w:rFonts w:hint="eastAsia" w:ascii="Times New Roman" w:hAnsi="Times New Roman" w:cs="Times New Roman"/>
                      <w:i w:val="0"/>
                      <w:color w:val="auto"/>
                      <w:kern w:val="0"/>
                      <w:sz w:val="18"/>
                      <w:szCs w:val="18"/>
                      <w:highlight w:val="none"/>
                      <w:u w:val="none"/>
                      <w:lang w:val="en-US" w:eastAsia="zh-CN" w:bidi="ar"/>
                    </w:rPr>
                    <w:t>000</w:t>
                  </w:r>
                </w:p>
              </w:tc>
            </w:tr>
            <w:tr w14:paraId="04772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27C15C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060FF9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间二甲苯</w:t>
                  </w:r>
                  <w:r>
                    <w:rPr>
                      <w:rFonts w:hint="default" w:ascii="Times New Roman" w:hAnsi="Times New Roman" w:eastAsia="宋体" w:cs="Times New Roman"/>
                      <w:color w:val="auto"/>
                      <w:kern w:val="0"/>
                      <w:sz w:val="18"/>
                      <w:szCs w:val="18"/>
                      <w:highlight w:val="none"/>
                      <w:lang w:val="en-US" w:eastAsia="zh-CN"/>
                    </w:rPr>
                    <w:t>+</w:t>
                  </w:r>
                  <w:r>
                    <w:rPr>
                      <w:rFonts w:hint="default" w:ascii="Times New Roman" w:hAnsi="Times New Roman" w:eastAsia="宋体" w:cs="Times New Roman"/>
                      <w:color w:val="auto"/>
                      <w:kern w:val="0"/>
                      <w:sz w:val="18"/>
                      <w:szCs w:val="18"/>
                      <w:highlight w:val="none"/>
                    </w:rPr>
                    <w:t>对二甲苯</w:t>
                  </w:r>
                </w:p>
              </w:tc>
              <w:tc>
                <w:tcPr>
                  <w:tcW w:w="706" w:type="dxa"/>
                  <w:tcBorders>
                    <w:tl2br w:val="nil"/>
                    <w:tr2bl w:val="nil"/>
                  </w:tcBorders>
                  <w:noWrap w:val="0"/>
                  <w:vAlign w:val="center"/>
                </w:tcPr>
                <w:p w14:paraId="6BBA465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7491F1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121" w:type="dxa"/>
                  <w:tcBorders>
                    <w:tl2br w:val="nil"/>
                    <w:tr2bl w:val="nil"/>
                  </w:tcBorders>
                  <w:noWrap w:val="0"/>
                  <w:vAlign w:val="center"/>
                </w:tcPr>
                <w:p w14:paraId="7DCC251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4" w:type="dxa"/>
                  <w:tcBorders>
                    <w:tl2br w:val="nil"/>
                    <w:tr2bl w:val="nil"/>
                  </w:tcBorders>
                  <w:noWrap w:val="0"/>
                  <w:vAlign w:val="center"/>
                </w:tcPr>
                <w:p w14:paraId="60D097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88" w:type="dxa"/>
                  <w:tcBorders>
                    <w:tl2br w:val="nil"/>
                    <w:tr2bl w:val="nil"/>
                  </w:tcBorders>
                  <w:noWrap w:val="0"/>
                  <w:vAlign w:val="center"/>
                </w:tcPr>
                <w:p w14:paraId="57968D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3" w:type="dxa"/>
                  <w:tcBorders>
                    <w:tl2br w:val="nil"/>
                    <w:tr2bl w:val="nil"/>
                  </w:tcBorders>
                  <w:shd w:val="clear" w:color="auto" w:fill="auto"/>
                  <w:noWrap w:val="0"/>
                  <w:vAlign w:val="center"/>
                </w:tcPr>
                <w:p w14:paraId="36406ED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≤570</w:t>
                  </w:r>
                  <w:r>
                    <w:rPr>
                      <w:rFonts w:hint="eastAsia" w:ascii="Times New Roman" w:hAnsi="Times New Roman" w:cs="Times New Roman"/>
                      <w:i w:val="0"/>
                      <w:color w:val="auto"/>
                      <w:kern w:val="0"/>
                      <w:sz w:val="18"/>
                      <w:szCs w:val="18"/>
                      <w:highlight w:val="none"/>
                      <w:u w:val="none"/>
                      <w:lang w:val="en-US" w:eastAsia="zh-CN" w:bidi="ar"/>
                    </w:rPr>
                    <w:t>000</w:t>
                  </w:r>
                </w:p>
              </w:tc>
            </w:tr>
            <w:tr w14:paraId="64E41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26F0BA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68CC00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邻二甲苯</w:t>
                  </w:r>
                </w:p>
              </w:tc>
              <w:tc>
                <w:tcPr>
                  <w:tcW w:w="706" w:type="dxa"/>
                  <w:tcBorders>
                    <w:tl2br w:val="nil"/>
                    <w:tr2bl w:val="nil"/>
                  </w:tcBorders>
                  <w:noWrap w:val="0"/>
                  <w:vAlign w:val="center"/>
                </w:tcPr>
                <w:p w14:paraId="2DFABD2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979" w:type="dxa"/>
                  <w:tcBorders>
                    <w:tl2br w:val="nil"/>
                    <w:tr2bl w:val="nil"/>
                  </w:tcBorders>
                  <w:noWrap w:val="0"/>
                  <w:vAlign w:val="center"/>
                </w:tcPr>
                <w:p w14:paraId="35680D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121" w:type="dxa"/>
                  <w:tcBorders>
                    <w:tl2br w:val="nil"/>
                    <w:tr2bl w:val="nil"/>
                  </w:tcBorders>
                  <w:noWrap w:val="0"/>
                  <w:vAlign w:val="center"/>
                </w:tcPr>
                <w:p w14:paraId="308B1F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4" w:type="dxa"/>
                  <w:tcBorders>
                    <w:tl2br w:val="nil"/>
                    <w:tr2bl w:val="nil"/>
                  </w:tcBorders>
                  <w:noWrap w:val="0"/>
                  <w:vAlign w:val="center"/>
                </w:tcPr>
                <w:p w14:paraId="354A75F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88" w:type="dxa"/>
                  <w:tcBorders>
                    <w:tl2br w:val="nil"/>
                    <w:tr2bl w:val="nil"/>
                  </w:tcBorders>
                  <w:noWrap w:val="0"/>
                  <w:vAlign w:val="center"/>
                </w:tcPr>
                <w:p w14:paraId="036761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093" w:type="dxa"/>
                  <w:tcBorders>
                    <w:tl2br w:val="nil"/>
                    <w:tr2bl w:val="nil"/>
                  </w:tcBorders>
                  <w:shd w:val="clear" w:color="auto" w:fill="auto"/>
                  <w:noWrap w:val="0"/>
                  <w:vAlign w:val="center"/>
                </w:tcPr>
                <w:p w14:paraId="2F0CDD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≤640</w:t>
                  </w:r>
                  <w:r>
                    <w:rPr>
                      <w:rFonts w:hint="eastAsia" w:ascii="Times New Roman" w:hAnsi="Times New Roman" w:cs="Times New Roman"/>
                      <w:i w:val="0"/>
                      <w:color w:val="auto"/>
                      <w:kern w:val="0"/>
                      <w:sz w:val="18"/>
                      <w:szCs w:val="18"/>
                      <w:highlight w:val="none"/>
                      <w:u w:val="none"/>
                      <w:lang w:val="en-US" w:eastAsia="zh-CN" w:bidi="ar"/>
                    </w:rPr>
                    <w:t>000</w:t>
                  </w:r>
                </w:p>
              </w:tc>
            </w:tr>
            <w:tr w14:paraId="71402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restart"/>
                  <w:tcBorders>
                    <w:tl2br w:val="nil"/>
                    <w:tr2bl w:val="nil"/>
                  </w:tcBorders>
                  <w:noWrap w:val="0"/>
                  <w:vAlign w:val="center"/>
                </w:tcPr>
                <w:p w14:paraId="1A5273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2851C2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半</w:t>
                  </w:r>
                </w:p>
                <w:p w14:paraId="48BF3B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挥</w:t>
                  </w:r>
                </w:p>
                <w:p w14:paraId="7F9763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发</w:t>
                  </w:r>
                </w:p>
                <w:p w14:paraId="2634F9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性</w:t>
                  </w:r>
                </w:p>
                <w:p w14:paraId="199A3F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有</w:t>
                  </w:r>
                </w:p>
                <w:p w14:paraId="162D21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机</w:t>
                  </w:r>
                </w:p>
                <w:p w14:paraId="502E00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rPr>
                    <w:t>物</w:t>
                  </w:r>
                </w:p>
              </w:tc>
              <w:tc>
                <w:tcPr>
                  <w:tcW w:w="1825" w:type="dxa"/>
                  <w:tcBorders>
                    <w:tl2br w:val="nil"/>
                    <w:tr2bl w:val="nil"/>
                  </w:tcBorders>
                  <w:noWrap w:val="0"/>
                  <w:vAlign w:val="center"/>
                </w:tcPr>
                <w:p w14:paraId="44CEF3D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硝基苯</w:t>
                  </w:r>
                </w:p>
              </w:tc>
              <w:tc>
                <w:tcPr>
                  <w:tcW w:w="706" w:type="dxa"/>
                  <w:tcBorders>
                    <w:tl2br w:val="nil"/>
                    <w:tr2bl w:val="nil"/>
                  </w:tcBorders>
                  <w:noWrap w:val="0"/>
                  <w:vAlign w:val="center"/>
                </w:tcPr>
                <w:p w14:paraId="4C31A1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40DC4C4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0.09</w:t>
                  </w:r>
                </w:p>
              </w:tc>
              <w:tc>
                <w:tcPr>
                  <w:tcW w:w="1121" w:type="dxa"/>
                  <w:tcBorders>
                    <w:tl2br w:val="nil"/>
                    <w:tr2bl w:val="nil"/>
                  </w:tcBorders>
                  <w:noWrap w:val="0"/>
                  <w:vAlign w:val="center"/>
                </w:tcPr>
                <w:p w14:paraId="4DCC41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0.09</w:t>
                  </w:r>
                </w:p>
              </w:tc>
              <w:tc>
                <w:tcPr>
                  <w:tcW w:w="1094" w:type="dxa"/>
                  <w:tcBorders>
                    <w:tl2br w:val="nil"/>
                    <w:tr2bl w:val="nil"/>
                  </w:tcBorders>
                  <w:noWrap w:val="0"/>
                  <w:vAlign w:val="center"/>
                </w:tcPr>
                <w:p w14:paraId="3862662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0.09</w:t>
                  </w:r>
                </w:p>
              </w:tc>
              <w:tc>
                <w:tcPr>
                  <w:tcW w:w="1088" w:type="dxa"/>
                  <w:tcBorders>
                    <w:tl2br w:val="nil"/>
                    <w:tr2bl w:val="nil"/>
                  </w:tcBorders>
                  <w:noWrap w:val="0"/>
                  <w:vAlign w:val="center"/>
                </w:tcPr>
                <w:p w14:paraId="3C2035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0.09</w:t>
                  </w:r>
                </w:p>
              </w:tc>
              <w:tc>
                <w:tcPr>
                  <w:tcW w:w="1093" w:type="dxa"/>
                  <w:tcBorders>
                    <w:tl2br w:val="nil"/>
                    <w:tr2bl w:val="nil"/>
                  </w:tcBorders>
                  <w:shd w:val="clear" w:color="auto" w:fill="auto"/>
                  <w:noWrap w:val="0"/>
                  <w:vAlign w:val="center"/>
                </w:tcPr>
                <w:p w14:paraId="45A0FB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≤76</w:t>
                  </w:r>
                </w:p>
              </w:tc>
            </w:tr>
            <w:tr w14:paraId="7A669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12C25A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784BC14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苯胺</w:t>
                  </w:r>
                </w:p>
              </w:tc>
              <w:tc>
                <w:tcPr>
                  <w:tcW w:w="706" w:type="dxa"/>
                  <w:tcBorders>
                    <w:tl2br w:val="nil"/>
                    <w:tr2bl w:val="nil"/>
                  </w:tcBorders>
                  <w:noWrap w:val="0"/>
                  <w:vAlign w:val="center"/>
                </w:tcPr>
                <w:p w14:paraId="25B53F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740000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0.08</w:t>
                  </w:r>
                </w:p>
              </w:tc>
              <w:tc>
                <w:tcPr>
                  <w:tcW w:w="1121" w:type="dxa"/>
                  <w:tcBorders>
                    <w:tl2br w:val="nil"/>
                    <w:tr2bl w:val="nil"/>
                  </w:tcBorders>
                  <w:noWrap w:val="0"/>
                  <w:vAlign w:val="center"/>
                </w:tcPr>
                <w:p w14:paraId="46F054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0.08</w:t>
                  </w:r>
                </w:p>
              </w:tc>
              <w:tc>
                <w:tcPr>
                  <w:tcW w:w="1094" w:type="dxa"/>
                  <w:tcBorders>
                    <w:tl2br w:val="nil"/>
                    <w:tr2bl w:val="nil"/>
                  </w:tcBorders>
                  <w:noWrap w:val="0"/>
                  <w:vAlign w:val="center"/>
                </w:tcPr>
                <w:p w14:paraId="484705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0.08</w:t>
                  </w:r>
                </w:p>
              </w:tc>
              <w:tc>
                <w:tcPr>
                  <w:tcW w:w="1088" w:type="dxa"/>
                  <w:tcBorders>
                    <w:tl2br w:val="nil"/>
                    <w:tr2bl w:val="nil"/>
                  </w:tcBorders>
                  <w:noWrap w:val="0"/>
                  <w:vAlign w:val="center"/>
                </w:tcPr>
                <w:p w14:paraId="2F9070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0.08</w:t>
                  </w:r>
                </w:p>
              </w:tc>
              <w:tc>
                <w:tcPr>
                  <w:tcW w:w="1093" w:type="dxa"/>
                  <w:tcBorders>
                    <w:tl2br w:val="nil"/>
                    <w:tr2bl w:val="nil"/>
                  </w:tcBorders>
                  <w:shd w:val="clear" w:color="auto" w:fill="auto"/>
                  <w:noWrap w:val="0"/>
                  <w:vAlign w:val="center"/>
                </w:tcPr>
                <w:p w14:paraId="6F89D7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≤260</w:t>
                  </w:r>
                </w:p>
              </w:tc>
            </w:tr>
            <w:tr w14:paraId="4BC101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030468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7D77AD1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2-氯酚</w:t>
                  </w:r>
                </w:p>
              </w:tc>
              <w:tc>
                <w:tcPr>
                  <w:tcW w:w="706" w:type="dxa"/>
                  <w:tcBorders>
                    <w:tl2br w:val="nil"/>
                    <w:tr2bl w:val="nil"/>
                  </w:tcBorders>
                  <w:noWrap w:val="0"/>
                  <w:vAlign w:val="center"/>
                </w:tcPr>
                <w:p w14:paraId="1B44F9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3DDB2D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0.06</w:t>
                  </w:r>
                </w:p>
              </w:tc>
              <w:tc>
                <w:tcPr>
                  <w:tcW w:w="1121" w:type="dxa"/>
                  <w:tcBorders>
                    <w:tl2br w:val="nil"/>
                    <w:tr2bl w:val="nil"/>
                  </w:tcBorders>
                  <w:noWrap w:val="0"/>
                  <w:vAlign w:val="center"/>
                </w:tcPr>
                <w:p w14:paraId="11CDD4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0.06</w:t>
                  </w:r>
                </w:p>
              </w:tc>
              <w:tc>
                <w:tcPr>
                  <w:tcW w:w="1094" w:type="dxa"/>
                  <w:tcBorders>
                    <w:tl2br w:val="nil"/>
                    <w:tr2bl w:val="nil"/>
                  </w:tcBorders>
                  <w:noWrap w:val="0"/>
                  <w:vAlign w:val="center"/>
                </w:tcPr>
                <w:p w14:paraId="5822C77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0.06</w:t>
                  </w:r>
                </w:p>
              </w:tc>
              <w:tc>
                <w:tcPr>
                  <w:tcW w:w="1088" w:type="dxa"/>
                  <w:tcBorders>
                    <w:tl2br w:val="nil"/>
                    <w:tr2bl w:val="nil"/>
                  </w:tcBorders>
                  <w:noWrap w:val="0"/>
                  <w:vAlign w:val="center"/>
                </w:tcPr>
                <w:p w14:paraId="62DE12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0.06</w:t>
                  </w:r>
                </w:p>
              </w:tc>
              <w:tc>
                <w:tcPr>
                  <w:tcW w:w="1093" w:type="dxa"/>
                  <w:tcBorders>
                    <w:tl2br w:val="nil"/>
                    <w:tr2bl w:val="nil"/>
                  </w:tcBorders>
                  <w:shd w:val="clear" w:color="auto" w:fill="auto"/>
                  <w:noWrap w:val="0"/>
                  <w:vAlign w:val="center"/>
                </w:tcPr>
                <w:p w14:paraId="794979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≤2256</w:t>
                  </w:r>
                </w:p>
              </w:tc>
            </w:tr>
            <w:tr w14:paraId="5ACDD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3DC15A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4BFA1F7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苯并[a]蒽</w:t>
                  </w:r>
                </w:p>
              </w:tc>
              <w:tc>
                <w:tcPr>
                  <w:tcW w:w="706" w:type="dxa"/>
                  <w:tcBorders>
                    <w:tl2br w:val="nil"/>
                    <w:tr2bl w:val="nil"/>
                  </w:tcBorders>
                  <w:noWrap w:val="0"/>
                  <w:vAlign w:val="center"/>
                </w:tcPr>
                <w:p w14:paraId="5DD62A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4358E6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121" w:type="dxa"/>
                  <w:tcBorders>
                    <w:tl2br w:val="nil"/>
                    <w:tr2bl w:val="nil"/>
                  </w:tcBorders>
                  <w:noWrap w:val="0"/>
                  <w:vAlign w:val="center"/>
                </w:tcPr>
                <w:p w14:paraId="4CDAB3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94" w:type="dxa"/>
                  <w:tcBorders>
                    <w:tl2br w:val="nil"/>
                    <w:tr2bl w:val="nil"/>
                  </w:tcBorders>
                  <w:noWrap w:val="0"/>
                  <w:vAlign w:val="center"/>
                </w:tcPr>
                <w:p w14:paraId="358C3D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88" w:type="dxa"/>
                  <w:tcBorders>
                    <w:tl2br w:val="nil"/>
                    <w:tr2bl w:val="nil"/>
                  </w:tcBorders>
                  <w:noWrap w:val="0"/>
                  <w:vAlign w:val="center"/>
                </w:tcPr>
                <w:p w14:paraId="09A630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93" w:type="dxa"/>
                  <w:tcBorders>
                    <w:tl2br w:val="nil"/>
                    <w:tr2bl w:val="nil"/>
                  </w:tcBorders>
                  <w:shd w:val="clear" w:color="auto" w:fill="auto"/>
                  <w:noWrap w:val="0"/>
                  <w:vAlign w:val="center"/>
                </w:tcPr>
                <w:p w14:paraId="5878AF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≤15</w:t>
                  </w:r>
                </w:p>
              </w:tc>
            </w:tr>
            <w:tr w14:paraId="06B48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153AB5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794C59F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苯并[a]芘</w:t>
                  </w:r>
                </w:p>
              </w:tc>
              <w:tc>
                <w:tcPr>
                  <w:tcW w:w="706" w:type="dxa"/>
                  <w:tcBorders>
                    <w:tl2br w:val="nil"/>
                    <w:tr2bl w:val="nil"/>
                  </w:tcBorders>
                  <w:noWrap w:val="0"/>
                  <w:vAlign w:val="center"/>
                </w:tcPr>
                <w:p w14:paraId="3C3275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66AEF2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121" w:type="dxa"/>
                  <w:tcBorders>
                    <w:tl2br w:val="nil"/>
                    <w:tr2bl w:val="nil"/>
                  </w:tcBorders>
                  <w:noWrap w:val="0"/>
                  <w:vAlign w:val="center"/>
                </w:tcPr>
                <w:p w14:paraId="04E6041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94" w:type="dxa"/>
                  <w:tcBorders>
                    <w:tl2br w:val="nil"/>
                    <w:tr2bl w:val="nil"/>
                  </w:tcBorders>
                  <w:noWrap w:val="0"/>
                  <w:vAlign w:val="center"/>
                </w:tcPr>
                <w:p w14:paraId="2F4743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88" w:type="dxa"/>
                  <w:tcBorders>
                    <w:tl2br w:val="nil"/>
                    <w:tr2bl w:val="nil"/>
                  </w:tcBorders>
                  <w:noWrap w:val="0"/>
                  <w:vAlign w:val="center"/>
                </w:tcPr>
                <w:p w14:paraId="23CB2B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93" w:type="dxa"/>
                  <w:tcBorders>
                    <w:tl2br w:val="nil"/>
                    <w:tr2bl w:val="nil"/>
                  </w:tcBorders>
                  <w:shd w:val="clear" w:color="auto" w:fill="auto"/>
                  <w:noWrap w:val="0"/>
                  <w:vAlign w:val="center"/>
                </w:tcPr>
                <w:p w14:paraId="77DF7A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≤1.5</w:t>
                  </w:r>
                </w:p>
              </w:tc>
            </w:tr>
            <w:tr w14:paraId="770E8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380593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62AAC96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苯并[b]荧蒽</w:t>
                  </w:r>
                </w:p>
              </w:tc>
              <w:tc>
                <w:tcPr>
                  <w:tcW w:w="706" w:type="dxa"/>
                  <w:tcBorders>
                    <w:tl2br w:val="nil"/>
                    <w:tr2bl w:val="nil"/>
                  </w:tcBorders>
                  <w:noWrap w:val="0"/>
                  <w:vAlign w:val="center"/>
                </w:tcPr>
                <w:p w14:paraId="51F3C4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657FC7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0.2</w:t>
                  </w:r>
                </w:p>
              </w:tc>
              <w:tc>
                <w:tcPr>
                  <w:tcW w:w="1121" w:type="dxa"/>
                  <w:tcBorders>
                    <w:tl2br w:val="nil"/>
                    <w:tr2bl w:val="nil"/>
                  </w:tcBorders>
                  <w:noWrap w:val="0"/>
                  <w:vAlign w:val="center"/>
                </w:tcPr>
                <w:p w14:paraId="2354FA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0.2</w:t>
                  </w:r>
                </w:p>
              </w:tc>
              <w:tc>
                <w:tcPr>
                  <w:tcW w:w="1094" w:type="dxa"/>
                  <w:tcBorders>
                    <w:tl2br w:val="nil"/>
                    <w:tr2bl w:val="nil"/>
                  </w:tcBorders>
                  <w:noWrap w:val="0"/>
                  <w:vAlign w:val="center"/>
                </w:tcPr>
                <w:p w14:paraId="0833152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0.2</w:t>
                  </w:r>
                </w:p>
              </w:tc>
              <w:tc>
                <w:tcPr>
                  <w:tcW w:w="1088" w:type="dxa"/>
                  <w:tcBorders>
                    <w:tl2br w:val="nil"/>
                    <w:tr2bl w:val="nil"/>
                  </w:tcBorders>
                  <w:noWrap w:val="0"/>
                  <w:vAlign w:val="center"/>
                </w:tcPr>
                <w:p w14:paraId="45BCD3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0.2</w:t>
                  </w:r>
                </w:p>
              </w:tc>
              <w:tc>
                <w:tcPr>
                  <w:tcW w:w="1093" w:type="dxa"/>
                  <w:tcBorders>
                    <w:tl2br w:val="nil"/>
                    <w:tr2bl w:val="nil"/>
                  </w:tcBorders>
                  <w:shd w:val="clear" w:color="auto" w:fill="auto"/>
                  <w:noWrap w:val="0"/>
                  <w:vAlign w:val="center"/>
                </w:tcPr>
                <w:p w14:paraId="45651A9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≤15</w:t>
                  </w:r>
                </w:p>
              </w:tc>
            </w:tr>
            <w:tr w14:paraId="64F15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260C2E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0220878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苯并[k]荧蒽</w:t>
                  </w:r>
                </w:p>
              </w:tc>
              <w:tc>
                <w:tcPr>
                  <w:tcW w:w="706" w:type="dxa"/>
                  <w:tcBorders>
                    <w:tl2br w:val="nil"/>
                    <w:tr2bl w:val="nil"/>
                  </w:tcBorders>
                  <w:noWrap w:val="0"/>
                  <w:vAlign w:val="center"/>
                </w:tcPr>
                <w:p w14:paraId="0F2871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363DFD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121" w:type="dxa"/>
                  <w:tcBorders>
                    <w:tl2br w:val="nil"/>
                    <w:tr2bl w:val="nil"/>
                  </w:tcBorders>
                  <w:noWrap w:val="0"/>
                  <w:vAlign w:val="center"/>
                </w:tcPr>
                <w:p w14:paraId="307436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94" w:type="dxa"/>
                  <w:tcBorders>
                    <w:tl2br w:val="nil"/>
                    <w:tr2bl w:val="nil"/>
                  </w:tcBorders>
                  <w:noWrap w:val="0"/>
                  <w:vAlign w:val="center"/>
                </w:tcPr>
                <w:p w14:paraId="2E8E3B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88" w:type="dxa"/>
                  <w:tcBorders>
                    <w:tl2br w:val="nil"/>
                    <w:tr2bl w:val="nil"/>
                  </w:tcBorders>
                  <w:noWrap w:val="0"/>
                  <w:vAlign w:val="center"/>
                </w:tcPr>
                <w:p w14:paraId="717587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93" w:type="dxa"/>
                  <w:tcBorders>
                    <w:tl2br w:val="nil"/>
                    <w:tr2bl w:val="nil"/>
                  </w:tcBorders>
                  <w:shd w:val="clear" w:color="auto" w:fill="auto"/>
                  <w:noWrap w:val="0"/>
                  <w:vAlign w:val="center"/>
                </w:tcPr>
                <w:p w14:paraId="02B4040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≤151</w:t>
                  </w:r>
                </w:p>
              </w:tc>
            </w:tr>
            <w:tr w14:paraId="273D3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7172AE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5008AF4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䓛</w:t>
                  </w:r>
                </w:p>
              </w:tc>
              <w:tc>
                <w:tcPr>
                  <w:tcW w:w="706" w:type="dxa"/>
                  <w:tcBorders>
                    <w:tl2br w:val="nil"/>
                    <w:tr2bl w:val="nil"/>
                  </w:tcBorders>
                  <w:noWrap w:val="0"/>
                  <w:vAlign w:val="center"/>
                </w:tcPr>
                <w:p w14:paraId="04BA61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38DE7F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121" w:type="dxa"/>
                  <w:tcBorders>
                    <w:tl2br w:val="nil"/>
                    <w:tr2bl w:val="nil"/>
                  </w:tcBorders>
                  <w:noWrap w:val="0"/>
                  <w:vAlign w:val="center"/>
                </w:tcPr>
                <w:p w14:paraId="0CC942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94" w:type="dxa"/>
                  <w:tcBorders>
                    <w:tl2br w:val="nil"/>
                    <w:tr2bl w:val="nil"/>
                  </w:tcBorders>
                  <w:noWrap w:val="0"/>
                  <w:vAlign w:val="center"/>
                </w:tcPr>
                <w:p w14:paraId="0035E8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88" w:type="dxa"/>
                  <w:tcBorders>
                    <w:tl2br w:val="nil"/>
                    <w:tr2bl w:val="nil"/>
                  </w:tcBorders>
                  <w:noWrap w:val="0"/>
                  <w:vAlign w:val="center"/>
                </w:tcPr>
                <w:p w14:paraId="54DACC0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93" w:type="dxa"/>
                  <w:tcBorders>
                    <w:tl2br w:val="nil"/>
                    <w:tr2bl w:val="nil"/>
                  </w:tcBorders>
                  <w:shd w:val="clear" w:color="auto" w:fill="auto"/>
                  <w:noWrap w:val="0"/>
                  <w:vAlign w:val="center"/>
                </w:tcPr>
                <w:p w14:paraId="3C52CF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≤1293</w:t>
                  </w:r>
                </w:p>
              </w:tc>
            </w:tr>
            <w:tr w14:paraId="4D689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5A421D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557752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二苯并[a,h]蒽</w:t>
                  </w:r>
                </w:p>
              </w:tc>
              <w:tc>
                <w:tcPr>
                  <w:tcW w:w="706" w:type="dxa"/>
                  <w:tcBorders>
                    <w:tl2br w:val="nil"/>
                    <w:tr2bl w:val="nil"/>
                  </w:tcBorders>
                  <w:noWrap w:val="0"/>
                  <w:vAlign w:val="center"/>
                </w:tcPr>
                <w:p w14:paraId="4C2915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2FDAED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121" w:type="dxa"/>
                  <w:tcBorders>
                    <w:tl2br w:val="nil"/>
                    <w:tr2bl w:val="nil"/>
                  </w:tcBorders>
                  <w:noWrap w:val="0"/>
                  <w:vAlign w:val="center"/>
                </w:tcPr>
                <w:p w14:paraId="4381D7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94" w:type="dxa"/>
                  <w:tcBorders>
                    <w:tl2br w:val="nil"/>
                    <w:tr2bl w:val="nil"/>
                  </w:tcBorders>
                  <w:noWrap w:val="0"/>
                  <w:vAlign w:val="center"/>
                </w:tcPr>
                <w:p w14:paraId="573BAE5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88" w:type="dxa"/>
                  <w:tcBorders>
                    <w:tl2br w:val="nil"/>
                    <w:tr2bl w:val="nil"/>
                  </w:tcBorders>
                  <w:noWrap w:val="0"/>
                  <w:vAlign w:val="center"/>
                </w:tcPr>
                <w:p w14:paraId="7134D4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93" w:type="dxa"/>
                  <w:tcBorders>
                    <w:tl2br w:val="nil"/>
                    <w:tr2bl w:val="nil"/>
                  </w:tcBorders>
                  <w:shd w:val="clear" w:color="auto" w:fill="auto"/>
                  <w:noWrap w:val="0"/>
                  <w:vAlign w:val="center"/>
                </w:tcPr>
                <w:p w14:paraId="2E032F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≤1.5</w:t>
                  </w:r>
                </w:p>
              </w:tc>
            </w:tr>
            <w:tr w14:paraId="14AC2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26" w:type="dxa"/>
                  <w:vMerge w:val="continue"/>
                  <w:tcBorders>
                    <w:tl2br w:val="nil"/>
                    <w:tr2bl w:val="nil"/>
                  </w:tcBorders>
                  <w:noWrap w:val="0"/>
                  <w:vAlign w:val="center"/>
                </w:tcPr>
                <w:p w14:paraId="059D3D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129DB80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茚并[1,2,3-cd]芘</w:t>
                  </w:r>
                </w:p>
              </w:tc>
              <w:tc>
                <w:tcPr>
                  <w:tcW w:w="706" w:type="dxa"/>
                  <w:tcBorders>
                    <w:tl2br w:val="nil"/>
                    <w:tr2bl w:val="nil"/>
                  </w:tcBorders>
                  <w:noWrap w:val="0"/>
                  <w:vAlign w:val="center"/>
                </w:tcPr>
                <w:p w14:paraId="2571714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639946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121" w:type="dxa"/>
                  <w:tcBorders>
                    <w:tl2br w:val="nil"/>
                    <w:tr2bl w:val="nil"/>
                  </w:tcBorders>
                  <w:noWrap w:val="0"/>
                  <w:vAlign w:val="center"/>
                </w:tcPr>
                <w:p w14:paraId="09EB2E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94" w:type="dxa"/>
                  <w:tcBorders>
                    <w:tl2br w:val="nil"/>
                    <w:tr2bl w:val="nil"/>
                  </w:tcBorders>
                  <w:noWrap w:val="0"/>
                  <w:vAlign w:val="center"/>
                </w:tcPr>
                <w:p w14:paraId="44996E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88" w:type="dxa"/>
                  <w:tcBorders>
                    <w:tl2br w:val="nil"/>
                    <w:tr2bl w:val="nil"/>
                  </w:tcBorders>
                  <w:noWrap w:val="0"/>
                  <w:vAlign w:val="center"/>
                </w:tcPr>
                <w:p w14:paraId="4813C2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093" w:type="dxa"/>
                  <w:tcBorders>
                    <w:tl2br w:val="nil"/>
                    <w:tr2bl w:val="nil"/>
                  </w:tcBorders>
                  <w:shd w:val="clear" w:color="auto" w:fill="auto"/>
                  <w:noWrap w:val="0"/>
                  <w:vAlign w:val="center"/>
                </w:tcPr>
                <w:p w14:paraId="3709854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≤15</w:t>
                  </w:r>
                </w:p>
              </w:tc>
            </w:tr>
            <w:tr w14:paraId="55EA8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6" w:type="dxa"/>
                  <w:vMerge w:val="continue"/>
                  <w:tcBorders>
                    <w:tl2br w:val="nil"/>
                    <w:tr2bl w:val="nil"/>
                  </w:tcBorders>
                  <w:noWrap w:val="0"/>
                  <w:vAlign w:val="center"/>
                </w:tcPr>
                <w:p w14:paraId="0EE4BB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25" w:type="dxa"/>
                  <w:tcBorders>
                    <w:tl2br w:val="nil"/>
                    <w:tr2bl w:val="nil"/>
                  </w:tcBorders>
                  <w:noWrap w:val="0"/>
                  <w:vAlign w:val="center"/>
                </w:tcPr>
                <w:p w14:paraId="556A77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萘</w:t>
                  </w:r>
                </w:p>
              </w:tc>
              <w:tc>
                <w:tcPr>
                  <w:tcW w:w="706" w:type="dxa"/>
                  <w:tcBorders>
                    <w:tl2br w:val="nil"/>
                    <w:tr2bl w:val="nil"/>
                  </w:tcBorders>
                  <w:noWrap w:val="0"/>
                  <w:vAlign w:val="center"/>
                </w:tcPr>
                <w:p w14:paraId="59C482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mg/kg</w:t>
                  </w:r>
                </w:p>
              </w:tc>
              <w:tc>
                <w:tcPr>
                  <w:tcW w:w="979" w:type="dxa"/>
                  <w:tcBorders>
                    <w:tl2br w:val="nil"/>
                    <w:tr2bl w:val="nil"/>
                  </w:tcBorders>
                  <w:noWrap w:val="0"/>
                  <w:vAlign w:val="center"/>
                </w:tcPr>
                <w:p w14:paraId="3548C8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0.09</w:t>
                  </w:r>
                </w:p>
              </w:tc>
              <w:tc>
                <w:tcPr>
                  <w:tcW w:w="1121" w:type="dxa"/>
                  <w:tcBorders>
                    <w:tl2br w:val="nil"/>
                    <w:tr2bl w:val="nil"/>
                  </w:tcBorders>
                  <w:noWrap w:val="0"/>
                  <w:vAlign w:val="center"/>
                </w:tcPr>
                <w:p w14:paraId="6F14EF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0.09</w:t>
                  </w:r>
                </w:p>
              </w:tc>
              <w:tc>
                <w:tcPr>
                  <w:tcW w:w="1094" w:type="dxa"/>
                  <w:tcBorders>
                    <w:tl2br w:val="nil"/>
                    <w:tr2bl w:val="nil"/>
                  </w:tcBorders>
                  <w:noWrap w:val="0"/>
                  <w:vAlign w:val="center"/>
                </w:tcPr>
                <w:p w14:paraId="12CFB3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0.09</w:t>
                  </w:r>
                </w:p>
              </w:tc>
              <w:tc>
                <w:tcPr>
                  <w:tcW w:w="1088" w:type="dxa"/>
                  <w:tcBorders>
                    <w:tl2br w:val="nil"/>
                    <w:tr2bl w:val="nil"/>
                  </w:tcBorders>
                  <w:noWrap w:val="0"/>
                  <w:vAlign w:val="center"/>
                </w:tcPr>
                <w:p w14:paraId="52EAF8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0.09</w:t>
                  </w:r>
                </w:p>
              </w:tc>
              <w:tc>
                <w:tcPr>
                  <w:tcW w:w="1093" w:type="dxa"/>
                  <w:tcBorders>
                    <w:tl2br w:val="nil"/>
                    <w:tr2bl w:val="nil"/>
                  </w:tcBorders>
                  <w:shd w:val="clear" w:color="auto" w:fill="auto"/>
                  <w:noWrap w:val="0"/>
                  <w:vAlign w:val="center"/>
                </w:tcPr>
                <w:p w14:paraId="59225E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≤70</w:t>
                  </w:r>
                </w:p>
              </w:tc>
            </w:tr>
            <w:tr w14:paraId="40CAC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51" w:type="dxa"/>
                  <w:gridSpan w:val="2"/>
                  <w:tcBorders>
                    <w:tl2br w:val="nil"/>
                    <w:tr2bl w:val="nil"/>
                  </w:tcBorders>
                  <w:noWrap w:val="0"/>
                  <w:vAlign w:val="center"/>
                </w:tcPr>
                <w:p w14:paraId="4E3678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石油烃（C</w:t>
                  </w:r>
                  <w:r>
                    <w:rPr>
                      <w:rFonts w:hint="default" w:ascii="Times New Roman" w:hAnsi="Times New Roman" w:eastAsia="宋体" w:cs="Times New Roman"/>
                      <w:b w:val="0"/>
                      <w:bCs w:val="0"/>
                      <w:color w:val="auto"/>
                      <w:sz w:val="18"/>
                      <w:szCs w:val="18"/>
                      <w:highlight w:val="none"/>
                      <w:vertAlign w:val="subscript"/>
                    </w:rPr>
                    <w:t>10</w:t>
                  </w:r>
                  <w:r>
                    <w:rPr>
                      <w:rFonts w:hint="default" w:ascii="Times New Roman" w:hAnsi="Times New Roman" w:eastAsia="宋体" w:cs="Times New Roman"/>
                      <w:b w:val="0"/>
                      <w:bCs w:val="0"/>
                      <w:color w:val="auto"/>
                      <w:sz w:val="18"/>
                      <w:szCs w:val="18"/>
                      <w:highlight w:val="none"/>
                    </w:rPr>
                    <w:t>-C</w:t>
                  </w:r>
                  <w:r>
                    <w:rPr>
                      <w:rFonts w:hint="default" w:ascii="Times New Roman" w:hAnsi="Times New Roman" w:eastAsia="宋体" w:cs="Times New Roman"/>
                      <w:b w:val="0"/>
                      <w:bCs w:val="0"/>
                      <w:color w:val="auto"/>
                      <w:sz w:val="18"/>
                      <w:szCs w:val="18"/>
                      <w:highlight w:val="none"/>
                      <w:vertAlign w:val="subscript"/>
                    </w:rPr>
                    <w:t>40</w:t>
                  </w:r>
                  <w:r>
                    <w:rPr>
                      <w:rFonts w:hint="default" w:ascii="Times New Roman" w:hAnsi="Times New Roman" w:eastAsia="宋体" w:cs="Times New Roman"/>
                      <w:b w:val="0"/>
                      <w:bCs w:val="0"/>
                      <w:color w:val="auto"/>
                      <w:sz w:val="18"/>
                      <w:szCs w:val="18"/>
                      <w:highlight w:val="none"/>
                    </w:rPr>
                    <w:t>）</w:t>
                  </w:r>
                </w:p>
              </w:tc>
              <w:tc>
                <w:tcPr>
                  <w:tcW w:w="706" w:type="dxa"/>
                  <w:tcBorders>
                    <w:tl2br w:val="nil"/>
                    <w:tr2bl w:val="nil"/>
                  </w:tcBorders>
                  <w:noWrap w:val="0"/>
                  <w:vAlign w:val="center"/>
                </w:tcPr>
                <w:p w14:paraId="01A9E6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color w:val="auto"/>
                      <w:kern w:val="0"/>
                      <w:sz w:val="18"/>
                      <w:szCs w:val="18"/>
                      <w:highlight w:val="none"/>
                      <w:u w:val="none"/>
                      <w:lang w:val="en-US" w:eastAsia="zh-CN" w:bidi="ar"/>
                    </w:rPr>
                    <w:t>mg/kg</w:t>
                  </w:r>
                </w:p>
              </w:tc>
              <w:tc>
                <w:tcPr>
                  <w:tcW w:w="979" w:type="dxa"/>
                  <w:tcBorders>
                    <w:tl2br w:val="nil"/>
                    <w:tr2bl w:val="nil"/>
                  </w:tcBorders>
                  <w:noWrap w:val="0"/>
                  <w:vAlign w:val="center"/>
                </w:tcPr>
                <w:p w14:paraId="64471B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31</w:t>
                  </w:r>
                </w:p>
              </w:tc>
              <w:tc>
                <w:tcPr>
                  <w:tcW w:w="1121" w:type="dxa"/>
                  <w:tcBorders>
                    <w:tl2br w:val="nil"/>
                    <w:tr2bl w:val="nil"/>
                  </w:tcBorders>
                  <w:noWrap w:val="0"/>
                  <w:vAlign w:val="center"/>
                </w:tcPr>
                <w:p w14:paraId="0EF424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18</w:t>
                  </w:r>
                </w:p>
              </w:tc>
              <w:tc>
                <w:tcPr>
                  <w:tcW w:w="1094" w:type="dxa"/>
                  <w:tcBorders>
                    <w:tl2br w:val="nil"/>
                    <w:tr2bl w:val="nil"/>
                  </w:tcBorders>
                  <w:noWrap w:val="0"/>
                  <w:vAlign w:val="center"/>
                </w:tcPr>
                <w:p w14:paraId="40C8BF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24</w:t>
                  </w:r>
                </w:p>
              </w:tc>
              <w:tc>
                <w:tcPr>
                  <w:tcW w:w="1088" w:type="dxa"/>
                  <w:tcBorders>
                    <w:tl2br w:val="nil"/>
                    <w:tr2bl w:val="nil"/>
                  </w:tcBorders>
                  <w:noWrap w:val="0"/>
                  <w:vAlign w:val="center"/>
                </w:tcPr>
                <w:p w14:paraId="050297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19</w:t>
                  </w:r>
                </w:p>
              </w:tc>
              <w:tc>
                <w:tcPr>
                  <w:tcW w:w="1093" w:type="dxa"/>
                  <w:tcBorders>
                    <w:tl2br w:val="nil"/>
                    <w:tr2bl w:val="nil"/>
                  </w:tcBorders>
                  <w:shd w:val="clear" w:color="auto" w:fill="auto"/>
                  <w:noWrap w:val="0"/>
                  <w:vAlign w:val="center"/>
                </w:tcPr>
                <w:p w14:paraId="131CAA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≤4500</w:t>
                  </w:r>
                </w:p>
              </w:tc>
            </w:tr>
          </w:tbl>
          <w:p w14:paraId="0C0EED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spacing w:val="0"/>
                <w:position w:val="0"/>
                <w:sz w:val="21"/>
                <w:szCs w:val="21"/>
                <w:lang w:val="en-US" w:bidi="zh-CN"/>
              </w:rPr>
              <w:t>表3-</w:t>
            </w:r>
            <w:r>
              <w:rPr>
                <w:rFonts w:hint="eastAsia" w:eastAsia="宋体" w:cs="Times New Roman"/>
                <w:b/>
                <w:bCs/>
                <w:color w:val="auto"/>
                <w:spacing w:val="0"/>
                <w:position w:val="0"/>
                <w:sz w:val="21"/>
                <w:szCs w:val="21"/>
                <w:lang w:val="en-US" w:bidi="zh-CN"/>
              </w:rPr>
              <w:t>5</w:t>
            </w:r>
            <w:r>
              <w:rPr>
                <w:rFonts w:hint="eastAsia" w:ascii="Times New Roman" w:hAnsi="Times New Roman" w:eastAsia="宋体" w:cs="Times New Roman"/>
                <w:b/>
                <w:bCs/>
                <w:color w:val="auto"/>
                <w:spacing w:val="0"/>
                <w:position w:val="0"/>
                <w:sz w:val="21"/>
                <w:szCs w:val="21"/>
                <w:lang w:val="en-US" w:bidi="zh-CN"/>
              </w:rPr>
              <w:t xml:space="preserve">   </w:t>
            </w:r>
            <w:r>
              <w:rPr>
                <w:rFonts w:hint="default" w:ascii="Times New Roman" w:hAnsi="Times New Roman" w:eastAsia="宋体" w:cs="Times New Roman"/>
                <w:b/>
                <w:bCs/>
                <w:color w:val="auto"/>
                <w:spacing w:val="0"/>
                <w:position w:val="0"/>
                <w:sz w:val="21"/>
                <w:szCs w:val="21"/>
                <w:lang w:val="zh-CN" w:bidi="zh-CN"/>
              </w:rPr>
              <w:t>表层样土壤质量现状监测结果统计表</w:t>
            </w:r>
          </w:p>
          <w:tbl>
            <w:tblPr>
              <w:tblStyle w:val="30"/>
              <w:tblW w:w="82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5"/>
              <w:gridCol w:w="1835"/>
              <w:gridCol w:w="830"/>
              <w:gridCol w:w="1870"/>
              <w:gridCol w:w="1950"/>
              <w:gridCol w:w="1381"/>
            </w:tblGrid>
            <w:tr w14:paraId="0580C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190" w:type="dxa"/>
                  <w:gridSpan w:val="2"/>
                  <w:vMerge w:val="restart"/>
                  <w:tcBorders>
                    <w:tl2br w:val="nil"/>
                    <w:tr2bl w:val="nil"/>
                  </w:tcBorders>
                  <w:noWrap w:val="0"/>
                  <w:vAlign w:val="center"/>
                </w:tcPr>
                <w:p w14:paraId="1C6BE2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auto"/>
                      <w:kern w:val="0"/>
                      <w:sz w:val="18"/>
                      <w:szCs w:val="18"/>
                      <w:highlight w:val="none"/>
                      <w:u w:val="none"/>
                      <w:lang w:val="en-US" w:eastAsia="zh-CN" w:bidi="ar"/>
                    </w:rPr>
                  </w:pPr>
                  <w:r>
                    <w:rPr>
                      <w:rFonts w:hint="default" w:ascii="Times New Roman" w:hAnsi="Times New Roman" w:eastAsia="宋体" w:cs="Times New Roman"/>
                      <w:b/>
                      <w:bCs/>
                      <w:i w:val="0"/>
                      <w:color w:val="auto"/>
                      <w:kern w:val="0"/>
                      <w:sz w:val="18"/>
                      <w:szCs w:val="18"/>
                      <w:highlight w:val="none"/>
                      <w:u w:val="none"/>
                      <w:lang w:val="en-US" w:eastAsia="zh-CN" w:bidi="ar"/>
                    </w:rPr>
                    <w:t>检测因子</w:t>
                  </w:r>
                </w:p>
              </w:tc>
              <w:tc>
                <w:tcPr>
                  <w:tcW w:w="830" w:type="dxa"/>
                  <w:vMerge w:val="restart"/>
                  <w:tcBorders>
                    <w:tl2br w:val="nil"/>
                    <w:tr2bl w:val="nil"/>
                  </w:tcBorders>
                  <w:noWrap w:val="0"/>
                  <w:vAlign w:val="center"/>
                </w:tcPr>
                <w:p w14:paraId="140C89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color w:val="auto"/>
                      <w:kern w:val="2"/>
                      <w:sz w:val="18"/>
                      <w:szCs w:val="18"/>
                      <w:highlight w:val="none"/>
                      <w:lang w:val="en-US" w:eastAsia="zh-CN"/>
                    </w:rPr>
                  </w:pPr>
                  <w:r>
                    <w:rPr>
                      <w:rFonts w:hint="default" w:ascii="Times New Roman" w:hAnsi="Times New Roman" w:eastAsia="宋体" w:cs="Times New Roman"/>
                      <w:b/>
                      <w:bCs/>
                      <w:color w:val="auto"/>
                      <w:kern w:val="2"/>
                      <w:sz w:val="18"/>
                      <w:szCs w:val="18"/>
                      <w:highlight w:val="none"/>
                      <w:lang w:val="en-US" w:eastAsia="zh-CN"/>
                    </w:rPr>
                    <w:t>单位</w:t>
                  </w:r>
                </w:p>
              </w:tc>
              <w:tc>
                <w:tcPr>
                  <w:tcW w:w="3820" w:type="dxa"/>
                  <w:gridSpan w:val="2"/>
                  <w:tcBorders>
                    <w:tl2br w:val="nil"/>
                    <w:tr2bl w:val="nil"/>
                  </w:tcBorders>
                  <w:noWrap w:val="0"/>
                  <w:vAlign w:val="center"/>
                </w:tcPr>
                <w:p w14:paraId="0D742A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kern w:val="0"/>
                      <w:sz w:val="18"/>
                      <w:szCs w:val="18"/>
                      <w:highlight w:val="none"/>
                      <w:lang w:val="en-US" w:eastAsia="zh-CN"/>
                    </w:rPr>
                    <w:t>采样点位</w:t>
                  </w:r>
                </w:p>
              </w:tc>
              <w:tc>
                <w:tcPr>
                  <w:tcW w:w="1381" w:type="dxa"/>
                  <w:vMerge w:val="restart"/>
                  <w:tcBorders>
                    <w:tl2br w:val="nil"/>
                    <w:tr2bl w:val="nil"/>
                  </w:tcBorders>
                  <w:noWrap w:val="0"/>
                  <w:vAlign w:val="center"/>
                </w:tcPr>
                <w:p w14:paraId="281664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kern w:val="0"/>
                      <w:sz w:val="18"/>
                      <w:szCs w:val="18"/>
                      <w:highlight w:val="none"/>
                      <w:lang w:val="en-US" w:eastAsia="zh-CN"/>
                    </w:rPr>
                    <w:t>二类用地风险筛选值(mg/kg)</w:t>
                  </w:r>
                </w:p>
              </w:tc>
            </w:tr>
            <w:tr w14:paraId="2BD539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2190" w:type="dxa"/>
                  <w:gridSpan w:val="2"/>
                  <w:vMerge w:val="continue"/>
                  <w:tcBorders>
                    <w:tl2br w:val="nil"/>
                    <w:tr2bl w:val="nil"/>
                  </w:tcBorders>
                  <w:noWrap w:val="0"/>
                  <w:vAlign w:val="center"/>
                </w:tcPr>
                <w:p w14:paraId="791BF3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p>
              </w:tc>
              <w:tc>
                <w:tcPr>
                  <w:tcW w:w="830" w:type="dxa"/>
                  <w:vMerge w:val="continue"/>
                  <w:tcBorders>
                    <w:tl2br w:val="nil"/>
                    <w:tr2bl w:val="nil"/>
                  </w:tcBorders>
                  <w:noWrap w:val="0"/>
                  <w:vAlign w:val="center"/>
                </w:tcPr>
                <w:p w14:paraId="43C63F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highlight w:val="none"/>
                      <w:lang w:val="en-US" w:eastAsia="zh-CN"/>
                    </w:rPr>
                  </w:pPr>
                </w:p>
              </w:tc>
              <w:tc>
                <w:tcPr>
                  <w:tcW w:w="1870" w:type="dxa"/>
                  <w:tcBorders>
                    <w:tl2br w:val="nil"/>
                    <w:tr2bl w:val="nil"/>
                  </w:tcBorders>
                  <w:noWrap w:val="0"/>
                  <w:vAlign w:val="center"/>
                </w:tcPr>
                <w:p w14:paraId="16D49DB5">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kern w:val="0"/>
                      <w:sz w:val="18"/>
                      <w:szCs w:val="18"/>
                      <w:highlight w:val="none"/>
                      <w:lang w:val="en-US" w:eastAsia="zh-CN"/>
                    </w:rPr>
                    <w:t>S</w:t>
                  </w:r>
                  <w:r>
                    <w:rPr>
                      <w:rFonts w:hint="eastAsia" w:ascii="Times New Roman" w:hAnsi="Times New Roman" w:eastAsia="宋体" w:cs="Times New Roman"/>
                      <w:b/>
                      <w:bCs/>
                      <w:color w:val="auto"/>
                      <w:kern w:val="0"/>
                      <w:sz w:val="18"/>
                      <w:szCs w:val="18"/>
                      <w:highlight w:val="none"/>
                      <w:lang w:val="en-US" w:eastAsia="zh-CN"/>
                    </w:rPr>
                    <w:t>2（厂区西南角）</w:t>
                  </w:r>
                </w:p>
              </w:tc>
              <w:tc>
                <w:tcPr>
                  <w:tcW w:w="1950" w:type="dxa"/>
                  <w:tcBorders>
                    <w:tl2br w:val="nil"/>
                    <w:tr2bl w:val="nil"/>
                  </w:tcBorders>
                  <w:noWrap w:val="0"/>
                  <w:vAlign w:val="center"/>
                </w:tcPr>
                <w:p w14:paraId="5A2483F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b/>
                      <w:bCs/>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S3（地块内东侧）</w:t>
                  </w:r>
                </w:p>
              </w:tc>
              <w:tc>
                <w:tcPr>
                  <w:tcW w:w="1381" w:type="dxa"/>
                  <w:vMerge w:val="continue"/>
                  <w:tcBorders>
                    <w:tl2br w:val="nil"/>
                    <w:tr2bl w:val="nil"/>
                  </w:tcBorders>
                  <w:noWrap w:val="0"/>
                  <w:vAlign w:val="center"/>
                </w:tcPr>
                <w:p w14:paraId="30623FF0">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p>
              </w:tc>
            </w:tr>
            <w:tr w14:paraId="39D11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tblHeader/>
                <w:jc w:val="center"/>
              </w:trPr>
              <w:tc>
                <w:tcPr>
                  <w:tcW w:w="2190" w:type="dxa"/>
                  <w:gridSpan w:val="2"/>
                  <w:vMerge w:val="continue"/>
                  <w:tcBorders>
                    <w:tl2br w:val="nil"/>
                    <w:tr2bl w:val="nil"/>
                  </w:tcBorders>
                  <w:noWrap w:val="0"/>
                  <w:vAlign w:val="center"/>
                </w:tcPr>
                <w:p w14:paraId="4CBFFCD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p>
              </w:tc>
              <w:tc>
                <w:tcPr>
                  <w:tcW w:w="830" w:type="dxa"/>
                  <w:vMerge w:val="continue"/>
                  <w:tcBorders>
                    <w:tl2br w:val="nil"/>
                    <w:tr2bl w:val="nil"/>
                  </w:tcBorders>
                  <w:noWrap w:val="0"/>
                  <w:vAlign w:val="center"/>
                </w:tcPr>
                <w:p w14:paraId="0357B3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highlight w:val="none"/>
                      <w:lang w:val="en-US" w:eastAsia="zh-CN"/>
                    </w:rPr>
                  </w:pPr>
                </w:p>
              </w:tc>
              <w:tc>
                <w:tcPr>
                  <w:tcW w:w="1870" w:type="dxa"/>
                  <w:tcBorders>
                    <w:tl2br w:val="nil"/>
                    <w:tr2bl w:val="nil"/>
                  </w:tcBorders>
                  <w:noWrap w:val="0"/>
                  <w:vAlign w:val="center"/>
                </w:tcPr>
                <w:p w14:paraId="27D36E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kern w:val="0"/>
                      <w:sz w:val="18"/>
                      <w:szCs w:val="18"/>
                      <w:highlight w:val="none"/>
                      <w:lang w:val="en-US" w:eastAsia="zh-CN"/>
                    </w:rPr>
                    <w:t>(0~0.</w:t>
                  </w:r>
                  <w:r>
                    <w:rPr>
                      <w:rFonts w:hint="eastAsia" w:ascii="Times New Roman" w:hAnsi="Times New Roman" w:cs="Times New Roman"/>
                      <w:b/>
                      <w:bCs/>
                      <w:color w:val="auto"/>
                      <w:kern w:val="0"/>
                      <w:sz w:val="18"/>
                      <w:szCs w:val="18"/>
                      <w:highlight w:val="none"/>
                      <w:lang w:val="en-US" w:eastAsia="zh-CN"/>
                    </w:rPr>
                    <w:t>2</w:t>
                  </w:r>
                  <w:r>
                    <w:rPr>
                      <w:rFonts w:hint="default" w:ascii="Times New Roman" w:hAnsi="Times New Roman" w:eastAsia="宋体" w:cs="Times New Roman"/>
                      <w:b/>
                      <w:bCs/>
                      <w:color w:val="auto"/>
                      <w:kern w:val="0"/>
                      <w:sz w:val="18"/>
                      <w:szCs w:val="18"/>
                      <w:highlight w:val="none"/>
                      <w:lang w:val="en-US" w:eastAsia="zh-CN"/>
                    </w:rPr>
                    <w:t>m)</w:t>
                  </w:r>
                </w:p>
              </w:tc>
              <w:tc>
                <w:tcPr>
                  <w:tcW w:w="1950" w:type="dxa"/>
                  <w:tcBorders>
                    <w:tl2br w:val="nil"/>
                    <w:tr2bl w:val="nil"/>
                  </w:tcBorders>
                  <w:noWrap w:val="0"/>
                  <w:vAlign w:val="center"/>
                </w:tcPr>
                <w:p w14:paraId="27D4EB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(0~</w:t>
                  </w:r>
                  <w:r>
                    <w:rPr>
                      <w:rFonts w:hint="eastAsia" w:ascii="Times New Roman" w:hAnsi="Times New Roman" w:eastAsia="宋体" w:cs="Times New Roman"/>
                      <w:b/>
                      <w:bCs/>
                      <w:color w:val="auto"/>
                      <w:sz w:val="18"/>
                      <w:szCs w:val="18"/>
                      <w:highlight w:val="none"/>
                      <w:lang w:val="en-US" w:eastAsia="zh-CN"/>
                    </w:rPr>
                    <w:t>0</w:t>
                  </w:r>
                  <w:r>
                    <w:rPr>
                      <w:rFonts w:hint="default" w:ascii="Times New Roman" w:hAnsi="Times New Roman" w:eastAsia="宋体" w:cs="Times New Roman"/>
                      <w:b/>
                      <w:bCs/>
                      <w:color w:val="auto"/>
                      <w:sz w:val="18"/>
                      <w:szCs w:val="18"/>
                      <w:highlight w:val="none"/>
                      <w:lang w:val="en-US" w:eastAsia="zh-CN"/>
                    </w:rPr>
                    <w:t>.</w:t>
                  </w:r>
                  <w:r>
                    <w:rPr>
                      <w:rFonts w:hint="eastAsia" w:ascii="Times New Roman" w:hAnsi="Times New Roman" w:eastAsia="宋体" w:cs="Times New Roman"/>
                      <w:b/>
                      <w:bCs/>
                      <w:color w:val="auto"/>
                      <w:sz w:val="18"/>
                      <w:szCs w:val="18"/>
                      <w:highlight w:val="none"/>
                      <w:lang w:val="en-US" w:eastAsia="zh-CN"/>
                    </w:rPr>
                    <w:t>2</w:t>
                  </w:r>
                  <w:r>
                    <w:rPr>
                      <w:rFonts w:hint="default" w:ascii="Times New Roman" w:hAnsi="Times New Roman" w:eastAsia="宋体" w:cs="Times New Roman"/>
                      <w:b/>
                      <w:bCs/>
                      <w:color w:val="auto"/>
                      <w:kern w:val="0"/>
                      <w:sz w:val="18"/>
                      <w:szCs w:val="18"/>
                      <w:highlight w:val="none"/>
                      <w:lang w:val="en-US" w:eastAsia="zh-CN"/>
                    </w:rPr>
                    <w:t>m</w:t>
                  </w:r>
                  <w:r>
                    <w:rPr>
                      <w:rFonts w:hint="default" w:ascii="Times New Roman" w:hAnsi="Times New Roman" w:eastAsia="宋体" w:cs="Times New Roman"/>
                      <w:b/>
                      <w:bCs/>
                      <w:color w:val="auto"/>
                      <w:sz w:val="18"/>
                      <w:szCs w:val="18"/>
                      <w:highlight w:val="none"/>
                      <w:lang w:val="en-US" w:eastAsia="zh-CN"/>
                    </w:rPr>
                    <w:t>)</w:t>
                  </w:r>
                </w:p>
              </w:tc>
              <w:tc>
                <w:tcPr>
                  <w:tcW w:w="1381" w:type="dxa"/>
                  <w:vMerge w:val="continue"/>
                  <w:tcBorders>
                    <w:tl2br w:val="nil"/>
                    <w:tr2bl w:val="nil"/>
                  </w:tcBorders>
                  <w:noWrap w:val="0"/>
                  <w:vAlign w:val="center"/>
                </w:tcPr>
                <w:p w14:paraId="3A4068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18"/>
                      <w:szCs w:val="18"/>
                      <w:highlight w:val="none"/>
                      <w:lang w:val="en-US" w:eastAsia="zh-CN"/>
                    </w:rPr>
                  </w:pPr>
                </w:p>
              </w:tc>
            </w:tr>
            <w:tr w14:paraId="21553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90" w:type="dxa"/>
                  <w:gridSpan w:val="2"/>
                  <w:tcBorders>
                    <w:tl2br w:val="nil"/>
                    <w:tr2bl w:val="nil"/>
                  </w:tcBorders>
                  <w:noWrap w:val="0"/>
                  <w:vAlign w:val="center"/>
                </w:tcPr>
                <w:p w14:paraId="675D1C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砷</w:t>
                  </w:r>
                </w:p>
              </w:tc>
              <w:tc>
                <w:tcPr>
                  <w:tcW w:w="830" w:type="dxa"/>
                  <w:tcBorders>
                    <w:tl2br w:val="nil"/>
                    <w:tr2bl w:val="nil"/>
                  </w:tcBorders>
                  <w:noWrap w:val="0"/>
                  <w:vAlign w:val="center"/>
                </w:tcPr>
                <w:p w14:paraId="27AC45D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mg/kg</w:t>
                  </w:r>
                </w:p>
              </w:tc>
              <w:tc>
                <w:tcPr>
                  <w:tcW w:w="1870" w:type="dxa"/>
                  <w:tcBorders>
                    <w:tl2br w:val="nil"/>
                    <w:tr2bl w:val="nil"/>
                  </w:tcBorders>
                  <w:noWrap w:val="0"/>
                  <w:vAlign w:val="center"/>
                </w:tcPr>
                <w:p w14:paraId="0CD9A8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12.4</w:t>
                  </w:r>
                </w:p>
              </w:tc>
              <w:tc>
                <w:tcPr>
                  <w:tcW w:w="1950" w:type="dxa"/>
                  <w:tcBorders>
                    <w:tl2br w:val="nil"/>
                    <w:tr2bl w:val="nil"/>
                  </w:tcBorders>
                  <w:noWrap w:val="0"/>
                  <w:vAlign w:val="center"/>
                </w:tcPr>
                <w:p w14:paraId="6F394FD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12.0</w:t>
                  </w:r>
                </w:p>
              </w:tc>
              <w:tc>
                <w:tcPr>
                  <w:tcW w:w="1381" w:type="dxa"/>
                  <w:tcBorders>
                    <w:tl2br w:val="nil"/>
                    <w:tr2bl w:val="nil"/>
                  </w:tcBorders>
                  <w:shd w:val="clear" w:color="auto" w:fill="auto"/>
                  <w:noWrap w:val="0"/>
                  <w:vAlign w:val="center"/>
                </w:tcPr>
                <w:p w14:paraId="3C9F88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≤60</w:t>
                  </w:r>
                </w:p>
              </w:tc>
            </w:tr>
            <w:tr w14:paraId="1639A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90" w:type="dxa"/>
                  <w:gridSpan w:val="2"/>
                  <w:tcBorders>
                    <w:tl2br w:val="nil"/>
                    <w:tr2bl w:val="nil"/>
                  </w:tcBorders>
                  <w:noWrap w:val="0"/>
                  <w:vAlign w:val="center"/>
                </w:tcPr>
                <w:p w14:paraId="0F942A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镉</w:t>
                  </w:r>
                </w:p>
              </w:tc>
              <w:tc>
                <w:tcPr>
                  <w:tcW w:w="830" w:type="dxa"/>
                  <w:tcBorders>
                    <w:tl2br w:val="nil"/>
                    <w:tr2bl w:val="nil"/>
                  </w:tcBorders>
                  <w:noWrap w:val="0"/>
                  <w:vAlign w:val="center"/>
                </w:tcPr>
                <w:p w14:paraId="7FC995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01E7E2F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0.</w:t>
                  </w:r>
                  <w:r>
                    <w:rPr>
                      <w:rFonts w:hint="eastAsia" w:ascii="Times New Roman" w:hAnsi="Times New Roman" w:cs="Times New Roman"/>
                      <w:i w:val="0"/>
                      <w:color w:val="auto"/>
                      <w:kern w:val="0"/>
                      <w:sz w:val="18"/>
                      <w:szCs w:val="18"/>
                      <w:highlight w:val="none"/>
                      <w:u w:val="none"/>
                      <w:lang w:val="en-US" w:eastAsia="zh-CN" w:bidi="ar"/>
                    </w:rPr>
                    <w:t>28</w:t>
                  </w:r>
                </w:p>
              </w:tc>
              <w:tc>
                <w:tcPr>
                  <w:tcW w:w="1950" w:type="dxa"/>
                  <w:tcBorders>
                    <w:tl2br w:val="nil"/>
                    <w:tr2bl w:val="nil"/>
                  </w:tcBorders>
                  <w:noWrap w:val="0"/>
                  <w:vAlign w:val="center"/>
                </w:tcPr>
                <w:p w14:paraId="51CAC60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0.</w:t>
                  </w:r>
                  <w:r>
                    <w:rPr>
                      <w:rFonts w:hint="eastAsia" w:ascii="Times New Roman" w:hAnsi="Times New Roman" w:cs="Times New Roman"/>
                      <w:i w:val="0"/>
                      <w:color w:val="auto"/>
                      <w:kern w:val="0"/>
                      <w:sz w:val="18"/>
                      <w:szCs w:val="18"/>
                      <w:highlight w:val="none"/>
                      <w:u w:val="none"/>
                      <w:lang w:val="en-US" w:eastAsia="zh-CN" w:bidi="ar"/>
                    </w:rPr>
                    <w:t>15</w:t>
                  </w:r>
                </w:p>
              </w:tc>
              <w:tc>
                <w:tcPr>
                  <w:tcW w:w="1381" w:type="dxa"/>
                  <w:tcBorders>
                    <w:tl2br w:val="nil"/>
                    <w:tr2bl w:val="nil"/>
                  </w:tcBorders>
                  <w:shd w:val="clear" w:color="auto" w:fill="auto"/>
                  <w:noWrap w:val="0"/>
                  <w:vAlign w:val="center"/>
                </w:tcPr>
                <w:p w14:paraId="1C178D3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≤65</w:t>
                  </w:r>
                </w:p>
              </w:tc>
            </w:tr>
            <w:tr w14:paraId="1BC65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90" w:type="dxa"/>
                  <w:gridSpan w:val="2"/>
                  <w:tcBorders>
                    <w:tl2br w:val="nil"/>
                    <w:tr2bl w:val="nil"/>
                  </w:tcBorders>
                  <w:noWrap w:val="0"/>
                  <w:vAlign w:val="center"/>
                </w:tcPr>
                <w:p w14:paraId="630295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六价铬</w:t>
                  </w:r>
                </w:p>
              </w:tc>
              <w:tc>
                <w:tcPr>
                  <w:tcW w:w="830" w:type="dxa"/>
                  <w:tcBorders>
                    <w:tl2br w:val="nil"/>
                    <w:tr2bl w:val="nil"/>
                  </w:tcBorders>
                  <w:noWrap w:val="0"/>
                  <w:vAlign w:val="center"/>
                </w:tcPr>
                <w:p w14:paraId="74C5DA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407943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＜0.5</w:t>
                  </w:r>
                </w:p>
              </w:tc>
              <w:tc>
                <w:tcPr>
                  <w:tcW w:w="1950" w:type="dxa"/>
                  <w:tcBorders>
                    <w:tl2br w:val="nil"/>
                    <w:tr2bl w:val="nil"/>
                  </w:tcBorders>
                  <w:noWrap w:val="0"/>
                  <w:vAlign w:val="center"/>
                </w:tcPr>
                <w:p w14:paraId="71C9026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＜0.5</w:t>
                  </w:r>
                </w:p>
              </w:tc>
              <w:tc>
                <w:tcPr>
                  <w:tcW w:w="1381" w:type="dxa"/>
                  <w:tcBorders>
                    <w:tl2br w:val="nil"/>
                    <w:tr2bl w:val="nil"/>
                  </w:tcBorders>
                  <w:shd w:val="clear" w:color="auto" w:fill="auto"/>
                  <w:noWrap w:val="0"/>
                  <w:vAlign w:val="center"/>
                </w:tcPr>
                <w:p w14:paraId="7A36FE5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≤5.7</w:t>
                  </w:r>
                </w:p>
              </w:tc>
            </w:tr>
            <w:tr w14:paraId="711E2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90" w:type="dxa"/>
                  <w:gridSpan w:val="2"/>
                  <w:tcBorders>
                    <w:tl2br w:val="nil"/>
                    <w:tr2bl w:val="nil"/>
                  </w:tcBorders>
                  <w:noWrap w:val="0"/>
                  <w:vAlign w:val="center"/>
                </w:tcPr>
                <w:p w14:paraId="5C3F0F8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sz w:val="18"/>
                      <w:szCs w:val="18"/>
                      <w:highlight w:val="none"/>
                      <w:lang w:val="en-US" w:eastAsia="zh-CN"/>
                    </w:rPr>
                    <w:t>铜</w:t>
                  </w:r>
                </w:p>
              </w:tc>
              <w:tc>
                <w:tcPr>
                  <w:tcW w:w="830" w:type="dxa"/>
                  <w:tcBorders>
                    <w:tl2br w:val="nil"/>
                    <w:tr2bl w:val="nil"/>
                  </w:tcBorders>
                  <w:noWrap w:val="0"/>
                  <w:vAlign w:val="center"/>
                </w:tcPr>
                <w:p w14:paraId="05A5D1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4393E5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22</w:t>
                  </w:r>
                </w:p>
              </w:tc>
              <w:tc>
                <w:tcPr>
                  <w:tcW w:w="1950" w:type="dxa"/>
                  <w:tcBorders>
                    <w:tl2br w:val="nil"/>
                    <w:tr2bl w:val="nil"/>
                  </w:tcBorders>
                  <w:noWrap w:val="0"/>
                  <w:vAlign w:val="center"/>
                </w:tcPr>
                <w:p w14:paraId="13442D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22</w:t>
                  </w:r>
                </w:p>
              </w:tc>
              <w:tc>
                <w:tcPr>
                  <w:tcW w:w="1381" w:type="dxa"/>
                  <w:tcBorders>
                    <w:tl2br w:val="nil"/>
                    <w:tr2bl w:val="nil"/>
                  </w:tcBorders>
                  <w:shd w:val="clear" w:color="auto" w:fill="auto"/>
                  <w:noWrap w:val="0"/>
                  <w:vAlign w:val="center"/>
                </w:tcPr>
                <w:p w14:paraId="42CAB5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≤18000</w:t>
                  </w:r>
                </w:p>
              </w:tc>
            </w:tr>
            <w:tr w14:paraId="5F957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90" w:type="dxa"/>
                  <w:gridSpan w:val="2"/>
                  <w:tcBorders>
                    <w:tl2br w:val="nil"/>
                    <w:tr2bl w:val="nil"/>
                  </w:tcBorders>
                  <w:noWrap w:val="0"/>
                  <w:vAlign w:val="center"/>
                </w:tcPr>
                <w:p w14:paraId="773EC7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铅</w:t>
                  </w:r>
                </w:p>
              </w:tc>
              <w:tc>
                <w:tcPr>
                  <w:tcW w:w="830" w:type="dxa"/>
                  <w:tcBorders>
                    <w:tl2br w:val="nil"/>
                    <w:tr2bl w:val="nil"/>
                  </w:tcBorders>
                  <w:noWrap w:val="0"/>
                  <w:vAlign w:val="center"/>
                </w:tcPr>
                <w:p w14:paraId="3E56D8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5C810A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21.6</w:t>
                  </w:r>
                </w:p>
              </w:tc>
              <w:tc>
                <w:tcPr>
                  <w:tcW w:w="1950" w:type="dxa"/>
                  <w:tcBorders>
                    <w:tl2br w:val="nil"/>
                    <w:tr2bl w:val="nil"/>
                  </w:tcBorders>
                  <w:noWrap w:val="0"/>
                  <w:vAlign w:val="center"/>
                </w:tcPr>
                <w:p w14:paraId="50E6E5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22.4</w:t>
                  </w:r>
                </w:p>
              </w:tc>
              <w:tc>
                <w:tcPr>
                  <w:tcW w:w="1381" w:type="dxa"/>
                  <w:tcBorders>
                    <w:tl2br w:val="nil"/>
                    <w:tr2bl w:val="nil"/>
                  </w:tcBorders>
                  <w:shd w:val="clear" w:color="auto" w:fill="auto"/>
                  <w:noWrap w:val="0"/>
                  <w:vAlign w:val="center"/>
                </w:tcPr>
                <w:p w14:paraId="78ECF4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≤800</w:t>
                  </w:r>
                </w:p>
              </w:tc>
            </w:tr>
            <w:tr w14:paraId="33E28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90" w:type="dxa"/>
                  <w:gridSpan w:val="2"/>
                  <w:tcBorders>
                    <w:tl2br w:val="nil"/>
                    <w:tr2bl w:val="nil"/>
                  </w:tcBorders>
                  <w:noWrap w:val="0"/>
                  <w:vAlign w:val="center"/>
                </w:tcPr>
                <w:p w14:paraId="5062609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sz w:val="18"/>
                      <w:szCs w:val="18"/>
                      <w:highlight w:val="none"/>
                      <w:lang w:val="en-US" w:eastAsia="zh-CN"/>
                    </w:rPr>
                    <w:t>汞</w:t>
                  </w:r>
                </w:p>
              </w:tc>
              <w:tc>
                <w:tcPr>
                  <w:tcW w:w="830" w:type="dxa"/>
                  <w:tcBorders>
                    <w:tl2br w:val="nil"/>
                    <w:tr2bl w:val="nil"/>
                  </w:tcBorders>
                  <w:noWrap w:val="0"/>
                  <w:vAlign w:val="center"/>
                </w:tcPr>
                <w:p w14:paraId="6B354B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mg/kg</w:t>
                  </w:r>
                </w:p>
              </w:tc>
              <w:tc>
                <w:tcPr>
                  <w:tcW w:w="1870" w:type="dxa"/>
                  <w:tcBorders>
                    <w:tl2br w:val="nil"/>
                    <w:tr2bl w:val="nil"/>
                  </w:tcBorders>
                  <w:noWrap w:val="0"/>
                  <w:vAlign w:val="center"/>
                </w:tcPr>
                <w:p w14:paraId="4648F5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0.018</w:t>
                  </w:r>
                </w:p>
              </w:tc>
              <w:tc>
                <w:tcPr>
                  <w:tcW w:w="1950" w:type="dxa"/>
                  <w:tcBorders>
                    <w:tl2br w:val="nil"/>
                    <w:tr2bl w:val="nil"/>
                  </w:tcBorders>
                  <w:noWrap w:val="0"/>
                  <w:vAlign w:val="center"/>
                </w:tcPr>
                <w:p w14:paraId="5AFA965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0.</w:t>
                  </w:r>
                  <w:r>
                    <w:rPr>
                      <w:rFonts w:hint="eastAsia" w:ascii="Times New Roman" w:hAnsi="Times New Roman" w:cs="Times New Roman"/>
                      <w:i w:val="0"/>
                      <w:color w:val="auto"/>
                      <w:kern w:val="0"/>
                      <w:sz w:val="18"/>
                      <w:szCs w:val="18"/>
                      <w:highlight w:val="none"/>
                      <w:u w:val="none"/>
                      <w:lang w:val="en-US" w:eastAsia="zh-CN" w:bidi="ar"/>
                    </w:rPr>
                    <w:t>092</w:t>
                  </w:r>
                </w:p>
              </w:tc>
              <w:tc>
                <w:tcPr>
                  <w:tcW w:w="1381" w:type="dxa"/>
                  <w:tcBorders>
                    <w:tl2br w:val="nil"/>
                    <w:tr2bl w:val="nil"/>
                  </w:tcBorders>
                  <w:shd w:val="clear" w:color="auto" w:fill="auto"/>
                  <w:noWrap w:val="0"/>
                  <w:vAlign w:val="center"/>
                </w:tcPr>
                <w:p w14:paraId="59BA3C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≤38</w:t>
                  </w:r>
                </w:p>
              </w:tc>
            </w:tr>
            <w:tr w14:paraId="37739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90" w:type="dxa"/>
                  <w:gridSpan w:val="2"/>
                  <w:tcBorders>
                    <w:tl2br w:val="nil"/>
                    <w:tr2bl w:val="nil"/>
                  </w:tcBorders>
                  <w:noWrap w:val="0"/>
                  <w:vAlign w:val="center"/>
                </w:tcPr>
                <w:p w14:paraId="5467CE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镍</w:t>
                  </w:r>
                </w:p>
              </w:tc>
              <w:tc>
                <w:tcPr>
                  <w:tcW w:w="830" w:type="dxa"/>
                  <w:tcBorders>
                    <w:tl2br w:val="nil"/>
                    <w:tr2bl w:val="nil"/>
                  </w:tcBorders>
                  <w:noWrap w:val="0"/>
                  <w:vAlign w:val="center"/>
                </w:tcPr>
                <w:p w14:paraId="72D608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2E3863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3</w:t>
                  </w:r>
                  <w:r>
                    <w:rPr>
                      <w:rFonts w:hint="default" w:ascii="Times New Roman" w:hAnsi="Times New Roman" w:cs="Times New Roman"/>
                      <w:i w:val="0"/>
                      <w:color w:val="auto"/>
                      <w:kern w:val="0"/>
                      <w:sz w:val="18"/>
                      <w:szCs w:val="18"/>
                      <w:highlight w:val="none"/>
                      <w:u w:val="none"/>
                      <w:lang w:val="en-US" w:eastAsia="zh-CN" w:bidi="ar"/>
                    </w:rPr>
                    <w:t>1</w:t>
                  </w:r>
                </w:p>
              </w:tc>
              <w:tc>
                <w:tcPr>
                  <w:tcW w:w="1950" w:type="dxa"/>
                  <w:tcBorders>
                    <w:tl2br w:val="nil"/>
                    <w:tr2bl w:val="nil"/>
                  </w:tcBorders>
                  <w:noWrap w:val="0"/>
                  <w:vAlign w:val="center"/>
                </w:tcPr>
                <w:p w14:paraId="3F585D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30</w:t>
                  </w:r>
                </w:p>
              </w:tc>
              <w:tc>
                <w:tcPr>
                  <w:tcW w:w="1381" w:type="dxa"/>
                  <w:tcBorders>
                    <w:tl2br w:val="nil"/>
                    <w:tr2bl w:val="nil"/>
                  </w:tcBorders>
                  <w:shd w:val="clear" w:color="auto" w:fill="auto"/>
                  <w:noWrap w:val="0"/>
                  <w:vAlign w:val="center"/>
                </w:tcPr>
                <w:p w14:paraId="13E9E08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≤900</w:t>
                  </w:r>
                </w:p>
              </w:tc>
            </w:tr>
            <w:tr w14:paraId="4FAA9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restart"/>
                  <w:tcBorders>
                    <w:tl2br w:val="nil"/>
                    <w:tr2bl w:val="nil"/>
                  </w:tcBorders>
                  <w:noWrap w:val="0"/>
                  <w:vAlign w:val="center"/>
                </w:tcPr>
                <w:p w14:paraId="15E3C8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5F37C6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15A4E9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4AE21C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40D06E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3D9C05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79C777DA">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挥</w:t>
                  </w:r>
                </w:p>
                <w:p w14:paraId="0673B6F2">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发</w:t>
                  </w:r>
                </w:p>
                <w:p w14:paraId="4D15C550">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性</w:t>
                  </w:r>
                </w:p>
                <w:p w14:paraId="281FE51A">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有</w:t>
                  </w:r>
                </w:p>
                <w:p w14:paraId="750F6DF7">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机</w:t>
                  </w:r>
                </w:p>
                <w:p w14:paraId="1FF4DBFB">
                  <w:pPr>
                    <w:keepNext w:val="0"/>
                    <w:keepLines w:val="0"/>
                    <w:pageBreakBefore w:val="0"/>
                    <w:widowControl/>
                    <w:kinsoku/>
                    <w:wordWrap/>
                    <w:overflowPunct/>
                    <w:topLinePunct w:val="0"/>
                    <w:autoSpaceDE/>
                    <w:autoSpaceDN/>
                    <w:bidi w:val="0"/>
                    <w:adjustRightInd/>
                    <w:snapToGrid/>
                    <w:spacing w:line="240" w:lineRule="auto"/>
                    <w:ind w:firstLine="0" w:firstLineChars="0"/>
                    <w:jc w:val="both"/>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物</w:t>
                  </w:r>
                </w:p>
                <w:p w14:paraId="0C8994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731165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四氯化碳</w:t>
                  </w:r>
                </w:p>
              </w:tc>
              <w:tc>
                <w:tcPr>
                  <w:tcW w:w="830" w:type="dxa"/>
                  <w:tcBorders>
                    <w:tl2br w:val="nil"/>
                    <w:tr2bl w:val="nil"/>
                  </w:tcBorders>
                  <w:noWrap w:val="0"/>
                  <w:vAlign w:val="center"/>
                </w:tcPr>
                <w:p w14:paraId="6BE7AEA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696B17E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＜1.3</w:t>
                  </w:r>
                </w:p>
              </w:tc>
              <w:tc>
                <w:tcPr>
                  <w:tcW w:w="1950" w:type="dxa"/>
                  <w:tcBorders>
                    <w:tl2br w:val="nil"/>
                    <w:tr2bl w:val="nil"/>
                  </w:tcBorders>
                  <w:noWrap w:val="0"/>
                  <w:vAlign w:val="center"/>
                </w:tcPr>
                <w:p w14:paraId="3DD001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＜1.3</w:t>
                  </w:r>
                </w:p>
              </w:tc>
              <w:tc>
                <w:tcPr>
                  <w:tcW w:w="1381" w:type="dxa"/>
                  <w:tcBorders>
                    <w:tl2br w:val="nil"/>
                    <w:tr2bl w:val="nil"/>
                  </w:tcBorders>
                  <w:shd w:val="clear" w:color="auto" w:fill="auto"/>
                  <w:noWrap w:val="0"/>
                  <w:vAlign w:val="center"/>
                </w:tcPr>
                <w:p w14:paraId="70CD785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w:t>
                  </w:r>
                  <w:r>
                    <w:rPr>
                      <w:rFonts w:hint="eastAsia" w:ascii="Times New Roman" w:hAnsi="Times New Roman" w:cs="Times New Roman"/>
                      <w:i w:val="0"/>
                      <w:color w:val="auto"/>
                      <w:kern w:val="0"/>
                      <w:sz w:val="18"/>
                      <w:szCs w:val="18"/>
                      <w:highlight w:val="none"/>
                      <w:u w:val="none"/>
                      <w:lang w:val="en-US" w:eastAsia="zh-CN" w:bidi="ar"/>
                    </w:rPr>
                    <w:t>800</w:t>
                  </w:r>
                </w:p>
              </w:tc>
            </w:tr>
            <w:tr w14:paraId="48E57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39843F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15002A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氯仿</w:t>
                  </w:r>
                </w:p>
              </w:tc>
              <w:tc>
                <w:tcPr>
                  <w:tcW w:w="830" w:type="dxa"/>
                  <w:tcBorders>
                    <w:tl2br w:val="nil"/>
                    <w:tr2bl w:val="nil"/>
                  </w:tcBorders>
                  <w:noWrap w:val="0"/>
                  <w:vAlign w:val="center"/>
                </w:tcPr>
                <w:p w14:paraId="55D277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5A08D6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950" w:type="dxa"/>
                  <w:tcBorders>
                    <w:tl2br w:val="nil"/>
                    <w:tr2bl w:val="nil"/>
                  </w:tcBorders>
                  <w:noWrap w:val="0"/>
                  <w:vAlign w:val="center"/>
                </w:tcPr>
                <w:p w14:paraId="1DC7E6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381" w:type="dxa"/>
                  <w:tcBorders>
                    <w:tl2br w:val="nil"/>
                    <w:tr2bl w:val="nil"/>
                  </w:tcBorders>
                  <w:shd w:val="clear" w:color="auto" w:fill="auto"/>
                  <w:noWrap w:val="0"/>
                  <w:vAlign w:val="center"/>
                </w:tcPr>
                <w:p w14:paraId="35C51E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900</w:t>
                  </w:r>
                </w:p>
              </w:tc>
            </w:tr>
            <w:tr w14:paraId="3A247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1AD2D3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080CCC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氯甲烷</w:t>
                  </w:r>
                </w:p>
              </w:tc>
              <w:tc>
                <w:tcPr>
                  <w:tcW w:w="830" w:type="dxa"/>
                  <w:tcBorders>
                    <w:tl2br w:val="nil"/>
                    <w:tr2bl w:val="nil"/>
                  </w:tcBorders>
                  <w:noWrap w:val="0"/>
                  <w:vAlign w:val="center"/>
                </w:tcPr>
                <w:p w14:paraId="63E182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7A825B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950" w:type="dxa"/>
                  <w:tcBorders>
                    <w:tl2br w:val="nil"/>
                    <w:tr2bl w:val="nil"/>
                  </w:tcBorders>
                  <w:noWrap w:val="0"/>
                  <w:vAlign w:val="center"/>
                </w:tcPr>
                <w:p w14:paraId="5F2843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381" w:type="dxa"/>
                  <w:tcBorders>
                    <w:tl2br w:val="nil"/>
                    <w:tr2bl w:val="nil"/>
                  </w:tcBorders>
                  <w:shd w:val="clear" w:color="auto" w:fill="auto"/>
                  <w:noWrap w:val="0"/>
                  <w:vAlign w:val="center"/>
                </w:tcPr>
                <w:p w14:paraId="1379FF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≤37</w:t>
                  </w:r>
                  <w:r>
                    <w:rPr>
                      <w:rFonts w:hint="eastAsia" w:ascii="Times New Roman" w:hAnsi="Times New Roman" w:cs="Times New Roman"/>
                      <w:i w:val="0"/>
                      <w:color w:val="auto"/>
                      <w:kern w:val="0"/>
                      <w:sz w:val="18"/>
                      <w:szCs w:val="18"/>
                      <w:highlight w:val="none"/>
                      <w:u w:val="none"/>
                      <w:lang w:val="en-US" w:eastAsia="zh-CN" w:bidi="ar"/>
                    </w:rPr>
                    <w:t>000</w:t>
                  </w:r>
                </w:p>
              </w:tc>
            </w:tr>
            <w:tr w14:paraId="13BB9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660ED9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41417F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1,1-二氯乙烷</w:t>
                  </w:r>
                </w:p>
              </w:tc>
              <w:tc>
                <w:tcPr>
                  <w:tcW w:w="830" w:type="dxa"/>
                  <w:tcBorders>
                    <w:tl2br w:val="nil"/>
                    <w:tr2bl w:val="nil"/>
                  </w:tcBorders>
                  <w:noWrap w:val="0"/>
                  <w:vAlign w:val="center"/>
                </w:tcPr>
                <w:p w14:paraId="58570F1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77EB017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950" w:type="dxa"/>
                  <w:tcBorders>
                    <w:tl2br w:val="nil"/>
                    <w:tr2bl w:val="nil"/>
                  </w:tcBorders>
                  <w:noWrap w:val="0"/>
                  <w:vAlign w:val="center"/>
                </w:tcPr>
                <w:p w14:paraId="3E95F8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381" w:type="dxa"/>
                  <w:tcBorders>
                    <w:tl2br w:val="nil"/>
                    <w:tr2bl w:val="nil"/>
                  </w:tcBorders>
                  <w:shd w:val="clear" w:color="auto" w:fill="auto"/>
                  <w:noWrap w:val="0"/>
                  <w:vAlign w:val="center"/>
                </w:tcPr>
                <w:p w14:paraId="323AA12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≤9</w:t>
                  </w:r>
                  <w:r>
                    <w:rPr>
                      <w:rFonts w:hint="eastAsia" w:ascii="Times New Roman" w:hAnsi="Times New Roman" w:cs="Times New Roman"/>
                      <w:i w:val="0"/>
                      <w:color w:val="auto"/>
                      <w:kern w:val="0"/>
                      <w:sz w:val="18"/>
                      <w:szCs w:val="18"/>
                      <w:highlight w:val="none"/>
                      <w:u w:val="none"/>
                      <w:lang w:val="en-US" w:eastAsia="zh-CN" w:bidi="ar"/>
                    </w:rPr>
                    <w:t>000</w:t>
                  </w:r>
                </w:p>
              </w:tc>
            </w:tr>
            <w:tr w14:paraId="10AE7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40DA6D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5A4761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1,2-二氯乙烷</w:t>
                  </w:r>
                </w:p>
              </w:tc>
              <w:tc>
                <w:tcPr>
                  <w:tcW w:w="830" w:type="dxa"/>
                  <w:tcBorders>
                    <w:tl2br w:val="nil"/>
                    <w:tr2bl w:val="nil"/>
                  </w:tcBorders>
                  <w:noWrap w:val="0"/>
                  <w:vAlign w:val="center"/>
                </w:tcPr>
                <w:p w14:paraId="2F6C32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7C19CD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950" w:type="dxa"/>
                  <w:tcBorders>
                    <w:tl2br w:val="nil"/>
                    <w:tr2bl w:val="nil"/>
                  </w:tcBorders>
                  <w:noWrap w:val="0"/>
                  <w:vAlign w:val="center"/>
                </w:tcPr>
                <w:p w14:paraId="6F03A7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381" w:type="dxa"/>
                  <w:tcBorders>
                    <w:tl2br w:val="nil"/>
                    <w:tr2bl w:val="nil"/>
                  </w:tcBorders>
                  <w:shd w:val="clear" w:color="auto" w:fill="auto"/>
                  <w:noWrap w:val="0"/>
                  <w:vAlign w:val="center"/>
                </w:tcPr>
                <w:p w14:paraId="39A6A7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w:t>
                  </w:r>
                  <w:r>
                    <w:rPr>
                      <w:rFonts w:hint="eastAsia" w:ascii="Times New Roman" w:hAnsi="Times New Roman" w:cs="Times New Roman"/>
                      <w:i w:val="0"/>
                      <w:color w:val="auto"/>
                      <w:kern w:val="0"/>
                      <w:sz w:val="18"/>
                      <w:szCs w:val="18"/>
                      <w:highlight w:val="none"/>
                      <w:u w:val="none"/>
                      <w:lang w:val="en-US" w:eastAsia="zh-CN" w:bidi="ar"/>
                    </w:rPr>
                    <w:t>000</w:t>
                  </w:r>
                </w:p>
              </w:tc>
            </w:tr>
            <w:tr w14:paraId="01764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44696B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6BBAE7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1,1-二氯乙烯</w:t>
                  </w:r>
                </w:p>
              </w:tc>
              <w:tc>
                <w:tcPr>
                  <w:tcW w:w="830" w:type="dxa"/>
                  <w:tcBorders>
                    <w:tl2br w:val="nil"/>
                    <w:tr2bl w:val="nil"/>
                  </w:tcBorders>
                  <w:noWrap w:val="0"/>
                  <w:vAlign w:val="center"/>
                </w:tcPr>
                <w:p w14:paraId="33CCAC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08B6B0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950" w:type="dxa"/>
                  <w:tcBorders>
                    <w:tl2br w:val="nil"/>
                    <w:tr2bl w:val="nil"/>
                  </w:tcBorders>
                  <w:noWrap w:val="0"/>
                  <w:vAlign w:val="center"/>
                </w:tcPr>
                <w:p w14:paraId="177FA1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381" w:type="dxa"/>
                  <w:tcBorders>
                    <w:tl2br w:val="nil"/>
                    <w:tr2bl w:val="nil"/>
                  </w:tcBorders>
                  <w:shd w:val="clear" w:color="auto" w:fill="auto"/>
                  <w:noWrap w:val="0"/>
                  <w:vAlign w:val="center"/>
                </w:tcPr>
                <w:p w14:paraId="5F9D93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≤66</w:t>
                  </w:r>
                  <w:r>
                    <w:rPr>
                      <w:rFonts w:hint="eastAsia" w:ascii="Times New Roman" w:hAnsi="Times New Roman" w:cs="Times New Roman"/>
                      <w:i w:val="0"/>
                      <w:color w:val="auto"/>
                      <w:kern w:val="0"/>
                      <w:sz w:val="18"/>
                      <w:szCs w:val="18"/>
                      <w:highlight w:val="none"/>
                      <w:u w:val="none"/>
                      <w:lang w:val="en-US" w:eastAsia="zh-CN" w:bidi="ar"/>
                    </w:rPr>
                    <w:t>000</w:t>
                  </w:r>
                </w:p>
              </w:tc>
            </w:tr>
            <w:tr w14:paraId="45A7B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6124B7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17C5F4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顺-1,2-二氯乙烯</w:t>
                  </w:r>
                </w:p>
              </w:tc>
              <w:tc>
                <w:tcPr>
                  <w:tcW w:w="830" w:type="dxa"/>
                  <w:tcBorders>
                    <w:tl2br w:val="nil"/>
                    <w:tr2bl w:val="nil"/>
                  </w:tcBorders>
                  <w:noWrap w:val="0"/>
                  <w:vAlign w:val="center"/>
                </w:tcPr>
                <w:p w14:paraId="4F1142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124DFB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950" w:type="dxa"/>
                  <w:tcBorders>
                    <w:tl2br w:val="nil"/>
                    <w:tr2bl w:val="nil"/>
                  </w:tcBorders>
                  <w:noWrap w:val="0"/>
                  <w:vAlign w:val="center"/>
                </w:tcPr>
                <w:p w14:paraId="0DA68C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381" w:type="dxa"/>
                  <w:tcBorders>
                    <w:tl2br w:val="nil"/>
                    <w:tr2bl w:val="nil"/>
                  </w:tcBorders>
                  <w:shd w:val="clear" w:color="auto" w:fill="auto"/>
                  <w:noWrap w:val="0"/>
                  <w:vAlign w:val="center"/>
                </w:tcPr>
                <w:p w14:paraId="1AAB1F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≤596</w:t>
                  </w:r>
                  <w:r>
                    <w:rPr>
                      <w:rFonts w:hint="eastAsia" w:ascii="Times New Roman" w:hAnsi="Times New Roman" w:cs="Times New Roman"/>
                      <w:i w:val="0"/>
                      <w:color w:val="auto"/>
                      <w:kern w:val="0"/>
                      <w:sz w:val="18"/>
                      <w:szCs w:val="18"/>
                      <w:highlight w:val="none"/>
                      <w:u w:val="none"/>
                      <w:lang w:val="en-US" w:eastAsia="zh-CN" w:bidi="ar"/>
                    </w:rPr>
                    <w:t>000</w:t>
                  </w:r>
                </w:p>
              </w:tc>
            </w:tr>
            <w:tr w14:paraId="2828E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781B16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4892AE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反-1,2-二氯乙烯</w:t>
                  </w:r>
                </w:p>
              </w:tc>
              <w:tc>
                <w:tcPr>
                  <w:tcW w:w="830" w:type="dxa"/>
                  <w:tcBorders>
                    <w:tl2br w:val="nil"/>
                    <w:tr2bl w:val="nil"/>
                  </w:tcBorders>
                  <w:noWrap w:val="0"/>
                  <w:vAlign w:val="center"/>
                </w:tcPr>
                <w:p w14:paraId="76F286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0D06EFA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950" w:type="dxa"/>
                  <w:tcBorders>
                    <w:tl2br w:val="nil"/>
                    <w:tr2bl w:val="nil"/>
                  </w:tcBorders>
                  <w:noWrap w:val="0"/>
                  <w:vAlign w:val="center"/>
                </w:tcPr>
                <w:p w14:paraId="52BABE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381" w:type="dxa"/>
                  <w:tcBorders>
                    <w:tl2br w:val="nil"/>
                    <w:tr2bl w:val="nil"/>
                  </w:tcBorders>
                  <w:shd w:val="clear" w:color="auto" w:fill="auto"/>
                  <w:noWrap w:val="0"/>
                  <w:vAlign w:val="center"/>
                </w:tcPr>
                <w:p w14:paraId="2B4E43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≤54</w:t>
                  </w:r>
                  <w:r>
                    <w:rPr>
                      <w:rFonts w:hint="eastAsia" w:ascii="Times New Roman" w:hAnsi="Times New Roman" w:cs="Times New Roman"/>
                      <w:i w:val="0"/>
                      <w:color w:val="auto"/>
                      <w:kern w:val="0"/>
                      <w:sz w:val="18"/>
                      <w:szCs w:val="18"/>
                      <w:highlight w:val="none"/>
                      <w:u w:val="none"/>
                      <w:lang w:val="en-US" w:eastAsia="zh-CN" w:bidi="ar"/>
                    </w:rPr>
                    <w:t>000</w:t>
                  </w:r>
                </w:p>
              </w:tc>
            </w:tr>
            <w:tr w14:paraId="612B1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79C1D1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14D5C9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二氯甲烷</w:t>
                  </w:r>
                </w:p>
              </w:tc>
              <w:tc>
                <w:tcPr>
                  <w:tcW w:w="830" w:type="dxa"/>
                  <w:tcBorders>
                    <w:tl2br w:val="nil"/>
                    <w:tr2bl w:val="nil"/>
                  </w:tcBorders>
                  <w:noWrap w:val="0"/>
                  <w:vAlign w:val="center"/>
                </w:tcPr>
                <w:p w14:paraId="14F4BD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524BE3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950" w:type="dxa"/>
                  <w:tcBorders>
                    <w:tl2br w:val="nil"/>
                    <w:tr2bl w:val="nil"/>
                  </w:tcBorders>
                  <w:noWrap w:val="0"/>
                  <w:vAlign w:val="center"/>
                </w:tcPr>
                <w:p w14:paraId="491D8F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381" w:type="dxa"/>
                  <w:tcBorders>
                    <w:tl2br w:val="nil"/>
                    <w:tr2bl w:val="nil"/>
                  </w:tcBorders>
                  <w:shd w:val="clear" w:color="auto" w:fill="auto"/>
                  <w:noWrap w:val="0"/>
                  <w:vAlign w:val="center"/>
                </w:tcPr>
                <w:p w14:paraId="6AC090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≤616</w:t>
                  </w:r>
                  <w:r>
                    <w:rPr>
                      <w:rFonts w:hint="eastAsia" w:ascii="Times New Roman" w:hAnsi="Times New Roman" w:cs="Times New Roman"/>
                      <w:i w:val="0"/>
                      <w:color w:val="auto"/>
                      <w:kern w:val="0"/>
                      <w:sz w:val="18"/>
                      <w:szCs w:val="18"/>
                      <w:highlight w:val="none"/>
                      <w:u w:val="none"/>
                      <w:lang w:val="en-US" w:eastAsia="zh-CN" w:bidi="ar"/>
                    </w:rPr>
                    <w:t>000</w:t>
                  </w:r>
                </w:p>
              </w:tc>
            </w:tr>
            <w:tr w14:paraId="0C5A7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280C6F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23F127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1,2-二氯丙烷</w:t>
                  </w:r>
                </w:p>
              </w:tc>
              <w:tc>
                <w:tcPr>
                  <w:tcW w:w="830" w:type="dxa"/>
                  <w:tcBorders>
                    <w:tl2br w:val="nil"/>
                    <w:tr2bl w:val="nil"/>
                  </w:tcBorders>
                  <w:noWrap w:val="0"/>
                  <w:vAlign w:val="center"/>
                </w:tcPr>
                <w:p w14:paraId="709CAC2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4DD0E75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950" w:type="dxa"/>
                  <w:tcBorders>
                    <w:tl2br w:val="nil"/>
                    <w:tr2bl w:val="nil"/>
                  </w:tcBorders>
                  <w:noWrap w:val="0"/>
                  <w:vAlign w:val="center"/>
                </w:tcPr>
                <w:p w14:paraId="4E4B227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381" w:type="dxa"/>
                  <w:tcBorders>
                    <w:tl2br w:val="nil"/>
                    <w:tr2bl w:val="nil"/>
                  </w:tcBorders>
                  <w:shd w:val="clear" w:color="auto" w:fill="auto"/>
                  <w:noWrap w:val="0"/>
                  <w:vAlign w:val="center"/>
                </w:tcPr>
                <w:p w14:paraId="798856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w:t>
                  </w:r>
                  <w:r>
                    <w:rPr>
                      <w:rFonts w:hint="eastAsia" w:ascii="Times New Roman" w:hAnsi="Times New Roman" w:cs="Times New Roman"/>
                      <w:i w:val="0"/>
                      <w:color w:val="auto"/>
                      <w:kern w:val="0"/>
                      <w:sz w:val="18"/>
                      <w:szCs w:val="18"/>
                      <w:highlight w:val="none"/>
                      <w:u w:val="none"/>
                      <w:lang w:val="en-US" w:eastAsia="zh-CN" w:bidi="ar"/>
                    </w:rPr>
                    <w:t>000</w:t>
                  </w:r>
                </w:p>
              </w:tc>
            </w:tr>
            <w:tr w14:paraId="11EAF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155828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230D59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1,1,1,2-四氯乙烷</w:t>
                  </w:r>
                </w:p>
              </w:tc>
              <w:tc>
                <w:tcPr>
                  <w:tcW w:w="830" w:type="dxa"/>
                  <w:tcBorders>
                    <w:tl2br w:val="nil"/>
                    <w:tr2bl w:val="nil"/>
                  </w:tcBorders>
                  <w:noWrap w:val="0"/>
                  <w:vAlign w:val="center"/>
                </w:tcPr>
                <w:p w14:paraId="1A8335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73391F6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950" w:type="dxa"/>
                  <w:tcBorders>
                    <w:tl2br w:val="nil"/>
                    <w:tr2bl w:val="nil"/>
                  </w:tcBorders>
                  <w:noWrap w:val="0"/>
                  <w:vAlign w:val="center"/>
                </w:tcPr>
                <w:p w14:paraId="777C6D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381" w:type="dxa"/>
                  <w:tcBorders>
                    <w:tl2br w:val="nil"/>
                    <w:tr2bl w:val="nil"/>
                  </w:tcBorders>
                  <w:shd w:val="clear" w:color="auto" w:fill="auto"/>
                  <w:noWrap w:val="0"/>
                  <w:vAlign w:val="center"/>
                </w:tcPr>
                <w:p w14:paraId="0CEE946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≤10</w:t>
                  </w:r>
                  <w:r>
                    <w:rPr>
                      <w:rFonts w:hint="eastAsia" w:ascii="Times New Roman" w:hAnsi="Times New Roman" w:cs="Times New Roman"/>
                      <w:i w:val="0"/>
                      <w:color w:val="auto"/>
                      <w:kern w:val="0"/>
                      <w:sz w:val="18"/>
                      <w:szCs w:val="18"/>
                      <w:highlight w:val="none"/>
                      <w:u w:val="none"/>
                      <w:lang w:val="en-US" w:eastAsia="zh-CN" w:bidi="ar"/>
                    </w:rPr>
                    <w:t>000</w:t>
                  </w:r>
                </w:p>
              </w:tc>
            </w:tr>
            <w:tr w14:paraId="3949E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770FAA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34A33D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1,1,2,2-四氯乙烷</w:t>
                  </w:r>
                </w:p>
              </w:tc>
              <w:tc>
                <w:tcPr>
                  <w:tcW w:w="830" w:type="dxa"/>
                  <w:tcBorders>
                    <w:tl2br w:val="nil"/>
                    <w:tr2bl w:val="nil"/>
                  </w:tcBorders>
                  <w:noWrap w:val="0"/>
                  <w:vAlign w:val="center"/>
                </w:tcPr>
                <w:p w14:paraId="47027C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48B16E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950" w:type="dxa"/>
                  <w:tcBorders>
                    <w:tl2br w:val="nil"/>
                    <w:tr2bl w:val="nil"/>
                  </w:tcBorders>
                  <w:noWrap w:val="0"/>
                  <w:vAlign w:val="center"/>
                </w:tcPr>
                <w:p w14:paraId="2DA708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381" w:type="dxa"/>
                  <w:tcBorders>
                    <w:tl2br w:val="nil"/>
                    <w:tr2bl w:val="nil"/>
                  </w:tcBorders>
                  <w:shd w:val="clear" w:color="auto" w:fill="auto"/>
                  <w:noWrap w:val="0"/>
                  <w:vAlign w:val="center"/>
                </w:tcPr>
                <w:p w14:paraId="0374B0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w:t>
                  </w:r>
                  <w:r>
                    <w:rPr>
                      <w:rFonts w:hint="eastAsia" w:ascii="Times New Roman" w:hAnsi="Times New Roman" w:cs="Times New Roman"/>
                      <w:i w:val="0"/>
                      <w:color w:val="auto"/>
                      <w:kern w:val="0"/>
                      <w:sz w:val="18"/>
                      <w:szCs w:val="18"/>
                      <w:highlight w:val="none"/>
                      <w:u w:val="none"/>
                      <w:lang w:val="en-US" w:eastAsia="zh-CN" w:bidi="ar"/>
                    </w:rPr>
                    <w:t>800</w:t>
                  </w:r>
                </w:p>
              </w:tc>
            </w:tr>
            <w:tr w14:paraId="36ACD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27E2FA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64A772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四氯乙烯</w:t>
                  </w:r>
                </w:p>
              </w:tc>
              <w:tc>
                <w:tcPr>
                  <w:tcW w:w="830" w:type="dxa"/>
                  <w:tcBorders>
                    <w:tl2br w:val="nil"/>
                    <w:tr2bl w:val="nil"/>
                  </w:tcBorders>
                  <w:noWrap w:val="0"/>
                  <w:vAlign w:val="center"/>
                </w:tcPr>
                <w:p w14:paraId="670A63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36F63F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950" w:type="dxa"/>
                  <w:tcBorders>
                    <w:tl2br w:val="nil"/>
                    <w:tr2bl w:val="nil"/>
                  </w:tcBorders>
                  <w:noWrap w:val="0"/>
                  <w:vAlign w:val="center"/>
                </w:tcPr>
                <w:p w14:paraId="0E92076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381" w:type="dxa"/>
                  <w:tcBorders>
                    <w:tl2br w:val="nil"/>
                    <w:tr2bl w:val="nil"/>
                  </w:tcBorders>
                  <w:shd w:val="clear" w:color="auto" w:fill="auto"/>
                  <w:noWrap w:val="0"/>
                  <w:vAlign w:val="center"/>
                </w:tcPr>
                <w:p w14:paraId="1BFF43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≤53</w:t>
                  </w:r>
                  <w:r>
                    <w:rPr>
                      <w:rFonts w:hint="eastAsia" w:ascii="Times New Roman" w:hAnsi="Times New Roman" w:cs="Times New Roman"/>
                      <w:i w:val="0"/>
                      <w:color w:val="auto"/>
                      <w:kern w:val="0"/>
                      <w:sz w:val="18"/>
                      <w:szCs w:val="18"/>
                      <w:highlight w:val="none"/>
                      <w:u w:val="none"/>
                      <w:lang w:val="en-US" w:eastAsia="zh-CN" w:bidi="ar"/>
                    </w:rPr>
                    <w:t>000</w:t>
                  </w:r>
                </w:p>
              </w:tc>
            </w:tr>
            <w:tr w14:paraId="43E3A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20BBEA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08BC93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1,1,1-三氯乙烷</w:t>
                  </w:r>
                </w:p>
              </w:tc>
              <w:tc>
                <w:tcPr>
                  <w:tcW w:w="830" w:type="dxa"/>
                  <w:tcBorders>
                    <w:tl2br w:val="nil"/>
                    <w:tr2bl w:val="nil"/>
                  </w:tcBorders>
                  <w:noWrap w:val="0"/>
                  <w:vAlign w:val="center"/>
                </w:tcPr>
                <w:p w14:paraId="5A8CF7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4E6AC70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950" w:type="dxa"/>
                  <w:tcBorders>
                    <w:tl2br w:val="nil"/>
                    <w:tr2bl w:val="nil"/>
                  </w:tcBorders>
                  <w:noWrap w:val="0"/>
                  <w:vAlign w:val="center"/>
                </w:tcPr>
                <w:p w14:paraId="1D43D8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381" w:type="dxa"/>
                  <w:tcBorders>
                    <w:tl2br w:val="nil"/>
                    <w:tr2bl w:val="nil"/>
                  </w:tcBorders>
                  <w:shd w:val="clear" w:color="auto" w:fill="auto"/>
                  <w:noWrap w:val="0"/>
                  <w:vAlign w:val="center"/>
                </w:tcPr>
                <w:p w14:paraId="172504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≤840</w:t>
                  </w:r>
                  <w:r>
                    <w:rPr>
                      <w:rFonts w:hint="eastAsia" w:ascii="Times New Roman" w:hAnsi="Times New Roman" w:cs="Times New Roman"/>
                      <w:i w:val="0"/>
                      <w:color w:val="auto"/>
                      <w:kern w:val="0"/>
                      <w:sz w:val="18"/>
                      <w:szCs w:val="18"/>
                      <w:highlight w:val="none"/>
                      <w:u w:val="none"/>
                      <w:lang w:val="en-US" w:eastAsia="zh-CN" w:bidi="ar"/>
                    </w:rPr>
                    <w:t>000</w:t>
                  </w:r>
                </w:p>
              </w:tc>
            </w:tr>
            <w:tr w14:paraId="7787A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541E58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5D5A42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1,1,2-三氯乙烷</w:t>
                  </w:r>
                </w:p>
              </w:tc>
              <w:tc>
                <w:tcPr>
                  <w:tcW w:w="830" w:type="dxa"/>
                  <w:tcBorders>
                    <w:tl2br w:val="nil"/>
                    <w:tr2bl w:val="nil"/>
                  </w:tcBorders>
                  <w:noWrap w:val="0"/>
                  <w:vAlign w:val="center"/>
                </w:tcPr>
                <w:p w14:paraId="39AFD6E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1EF8F00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950" w:type="dxa"/>
                  <w:tcBorders>
                    <w:tl2br w:val="nil"/>
                    <w:tr2bl w:val="nil"/>
                  </w:tcBorders>
                  <w:noWrap w:val="0"/>
                  <w:vAlign w:val="center"/>
                </w:tcPr>
                <w:p w14:paraId="779C784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381" w:type="dxa"/>
                  <w:tcBorders>
                    <w:tl2br w:val="nil"/>
                    <w:tr2bl w:val="nil"/>
                  </w:tcBorders>
                  <w:shd w:val="clear" w:color="auto" w:fill="auto"/>
                  <w:noWrap w:val="0"/>
                  <w:vAlign w:val="center"/>
                </w:tcPr>
                <w:p w14:paraId="4707BA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w:t>
                  </w:r>
                  <w:r>
                    <w:rPr>
                      <w:rFonts w:hint="eastAsia" w:ascii="Times New Roman" w:hAnsi="Times New Roman" w:cs="Times New Roman"/>
                      <w:i w:val="0"/>
                      <w:color w:val="auto"/>
                      <w:kern w:val="0"/>
                      <w:sz w:val="18"/>
                      <w:szCs w:val="18"/>
                      <w:highlight w:val="none"/>
                      <w:u w:val="none"/>
                      <w:lang w:val="en-US" w:eastAsia="zh-CN" w:bidi="ar"/>
                    </w:rPr>
                    <w:t>800</w:t>
                  </w:r>
                </w:p>
              </w:tc>
            </w:tr>
            <w:tr w14:paraId="317B5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433D46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5E23F8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三氯乙烯</w:t>
                  </w:r>
                </w:p>
              </w:tc>
              <w:tc>
                <w:tcPr>
                  <w:tcW w:w="830" w:type="dxa"/>
                  <w:tcBorders>
                    <w:tl2br w:val="nil"/>
                    <w:tr2bl w:val="nil"/>
                  </w:tcBorders>
                  <w:noWrap w:val="0"/>
                  <w:vAlign w:val="center"/>
                </w:tcPr>
                <w:p w14:paraId="2D08F9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7CF400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950" w:type="dxa"/>
                  <w:tcBorders>
                    <w:tl2br w:val="nil"/>
                    <w:tr2bl w:val="nil"/>
                  </w:tcBorders>
                  <w:noWrap w:val="0"/>
                  <w:vAlign w:val="center"/>
                </w:tcPr>
                <w:p w14:paraId="7E718A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381" w:type="dxa"/>
                  <w:tcBorders>
                    <w:tl2br w:val="nil"/>
                    <w:tr2bl w:val="nil"/>
                  </w:tcBorders>
                  <w:shd w:val="clear" w:color="auto" w:fill="auto"/>
                  <w:noWrap w:val="0"/>
                  <w:vAlign w:val="center"/>
                </w:tcPr>
                <w:p w14:paraId="4B3D425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w:t>
                  </w:r>
                  <w:r>
                    <w:rPr>
                      <w:rFonts w:hint="eastAsia" w:ascii="Times New Roman" w:hAnsi="Times New Roman" w:cs="Times New Roman"/>
                      <w:i w:val="0"/>
                      <w:color w:val="auto"/>
                      <w:kern w:val="0"/>
                      <w:sz w:val="18"/>
                      <w:szCs w:val="18"/>
                      <w:highlight w:val="none"/>
                      <w:u w:val="none"/>
                      <w:lang w:val="en-US" w:eastAsia="zh-CN" w:bidi="ar"/>
                    </w:rPr>
                    <w:t>800</w:t>
                  </w:r>
                </w:p>
              </w:tc>
            </w:tr>
            <w:tr w14:paraId="1786D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17EE93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776AF0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1,2,3-三氯丙烷</w:t>
                  </w:r>
                </w:p>
              </w:tc>
              <w:tc>
                <w:tcPr>
                  <w:tcW w:w="830" w:type="dxa"/>
                  <w:tcBorders>
                    <w:tl2br w:val="nil"/>
                    <w:tr2bl w:val="nil"/>
                  </w:tcBorders>
                  <w:noWrap w:val="0"/>
                  <w:vAlign w:val="center"/>
                </w:tcPr>
                <w:p w14:paraId="46DB56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53C9C3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950" w:type="dxa"/>
                  <w:tcBorders>
                    <w:tl2br w:val="nil"/>
                    <w:tr2bl w:val="nil"/>
                  </w:tcBorders>
                  <w:noWrap w:val="0"/>
                  <w:vAlign w:val="center"/>
                </w:tcPr>
                <w:p w14:paraId="69FDFA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381" w:type="dxa"/>
                  <w:tcBorders>
                    <w:tl2br w:val="nil"/>
                    <w:tr2bl w:val="nil"/>
                  </w:tcBorders>
                  <w:shd w:val="clear" w:color="auto" w:fill="auto"/>
                  <w:noWrap w:val="0"/>
                  <w:vAlign w:val="center"/>
                </w:tcPr>
                <w:p w14:paraId="3E657E0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500</w:t>
                  </w:r>
                </w:p>
              </w:tc>
            </w:tr>
            <w:tr w14:paraId="1AEA5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6D35F0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437795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氯乙烯</w:t>
                  </w:r>
                </w:p>
              </w:tc>
              <w:tc>
                <w:tcPr>
                  <w:tcW w:w="830" w:type="dxa"/>
                  <w:tcBorders>
                    <w:tl2br w:val="nil"/>
                    <w:tr2bl w:val="nil"/>
                  </w:tcBorders>
                  <w:noWrap w:val="0"/>
                  <w:vAlign w:val="center"/>
                </w:tcPr>
                <w:p w14:paraId="45204D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382D52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950" w:type="dxa"/>
                  <w:tcBorders>
                    <w:tl2br w:val="nil"/>
                    <w:tr2bl w:val="nil"/>
                  </w:tcBorders>
                  <w:noWrap w:val="0"/>
                  <w:vAlign w:val="center"/>
                </w:tcPr>
                <w:p w14:paraId="6FAC5D0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381" w:type="dxa"/>
                  <w:tcBorders>
                    <w:tl2br w:val="nil"/>
                    <w:tr2bl w:val="nil"/>
                  </w:tcBorders>
                  <w:shd w:val="clear" w:color="auto" w:fill="auto"/>
                  <w:noWrap w:val="0"/>
                  <w:vAlign w:val="center"/>
                </w:tcPr>
                <w:p w14:paraId="6D931B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430</w:t>
                  </w:r>
                </w:p>
              </w:tc>
            </w:tr>
            <w:tr w14:paraId="6FDA5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648CFF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146CEE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苯</w:t>
                  </w:r>
                </w:p>
              </w:tc>
              <w:tc>
                <w:tcPr>
                  <w:tcW w:w="830" w:type="dxa"/>
                  <w:tcBorders>
                    <w:tl2br w:val="nil"/>
                    <w:tr2bl w:val="nil"/>
                  </w:tcBorders>
                  <w:noWrap w:val="0"/>
                  <w:vAlign w:val="center"/>
                </w:tcPr>
                <w:p w14:paraId="5BEB74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477F79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9</w:t>
                  </w:r>
                </w:p>
              </w:tc>
              <w:tc>
                <w:tcPr>
                  <w:tcW w:w="1950" w:type="dxa"/>
                  <w:tcBorders>
                    <w:tl2br w:val="nil"/>
                    <w:tr2bl w:val="nil"/>
                  </w:tcBorders>
                  <w:noWrap w:val="0"/>
                  <w:vAlign w:val="center"/>
                </w:tcPr>
                <w:p w14:paraId="715467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9</w:t>
                  </w:r>
                </w:p>
              </w:tc>
              <w:tc>
                <w:tcPr>
                  <w:tcW w:w="1381" w:type="dxa"/>
                  <w:tcBorders>
                    <w:tl2br w:val="nil"/>
                    <w:tr2bl w:val="nil"/>
                  </w:tcBorders>
                  <w:shd w:val="clear" w:color="auto" w:fill="auto"/>
                  <w:noWrap w:val="0"/>
                  <w:vAlign w:val="center"/>
                </w:tcPr>
                <w:p w14:paraId="0CB4DBA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≤4</w:t>
                  </w:r>
                  <w:r>
                    <w:rPr>
                      <w:rFonts w:hint="eastAsia" w:ascii="Times New Roman" w:hAnsi="Times New Roman" w:cs="Times New Roman"/>
                      <w:i w:val="0"/>
                      <w:color w:val="auto"/>
                      <w:kern w:val="0"/>
                      <w:sz w:val="18"/>
                      <w:szCs w:val="18"/>
                      <w:highlight w:val="none"/>
                      <w:u w:val="none"/>
                      <w:lang w:val="en-US" w:eastAsia="zh-CN" w:bidi="ar"/>
                    </w:rPr>
                    <w:t>000</w:t>
                  </w:r>
                </w:p>
              </w:tc>
            </w:tr>
            <w:tr w14:paraId="7C4F3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4DF5C5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3FBED8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氯苯</w:t>
                  </w:r>
                </w:p>
              </w:tc>
              <w:tc>
                <w:tcPr>
                  <w:tcW w:w="830" w:type="dxa"/>
                  <w:tcBorders>
                    <w:tl2br w:val="nil"/>
                    <w:tr2bl w:val="nil"/>
                  </w:tcBorders>
                  <w:noWrap w:val="0"/>
                  <w:vAlign w:val="center"/>
                </w:tcPr>
                <w:p w14:paraId="317221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652234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950" w:type="dxa"/>
                  <w:tcBorders>
                    <w:tl2br w:val="nil"/>
                    <w:tr2bl w:val="nil"/>
                  </w:tcBorders>
                  <w:noWrap w:val="0"/>
                  <w:vAlign w:val="center"/>
                </w:tcPr>
                <w:p w14:paraId="481AAC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381" w:type="dxa"/>
                  <w:tcBorders>
                    <w:tl2br w:val="nil"/>
                    <w:tr2bl w:val="nil"/>
                  </w:tcBorders>
                  <w:shd w:val="clear" w:color="auto" w:fill="auto"/>
                  <w:noWrap w:val="0"/>
                  <w:vAlign w:val="center"/>
                </w:tcPr>
                <w:p w14:paraId="43CAEE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≤270</w:t>
                  </w:r>
                  <w:r>
                    <w:rPr>
                      <w:rFonts w:hint="eastAsia" w:ascii="Times New Roman" w:hAnsi="Times New Roman" w:cs="Times New Roman"/>
                      <w:i w:val="0"/>
                      <w:color w:val="auto"/>
                      <w:kern w:val="0"/>
                      <w:sz w:val="18"/>
                      <w:szCs w:val="18"/>
                      <w:highlight w:val="none"/>
                      <w:u w:val="none"/>
                      <w:lang w:val="en-US" w:eastAsia="zh-CN" w:bidi="ar"/>
                    </w:rPr>
                    <w:t>000</w:t>
                  </w:r>
                </w:p>
              </w:tc>
            </w:tr>
            <w:tr w14:paraId="346FD9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58A7EC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2238C8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w:t>
                  </w:r>
                  <w:r>
                    <w:rPr>
                      <w:rFonts w:hint="default" w:ascii="Times New Roman" w:hAnsi="Times New Roman" w:eastAsia="宋体" w:cs="Times New Roman"/>
                      <w:color w:val="auto"/>
                      <w:kern w:val="0"/>
                      <w:sz w:val="18"/>
                      <w:szCs w:val="18"/>
                      <w:highlight w:val="none"/>
                      <w:lang w:val="en-US" w:eastAsia="zh-CN"/>
                    </w:rPr>
                    <w:t>,</w:t>
                  </w:r>
                  <w:r>
                    <w:rPr>
                      <w:rFonts w:hint="default" w:ascii="Times New Roman" w:hAnsi="Times New Roman" w:eastAsia="宋体" w:cs="Times New Roman"/>
                      <w:color w:val="auto"/>
                      <w:kern w:val="0"/>
                      <w:sz w:val="18"/>
                      <w:szCs w:val="18"/>
                      <w:highlight w:val="none"/>
                    </w:rPr>
                    <w:t>2-二氯苯</w:t>
                  </w:r>
                </w:p>
              </w:tc>
              <w:tc>
                <w:tcPr>
                  <w:tcW w:w="830" w:type="dxa"/>
                  <w:tcBorders>
                    <w:tl2br w:val="nil"/>
                    <w:tr2bl w:val="nil"/>
                  </w:tcBorders>
                  <w:noWrap w:val="0"/>
                  <w:vAlign w:val="center"/>
                </w:tcPr>
                <w:p w14:paraId="7C3A55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1D9FDA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950" w:type="dxa"/>
                  <w:tcBorders>
                    <w:tl2br w:val="nil"/>
                    <w:tr2bl w:val="nil"/>
                  </w:tcBorders>
                  <w:noWrap w:val="0"/>
                  <w:vAlign w:val="center"/>
                </w:tcPr>
                <w:p w14:paraId="6F3C89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381" w:type="dxa"/>
                  <w:tcBorders>
                    <w:tl2br w:val="nil"/>
                    <w:tr2bl w:val="nil"/>
                  </w:tcBorders>
                  <w:shd w:val="clear" w:color="auto" w:fill="auto"/>
                  <w:noWrap w:val="0"/>
                  <w:vAlign w:val="center"/>
                </w:tcPr>
                <w:p w14:paraId="0F52F10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≤560</w:t>
                  </w:r>
                  <w:r>
                    <w:rPr>
                      <w:rFonts w:hint="eastAsia" w:ascii="Times New Roman" w:hAnsi="Times New Roman" w:cs="Times New Roman"/>
                      <w:i w:val="0"/>
                      <w:color w:val="auto"/>
                      <w:kern w:val="0"/>
                      <w:sz w:val="18"/>
                      <w:szCs w:val="18"/>
                      <w:highlight w:val="none"/>
                      <w:u w:val="none"/>
                      <w:lang w:val="en-US" w:eastAsia="zh-CN" w:bidi="ar"/>
                    </w:rPr>
                    <w:t>000</w:t>
                  </w:r>
                </w:p>
              </w:tc>
            </w:tr>
            <w:tr w14:paraId="2937A2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522119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2A4920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1,4-二氯苯</w:t>
                  </w:r>
                </w:p>
              </w:tc>
              <w:tc>
                <w:tcPr>
                  <w:tcW w:w="830" w:type="dxa"/>
                  <w:tcBorders>
                    <w:tl2br w:val="nil"/>
                    <w:tr2bl w:val="nil"/>
                  </w:tcBorders>
                  <w:noWrap w:val="0"/>
                  <w:vAlign w:val="center"/>
                </w:tcPr>
                <w:p w14:paraId="083AAD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28F646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950" w:type="dxa"/>
                  <w:tcBorders>
                    <w:tl2br w:val="nil"/>
                    <w:tr2bl w:val="nil"/>
                  </w:tcBorders>
                  <w:noWrap w:val="0"/>
                  <w:vAlign w:val="center"/>
                </w:tcPr>
                <w:p w14:paraId="18616D2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381" w:type="dxa"/>
                  <w:tcBorders>
                    <w:tl2br w:val="nil"/>
                    <w:tr2bl w:val="nil"/>
                  </w:tcBorders>
                  <w:shd w:val="clear" w:color="auto" w:fill="auto"/>
                  <w:noWrap w:val="0"/>
                  <w:vAlign w:val="center"/>
                </w:tcPr>
                <w:p w14:paraId="220F23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≤20</w:t>
                  </w:r>
                  <w:r>
                    <w:rPr>
                      <w:rFonts w:hint="eastAsia" w:ascii="Times New Roman" w:hAnsi="Times New Roman" w:cs="Times New Roman"/>
                      <w:i w:val="0"/>
                      <w:color w:val="auto"/>
                      <w:kern w:val="0"/>
                      <w:sz w:val="18"/>
                      <w:szCs w:val="18"/>
                      <w:highlight w:val="none"/>
                      <w:u w:val="none"/>
                      <w:lang w:val="en-US" w:eastAsia="zh-CN" w:bidi="ar"/>
                    </w:rPr>
                    <w:t>000</w:t>
                  </w:r>
                </w:p>
              </w:tc>
            </w:tr>
            <w:tr w14:paraId="4DFA96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restart"/>
                  <w:tcBorders>
                    <w:tl2br w:val="nil"/>
                    <w:tr2bl w:val="nil"/>
                  </w:tcBorders>
                  <w:noWrap w:val="0"/>
                  <w:vAlign w:val="center"/>
                </w:tcPr>
                <w:p w14:paraId="7809DB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rPr>
                  </w:pPr>
                </w:p>
              </w:tc>
              <w:tc>
                <w:tcPr>
                  <w:tcW w:w="1835" w:type="dxa"/>
                  <w:tcBorders>
                    <w:tl2br w:val="nil"/>
                    <w:tr2bl w:val="nil"/>
                  </w:tcBorders>
                  <w:noWrap w:val="0"/>
                  <w:vAlign w:val="center"/>
                </w:tcPr>
                <w:p w14:paraId="2ACEE5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乙苯</w:t>
                  </w:r>
                </w:p>
              </w:tc>
              <w:tc>
                <w:tcPr>
                  <w:tcW w:w="830" w:type="dxa"/>
                  <w:tcBorders>
                    <w:tl2br w:val="nil"/>
                    <w:tr2bl w:val="nil"/>
                  </w:tcBorders>
                  <w:noWrap w:val="0"/>
                  <w:vAlign w:val="center"/>
                </w:tcPr>
                <w:p w14:paraId="2DE3F2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7A77A5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950" w:type="dxa"/>
                  <w:tcBorders>
                    <w:tl2br w:val="nil"/>
                    <w:tr2bl w:val="nil"/>
                  </w:tcBorders>
                  <w:noWrap w:val="0"/>
                  <w:vAlign w:val="center"/>
                </w:tcPr>
                <w:p w14:paraId="20F75D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381" w:type="dxa"/>
                  <w:tcBorders>
                    <w:tl2br w:val="nil"/>
                    <w:tr2bl w:val="nil"/>
                  </w:tcBorders>
                  <w:shd w:val="clear" w:color="auto" w:fill="auto"/>
                  <w:noWrap w:val="0"/>
                  <w:vAlign w:val="center"/>
                </w:tcPr>
                <w:p w14:paraId="53DB7FB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≤28</w:t>
                  </w:r>
                  <w:r>
                    <w:rPr>
                      <w:rFonts w:hint="eastAsia" w:ascii="Times New Roman" w:hAnsi="Times New Roman" w:cs="Times New Roman"/>
                      <w:i w:val="0"/>
                      <w:color w:val="auto"/>
                      <w:kern w:val="0"/>
                      <w:sz w:val="18"/>
                      <w:szCs w:val="18"/>
                      <w:highlight w:val="none"/>
                      <w:u w:val="none"/>
                      <w:lang w:val="en-US" w:eastAsia="zh-CN" w:bidi="ar"/>
                    </w:rPr>
                    <w:t>000</w:t>
                  </w:r>
                </w:p>
              </w:tc>
            </w:tr>
            <w:tr w14:paraId="5CDAE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6FC92B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59720B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苯乙烯</w:t>
                  </w:r>
                </w:p>
              </w:tc>
              <w:tc>
                <w:tcPr>
                  <w:tcW w:w="830" w:type="dxa"/>
                  <w:tcBorders>
                    <w:tl2br w:val="nil"/>
                    <w:tr2bl w:val="nil"/>
                  </w:tcBorders>
                  <w:noWrap w:val="0"/>
                  <w:vAlign w:val="center"/>
                </w:tcPr>
                <w:p w14:paraId="4E731A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7E69BD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950" w:type="dxa"/>
                  <w:tcBorders>
                    <w:tl2br w:val="nil"/>
                    <w:tr2bl w:val="nil"/>
                  </w:tcBorders>
                  <w:noWrap w:val="0"/>
                  <w:vAlign w:val="center"/>
                </w:tcPr>
                <w:p w14:paraId="53EF1D9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381" w:type="dxa"/>
                  <w:tcBorders>
                    <w:tl2br w:val="nil"/>
                    <w:tr2bl w:val="nil"/>
                  </w:tcBorders>
                  <w:shd w:val="clear" w:color="auto" w:fill="auto"/>
                  <w:noWrap w:val="0"/>
                  <w:vAlign w:val="center"/>
                </w:tcPr>
                <w:p w14:paraId="21F3F2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≤1290</w:t>
                  </w:r>
                  <w:r>
                    <w:rPr>
                      <w:rFonts w:hint="eastAsia" w:ascii="Times New Roman" w:hAnsi="Times New Roman" w:cs="Times New Roman"/>
                      <w:i w:val="0"/>
                      <w:color w:val="auto"/>
                      <w:kern w:val="0"/>
                      <w:sz w:val="18"/>
                      <w:szCs w:val="18"/>
                      <w:highlight w:val="none"/>
                      <w:u w:val="none"/>
                      <w:lang w:val="en-US" w:eastAsia="zh-CN" w:bidi="ar"/>
                    </w:rPr>
                    <w:t>000</w:t>
                  </w:r>
                </w:p>
              </w:tc>
            </w:tr>
            <w:tr w14:paraId="11777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5C2249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41A49A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甲苯</w:t>
                  </w:r>
                </w:p>
              </w:tc>
              <w:tc>
                <w:tcPr>
                  <w:tcW w:w="830" w:type="dxa"/>
                  <w:tcBorders>
                    <w:tl2br w:val="nil"/>
                    <w:tr2bl w:val="nil"/>
                  </w:tcBorders>
                  <w:noWrap w:val="0"/>
                  <w:vAlign w:val="center"/>
                </w:tcPr>
                <w:p w14:paraId="2D9B3D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36E6E6B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950" w:type="dxa"/>
                  <w:tcBorders>
                    <w:tl2br w:val="nil"/>
                    <w:tr2bl w:val="nil"/>
                  </w:tcBorders>
                  <w:noWrap w:val="0"/>
                  <w:vAlign w:val="center"/>
                </w:tcPr>
                <w:p w14:paraId="6AA339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381" w:type="dxa"/>
                  <w:tcBorders>
                    <w:tl2br w:val="nil"/>
                    <w:tr2bl w:val="nil"/>
                  </w:tcBorders>
                  <w:shd w:val="clear" w:color="auto" w:fill="auto"/>
                  <w:noWrap w:val="0"/>
                  <w:vAlign w:val="center"/>
                </w:tcPr>
                <w:p w14:paraId="5A6B026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≤1200</w:t>
                  </w:r>
                  <w:r>
                    <w:rPr>
                      <w:rFonts w:hint="eastAsia" w:ascii="Times New Roman" w:hAnsi="Times New Roman" w:cs="Times New Roman"/>
                      <w:i w:val="0"/>
                      <w:color w:val="auto"/>
                      <w:kern w:val="0"/>
                      <w:sz w:val="18"/>
                      <w:szCs w:val="18"/>
                      <w:highlight w:val="none"/>
                      <w:u w:val="none"/>
                      <w:lang w:val="en-US" w:eastAsia="zh-CN" w:bidi="ar"/>
                    </w:rPr>
                    <w:t>000</w:t>
                  </w:r>
                </w:p>
              </w:tc>
            </w:tr>
            <w:tr w14:paraId="2DA9F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36496E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60BB13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间二甲苯</w:t>
                  </w:r>
                  <w:r>
                    <w:rPr>
                      <w:rFonts w:hint="default" w:ascii="Times New Roman" w:hAnsi="Times New Roman" w:eastAsia="宋体" w:cs="Times New Roman"/>
                      <w:color w:val="auto"/>
                      <w:kern w:val="0"/>
                      <w:sz w:val="18"/>
                      <w:szCs w:val="18"/>
                      <w:highlight w:val="none"/>
                      <w:lang w:val="en-US" w:eastAsia="zh-CN"/>
                    </w:rPr>
                    <w:t>+</w:t>
                  </w:r>
                  <w:r>
                    <w:rPr>
                      <w:rFonts w:hint="default" w:ascii="Times New Roman" w:hAnsi="Times New Roman" w:eastAsia="宋体" w:cs="Times New Roman"/>
                      <w:color w:val="auto"/>
                      <w:kern w:val="0"/>
                      <w:sz w:val="18"/>
                      <w:szCs w:val="18"/>
                      <w:highlight w:val="none"/>
                    </w:rPr>
                    <w:t>对二甲苯</w:t>
                  </w:r>
                </w:p>
              </w:tc>
              <w:tc>
                <w:tcPr>
                  <w:tcW w:w="830" w:type="dxa"/>
                  <w:tcBorders>
                    <w:tl2br w:val="nil"/>
                    <w:tr2bl w:val="nil"/>
                  </w:tcBorders>
                  <w:noWrap w:val="0"/>
                  <w:vAlign w:val="center"/>
                </w:tcPr>
                <w:p w14:paraId="6BE298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686255D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950" w:type="dxa"/>
                  <w:tcBorders>
                    <w:tl2br w:val="nil"/>
                    <w:tr2bl w:val="nil"/>
                  </w:tcBorders>
                  <w:noWrap w:val="0"/>
                  <w:vAlign w:val="center"/>
                </w:tcPr>
                <w:p w14:paraId="1DB8177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381" w:type="dxa"/>
                  <w:tcBorders>
                    <w:tl2br w:val="nil"/>
                    <w:tr2bl w:val="nil"/>
                  </w:tcBorders>
                  <w:shd w:val="clear" w:color="auto" w:fill="auto"/>
                  <w:noWrap w:val="0"/>
                  <w:vAlign w:val="center"/>
                </w:tcPr>
                <w:p w14:paraId="36B62F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≤570</w:t>
                  </w:r>
                  <w:r>
                    <w:rPr>
                      <w:rFonts w:hint="eastAsia" w:ascii="Times New Roman" w:hAnsi="Times New Roman" w:cs="Times New Roman"/>
                      <w:i w:val="0"/>
                      <w:color w:val="auto"/>
                      <w:kern w:val="0"/>
                      <w:sz w:val="18"/>
                      <w:szCs w:val="18"/>
                      <w:highlight w:val="none"/>
                      <w:u w:val="none"/>
                      <w:lang w:val="en-US" w:eastAsia="zh-CN" w:bidi="ar"/>
                    </w:rPr>
                    <w:t>000</w:t>
                  </w:r>
                </w:p>
              </w:tc>
            </w:tr>
            <w:tr w14:paraId="311CE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165E97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79B3E4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邻二甲苯</w:t>
                  </w:r>
                </w:p>
              </w:tc>
              <w:tc>
                <w:tcPr>
                  <w:tcW w:w="830" w:type="dxa"/>
                  <w:tcBorders>
                    <w:tl2br w:val="nil"/>
                    <w:tr2bl w:val="nil"/>
                  </w:tcBorders>
                  <w:noWrap w:val="0"/>
                  <w:vAlign w:val="center"/>
                </w:tcPr>
                <w:p w14:paraId="3312ED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μg/kg</w:t>
                  </w:r>
                </w:p>
              </w:tc>
              <w:tc>
                <w:tcPr>
                  <w:tcW w:w="1870" w:type="dxa"/>
                  <w:tcBorders>
                    <w:tl2br w:val="nil"/>
                    <w:tr2bl w:val="nil"/>
                  </w:tcBorders>
                  <w:noWrap w:val="0"/>
                  <w:vAlign w:val="center"/>
                </w:tcPr>
                <w:p w14:paraId="10EB3F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950" w:type="dxa"/>
                  <w:tcBorders>
                    <w:tl2br w:val="nil"/>
                    <w:tr2bl w:val="nil"/>
                  </w:tcBorders>
                  <w:noWrap w:val="0"/>
                  <w:vAlign w:val="center"/>
                </w:tcPr>
                <w:p w14:paraId="1AB2C8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2</w:t>
                  </w:r>
                </w:p>
              </w:tc>
              <w:tc>
                <w:tcPr>
                  <w:tcW w:w="1381" w:type="dxa"/>
                  <w:tcBorders>
                    <w:tl2br w:val="nil"/>
                    <w:tr2bl w:val="nil"/>
                  </w:tcBorders>
                  <w:shd w:val="clear" w:color="auto" w:fill="auto"/>
                  <w:noWrap w:val="0"/>
                  <w:vAlign w:val="center"/>
                </w:tcPr>
                <w:p w14:paraId="72149D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≤640</w:t>
                  </w:r>
                  <w:r>
                    <w:rPr>
                      <w:rFonts w:hint="eastAsia" w:ascii="Times New Roman" w:hAnsi="Times New Roman" w:cs="Times New Roman"/>
                      <w:i w:val="0"/>
                      <w:color w:val="auto"/>
                      <w:kern w:val="0"/>
                      <w:sz w:val="18"/>
                      <w:szCs w:val="18"/>
                      <w:highlight w:val="none"/>
                      <w:u w:val="none"/>
                      <w:lang w:val="en-US" w:eastAsia="zh-CN" w:bidi="ar"/>
                    </w:rPr>
                    <w:t>000</w:t>
                  </w:r>
                </w:p>
              </w:tc>
            </w:tr>
            <w:tr w14:paraId="3388B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restart"/>
                  <w:tcBorders>
                    <w:tl2br w:val="nil"/>
                    <w:tr2bl w:val="nil"/>
                  </w:tcBorders>
                  <w:noWrap w:val="0"/>
                  <w:vAlign w:val="center"/>
                </w:tcPr>
                <w:p w14:paraId="0CCA83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p>
                <w:p w14:paraId="494419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半</w:t>
                  </w:r>
                </w:p>
                <w:p w14:paraId="2F38CE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挥</w:t>
                  </w:r>
                </w:p>
                <w:p w14:paraId="5F416E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发</w:t>
                  </w:r>
                </w:p>
                <w:p w14:paraId="01277B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性</w:t>
                  </w:r>
                </w:p>
                <w:p w14:paraId="4A0C62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有</w:t>
                  </w:r>
                </w:p>
                <w:p w14:paraId="1D00F9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机</w:t>
                  </w:r>
                </w:p>
                <w:p w14:paraId="0DFAA5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rPr>
                  </w:pPr>
                  <w:r>
                    <w:rPr>
                      <w:rFonts w:hint="default" w:ascii="Times New Roman" w:hAnsi="Times New Roman" w:eastAsia="宋体" w:cs="Times New Roman"/>
                      <w:color w:val="auto"/>
                      <w:kern w:val="0"/>
                      <w:sz w:val="18"/>
                      <w:szCs w:val="18"/>
                      <w:highlight w:val="none"/>
                      <w:lang w:val="en-US" w:eastAsia="zh-CN"/>
                    </w:rPr>
                    <w:t>物</w:t>
                  </w:r>
                </w:p>
              </w:tc>
              <w:tc>
                <w:tcPr>
                  <w:tcW w:w="1835" w:type="dxa"/>
                  <w:tcBorders>
                    <w:tl2br w:val="nil"/>
                    <w:tr2bl w:val="nil"/>
                  </w:tcBorders>
                  <w:noWrap w:val="0"/>
                  <w:vAlign w:val="center"/>
                </w:tcPr>
                <w:p w14:paraId="5A26F96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硝基苯</w:t>
                  </w:r>
                </w:p>
              </w:tc>
              <w:tc>
                <w:tcPr>
                  <w:tcW w:w="830" w:type="dxa"/>
                  <w:tcBorders>
                    <w:tl2br w:val="nil"/>
                    <w:tr2bl w:val="nil"/>
                  </w:tcBorders>
                  <w:noWrap w:val="0"/>
                  <w:vAlign w:val="center"/>
                </w:tcPr>
                <w:p w14:paraId="0BA5FB2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20669B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0.09</w:t>
                  </w:r>
                </w:p>
              </w:tc>
              <w:tc>
                <w:tcPr>
                  <w:tcW w:w="1950" w:type="dxa"/>
                  <w:tcBorders>
                    <w:tl2br w:val="nil"/>
                    <w:tr2bl w:val="nil"/>
                  </w:tcBorders>
                  <w:noWrap w:val="0"/>
                  <w:vAlign w:val="center"/>
                </w:tcPr>
                <w:p w14:paraId="71907E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0.09</w:t>
                  </w:r>
                </w:p>
              </w:tc>
              <w:tc>
                <w:tcPr>
                  <w:tcW w:w="1381" w:type="dxa"/>
                  <w:tcBorders>
                    <w:tl2br w:val="nil"/>
                    <w:tr2bl w:val="nil"/>
                  </w:tcBorders>
                  <w:shd w:val="clear" w:color="auto" w:fill="auto"/>
                  <w:noWrap w:val="0"/>
                  <w:vAlign w:val="center"/>
                </w:tcPr>
                <w:p w14:paraId="7BBCDB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≤76</w:t>
                  </w:r>
                </w:p>
              </w:tc>
            </w:tr>
            <w:tr w14:paraId="340B1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5F466D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054927F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苯胺</w:t>
                  </w:r>
                </w:p>
              </w:tc>
              <w:tc>
                <w:tcPr>
                  <w:tcW w:w="830" w:type="dxa"/>
                  <w:tcBorders>
                    <w:tl2br w:val="nil"/>
                    <w:tr2bl w:val="nil"/>
                  </w:tcBorders>
                  <w:noWrap w:val="0"/>
                  <w:vAlign w:val="center"/>
                </w:tcPr>
                <w:p w14:paraId="6AF19BE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2F7E11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0.08</w:t>
                  </w:r>
                </w:p>
              </w:tc>
              <w:tc>
                <w:tcPr>
                  <w:tcW w:w="1950" w:type="dxa"/>
                  <w:tcBorders>
                    <w:tl2br w:val="nil"/>
                    <w:tr2bl w:val="nil"/>
                  </w:tcBorders>
                  <w:noWrap w:val="0"/>
                  <w:vAlign w:val="center"/>
                </w:tcPr>
                <w:p w14:paraId="23A2A9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0.08</w:t>
                  </w:r>
                </w:p>
              </w:tc>
              <w:tc>
                <w:tcPr>
                  <w:tcW w:w="1381" w:type="dxa"/>
                  <w:tcBorders>
                    <w:tl2br w:val="nil"/>
                    <w:tr2bl w:val="nil"/>
                  </w:tcBorders>
                  <w:shd w:val="clear" w:color="auto" w:fill="auto"/>
                  <w:noWrap w:val="0"/>
                  <w:vAlign w:val="center"/>
                </w:tcPr>
                <w:p w14:paraId="204B4F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≤260</w:t>
                  </w:r>
                </w:p>
              </w:tc>
            </w:tr>
            <w:tr w14:paraId="35A58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3CA565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020FF2B6">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2-氯酚</w:t>
                  </w:r>
                </w:p>
              </w:tc>
              <w:tc>
                <w:tcPr>
                  <w:tcW w:w="830" w:type="dxa"/>
                  <w:tcBorders>
                    <w:tl2br w:val="nil"/>
                    <w:tr2bl w:val="nil"/>
                  </w:tcBorders>
                  <w:noWrap w:val="0"/>
                  <w:vAlign w:val="center"/>
                </w:tcPr>
                <w:p w14:paraId="4CE52EA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7ACBE6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0.06</w:t>
                  </w:r>
                </w:p>
              </w:tc>
              <w:tc>
                <w:tcPr>
                  <w:tcW w:w="1950" w:type="dxa"/>
                  <w:tcBorders>
                    <w:tl2br w:val="nil"/>
                    <w:tr2bl w:val="nil"/>
                  </w:tcBorders>
                  <w:noWrap w:val="0"/>
                  <w:vAlign w:val="center"/>
                </w:tcPr>
                <w:p w14:paraId="176E50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0.06</w:t>
                  </w:r>
                </w:p>
              </w:tc>
              <w:tc>
                <w:tcPr>
                  <w:tcW w:w="1381" w:type="dxa"/>
                  <w:tcBorders>
                    <w:tl2br w:val="nil"/>
                    <w:tr2bl w:val="nil"/>
                  </w:tcBorders>
                  <w:shd w:val="clear" w:color="auto" w:fill="auto"/>
                  <w:noWrap w:val="0"/>
                  <w:vAlign w:val="center"/>
                </w:tcPr>
                <w:p w14:paraId="6C7CB96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≤2256</w:t>
                  </w:r>
                </w:p>
              </w:tc>
            </w:tr>
            <w:tr w14:paraId="4916E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3170C0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37D5F450">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苯并[a]蒽</w:t>
                  </w:r>
                </w:p>
              </w:tc>
              <w:tc>
                <w:tcPr>
                  <w:tcW w:w="830" w:type="dxa"/>
                  <w:tcBorders>
                    <w:tl2br w:val="nil"/>
                    <w:tr2bl w:val="nil"/>
                  </w:tcBorders>
                  <w:noWrap w:val="0"/>
                  <w:vAlign w:val="center"/>
                </w:tcPr>
                <w:p w14:paraId="73F60C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4F2F8E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950" w:type="dxa"/>
                  <w:tcBorders>
                    <w:tl2br w:val="nil"/>
                    <w:tr2bl w:val="nil"/>
                  </w:tcBorders>
                  <w:noWrap w:val="0"/>
                  <w:vAlign w:val="center"/>
                </w:tcPr>
                <w:p w14:paraId="5172DB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381" w:type="dxa"/>
                  <w:tcBorders>
                    <w:tl2br w:val="nil"/>
                    <w:tr2bl w:val="nil"/>
                  </w:tcBorders>
                  <w:shd w:val="clear" w:color="auto" w:fill="auto"/>
                  <w:noWrap w:val="0"/>
                  <w:vAlign w:val="center"/>
                </w:tcPr>
                <w:p w14:paraId="459631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≤15</w:t>
                  </w:r>
                </w:p>
              </w:tc>
            </w:tr>
            <w:tr w14:paraId="648F9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7F6A6D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1A04568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苯并[a]芘</w:t>
                  </w:r>
                </w:p>
              </w:tc>
              <w:tc>
                <w:tcPr>
                  <w:tcW w:w="830" w:type="dxa"/>
                  <w:tcBorders>
                    <w:tl2br w:val="nil"/>
                    <w:tr2bl w:val="nil"/>
                  </w:tcBorders>
                  <w:noWrap w:val="0"/>
                  <w:vAlign w:val="center"/>
                </w:tcPr>
                <w:p w14:paraId="051CEB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16D239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950" w:type="dxa"/>
                  <w:tcBorders>
                    <w:tl2br w:val="nil"/>
                    <w:tr2bl w:val="nil"/>
                  </w:tcBorders>
                  <w:noWrap w:val="0"/>
                  <w:vAlign w:val="center"/>
                </w:tcPr>
                <w:p w14:paraId="50A78EB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381" w:type="dxa"/>
                  <w:tcBorders>
                    <w:tl2br w:val="nil"/>
                    <w:tr2bl w:val="nil"/>
                  </w:tcBorders>
                  <w:shd w:val="clear" w:color="auto" w:fill="auto"/>
                  <w:noWrap w:val="0"/>
                  <w:vAlign w:val="center"/>
                </w:tcPr>
                <w:p w14:paraId="4EE789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≤1.5</w:t>
                  </w:r>
                </w:p>
              </w:tc>
            </w:tr>
            <w:tr w14:paraId="545F1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371766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7F13740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苯并[b]荧蒽</w:t>
                  </w:r>
                </w:p>
              </w:tc>
              <w:tc>
                <w:tcPr>
                  <w:tcW w:w="830" w:type="dxa"/>
                  <w:tcBorders>
                    <w:tl2br w:val="nil"/>
                    <w:tr2bl w:val="nil"/>
                  </w:tcBorders>
                  <w:noWrap w:val="0"/>
                  <w:vAlign w:val="center"/>
                </w:tcPr>
                <w:p w14:paraId="45F4B6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00BE71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0.2</w:t>
                  </w:r>
                </w:p>
              </w:tc>
              <w:tc>
                <w:tcPr>
                  <w:tcW w:w="1950" w:type="dxa"/>
                  <w:tcBorders>
                    <w:tl2br w:val="nil"/>
                    <w:tr2bl w:val="nil"/>
                  </w:tcBorders>
                  <w:noWrap w:val="0"/>
                  <w:vAlign w:val="center"/>
                </w:tcPr>
                <w:p w14:paraId="76DBE72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0.2</w:t>
                  </w:r>
                </w:p>
              </w:tc>
              <w:tc>
                <w:tcPr>
                  <w:tcW w:w="1381" w:type="dxa"/>
                  <w:tcBorders>
                    <w:tl2br w:val="nil"/>
                    <w:tr2bl w:val="nil"/>
                  </w:tcBorders>
                  <w:shd w:val="clear" w:color="auto" w:fill="auto"/>
                  <w:noWrap w:val="0"/>
                  <w:vAlign w:val="center"/>
                </w:tcPr>
                <w:p w14:paraId="4270CB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≤15</w:t>
                  </w:r>
                </w:p>
              </w:tc>
            </w:tr>
            <w:tr w14:paraId="490CA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0037B8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35414B5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苯并[k]荧蒽</w:t>
                  </w:r>
                </w:p>
              </w:tc>
              <w:tc>
                <w:tcPr>
                  <w:tcW w:w="830" w:type="dxa"/>
                  <w:tcBorders>
                    <w:tl2br w:val="nil"/>
                    <w:tr2bl w:val="nil"/>
                  </w:tcBorders>
                  <w:noWrap w:val="0"/>
                  <w:vAlign w:val="center"/>
                </w:tcPr>
                <w:p w14:paraId="1498AE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68218B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950" w:type="dxa"/>
                  <w:tcBorders>
                    <w:tl2br w:val="nil"/>
                    <w:tr2bl w:val="nil"/>
                  </w:tcBorders>
                  <w:noWrap w:val="0"/>
                  <w:vAlign w:val="center"/>
                </w:tcPr>
                <w:p w14:paraId="5756F9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381" w:type="dxa"/>
                  <w:tcBorders>
                    <w:tl2br w:val="nil"/>
                    <w:tr2bl w:val="nil"/>
                  </w:tcBorders>
                  <w:shd w:val="clear" w:color="auto" w:fill="auto"/>
                  <w:noWrap w:val="0"/>
                  <w:vAlign w:val="center"/>
                </w:tcPr>
                <w:p w14:paraId="65E0C0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≤151</w:t>
                  </w:r>
                </w:p>
              </w:tc>
            </w:tr>
            <w:tr w14:paraId="51C7E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35FAC2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16459D7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䓛</w:t>
                  </w:r>
                </w:p>
              </w:tc>
              <w:tc>
                <w:tcPr>
                  <w:tcW w:w="830" w:type="dxa"/>
                  <w:tcBorders>
                    <w:tl2br w:val="nil"/>
                    <w:tr2bl w:val="nil"/>
                  </w:tcBorders>
                  <w:noWrap w:val="0"/>
                  <w:vAlign w:val="center"/>
                </w:tcPr>
                <w:p w14:paraId="22CC9F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5A2F69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950" w:type="dxa"/>
                  <w:tcBorders>
                    <w:tl2br w:val="nil"/>
                    <w:tr2bl w:val="nil"/>
                  </w:tcBorders>
                  <w:noWrap w:val="0"/>
                  <w:vAlign w:val="center"/>
                </w:tcPr>
                <w:p w14:paraId="074076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381" w:type="dxa"/>
                  <w:tcBorders>
                    <w:tl2br w:val="nil"/>
                    <w:tr2bl w:val="nil"/>
                  </w:tcBorders>
                  <w:shd w:val="clear" w:color="auto" w:fill="auto"/>
                  <w:noWrap w:val="0"/>
                  <w:vAlign w:val="center"/>
                </w:tcPr>
                <w:p w14:paraId="68F546C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≤1293</w:t>
                  </w:r>
                </w:p>
              </w:tc>
            </w:tr>
            <w:tr w14:paraId="032B5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4CBCB8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511758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二苯并[a,h]蒽</w:t>
                  </w:r>
                </w:p>
              </w:tc>
              <w:tc>
                <w:tcPr>
                  <w:tcW w:w="830" w:type="dxa"/>
                  <w:tcBorders>
                    <w:tl2br w:val="nil"/>
                    <w:tr2bl w:val="nil"/>
                  </w:tcBorders>
                  <w:noWrap w:val="0"/>
                  <w:vAlign w:val="center"/>
                </w:tcPr>
                <w:p w14:paraId="23FEE4F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39B229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950" w:type="dxa"/>
                  <w:tcBorders>
                    <w:tl2br w:val="nil"/>
                    <w:tr2bl w:val="nil"/>
                  </w:tcBorders>
                  <w:noWrap w:val="0"/>
                  <w:vAlign w:val="center"/>
                </w:tcPr>
                <w:p w14:paraId="34E4778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381" w:type="dxa"/>
                  <w:tcBorders>
                    <w:tl2br w:val="nil"/>
                    <w:tr2bl w:val="nil"/>
                  </w:tcBorders>
                  <w:shd w:val="clear" w:color="auto" w:fill="auto"/>
                  <w:noWrap w:val="0"/>
                  <w:vAlign w:val="center"/>
                </w:tcPr>
                <w:p w14:paraId="12A0D2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≤1.5</w:t>
                  </w:r>
                </w:p>
              </w:tc>
            </w:tr>
            <w:tr w14:paraId="2C8F0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355" w:type="dxa"/>
                  <w:vMerge w:val="continue"/>
                  <w:tcBorders>
                    <w:tl2br w:val="nil"/>
                    <w:tr2bl w:val="nil"/>
                  </w:tcBorders>
                  <w:noWrap w:val="0"/>
                  <w:vAlign w:val="center"/>
                </w:tcPr>
                <w:p w14:paraId="0DA078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50ACECA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rPr>
                    <w:t>茚并[1,2,3-cd]芘</w:t>
                  </w:r>
                </w:p>
              </w:tc>
              <w:tc>
                <w:tcPr>
                  <w:tcW w:w="830" w:type="dxa"/>
                  <w:tcBorders>
                    <w:tl2br w:val="nil"/>
                    <w:tr2bl w:val="nil"/>
                  </w:tcBorders>
                  <w:noWrap w:val="0"/>
                  <w:vAlign w:val="center"/>
                </w:tcPr>
                <w:p w14:paraId="5DF788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lang w:val="en-US" w:eastAsia="zh-CN" w:bidi="ar-SA"/>
                    </w:rPr>
                    <w:t>mg/kg</w:t>
                  </w:r>
                </w:p>
              </w:tc>
              <w:tc>
                <w:tcPr>
                  <w:tcW w:w="1870" w:type="dxa"/>
                  <w:tcBorders>
                    <w:tl2br w:val="nil"/>
                    <w:tr2bl w:val="nil"/>
                  </w:tcBorders>
                  <w:noWrap w:val="0"/>
                  <w:vAlign w:val="center"/>
                </w:tcPr>
                <w:p w14:paraId="73C563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950" w:type="dxa"/>
                  <w:tcBorders>
                    <w:tl2br w:val="nil"/>
                    <w:tr2bl w:val="nil"/>
                  </w:tcBorders>
                  <w:noWrap w:val="0"/>
                  <w:vAlign w:val="center"/>
                </w:tcPr>
                <w:p w14:paraId="55A1BF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0.1</w:t>
                  </w:r>
                </w:p>
              </w:tc>
              <w:tc>
                <w:tcPr>
                  <w:tcW w:w="1381" w:type="dxa"/>
                  <w:tcBorders>
                    <w:tl2br w:val="nil"/>
                    <w:tr2bl w:val="nil"/>
                  </w:tcBorders>
                  <w:shd w:val="clear" w:color="auto" w:fill="auto"/>
                  <w:noWrap w:val="0"/>
                  <w:vAlign w:val="center"/>
                </w:tcPr>
                <w:p w14:paraId="2CF946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≤15</w:t>
                  </w:r>
                </w:p>
              </w:tc>
            </w:tr>
            <w:tr w14:paraId="2D8BC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5" w:type="dxa"/>
                  <w:vMerge w:val="continue"/>
                  <w:tcBorders>
                    <w:tl2br w:val="nil"/>
                    <w:tr2bl w:val="nil"/>
                  </w:tcBorders>
                  <w:noWrap w:val="0"/>
                  <w:vAlign w:val="center"/>
                </w:tcPr>
                <w:p w14:paraId="36675B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rPr>
                  </w:pPr>
                </w:p>
              </w:tc>
              <w:tc>
                <w:tcPr>
                  <w:tcW w:w="1835" w:type="dxa"/>
                  <w:tcBorders>
                    <w:tl2br w:val="nil"/>
                    <w:tr2bl w:val="nil"/>
                  </w:tcBorders>
                  <w:noWrap w:val="0"/>
                  <w:vAlign w:val="center"/>
                </w:tcPr>
                <w:p w14:paraId="161975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萘</w:t>
                  </w:r>
                </w:p>
              </w:tc>
              <w:tc>
                <w:tcPr>
                  <w:tcW w:w="830" w:type="dxa"/>
                  <w:tcBorders>
                    <w:tl2br w:val="nil"/>
                    <w:tr2bl w:val="nil"/>
                  </w:tcBorders>
                  <w:noWrap w:val="0"/>
                  <w:vAlign w:val="center"/>
                </w:tcPr>
                <w:p w14:paraId="3AB7EF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mg/kg</w:t>
                  </w:r>
                </w:p>
              </w:tc>
              <w:tc>
                <w:tcPr>
                  <w:tcW w:w="1870" w:type="dxa"/>
                  <w:tcBorders>
                    <w:tl2br w:val="nil"/>
                    <w:tr2bl w:val="nil"/>
                  </w:tcBorders>
                  <w:noWrap w:val="0"/>
                  <w:vAlign w:val="center"/>
                </w:tcPr>
                <w:p w14:paraId="0D5310B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0.09</w:t>
                  </w:r>
                </w:p>
              </w:tc>
              <w:tc>
                <w:tcPr>
                  <w:tcW w:w="1950" w:type="dxa"/>
                  <w:tcBorders>
                    <w:tl2br w:val="nil"/>
                    <w:tr2bl w:val="nil"/>
                  </w:tcBorders>
                  <w:noWrap w:val="0"/>
                  <w:vAlign w:val="center"/>
                </w:tcPr>
                <w:p w14:paraId="6E3BAA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r>
                    <w:rPr>
                      <w:rFonts w:hint="eastAsia" w:ascii="Times New Roman" w:hAnsi="Times New Roman" w:eastAsia="宋体" w:cs="Times New Roman"/>
                      <w:color w:val="auto"/>
                      <w:kern w:val="0"/>
                      <w:sz w:val="18"/>
                      <w:szCs w:val="18"/>
                      <w:highlight w:val="none"/>
                      <w:lang w:val="en-US" w:eastAsia="zh-CN"/>
                    </w:rPr>
                    <w:t>0.09</w:t>
                  </w:r>
                </w:p>
              </w:tc>
              <w:tc>
                <w:tcPr>
                  <w:tcW w:w="1381" w:type="dxa"/>
                  <w:tcBorders>
                    <w:tl2br w:val="nil"/>
                    <w:tr2bl w:val="nil"/>
                  </w:tcBorders>
                  <w:shd w:val="clear" w:color="auto" w:fill="auto"/>
                  <w:noWrap w:val="0"/>
                  <w:vAlign w:val="center"/>
                </w:tcPr>
                <w:p w14:paraId="11BB733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≤70</w:t>
                  </w:r>
                </w:p>
              </w:tc>
            </w:tr>
            <w:tr w14:paraId="7B7C0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190" w:type="dxa"/>
                  <w:gridSpan w:val="2"/>
                  <w:tcBorders>
                    <w:tl2br w:val="nil"/>
                    <w:tr2bl w:val="nil"/>
                  </w:tcBorders>
                  <w:noWrap w:val="0"/>
                  <w:vAlign w:val="center"/>
                </w:tcPr>
                <w:p w14:paraId="3BE175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b w:val="0"/>
                      <w:bCs w:val="0"/>
                      <w:color w:val="auto"/>
                      <w:sz w:val="18"/>
                      <w:szCs w:val="18"/>
                      <w:highlight w:val="none"/>
                    </w:rPr>
                    <w:t>石油烃（C</w:t>
                  </w:r>
                  <w:r>
                    <w:rPr>
                      <w:rFonts w:hint="default" w:ascii="Times New Roman" w:hAnsi="Times New Roman" w:eastAsia="宋体" w:cs="Times New Roman"/>
                      <w:b w:val="0"/>
                      <w:bCs w:val="0"/>
                      <w:color w:val="auto"/>
                      <w:sz w:val="18"/>
                      <w:szCs w:val="18"/>
                      <w:highlight w:val="none"/>
                      <w:vertAlign w:val="subscript"/>
                    </w:rPr>
                    <w:t>10</w:t>
                  </w:r>
                  <w:r>
                    <w:rPr>
                      <w:rFonts w:hint="default" w:ascii="Times New Roman" w:hAnsi="Times New Roman" w:eastAsia="宋体" w:cs="Times New Roman"/>
                      <w:b w:val="0"/>
                      <w:bCs w:val="0"/>
                      <w:color w:val="auto"/>
                      <w:sz w:val="18"/>
                      <w:szCs w:val="18"/>
                      <w:highlight w:val="none"/>
                    </w:rPr>
                    <w:t>-C</w:t>
                  </w:r>
                  <w:r>
                    <w:rPr>
                      <w:rFonts w:hint="default" w:ascii="Times New Roman" w:hAnsi="Times New Roman" w:eastAsia="宋体" w:cs="Times New Roman"/>
                      <w:b w:val="0"/>
                      <w:bCs w:val="0"/>
                      <w:color w:val="auto"/>
                      <w:sz w:val="18"/>
                      <w:szCs w:val="18"/>
                      <w:highlight w:val="none"/>
                      <w:vertAlign w:val="subscript"/>
                    </w:rPr>
                    <w:t>40</w:t>
                  </w:r>
                  <w:r>
                    <w:rPr>
                      <w:rFonts w:hint="default" w:ascii="Times New Roman" w:hAnsi="Times New Roman" w:eastAsia="宋体" w:cs="Times New Roman"/>
                      <w:b w:val="0"/>
                      <w:bCs w:val="0"/>
                      <w:color w:val="auto"/>
                      <w:sz w:val="18"/>
                      <w:szCs w:val="18"/>
                      <w:highlight w:val="none"/>
                    </w:rPr>
                    <w:t>）</w:t>
                  </w:r>
                </w:p>
              </w:tc>
              <w:tc>
                <w:tcPr>
                  <w:tcW w:w="830" w:type="dxa"/>
                  <w:tcBorders>
                    <w:tl2br w:val="nil"/>
                    <w:tr2bl w:val="nil"/>
                  </w:tcBorders>
                  <w:noWrap w:val="0"/>
                  <w:vAlign w:val="center"/>
                </w:tcPr>
                <w:p w14:paraId="32C4B1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i w:val="0"/>
                      <w:color w:val="auto"/>
                      <w:kern w:val="0"/>
                      <w:sz w:val="18"/>
                      <w:szCs w:val="18"/>
                      <w:highlight w:val="none"/>
                      <w:u w:val="none"/>
                      <w:lang w:val="en-US" w:eastAsia="zh-CN" w:bidi="ar"/>
                    </w:rPr>
                    <w:t>mg/kg</w:t>
                  </w:r>
                </w:p>
              </w:tc>
              <w:tc>
                <w:tcPr>
                  <w:tcW w:w="1870" w:type="dxa"/>
                  <w:tcBorders>
                    <w:tl2br w:val="nil"/>
                    <w:tr2bl w:val="nil"/>
                  </w:tcBorders>
                  <w:noWrap w:val="0"/>
                  <w:vAlign w:val="center"/>
                </w:tcPr>
                <w:p w14:paraId="7CCFC6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6ND</w:t>
                  </w:r>
                </w:p>
              </w:tc>
              <w:tc>
                <w:tcPr>
                  <w:tcW w:w="1950" w:type="dxa"/>
                  <w:tcBorders>
                    <w:tl2br w:val="nil"/>
                    <w:tr2bl w:val="nil"/>
                  </w:tcBorders>
                  <w:noWrap w:val="0"/>
                  <w:vAlign w:val="center"/>
                </w:tcPr>
                <w:p w14:paraId="062F3FF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29</w:t>
                  </w:r>
                </w:p>
              </w:tc>
              <w:tc>
                <w:tcPr>
                  <w:tcW w:w="1381" w:type="dxa"/>
                  <w:tcBorders>
                    <w:tl2br w:val="nil"/>
                    <w:tr2bl w:val="nil"/>
                  </w:tcBorders>
                  <w:shd w:val="clear" w:color="auto" w:fill="auto"/>
                  <w:noWrap w:val="0"/>
                  <w:vAlign w:val="center"/>
                </w:tcPr>
                <w:p w14:paraId="0EEBCB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center"/>
                    <w:outlineLvl w:val="9"/>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≤4500</w:t>
                  </w:r>
                </w:p>
              </w:tc>
            </w:tr>
          </w:tbl>
          <w:p w14:paraId="3F076AD4">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firstLine="0" w:firstLineChars="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 xml:space="preserve">    </w:t>
            </w:r>
            <w:r>
              <w:rPr>
                <w:rFonts w:hint="default" w:ascii="Times New Roman" w:hAnsi="Times New Roman" w:eastAsia="宋体" w:cs="Times New Roman"/>
                <w:b w:val="0"/>
                <w:bCs w:val="0"/>
                <w:color w:val="auto"/>
                <w:spacing w:val="0"/>
                <w:kern w:val="0"/>
                <w:position w:val="0"/>
                <w:sz w:val="24"/>
                <w:szCs w:val="24"/>
                <w:lang w:val="zh-CN" w:bidi="zh-CN"/>
              </w:rPr>
              <w:t>从土壤现状监测结果可以看出，厂区范围内</w:t>
            </w:r>
            <w:r>
              <w:rPr>
                <w:rFonts w:hint="default" w:ascii="Times New Roman" w:hAnsi="Times New Roman" w:eastAsia="宋体" w:cs="Times New Roman"/>
                <w:b w:val="0"/>
                <w:bCs w:val="0"/>
                <w:color w:val="auto"/>
                <w:spacing w:val="0"/>
                <w:kern w:val="0"/>
                <w:position w:val="0"/>
                <w:sz w:val="24"/>
                <w:szCs w:val="24"/>
                <w:lang w:val="en-US" w:bidi="zh-CN"/>
              </w:rPr>
              <w:t>S1~S</w:t>
            </w:r>
            <w:r>
              <w:rPr>
                <w:rFonts w:hint="eastAsia" w:ascii="Times New Roman" w:hAnsi="Times New Roman" w:eastAsia="宋体" w:cs="Times New Roman"/>
                <w:b w:val="0"/>
                <w:bCs w:val="0"/>
                <w:color w:val="auto"/>
                <w:spacing w:val="0"/>
                <w:kern w:val="0"/>
                <w:position w:val="0"/>
                <w:sz w:val="24"/>
                <w:szCs w:val="24"/>
                <w:lang w:val="en-US" w:bidi="zh-CN"/>
              </w:rPr>
              <w:t>3</w:t>
            </w:r>
            <w:r>
              <w:rPr>
                <w:rFonts w:hint="default" w:ascii="Times New Roman" w:hAnsi="Times New Roman" w:eastAsia="宋体" w:cs="Times New Roman"/>
                <w:b w:val="0"/>
                <w:bCs w:val="0"/>
                <w:color w:val="auto"/>
                <w:spacing w:val="0"/>
                <w:kern w:val="0"/>
                <w:position w:val="0"/>
                <w:sz w:val="24"/>
                <w:szCs w:val="24"/>
                <w:lang w:val="zh-CN" w:bidi="zh-CN"/>
              </w:rPr>
              <w:t>土壤环境质量监测值低于《土壤环境质量建设用地土壤污染风险管控标准（试行）》（GB 36600-2018）中第二类建设用地土壤污染风险筛选值标准</w:t>
            </w:r>
            <w:r>
              <w:rPr>
                <w:rFonts w:hint="eastAsia" w:ascii="Times New Roman" w:hAnsi="Times New Roman" w:eastAsia="宋体" w:cs="Times New Roman"/>
                <w:b w:val="0"/>
                <w:bCs w:val="0"/>
                <w:color w:val="auto"/>
                <w:spacing w:val="0"/>
                <w:kern w:val="0"/>
                <w:position w:val="0"/>
                <w:sz w:val="24"/>
                <w:szCs w:val="24"/>
                <w:lang w:val="zh-CN" w:bidi="zh-CN"/>
              </w:rPr>
              <w:t>。</w:t>
            </w:r>
          </w:p>
        </w:tc>
      </w:tr>
      <w:tr w14:paraId="1F62FC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dxa"/>
            <w:noWrap w:val="0"/>
            <w:vAlign w:val="center"/>
          </w:tcPr>
          <w:p w14:paraId="20258A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环境</w:t>
            </w:r>
          </w:p>
          <w:p w14:paraId="09F99D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保护</w:t>
            </w:r>
          </w:p>
          <w:p w14:paraId="1235F3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目标</w:t>
            </w:r>
          </w:p>
        </w:tc>
        <w:tc>
          <w:tcPr>
            <w:tcW w:w="8462" w:type="dxa"/>
            <w:noWrap w:val="0"/>
            <w:vAlign w:val="center"/>
          </w:tcPr>
          <w:p w14:paraId="43A7AA4D">
            <w:pPr>
              <w:ind w:firstLine="480"/>
              <w:rPr>
                <w:b/>
                <w:bCs/>
                <w:color w:val="auto"/>
                <w:highlight w:val="none"/>
              </w:rPr>
            </w:pPr>
            <w:r>
              <w:rPr>
                <w:rFonts w:hint="eastAsia"/>
                <w:b/>
                <w:bCs/>
                <w:color w:val="auto"/>
                <w:highlight w:val="none"/>
                <w:lang w:val="en-US" w:eastAsia="zh-CN"/>
              </w:rPr>
              <w:t>一</w:t>
            </w:r>
            <w:r>
              <w:rPr>
                <w:rFonts w:hint="eastAsia"/>
                <w:b/>
                <w:bCs/>
                <w:color w:val="auto"/>
                <w:highlight w:val="none"/>
              </w:rPr>
              <w:t>、大气环境</w:t>
            </w:r>
          </w:p>
          <w:p w14:paraId="3B56A044">
            <w:pPr>
              <w:pStyle w:val="79"/>
              <w:bidi w:val="0"/>
              <w:rPr>
                <w:rFonts w:hint="eastAsia"/>
                <w:color w:val="auto"/>
                <w:sz w:val="21"/>
                <w:szCs w:val="21"/>
                <w:highlight w:val="none"/>
                <w:lang w:val="en-US" w:eastAsia="zh-CN"/>
              </w:rPr>
            </w:pPr>
            <w:r>
              <w:rPr>
                <w:rFonts w:hint="default"/>
                <w:color w:val="auto"/>
                <w:sz w:val="21"/>
                <w:szCs w:val="21"/>
                <w:highlight w:val="none"/>
              </w:rPr>
              <w:t>表</w:t>
            </w:r>
            <w:r>
              <w:rPr>
                <w:rFonts w:hint="eastAsia"/>
                <w:color w:val="auto"/>
                <w:sz w:val="21"/>
                <w:szCs w:val="21"/>
                <w:highlight w:val="none"/>
                <w:lang w:val="en-US" w:eastAsia="zh-CN"/>
              </w:rPr>
              <w:t>3-6</w:t>
            </w:r>
            <w:r>
              <w:rPr>
                <w:rFonts w:hint="default"/>
                <w:color w:val="auto"/>
                <w:sz w:val="21"/>
                <w:szCs w:val="21"/>
                <w:highlight w:val="none"/>
              </w:rPr>
              <w:t xml:space="preserve">   项目主要</w:t>
            </w:r>
            <w:r>
              <w:rPr>
                <w:rFonts w:hint="eastAsia"/>
                <w:color w:val="auto"/>
                <w:sz w:val="21"/>
                <w:szCs w:val="21"/>
                <w:highlight w:val="none"/>
                <w:lang w:val="en-US" w:eastAsia="zh-CN"/>
              </w:rPr>
              <w:t>大气</w:t>
            </w:r>
            <w:r>
              <w:rPr>
                <w:rFonts w:hint="default"/>
                <w:color w:val="auto"/>
                <w:sz w:val="21"/>
                <w:szCs w:val="21"/>
                <w:highlight w:val="none"/>
              </w:rPr>
              <w:t>环境保护目标</w:t>
            </w:r>
            <w:r>
              <w:rPr>
                <w:rFonts w:hint="eastAsia"/>
                <w:color w:val="auto"/>
                <w:sz w:val="21"/>
                <w:szCs w:val="21"/>
                <w:highlight w:val="none"/>
                <w:lang w:val="en-US" w:eastAsia="zh-CN"/>
              </w:rPr>
              <w:t>一览表</w:t>
            </w:r>
          </w:p>
          <w:tbl>
            <w:tblPr>
              <w:tblStyle w:val="30"/>
              <w:tblW w:w="83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61"/>
              <w:gridCol w:w="1322"/>
              <w:gridCol w:w="1223"/>
              <w:gridCol w:w="924"/>
              <w:gridCol w:w="761"/>
              <w:gridCol w:w="877"/>
              <w:gridCol w:w="758"/>
              <w:gridCol w:w="721"/>
            </w:tblGrid>
            <w:tr w14:paraId="26056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671" w:type="dxa"/>
                  <w:vMerge w:val="restart"/>
                  <w:tcBorders>
                    <w:tl2br w:val="nil"/>
                    <w:tr2bl w:val="nil"/>
                  </w:tcBorders>
                  <w:noWrap w:val="0"/>
                  <w:vAlign w:val="center"/>
                </w:tcPr>
                <w:p w14:paraId="2A8FEA2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环境要素</w:t>
                  </w:r>
                </w:p>
              </w:tc>
              <w:tc>
                <w:tcPr>
                  <w:tcW w:w="1061" w:type="dxa"/>
                  <w:vMerge w:val="restart"/>
                  <w:tcBorders>
                    <w:tl2br w:val="nil"/>
                    <w:tr2bl w:val="nil"/>
                  </w:tcBorders>
                  <w:noWrap w:val="0"/>
                  <w:vAlign w:val="center"/>
                </w:tcPr>
                <w:p w14:paraId="31FA56E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名称</w:t>
                  </w:r>
                </w:p>
              </w:tc>
              <w:tc>
                <w:tcPr>
                  <w:tcW w:w="2545" w:type="dxa"/>
                  <w:gridSpan w:val="2"/>
                  <w:tcBorders>
                    <w:tl2br w:val="nil"/>
                    <w:tr2bl w:val="nil"/>
                  </w:tcBorders>
                  <w:noWrap w:val="0"/>
                  <w:vAlign w:val="center"/>
                </w:tcPr>
                <w:p w14:paraId="7253B52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rPr>
                    <w:t>坐标</w:t>
                  </w:r>
                  <w:r>
                    <w:rPr>
                      <w:rFonts w:hint="eastAsia" w:cs="Times New Roman"/>
                      <w:b/>
                      <w:bCs/>
                      <w:color w:val="000000"/>
                      <w:sz w:val="21"/>
                      <w:szCs w:val="21"/>
                      <w:highlight w:val="none"/>
                      <w:lang w:val="en-US" w:eastAsia="zh-CN"/>
                    </w:rPr>
                    <w:t>/°</w:t>
                  </w:r>
                </w:p>
              </w:tc>
              <w:tc>
                <w:tcPr>
                  <w:tcW w:w="924" w:type="dxa"/>
                  <w:vMerge w:val="restart"/>
                  <w:tcBorders>
                    <w:tl2br w:val="nil"/>
                    <w:tr2bl w:val="nil"/>
                  </w:tcBorders>
                  <w:noWrap w:val="0"/>
                  <w:vAlign w:val="center"/>
                </w:tcPr>
                <w:p w14:paraId="6E9F1CC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保护</w:t>
                  </w:r>
                </w:p>
                <w:p w14:paraId="0268CD5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对象</w:t>
                  </w:r>
                </w:p>
              </w:tc>
              <w:tc>
                <w:tcPr>
                  <w:tcW w:w="761" w:type="dxa"/>
                  <w:vMerge w:val="restart"/>
                  <w:tcBorders>
                    <w:tl2br w:val="nil"/>
                    <w:tr2bl w:val="nil"/>
                  </w:tcBorders>
                  <w:noWrap w:val="0"/>
                  <w:vAlign w:val="center"/>
                </w:tcPr>
                <w:p w14:paraId="046730F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保护内容</w:t>
                  </w:r>
                </w:p>
              </w:tc>
              <w:tc>
                <w:tcPr>
                  <w:tcW w:w="877" w:type="dxa"/>
                  <w:vMerge w:val="restart"/>
                  <w:tcBorders>
                    <w:tl2br w:val="nil"/>
                    <w:tr2bl w:val="nil"/>
                  </w:tcBorders>
                  <w:noWrap w:val="0"/>
                  <w:vAlign w:val="center"/>
                </w:tcPr>
                <w:p w14:paraId="422E486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环境功能区</w:t>
                  </w:r>
                </w:p>
              </w:tc>
              <w:tc>
                <w:tcPr>
                  <w:tcW w:w="758" w:type="dxa"/>
                  <w:vMerge w:val="restart"/>
                  <w:tcBorders>
                    <w:tl2br w:val="nil"/>
                    <w:tr2bl w:val="nil"/>
                  </w:tcBorders>
                  <w:noWrap w:val="0"/>
                  <w:vAlign w:val="center"/>
                </w:tcPr>
                <w:p w14:paraId="3D0C91B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相对厂址方位</w:t>
                  </w:r>
                </w:p>
              </w:tc>
              <w:tc>
                <w:tcPr>
                  <w:tcW w:w="721" w:type="dxa"/>
                  <w:vMerge w:val="restart"/>
                  <w:tcBorders>
                    <w:tl2br w:val="nil"/>
                    <w:tr2bl w:val="nil"/>
                  </w:tcBorders>
                  <w:noWrap w:val="0"/>
                  <w:vAlign w:val="center"/>
                </w:tcPr>
                <w:p w14:paraId="1CC751F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相对厂界距离/m</w:t>
                  </w:r>
                </w:p>
              </w:tc>
            </w:tr>
            <w:tr w14:paraId="313B9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vMerge w:val="continue"/>
                  <w:tcBorders>
                    <w:tl2br w:val="nil"/>
                    <w:tr2bl w:val="nil"/>
                  </w:tcBorders>
                  <w:noWrap w:val="0"/>
                  <w:vAlign w:val="center"/>
                </w:tcPr>
                <w:p w14:paraId="6FDE3C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1061" w:type="dxa"/>
                  <w:vMerge w:val="continue"/>
                  <w:tcBorders>
                    <w:tl2br w:val="nil"/>
                    <w:tr2bl w:val="nil"/>
                  </w:tcBorders>
                  <w:noWrap w:val="0"/>
                  <w:vAlign w:val="center"/>
                </w:tcPr>
                <w:p w14:paraId="3C310E8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1322" w:type="dxa"/>
                  <w:tcBorders>
                    <w:tl2br w:val="nil"/>
                    <w:tr2bl w:val="nil"/>
                  </w:tcBorders>
                  <w:noWrap w:val="0"/>
                  <w:vAlign w:val="center"/>
                </w:tcPr>
                <w:p w14:paraId="69918C7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sz w:val="21"/>
                      <w:szCs w:val="21"/>
                      <w:highlight w:val="none"/>
                      <w:lang w:eastAsia="zh-CN"/>
                    </w:rPr>
                  </w:pPr>
                  <w:r>
                    <w:rPr>
                      <w:rFonts w:hint="default" w:ascii="Times New Roman" w:hAnsi="Times New Roman" w:eastAsia="宋体" w:cs="Times New Roman"/>
                      <w:b/>
                      <w:bCs/>
                      <w:color w:val="000000"/>
                      <w:sz w:val="21"/>
                      <w:szCs w:val="21"/>
                      <w:highlight w:val="none"/>
                      <w:lang w:val="en-US" w:eastAsia="zh-CN"/>
                    </w:rPr>
                    <w:t>E</w:t>
                  </w:r>
                </w:p>
              </w:tc>
              <w:tc>
                <w:tcPr>
                  <w:tcW w:w="1223" w:type="dxa"/>
                  <w:tcBorders>
                    <w:tl2br w:val="nil"/>
                    <w:tr2bl w:val="nil"/>
                  </w:tcBorders>
                  <w:noWrap w:val="0"/>
                  <w:vAlign w:val="center"/>
                </w:tcPr>
                <w:p w14:paraId="679FDE1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N</w:t>
                  </w:r>
                </w:p>
              </w:tc>
              <w:tc>
                <w:tcPr>
                  <w:tcW w:w="924" w:type="dxa"/>
                  <w:vMerge w:val="continue"/>
                  <w:tcBorders>
                    <w:tl2br w:val="nil"/>
                    <w:tr2bl w:val="nil"/>
                  </w:tcBorders>
                  <w:noWrap w:val="0"/>
                  <w:vAlign w:val="center"/>
                </w:tcPr>
                <w:p w14:paraId="716B55A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761" w:type="dxa"/>
                  <w:vMerge w:val="continue"/>
                  <w:tcBorders>
                    <w:tl2br w:val="nil"/>
                    <w:tr2bl w:val="nil"/>
                  </w:tcBorders>
                  <w:noWrap w:val="0"/>
                  <w:vAlign w:val="center"/>
                </w:tcPr>
                <w:p w14:paraId="1404501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877" w:type="dxa"/>
                  <w:vMerge w:val="continue"/>
                  <w:tcBorders>
                    <w:tl2br w:val="nil"/>
                    <w:tr2bl w:val="nil"/>
                  </w:tcBorders>
                  <w:noWrap w:val="0"/>
                  <w:vAlign w:val="center"/>
                </w:tcPr>
                <w:p w14:paraId="249E864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758" w:type="dxa"/>
                  <w:vMerge w:val="continue"/>
                  <w:tcBorders>
                    <w:tl2br w:val="nil"/>
                    <w:tr2bl w:val="nil"/>
                  </w:tcBorders>
                  <w:noWrap w:val="0"/>
                  <w:vAlign w:val="center"/>
                </w:tcPr>
                <w:p w14:paraId="1B04B37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721" w:type="dxa"/>
                  <w:vMerge w:val="continue"/>
                  <w:tcBorders>
                    <w:tl2br w:val="nil"/>
                    <w:tr2bl w:val="nil"/>
                  </w:tcBorders>
                  <w:noWrap w:val="0"/>
                  <w:vAlign w:val="center"/>
                </w:tcPr>
                <w:p w14:paraId="2F8842D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r>
            <w:tr w14:paraId="0ED6E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vMerge w:val="restart"/>
                  <w:tcBorders>
                    <w:tl2br w:val="nil"/>
                    <w:tr2bl w:val="nil"/>
                  </w:tcBorders>
                  <w:noWrap w:val="0"/>
                  <w:vAlign w:val="center"/>
                </w:tcPr>
                <w:p w14:paraId="39ED745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环境空气</w:t>
                  </w:r>
                </w:p>
              </w:tc>
              <w:tc>
                <w:tcPr>
                  <w:tcW w:w="1061" w:type="dxa"/>
                  <w:tcBorders>
                    <w:tl2br w:val="nil"/>
                    <w:tr2bl w:val="nil"/>
                  </w:tcBorders>
                  <w:noWrap w:val="0"/>
                  <w:vAlign w:val="center"/>
                </w:tcPr>
                <w:p w14:paraId="6CA5D9E2">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auto"/>
                      <w:sz w:val="21"/>
                      <w:szCs w:val="21"/>
                      <w:lang w:val="en-US" w:eastAsia="zh-CN"/>
                    </w:rPr>
                    <w:t>石头坡村</w:t>
                  </w:r>
                </w:p>
              </w:tc>
              <w:tc>
                <w:tcPr>
                  <w:tcW w:w="1322" w:type="dxa"/>
                  <w:tcBorders>
                    <w:tl2br w:val="nil"/>
                    <w:tr2bl w:val="nil"/>
                  </w:tcBorders>
                  <w:noWrap w:val="0"/>
                  <w:vAlign w:val="center"/>
                </w:tcPr>
                <w:p w14:paraId="406F830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107.228460</w:t>
                  </w:r>
                </w:p>
              </w:tc>
              <w:tc>
                <w:tcPr>
                  <w:tcW w:w="1223" w:type="dxa"/>
                  <w:tcBorders>
                    <w:tl2br w:val="nil"/>
                    <w:tr2bl w:val="nil"/>
                  </w:tcBorders>
                  <w:noWrap w:val="0"/>
                  <w:vAlign w:val="center"/>
                </w:tcPr>
                <w:p w14:paraId="19EAFB4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34.492003</w:t>
                  </w:r>
                </w:p>
              </w:tc>
              <w:tc>
                <w:tcPr>
                  <w:tcW w:w="924" w:type="dxa"/>
                  <w:tcBorders>
                    <w:tl2br w:val="nil"/>
                    <w:tr2bl w:val="nil"/>
                  </w:tcBorders>
                  <w:noWrap w:val="0"/>
                  <w:vAlign w:val="center"/>
                </w:tcPr>
                <w:p w14:paraId="34FF670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居民区</w:t>
                  </w:r>
                </w:p>
              </w:tc>
              <w:tc>
                <w:tcPr>
                  <w:tcW w:w="761" w:type="dxa"/>
                  <w:tcBorders>
                    <w:tl2br w:val="nil"/>
                    <w:tr2bl w:val="nil"/>
                  </w:tcBorders>
                  <w:noWrap w:val="0"/>
                  <w:vAlign w:val="center"/>
                </w:tcPr>
                <w:p w14:paraId="71AD75D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人群</w:t>
                  </w:r>
                </w:p>
              </w:tc>
              <w:tc>
                <w:tcPr>
                  <w:tcW w:w="877" w:type="dxa"/>
                  <w:vMerge w:val="restart"/>
                  <w:tcBorders>
                    <w:tl2br w:val="nil"/>
                    <w:tr2bl w:val="nil"/>
                  </w:tcBorders>
                  <w:noWrap w:val="0"/>
                  <w:vAlign w:val="center"/>
                </w:tcPr>
                <w:p w14:paraId="73488D8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r>
                    <w:rPr>
                      <w:rFonts w:hint="eastAsia" w:cs="Times New Roman"/>
                      <w:color w:val="000000"/>
                      <w:sz w:val="21"/>
                      <w:szCs w:val="21"/>
                      <w:highlight w:val="none"/>
                      <w:lang w:val="en-US" w:eastAsia="zh-CN"/>
                    </w:rPr>
                    <w:t>二</w:t>
                  </w:r>
                  <w:r>
                    <w:rPr>
                      <w:rFonts w:hint="default" w:ascii="Times New Roman" w:hAnsi="Times New Roman" w:cs="Times New Roman"/>
                      <w:color w:val="000000"/>
                      <w:sz w:val="21"/>
                      <w:szCs w:val="21"/>
                      <w:highlight w:val="none"/>
                    </w:rPr>
                    <w:t>类功能区</w:t>
                  </w:r>
                </w:p>
              </w:tc>
              <w:tc>
                <w:tcPr>
                  <w:tcW w:w="758" w:type="dxa"/>
                  <w:tcBorders>
                    <w:tl2br w:val="nil"/>
                    <w:tr2bl w:val="nil"/>
                  </w:tcBorders>
                  <w:noWrap w:val="0"/>
                  <w:vAlign w:val="center"/>
                </w:tcPr>
                <w:p w14:paraId="738AB25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E</w:t>
                  </w:r>
                </w:p>
              </w:tc>
              <w:tc>
                <w:tcPr>
                  <w:tcW w:w="721" w:type="dxa"/>
                  <w:tcBorders>
                    <w:tl2br w:val="nil"/>
                    <w:tr2bl w:val="nil"/>
                  </w:tcBorders>
                  <w:noWrap w:val="0"/>
                  <w:vAlign w:val="center"/>
                </w:tcPr>
                <w:p w14:paraId="6B9840D0">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auto"/>
                      <w:sz w:val="21"/>
                      <w:szCs w:val="21"/>
                      <w:lang w:val="en-US" w:eastAsia="zh-CN"/>
                    </w:rPr>
                    <w:t>270</w:t>
                  </w:r>
                </w:p>
              </w:tc>
            </w:tr>
            <w:tr w14:paraId="5933C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vMerge w:val="continue"/>
                  <w:tcBorders>
                    <w:tl2br w:val="nil"/>
                    <w:tr2bl w:val="nil"/>
                  </w:tcBorders>
                  <w:noWrap w:val="0"/>
                  <w:vAlign w:val="center"/>
                </w:tcPr>
                <w:p w14:paraId="0604221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1061" w:type="dxa"/>
                  <w:tcBorders>
                    <w:tl2br w:val="nil"/>
                    <w:tr2bl w:val="nil"/>
                  </w:tcBorders>
                  <w:noWrap w:val="0"/>
                  <w:vAlign w:val="center"/>
                </w:tcPr>
                <w:p w14:paraId="789DB921">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auto"/>
                      <w:sz w:val="21"/>
                      <w:szCs w:val="21"/>
                      <w:lang w:val="en-US" w:eastAsia="zh-CN"/>
                    </w:rPr>
                    <w:t>刘家台村</w:t>
                  </w:r>
                </w:p>
              </w:tc>
              <w:tc>
                <w:tcPr>
                  <w:tcW w:w="1322" w:type="dxa"/>
                  <w:tcBorders>
                    <w:tl2br w:val="nil"/>
                    <w:tr2bl w:val="nil"/>
                  </w:tcBorders>
                  <w:noWrap w:val="0"/>
                  <w:vAlign w:val="center"/>
                </w:tcPr>
                <w:p w14:paraId="38BB783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107.229798</w:t>
                  </w:r>
                </w:p>
              </w:tc>
              <w:tc>
                <w:tcPr>
                  <w:tcW w:w="1223" w:type="dxa"/>
                  <w:tcBorders>
                    <w:tl2br w:val="nil"/>
                    <w:tr2bl w:val="nil"/>
                  </w:tcBorders>
                  <w:noWrap w:val="0"/>
                  <w:vAlign w:val="center"/>
                </w:tcPr>
                <w:p w14:paraId="4C8520B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34.492429</w:t>
                  </w:r>
                </w:p>
              </w:tc>
              <w:tc>
                <w:tcPr>
                  <w:tcW w:w="924" w:type="dxa"/>
                  <w:tcBorders>
                    <w:tl2br w:val="nil"/>
                    <w:tr2bl w:val="nil"/>
                  </w:tcBorders>
                  <w:noWrap w:val="0"/>
                  <w:vAlign w:val="center"/>
                </w:tcPr>
                <w:p w14:paraId="3F4FE4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居民区</w:t>
                  </w:r>
                </w:p>
              </w:tc>
              <w:tc>
                <w:tcPr>
                  <w:tcW w:w="761" w:type="dxa"/>
                  <w:tcBorders>
                    <w:tl2br w:val="nil"/>
                    <w:tr2bl w:val="nil"/>
                  </w:tcBorders>
                  <w:noWrap w:val="0"/>
                  <w:vAlign w:val="center"/>
                </w:tcPr>
                <w:p w14:paraId="0B9E8F3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人群</w:t>
                  </w:r>
                </w:p>
              </w:tc>
              <w:tc>
                <w:tcPr>
                  <w:tcW w:w="877" w:type="dxa"/>
                  <w:vMerge w:val="continue"/>
                  <w:tcBorders>
                    <w:tl2br w:val="nil"/>
                    <w:tr2bl w:val="nil"/>
                  </w:tcBorders>
                  <w:noWrap w:val="0"/>
                  <w:vAlign w:val="center"/>
                </w:tcPr>
                <w:p w14:paraId="04905F9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758" w:type="dxa"/>
                  <w:tcBorders>
                    <w:tl2br w:val="nil"/>
                    <w:tr2bl w:val="nil"/>
                  </w:tcBorders>
                  <w:noWrap w:val="0"/>
                  <w:vAlign w:val="center"/>
                </w:tcPr>
                <w:p w14:paraId="3C02342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E</w:t>
                  </w:r>
                </w:p>
              </w:tc>
              <w:tc>
                <w:tcPr>
                  <w:tcW w:w="721" w:type="dxa"/>
                  <w:tcBorders>
                    <w:tl2br w:val="nil"/>
                    <w:tr2bl w:val="nil"/>
                  </w:tcBorders>
                  <w:noWrap w:val="0"/>
                  <w:vAlign w:val="center"/>
                </w:tcPr>
                <w:p w14:paraId="19801CB5">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0</w:t>
                  </w:r>
                </w:p>
              </w:tc>
            </w:tr>
            <w:tr w14:paraId="69C76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vMerge w:val="continue"/>
                  <w:tcBorders>
                    <w:tl2br w:val="nil"/>
                    <w:tr2bl w:val="nil"/>
                  </w:tcBorders>
                  <w:noWrap w:val="0"/>
                  <w:vAlign w:val="center"/>
                </w:tcPr>
                <w:p w14:paraId="03E9F2F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1061" w:type="dxa"/>
                  <w:tcBorders>
                    <w:tl2br w:val="nil"/>
                    <w:tr2bl w:val="nil"/>
                  </w:tcBorders>
                  <w:noWrap w:val="0"/>
                  <w:vAlign w:val="center"/>
                </w:tcPr>
                <w:p w14:paraId="3D7E6CDC">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color w:val="000000"/>
                      <w:sz w:val="21"/>
                      <w:szCs w:val="21"/>
                      <w:highlight w:val="none"/>
                      <w:lang w:val="en-US" w:eastAsia="zh-CN"/>
                    </w:rPr>
                  </w:pPr>
                  <w:r>
                    <w:rPr>
                      <w:rFonts w:hint="eastAsia" w:ascii="Times New Roman" w:hAnsi="Times New Roman" w:eastAsia="宋体" w:cs="Times New Roman"/>
                      <w:color w:val="auto"/>
                      <w:sz w:val="21"/>
                      <w:szCs w:val="21"/>
                      <w:lang w:val="en-US" w:eastAsia="zh-CN"/>
                    </w:rPr>
                    <w:t>三姓台村</w:t>
                  </w:r>
                </w:p>
              </w:tc>
              <w:tc>
                <w:tcPr>
                  <w:tcW w:w="1322" w:type="dxa"/>
                  <w:tcBorders>
                    <w:tl2br w:val="nil"/>
                    <w:tr2bl w:val="nil"/>
                  </w:tcBorders>
                  <w:noWrap w:val="0"/>
                  <w:vAlign w:val="center"/>
                </w:tcPr>
                <w:p w14:paraId="0AF0873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107.230775</w:t>
                  </w:r>
                </w:p>
              </w:tc>
              <w:tc>
                <w:tcPr>
                  <w:tcW w:w="1223" w:type="dxa"/>
                  <w:tcBorders>
                    <w:tl2br w:val="nil"/>
                    <w:tr2bl w:val="nil"/>
                  </w:tcBorders>
                  <w:noWrap w:val="0"/>
                  <w:vAlign w:val="center"/>
                </w:tcPr>
                <w:p w14:paraId="364FEB6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34.491045</w:t>
                  </w:r>
                </w:p>
              </w:tc>
              <w:tc>
                <w:tcPr>
                  <w:tcW w:w="924" w:type="dxa"/>
                  <w:tcBorders>
                    <w:tl2br w:val="nil"/>
                    <w:tr2bl w:val="nil"/>
                  </w:tcBorders>
                  <w:noWrap w:val="0"/>
                  <w:vAlign w:val="center"/>
                </w:tcPr>
                <w:p w14:paraId="6FDD7ED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居民区</w:t>
                  </w:r>
                </w:p>
              </w:tc>
              <w:tc>
                <w:tcPr>
                  <w:tcW w:w="761" w:type="dxa"/>
                  <w:tcBorders>
                    <w:tl2br w:val="nil"/>
                    <w:tr2bl w:val="nil"/>
                  </w:tcBorders>
                  <w:noWrap w:val="0"/>
                  <w:vAlign w:val="center"/>
                </w:tcPr>
                <w:p w14:paraId="70C2B90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人群</w:t>
                  </w:r>
                </w:p>
              </w:tc>
              <w:tc>
                <w:tcPr>
                  <w:tcW w:w="877" w:type="dxa"/>
                  <w:vMerge w:val="continue"/>
                  <w:tcBorders>
                    <w:tl2br w:val="nil"/>
                    <w:tr2bl w:val="nil"/>
                  </w:tcBorders>
                  <w:noWrap w:val="0"/>
                  <w:vAlign w:val="center"/>
                </w:tcPr>
                <w:p w14:paraId="2A78A87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758" w:type="dxa"/>
                  <w:tcBorders>
                    <w:tl2br w:val="nil"/>
                    <w:tr2bl w:val="nil"/>
                  </w:tcBorders>
                  <w:noWrap w:val="0"/>
                  <w:vAlign w:val="center"/>
                </w:tcPr>
                <w:p w14:paraId="5AA34802">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color w:val="000000"/>
                      <w:sz w:val="21"/>
                      <w:szCs w:val="21"/>
                      <w:highlight w:val="none"/>
                      <w:lang w:val="en-US" w:eastAsia="zh-CN"/>
                    </w:rPr>
                  </w:pPr>
                  <w:r>
                    <w:rPr>
                      <w:rFonts w:hint="eastAsia" w:ascii="Times New Roman" w:hAnsi="Times New Roman" w:eastAsia="宋体" w:cs="Times New Roman"/>
                      <w:color w:val="auto"/>
                      <w:sz w:val="21"/>
                      <w:szCs w:val="21"/>
                      <w:lang w:val="en-US" w:eastAsia="zh-CN"/>
                    </w:rPr>
                    <w:t>E</w:t>
                  </w:r>
                </w:p>
              </w:tc>
              <w:tc>
                <w:tcPr>
                  <w:tcW w:w="721" w:type="dxa"/>
                  <w:tcBorders>
                    <w:tl2br w:val="nil"/>
                    <w:tr2bl w:val="nil"/>
                  </w:tcBorders>
                  <w:noWrap w:val="0"/>
                  <w:vAlign w:val="center"/>
                </w:tcPr>
                <w:p w14:paraId="0EC20A45">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color w:val="000000"/>
                      <w:sz w:val="21"/>
                      <w:szCs w:val="21"/>
                      <w:highlight w:val="none"/>
                      <w:lang w:val="en-US" w:eastAsia="zh-CN"/>
                    </w:rPr>
                  </w:pPr>
                  <w:r>
                    <w:rPr>
                      <w:rFonts w:hint="eastAsia" w:ascii="Times New Roman" w:hAnsi="Times New Roman" w:cs="Times New Roman"/>
                      <w:color w:val="auto"/>
                      <w:sz w:val="21"/>
                      <w:szCs w:val="21"/>
                      <w:lang w:val="en-US" w:eastAsia="zh-CN"/>
                    </w:rPr>
                    <w:t>185</w:t>
                  </w:r>
                </w:p>
              </w:tc>
            </w:tr>
            <w:tr w14:paraId="2DA5A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vMerge w:val="continue"/>
                  <w:tcBorders>
                    <w:tl2br w:val="nil"/>
                    <w:tr2bl w:val="nil"/>
                  </w:tcBorders>
                  <w:noWrap w:val="0"/>
                  <w:vAlign w:val="center"/>
                </w:tcPr>
                <w:p w14:paraId="28BB9FB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1061" w:type="dxa"/>
                  <w:tcBorders>
                    <w:tl2br w:val="nil"/>
                    <w:tr2bl w:val="nil"/>
                  </w:tcBorders>
                  <w:noWrap w:val="0"/>
                  <w:vAlign w:val="center"/>
                </w:tcPr>
                <w:p w14:paraId="3B750BFF">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lang w:val="en-US" w:eastAsia="zh-CN"/>
                    </w:rPr>
                  </w:pPr>
                  <w:r>
                    <w:rPr>
                      <w:rFonts w:hint="eastAsia" w:ascii="Times New Roman" w:hAnsi="Times New Roman" w:eastAsia="宋体" w:cs="Times New Roman"/>
                      <w:color w:val="auto"/>
                      <w:sz w:val="21"/>
                      <w:szCs w:val="21"/>
                      <w:lang w:val="en-US" w:eastAsia="zh-CN"/>
                    </w:rPr>
                    <w:t>罗钵寺村</w:t>
                  </w:r>
                </w:p>
              </w:tc>
              <w:tc>
                <w:tcPr>
                  <w:tcW w:w="1322" w:type="dxa"/>
                  <w:tcBorders>
                    <w:tl2br w:val="nil"/>
                    <w:tr2bl w:val="nil"/>
                  </w:tcBorders>
                  <w:noWrap w:val="0"/>
                  <w:vAlign w:val="center"/>
                </w:tcPr>
                <w:p w14:paraId="57A9565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107.231440</w:t>
                  </w:r>
                </w:p>
              </w:tc>
              <w:tc>
                <w:tcPr>
                  <w:tcW w:w="1223" w:type="dxa"/>
                  <w:tcBorders>
                    <w:tl2br w:val="nil"/>
                    <w:tr2bl w:val="nil"/>
                  </w:tcBorders>
                  <w:noWrap w:val="0"/>
                  <w:vAlign w:val="center"/>
                </w:tcPr>
                <w:p w14:paraId="06D1881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34.486732</w:t>
                  </w:r>
                </w:p>
              </w:tc>
              <w:tc>
                <w:tcPr>
                  <w:tcW w:w="924" w:type="dxa"/>
                  <w:tcBorders>
                    <w:tl2br w:val="nil"/>
                    <w:tr2bl w:val="nil"/>
                  </w:tcBorders>
                  <w:noWrap w:val="0"/>
                  <w:vAlign w:val="center"/>
                </w:tcPr>
                <w:p w14:paraId="5ED1CA3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居民区</w:t>
                  </w:r>
                </w:p>
              </w:tc>
              <w:tc>
                <w:tcPr>
                  <w:tcW w:w="761" w:type="dxa"/>
                  <w:tcBorders>
                    <w:tl2br w:val="nil"/>
                    <w:tr2bl w:val="nil"/>
                  </w:tcBorders>
                  <w:noWrap w:val="0"/>
                  <w:vAlign w:val="center"/>
                </w:tcPr>
                <w:p w14:paraId="0DE9B19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人群</w:t>
                  </w:r>
                </w:p>
              </w:tc>
              <w:tc>
                <w:tcPr>
                  <w:tcW w:w="877" w:type="dxa"/>
                  <w:vMerge w:val="continue"/>
                  <w:tcBorders>
                    <w:tl2br w:val="nil"/>
                    <w:tr2bl w:val="nil"/>
                  </w:tcBorders>
                  <w:noWrap w:val="0"/>
                  <w:vAlign w:val="center"/>
                </w:tcPr>
                <w:p w14:paraId="3A9C0D9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758" w:type="dxa"/>
                  <w:tcBorders>
                    <w:tl2br w:val="nil"/>
                    <w:tr2bl w:val="nil"/>
                  </w:tcBorders>
                  <w:noWrap w:val="0"/>
                  <w:vAlign w:val="center"/>
                </w:tcPr>
                <w:p w14:paraId="2ACFAC03">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color w:val="000000"/>
                      <w:sz w:val="21"/>
                      <w:szCs w:val="21"/>
                      <w:highlight w:val="none"/>
                      <w:lang w:val="en-US" w:eastAsia="zh-CN"/>
                    </w:rPr>
                  </w:pPr>
                  <w:r>
                    <w:rPr>
                      <w:rFonts w:hint="eastAsia" w:ascii="Times New Roman" w:hAnsi="Times New Roman" w:eastAsia="宋体" w:cs="Times New Roman"/>
                      <w:color w:val="auto"/>
                      <w:sz w:val="21"/>
                      <w:szCs w:val="21"/>
                      <w:lang w:val="en-US" w:eastAsia="zh-CN"/>
                    </w:rPr>
                    <w:t>ES</w:t>
                  </w:r>
                </w:p>
              </w:tc>
              <w:tc>
                <w:tcPr>
                  <w:tcW w:w="721" w:type="dxa"/>
                  <w:tcBorders>
                    <w:tl2br w:val="nil"/>
                    <w:tr2bl w:val="nil"/>
                  </w:tcBorders>
                  <w:noWrap w:val="0"/>
                  <w:vAlign w:val="center"/>
                </w:tcPr>
                <w:p w14:paraId="24B1F138">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cs="Times New Roman"/>
                      <w:color w:val="000000"/>
                      <w:sz w:val="21"/>
                      <w:szCs w:val="21"/>
                      <w:highlight w:val="none"/>
                      <w:lang w:val="en-US" w:eastAsia="zh-CN"/>
                    </w:rPr>
                  </w:pPr>
                  <w:r>
                    <w:rPr>
                      <w:rFonts w:hint="eastAsia" w:ascii="Times New Roman" w:hAnsi="Times New Roman" w:eastAsia="宋体" w:cs="Times New Roman"/>
                      <w:color w:val="auto"/>
                      <w:sz w:val="21"/>
                      <w:szCs w:val="21"/>
                      <w:lang w:val="en-US" w:eastAsia="zh-CN"/>
                    </w:rPr>
                    <w:t>275</w:t>
                  </w:r>
                </w:p>
              </w:tc>
            </w:tr>
            <w:tr w14:paraId="29B25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vMerge w:val="continue"/>
                  <w:tcBorders>
                    <w:tl2br w:val="nil"/>
                    <w:tr2bl w:val="nil"/>
                  </w:tcBorders>
                  <w:noWrap w:val="0"/>
                  <w:vAlign w:val="center"/>
                </w:tcPr>
                <w:p w14:paraId="44258F0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1061" w:type="dxa"/>
                  <w:tcBorders>
                    <w:tl2br w:val="nil"/>
                    <w:tr2bl w:val="nil"/>
                  </w:tcBorders>
                  <w:noWrap w:val="0"/>
                  <w:vAlign w:val="center"/>
                </w:tcPr>
                <w:p w14:paraId="5D488D32">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薛家湾村</w:t>
                  </w:r>
                </w:p>
              </w:tc>
              <w:tc>
                <w:tcPr>
                  <w:tcW w:w="1322" w:type="dxa"/>
                  <w:tcBorders>
                    <w:tl2br w:val="nil"/>
                    <w:tr2bl w:val="nil"/>
                  </w:tcBorders>
                  <w:noWrap w:val="0"/>
                  <w:vAlign w:val="center"/>
                </w:tcPr>
                <w:p w14:paraId="0968D17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107.222578</w:t>
                  </w:r>
                </w:p>
              </w:tc>
              <w:tc>
                <w:tcPr>
                  <w:tcW w:w="1223" w:type="dxa"/>
                  <w:tcBorders>
                    <w:tl2br w:val="nil"/>
                    <w:tr2bl w:val="nil"/>
                  </w:tcBorders>
                  <w:noWrap w:val="0"/>
                  <w:vAlign w:val="center"/>
                </w:tcPr>
                <w:p w14:paraId="0041213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34.487269</w:t>
                  </w:r>
                </w:p>
              </w:tc>
              <w:tc>
                <w:tcPr>
                  <w:tcW w:w="924" w:type="dxa"/>
                  <w:tcBorders>
                    <w:tl2br w:val="nil"/>
                    <w:tr2bl w:val="nil"/>
                  </w:tcBorders>
                  <w:noWrap w:val="0"/>
                  <w:vAlign w:val="center"/>
                </w:tcPr>
                <w:p w14:paraId="6EA4A4C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s="Times New Roman"/>
                      <w:color w:val="000000"/>
                      <w:sz w:val="21"/>
                      <w:szCs w:val="21"/>
                      <w:highlight w:val="none"/>
                      <w:lang w:val="en-US" w:eastAsia="zh-CN"/>
                    </w:rPr>
                  </w:pPr>
                  <w:r>
                    <w:rPr>
                      <w:rFonts w:hint="eastAsia" w:eastAsia="宋体" w:cs="Times New Roman"/>
                      <w:color w:val="000000"/>
                      <w:sz w:val="21"/>
                      <w:szCs w:val="21"/>
                      <w:highlight w:val="none"/>
                      <w:lang w:val="en-US" w:eastAsia="zh-CN"/>
                    </w:rPr>
                    <w:t>居民区</w:t>
                  </w:r>
                </w:p>
              </w:tc>
              <w:tc>
                <w:tcPr>
                  <w:tcW w:w="761" w:type="dxa"/>
                  <w:tcBorders>
                    <w:tl2br w:val="nil"/>
                    <w:tr2bl w:val="nil"/>
                  </w:tcBorders>
                  <w:noWrap w:val="0"/>
                  <w:vAlign w:val="center"/>
                </w:tcPr>
                <w:p w14:paraId="6666C6C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人群</w:t>
                  </w:r>
                </w:p>
              </w:tc>
              <w:tc>
                <w:tcPr>
                  <w:tcW w:w="877" w:type="dxa"/>
                  <w:vMerge w:val="continue"/>
                  <w:tcBorders>
                    <w:tl2br w:val="nil"/>
                    <w:tr2bl w:val="nil"/>
                  </w:tcBorders>
                  <w:noWrap w:val="0"/>
                  <w:vAlign w:val="center"/>
                </w:tcPr>
                <w:p w14:paraId="62D2DFC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sz w:val="21"/>
                      <w:szCs w:val="21"/>
                      <w:highlight w:val="none"/>
                    </w:rPr>
                  </w:pPr>
                </w:p>
              </w:tc>
              <w:tc>
                <w:tcPr>
                  <w:tcW w:w="758" w:type="dxa"/>
                  <w:tcBorders>
                    <w:tl2br w:val="nil"/>
                    <w:tr2bl w:val="nil"/>
                  </w:tcBorders>
                  <w:noWrap w:val="0"/>
                  <w:vAlign w:val="center"/>
                </w:tcPr>
                <w:p w14:paraId="4D6DC298">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eastAsia="宋体" w:cs="Times New Roman"/>
                      <w:color w:val="000000"/>
                      <w:sz w:val="21"/>
                      <w:szCs w:val="21"/>
                      <w:highlight w:val="none"/>
                      <w:lang w:val="en-US" w:eastAsia="zh-CN"/>
                    </w:rPr>
                  </w:pPr>
                  <w:r>
                    <w:rPr>
                      <w:rFonts w:hint="eastAsia" w:ascii="Times New Roman" w:hAnsi="Times New Roman" w:eastAsia="宋体" w:cs="Times New Roman"/>
                      <w:color w:val="auto"/>
                      <w:sz w:val="21"/>
                      <w:szCs w:val="21"/>
                      <w:lang w:val="en-US" w:eastAsia="zh-CN"/>
                    </w:rPr>
                    <w:t>W</w:t>
                  </w:r>
                </w:p>
              </w:tc>
              <w:tc>
                <w:tcPr>
                  <w:tcW w:w="721" w:type="dxa"/>
                  <w:tcBorders>
                    <w:tl2br w:val="nil"/>
                    <w:tr2bl w:val="nil"/>
                  </w:tcBorders>
                  <w:noWrap w:val="0"/>
                  <w:vAlign w:val="center"/>
                </w:tcPr>
                <w:p w14:paraId="78228D47">
                  <w:pPr>
                    <w:pStyle w:val="2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0</w:t>
                  </w:r>
                </w:p>
              </w:tc>
            </w:tr>
          </w:tbl>
          <w:p w14:paraId="550A5409">
            <w:pPr>
              <w:widowControl/>
              <w:adjustRightInd w:val="0"/>
              <w:snapToGrid w:val="0"/>
              <w:ind w:firstLine="480"/>
              <w:rPr>
                <w:b/>
                <w:bCs/>
                <w:color w:val="auto"/>
              </w:rPr>
            </w:pPr>
            <w:r>
              <w:rPr>
                <w:rFonts w:hint="eastAsia"/>
                <w:b/>
                <w:bCs/>
                <w:color w:val="auto"/>
                <w:lang w:val="en-US" w:eastAsia="zh-CN"/>
              </w:rPr>
              <w:t>二</w:t>
            </w:r>
            <w:r>
              <w:rPr>
                <w:b/>
                <w:bCs/>
                <w:color w:val="auto"/>
              </w:rPr>
              <w:t>、声环境</w:t>
            </w:r>
          </w:p>
          <w:p w14:paraId="3BF94053">
            <w:pPr>
              <w:widowControl/>
              <w:adjustRightInd w:val="0"/>
              <w:snapToGrid w:val="0"/>
              <w:ind w:firstLine="480"/>
              <w:rPr>
                <w:color w:val="auto"/>
              </w:rPr>
            </w:pPr>
            <w:r>
              <w:rPr>
                <w:color w:val="auto"/>
              </w:rPr>
              <w:t>项目位于</w:t>
            </w:r>
            <w:r>
              <w:rPr>
                <w:rFonts w:hint="default" w:ascii="Times New Roman" w:hAnsi="Times New Roman" w:eastAsia="宋体" w:cs="Times New Roman"/>
                <w:color w:val="auto"/>
                <w:sz w:val="24"/>
                <w:szCs w:val="24"/>
                <w:highlight w:val="none"/>
              </w:rPr>
              <w:t>陕西省宝鸡市凤翔高新区长青工业园</w:t>
            </w:r>
            <w:r>
              <w:rPr>
                <w:rFonts w:hint="eastAsia" w:cs="Times New Roman"/>
                <w:color w:val="auto"/>
                <w:sz w:val="24"/>
                <w:szCs w:val="24"/>
                <w:highlight w:val="none"/>
                <w:lang w:eastAsia="zh-CN"/>
              </w:rPr>
              <w:t>，</w:t>
            </w:r>
            <w:r>
              <w:rPr>
                <w:color w:val="auto"/>
              </w:rPr>
              <w:t>经现场调查厂址外围50m范围</w:t>
            </w:r>
            <w:r>
              <w:rPr>
                <w:rFonts w:hint="eastAsia"/>
                <w:color w:val="auto"/>
                <w:lang w:val="en-US" w:eastAsia="zh-CN"/>
              </w:rPr>
              <w:t>内无</w:t>
            </w:r>
            <w:r>
              <w:rPr>
                <w:color w:val="auto"/>
              </w:rPr>
              <w:t>声环境敏感目标。</w:t>
            </w:r>
          </w:p>
          <w:p w14:paraId="505A35E4">
            <w:pPr>
              <w:adjustRightInd w:val="0"/>
              <w:snapToGrid w:val="0"/>
              <w:ind w:firstLine="480"/>
              <w:rPr>
                <w:b/>
                <w:bCs/>
                <w:color w:val="auto"/>
                <w:highlight w:val="lightGray"/>
              </w:rPr>
            </w:pPr>
            <w:r>
              <w:rPr>
                <w:rFonts w:hint="eastAsia"/>
                <w:b/>
                <w:bCs/>
                <w:color w:val="auto"/>
                <w:kern w:val="0"/>
                <w:szCs w:val="21"/>
                <w:lang w:val="en-US" w:eastAsia="zh-CN"/>
              </w:rPr>
              <w:t>三</w:t>
            </w:r>
            <w:r>
              <w:rPr>
                <w:b/>
                <w:bCs/>
                <w:color w:val="auto"/>
                <w:kern w:val="0"/>
                <w:szCs w:val="21"/>
              </w:rPr>
              <w:t>、地下水环境</w:t>
            </w:r>
          </w:p>
          <w:p w14:paraId="249BC6E8">
            <w:pPr>
              <w:adjustRightInd w:val="0"/>
              <w:snapToGrid w:val="0"/>
              <w:ind w:firstLine="480"/>
              <w:rPr>
                <w:color w:val="auto"/>
                <w:kern w:val="0"/>
                <w:szCs w:val="21"/>
              </w:rPr>
            </w:pPr>
            <w:r>
              <w:rPr>
                <w:color w:val="auto"/>
              </w:rPr>
              <w:t>项目位于</w:t>
            </w:r>
            <w:r>
              <w:rPr>
                <w:rFonts w:hint="default" w:ascii="Times New Roman" w:hAnsi="Times New Roman" w:eastAsia="宋体" w:cs="Times New Roman"/>
                <w:color w:val="auto"/>
                <w:sz w:val="24"/>
                <w:szCs w:val="24"/>
                <w:highlight w:val="none"/>
              </w:rPr>
              <w:t>陕西省宝鸡市凤翔高新区长青工业园</w:t>
            </w:r>
            <w:r>
              <w:rPr>
                <w:rFonts w:hint="eastAsia" w:cs="Times New Roman"/>
                <w:color w:val="auto"/>
                <w:sz w:val="24"/>
                <w:szCs w:val="24"/>
                <w:highlight w:val="none"/>
                <w:lang w:eastAsia="zh-CN"/>
              </w:rPr>
              <w:t>，</w:t>
            </w:r>
            <w:r>
              <w:rPr>
                <w:color w:val="auto"/>
                <w:kern w:val="0"/>
                <w:szCs w:val="21"/>
              </w:rPr>
              <w:t>厂界外500</w:t>
            </w:r>
            <w:r>
              <w:rPr>
                <w:rFonts w:hint="eastAsia"/>
                <w:color w:val="auto"/>
                <w:kern w:val="0"/>
                <w:szCs w:val="21"/>
              </w:rPr>
              <w:t>m</w:t>
            </w:r>
            <w:r>
              <w:rPr>
                <w:color w:val="auto"/>
                <w:kern w:val="0"/>
                <w:szCs w:val="21"/>
              </w:rPr>
              <w:t>范围内没有地下水集中式饮用水水源和热水、矿泉水、温泉等特殊地下水资源，无地下水环境保护目标。</w:t>
            </w:r>
          </w:p>
          <w:p w14:paraId="5A4263D8">
            <w:pPr>
              <w:adjustRightInd w:val="0"/>
              <w:snapToGrid w:val="0"/>
              <w:ind w:firstLine="480"/>
              <w:rPr>
                <w:b/>
                <w:bCs/>
                <w:color w:val="auto"/>
                <w:kern w:val="0"/>
                <w:szCs w:val="21"/>
              </w:rPr>
            </w:pPr>
            <w:r>
              <w:rPr>
                <w:rFonts w:hint="eastAsia"/>
                <w:b/>
                <w:bCs/>
                <w:color w:val="auto"/>
                <w:kern w:val="0"/>
                <w:szCs w:val="21"/>
                <w:lang w:val="en-US" w:eastAsia="zh-CN"/>
              </w:rPr>
              <w:t>四</w:t>
            </w:r>
            <w:r>
              <w:rPr>
                <w:b/>
                <w:bCs/>
                <w:color w:val="auto"/>
                <w:kern w:val="0"/>
                <w:szCs w:val="21"/>
              </w:rPr>
              <w:t>、生态环境</w:t>
            </w:r>
          </w:p>
          <w:p w14:paraId="41F4E891">
            <w:pPr>
              <w:bidi w:val="0"/>
              <w:rPr>
                <w:rFonts w:hint="default" w:ascii="Times New Roman" w:hAnsi="Times New Roman" w:eastAsia="宋体" w:cs="Times New Roman"/>
                <w:color w:val="auto"/>
                <w:kern w:val="0"/>
                <w:sz w:val="24"/>
                <w:szCs w:val="24"/>
                <w:highlight w:val="none"/>
                <w:lang w:eastAsia="zh-CN"/>
              </w:rPr>
            </w:pPr>
            <w:r>
              <w:rPr>
                <w:color w:val="auto"/>
                <w:szCs w:val="21"/>
              </w:rPr>
              <w:t>项目位于</w:t>
            </w:r>
            <w:r>
              <w:rPr>
                <w:rFonts w:hint="default" w:ascii="Times New Roman" w:hAnsi="Times New Roman" w:eastAsia="宋体" w:cs="Times New Roman"/>
                <w:color w:val="auto"/>
                <w:sz w:val="24"/>
                <w:szCs w:val="24"/>
                <w:highlight w:val="none"/>
              </w:rPr>
              <w:t>陕西省宝鸡市凤翔高新区长青工业园</w:t>
            </w:r>
            <w:r>
              <w:rPr>
                <w:rFonts w:hint="eastAsia" w:cs="Times New Roman"/>
                <w:color w:val="auto"/>
                <w:sz w:val="24"/>
                <w:szCs w:val="24"/>
                <w:highlight w:val="none"/>
                <w:lang w:eastAsia="zh-CN"/>
              </w:rPr>
              <w:t>，</w:t>
            </w:r>
            <w:r>
              <w:rPr>
                <w:rFonts w:hint="eastAsia"/>
                <w:color w:val="auto"/>
                <w:lang w:val="en-US" w:eastAsia="zh-CN"/>
              </w:rPr>
              <w:t>生态环境受人类活动影响明显，系统生物多样性较低，所在区域以人工生态系统为主，周边植被主要为常见的市政绿化植被，无重点保护的珍稀动植物物种资源、自然保护区和需要重点保护的栖息地以及其他生态敏感点，项目所在区域生态系统敏感程度低，无重大生态环境制约因素。</w:t>
            </w:r>
          </w:p>
        </w:tc>
      </w:tr>
      <w:tr w14:paraId="56233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dxa"/>
            <w:noWrap w:val="0"/>
            <w:tcMar>
              <w:left w:w="28" w:type="dxa"/>
              <w:right w:w="28" w:type="dxa"/>
            </w:tcMar>
            <w:vAlign w:val="center"/>
          </w:tcPr>
          <w:p w14:paraId="68786B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污染</w:t>
            </w:r>
          </w:p>
          <w:p w14:paraId="216B17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物排</w:t>
            </w:r>
          </w:p>
          <w:p w14:paraId="13C96D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放控</w:t>
            </w:r>
          </w:p>
          <w:p w14:paraId="0F209C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制标</w:t>
            </w:r>
          </w:p>
          <w:p w14:paraId="3BB819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准</w:t>
            </w:r>
          </w:p>
        </w:tc>
        <w:tc>
          <w:tcPr>
            <w:tcW w:w="8462" w:type="dxa"/>
            <w:noWrap w:val="0"/>
            <w:vAlign w:val="center"/>
          </w:tcPr>
          <w:p w14:paraId="4A9F8B26">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一、废气</w:t>
            </w:r>
          </w:p>
          <w:p w14:paraId="72EB66E8">
            <w:pPr>
              <w:bidi w:val="0"/>
              <w:rPr>
                <w:rFonts w:hint="default" w:ascii="Times New Roman" w:hAnsi="Times New Roman" w:eastAsia="宋体" w:cs="Times New Roman"/>
                <w:smallCaps w:val="0"/>
                <w:color w:val="auto"/>
                <w:spacing w:val="0"/>
                <w:w w:val="100"/>
                <w:position w:val="0"/>
                <w:sz w:val="24"/>
                <w:szCs w:val="24"/>
                <w:lang w:val="zh-CN" w:eastAsia="zh-CN" w:bidi="ar-SA"/>
              </w:rPr>
            </w:pPr>
            <w:r>
              <w:rPr>
                <w:rFonts w:hint="default" w:ascii="Times New Roman" w:hAnsi="Times New Roman" w:eastAsia="宋体" w:cs="Times New Roman"/>
                <w:smallCaps w:val="0"/>
                <w:color w:val="auto"/>
                <w:spacing w:val="0"/>
                <w:w w:val="100"/>
                <w:position w:val="0"/>
                <w:sz w:val="24"/>
                <w:szCs w:val="24"/>
                <w:lang w:val="zh-CN" w:eastAsia="zh-CN" w:bidi="ar-SA"/>
              </w:rPr>
              <w:t>项目施工期废气执行《施工场界扬尘排放限值》（DB61/1078-2017）中相关标准；</w:t>
            </w:r>
            <w:r>
              <w:rPr>
                <w:rFonts w:hint="default" w:ascii="Times New Roman" w:hAnsi="Times New Roman" w:eastAsia="宋体" w:cs="Times New Roman"/>
                <w:color w:val="auto"/>
                <w:spacing w:val="0"/>
                <w:sz w:val="24"/>
                <w:lang w:val="en-US" w:eastAsia="zh-CN"/>
              </w:rPr>
              <w:t>本项目运营期</w:t>
            </w:r>
            <w:r>
              <w:rPr>
                <w:rFonts w:hint="eastAsia" w:ascii="Times New Roman" w:hAnsi="Times New Roman" w:eastAsia="宋体" w:cs="Times New Roman"/>
                <w:color w:val="auto"/>
                <w:spacing w:val="0"/>
                <w:sz w:val="24"/>
                <w:lang w:val="en-US" w:eastAsia="zh-CN"/>
              </w:rPr>
              <w:t>厂界</w:t>
            </w:r>
            <w:r>
              <w:rPr>
                <w:rFonts w:hint="default" w:ascii="Times New Roman" w:hAnsi="Times New Roman" w:eastAsia="宋体" w:cs="Times New Roman"/>
                <w:color w:val="auto"/>
                <w:spacing w:val="0"/>
                <w:sz w:val="24"/>
                <w:lang w:val="en-US" w:eastAsia="zh-CN"/>
              </w:rPr>
              <w:t>无组织排放的非甲烷总烃执行《大气综合排放标准》（GB16297-1996）表2中无组织排放限值；</w:t>
            </w:r>
            <w:r>
              <w:rPr>
                <w:rFonts w:hint="default" w:ascii="Times New Roman" w:hAnsi="Times New Roman" w:eastAsia="宋体" w:cs="Times New Roman"/>
                <w:b w:val="0"/>
                <w:bCs w:val="0"/>
                <w:color w:val="auto"/>
                <w:sz w:val="24"/>
                <w:szCs w:val="24"/>
                <w:lang w:val="en-US" w:eastAsia="zh-CN"/>
              </w:rPr>
              <w:t>厂内非甲烷总烃执行《挥发性有机物无组织排放控制标准》（GB37822-2019）限值要求</w:t>
            </w:r>
            <w:r>
              <w:rPr>
                <w:rFonts w:hint="default" w:ascii="Times New Roman" w:hAnsi="Times New Roman" w:eastAsia="宋体" w:cs="Times New Roman"/>
                <w:smallCaps w:val="0"/>
                <w:color w:val="auto"/>
                <w:spacing w:val="0"/>
                <w:w w:val="100"/>
                <w:position w:val="0"/>
                <w:sz w:val="24"/>
                <w:szCs w:val="24"/>
                <w:lang w:val="en-US" w:eastAsia="zh-CN" w:bidi="ar-SA"/>
              </w:rPr>
              <w:t>。标准限值具体详见下表</w:t>
            </w:r>
            <w:r>
              <w:rPr>
                <w:rFonts w:hint="eastAsia" w:ascii="Times New Roman" w:hAnsi="Times New Roman" w:eastAsia="宋体" w:cs="Times New Roman"/>
                <w:smallCaps w:val="0"/>
                <w:color w:val="auto"/>
                <w:spacing w:val="0"/>
                <w:w w:val="100"/>
                <w:position w:val="0"/>
                <w:sz w:val="24"/>
                <w:szCs w:val="24"/>
                <w:lang w:val="en-US" w:eastAsia="zh-CN" w:bidi="ar-SA"/>
              </w:rPr>
              <w:t>3-</w:t>
            </w:r>
            <w:r>
              <w:rPr>
                <w:rFonts w:hint="eastAsia" w:cs="Times New Roman"/>
                <w:smallCaps w:val="0"/>
                <w:color w:val="auto"/>
                <w:spacing w:val="0"/>
                <w:w w:val="100"/>
                <w:position w:val="0"/>
                <w:sz w:val="24"/>
                <w:szCs w:val="24"/>
                <w:lang w:val="en-US" w:eastAsia="zh-CN" w:bidi="ar-SA"/>
              </w:rPr>
              <w:t>7</w:t>
            </w:r>
            <w:r>
              <w:rPr>
                <w:rFonts w:hint="default" w:ascii="Times New Roman" w:hAnsi="Times New Roman" w:eastAsia="宋体" w:cs="Times New Roman"/>
                <w:smallCaps w:val="0"/>
                <w:color w:val="auto"/>
                <w:spacing w:val="0"/>
                <w:w w:val="100"/>
                <w:position w:val="0"/>
                <w:sz w:val="24"/>
                <w:szCs w:val="24"/>
                <w:lang w:val="en-US" w:eastAsia="zh-CN" w:bidi="ar-SA"/>
              </w:rPr>
              <w:t>。</w:t>
            </w:r>
          </w:p>
          <w:p w14:paraId="6CBDD05F">
            <w:pPr>
              <w:pStyle w:val="79"/>
              <w:bidi w:val="0"/>
              <w:rPr>
                <w:rFonts w:hint="default"/>
                <w:color w:val="auto"/>
                <w:sz w:val="21"/>
                <w:szCs w:val="21"/>
              </w:rPr>
            </w:pPr>
            <w:r>
              <w:rPr>
                <w:rFonts w:hint="default"/>
                <w:color w:val="auto"/>
                <w:sz w:val="21"/>
                <w:szCs w:val="21"/>
              </w:rPr>
              <w:t>表</w:t>
            </w:r>
            <w:r>
              <w:rPr>
                <w:rFonts w:hint="eastAsia"/>
                <w:color w:val="auto"/>
                <w:sz w:val="21"/>
                <w:szCs w:val="21"/>
                <w:lang w:val="en-US" w:eastAsia="zh-CN"/>
              </w:rPr>
              <w:t>3-7</w:t>
            </w:r>
            <w:r>
              <w:rPr>
                <w:rFonts w:hint="default"/>
                <w:color w:val="auto"/>
                <w:sz w:val="21"/>
                <w:szCs w:val="21"/>
              </w:rPr>
              <w:t xml:space="preserve">   </w:t>
            </w:r>
            <w:r>
              <w:rPr>
                <w:rFonts w:hint="eastAsia"/>
                <w:color w:val="auto"/>
                <w:sz w:val="21"/>
                <w:szCs w:val="21"/>
                <w:lang w:val="en-US" w:eastAsia="zh-CN"/>
              </w:rPr>
              <w:t>废气</w:t>
            </w:r>
            <w:r>
              <w:rPr>
                <w:rFonts w:hint="default"/>
                <w:color w:val="auto"/>
                <w:sz w:val="21"/>
                <w:szCs w:val="21"/>
              </w:rPr>
              <w:t>污染物排放标准明细表</w:t>
            </w:r>
          </w:p>
          <w:tbl>
            <w:tblPr>
              <w:tblStyle w:val="30"/>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2348"/>
              <w:gridCol w:w="1227"/>
              <w:gridCol w:w="1224"/>
              <w:gridCol w:w="2689"/>
              <w:gridCol w:w="746"/>
            </w:tblGrid>
            <w:tr w14:paraId="57EB3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1425" w:type="pct"/>
                  <w:vMerge w:val="restart"/>
                  <w:tcBorders>
                    <w:tl2br w:val="nil"/>
                    <w:tr2bl w:val="nil"/>
                  </w:tcBorders>
                  <w:noWrap w:val="0"/>
                  <w:vAlign w:val="center"/>
                </w:tcPr>
                <w:p w14:paraId="6239EE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标准名称及级（类）别</w:t>
                  </w:r>
                </w:p>
              </w:tc>
              <w:tc>
                <w:tcPr>
                  <w:tcW w:w="745" w:type="pct"/>
                  <w:vMerge w:val="restart"/>
                  <w:tcBorders>
                    <w:tl2br w:val="nil"/>
                    <w:tr2bl w:val="nil"/>
                  </w:tcBorders>
                  <w:noWrap w:val="0"/>
                  <w:vAlign w:val="center"/>
                </w:tcPr>
                <w:p w14:paraId="45D399C1">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污染因子</w:t>
                  </w:r>
                </w:p>
              </w:tc>
              <w:tc>
                <w:tcPr>
                  <w:tcW w:w="2829" w:type="pct"/>
                  <w:gridSpan w:val="3"/>
                  <w:tcBorders>
                    <w:tl2br w:val="nil"/>
                    <w:tr2bl w:val="nil"/>
                  </w:tcBorders>
                  <w:noWrap w:val="0"/>
                  <w:vAlign w:val="center"/>
                </w:tcPr>
                <w:p w14:paraId="24140375">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r>
            <w:tr w14:paraId="2F89D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1425" w:type="pct"/>
                  <w:vMerge w:val="continue"/>
                  <w:tcBorders>
                    <w:tl2br w:val="nil"/>
                    <w:tr2bl w:val="nil"/>
                  </w:tcBorders>
                  <w:noWrap w:val="0"/>
                  <w:vAlign w:val="center"/>
                </w:tcPr>
                <w:p w14:paraId="05DCEF2B">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745" w:type="pct"/>
                  <w:vMerge w:val="continue"/>
                  <w:tcBorders>
                    <w:tl2br w:val="nil"/>
                    <w:tr2bl w:val="nil"/>
                  </w:tcBorders>
                  <w:noWrap w:val="0"/>
                  <w:vAlign w:val="center"/>
                </w:tcPr>
                <w:p w14:paraId="3B8DD41E">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p>
              </w:tc>
              <w:tc>
                <w:tcPr>
                  <w:tcW w:w="2376" w:type="pct"/>
                  <w:gridSpan w:val="2"/>
                  <w:tcBorders>
                    <w:tl2br w:val="nil"/>
                    <w:tr2bl w:val="nil"/>
                  </w:tcBorders>
                  <w:noWrap w:val="0"/>
                  <w:vAlign w:val="center"/>
                </w:tcPr>
                <w:p w14:paraId="34821D82">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val="en-US" w:eastAsia="zh-CN"/>
                    </w:rPr>
                    <w:t>类别</w:t>
                  </w:r>
                </w:p>
              </w:tc>
              <w:tc>
                <w:tcPr>
                  <w:tcW w:w="452" w:type="pct"/>
                  <w:tcBorders>
                    <w:tl2br w:val="nil"/>
                    <w:tr2bl w:val="nil"/>
                  </w:tcBorders>
                  <w:noWrap w:val="0"/>
                  <w:vAlign w:val="center"/>
                </w:tcPr>
                <w:p w14:paraId="093116A6">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数值</w:t>
                  </w:r>
                </w:p>
              </w:tc>
            </w:tr>
            <w:tr w14:paraId="64829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1425" w:type="pct"/>
                  <w:vMerge w:val="restart"/>
                  <w:tcBorders>
                    <w:tl2br w:val="nil"/>
                    <w:tr2bl w:val="nil"/>
                  </w:tcBorders>
                  <w:noWrap w:val="0"/>
                  <w:vAlign w:val="center"/>
                </w:tcPr>
                <w:p w14:paraId="2B9A4C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4"/>
                      <w:sz w:val="21"/>
                      <w:szCs w:val="21"/>
                    </w:rPr>
                    <w:t>《施工场界扬尘排放限值》（DB61/1078-2017）</w:t>
                  </w:r>
                </w:p>
              </w:tc>
              <w:tc>
                <w:tcPr>
                  <w:tcW w:w="745" w:type="pct"/>
                  <w:vMerge w:val="restart"/>
                  <w:tcBorders>
                    <w:tl2br w:val="nil"/>
                    <w:tr2bl w:val="nil"/>
                  </w:tcBorders>
                  <w:noWrap w:val="0"/>
                  <w:vAlign w:val="center"/>
                </w:tcPr>
                <w:p w14:paraId="56CA781B">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总悬浮颗粒物</w:t>
                  </w:r>
                </w:p>
              </w:tc>
              <w:tc>
                <w:tcPr>
                  <w:tcW w:w="2376" w:type="pct"/>
                  <w:gridSpan w:val="2"/>
                  <w:tcBorders>
                    <w:tl2br w:val="nil"/>
                    <w:tr2bl w:val="nil"/>
                  </w:tcBorders>
                  <w:noWrap w:val="0"/>
                  <w:vAlign w:val="center"/>
                </w:tcPr>
                <w:p w14:paraId="1E0A83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rPr>
                  </w:pPr>
                  <w:r>
                    <w:rPr>
                      <w:rFonts w:hint="default" w:ascii="Times New Roman" w:hAnsi="Times New Roman" w:eastAsia="宋体" w:cs="Times New Roman"/>
                      <w:color w:val="auto"/>
                      <w:kern w:val="24"/>
                      <w:sz w:val="21"/>
                      <w:szCs w:val="21"/>
                    </w:rPr>
                    <w:t>拆除、土方及地基处理工程</w:t>
                  </w:r>
                  <w:r>
                    <w:rPr>
                      <w:rFonts w:hint="default" w:ascii="Times New Roman" w:hAnsi="Times New Roman" w:eastAsia="宋体" w:cs="Times New Roman"/>
                      <w:color w:val="auto"/>
                      <w:spacing w:val="0"/>
                      <w:kern w:val="24"/>
                      <w:position w:val="0"/>
                      <w:sz w:val="21"/>
                      <w:szCs w:val="21"/>
                    </w:rPr>
                    <w:t>mg/m</w:t>
                  </w:r>
                  <w:r>
                    <w:rPr>
                      <w:rFonts w:hint="default" w:ascii="Times New Roman" w:hAnsi="Times New Roman" w:eastAsia="宋体" w:cs="Times New Roman"/>
                      <w:color w:val="auto"/>
                      <w:spacing w:val="0"/>
                      <w:kern w:val="24"/>
                      <w:position w:val="0"/>
                      <w:sz w:val="21"/>
                      <w:szCs w:val="21"/>
                      <w:vertAlign w:val="superscript"/>
                    </w:rPr>
                    <w:t>3</w:t>
                  </w:r>
                </w:p>
              </w:tc>
              <w:tc>
                <w:tcPr>
                  <w:tcW w:w="452" w:type="pct"/>
                  <w:tcBorders>
                    <w:tl2br w:val="nil"/>
                    <w:tr2bl w:val="nil"/>
                  </w:tcBorders>
                  <w:noWrap w:val="0"/>
                  <w:vAlign w:val="center"/>
                </w:tcPr>
                <w:p w14:paraId="0B4B01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rPr>
                  </w:pPr>
                  <w:r>
                    <w:rPr>
                      <w:rFonts w:hint="eastAsia" w:ascii="Times New Roman" w:hAnsi="Times New Roman" w:eastAsia="宋体" w:cs="Times New Roman"/>
                      <w:color w:val="auto"/>
                      <w:kern w:val="24"/>
                      <w:sz w:val="21"/>
                      <w:szCs w:val="21"/>
                      <w:lang w:val="en-US" w:eastAsia="zh-CN"/>
                    </w:rPr>
                    <w:t>0.8</w:t>
                  </w:r>
                </w:p>
              </w:tc>
            </w:tr>
            <w:tr w14:paraId="2E7A2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90" w:hRule="atLeast"/>
                <w:jc w:val="center"/>
              </w:trPr>
              <w:tc>
                <w:tcPr>
                  <w:tcW w:w="1425" w:type="pct"/>
                  <w:vMerge w:val="continue"/>
                  <w:tcBorders>
                    <w:tl2br w:val="nil"/>
                    <w:tr2bl w:val="nil"/>
                  </w:tcBorders>
                  <w:noWrap w:val="0"/>
                  <w:vAlign w:val="center"/>
                </w:tcPr>
                <w:p w14:paraId="58A3E5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rPr>
                  </w:pPr>
                </w:p>
              </w:tc>
              <w:tc>
                <w:tcPr>
                  <w:tcW w:w="745" w:type="pct"/>
                  <w:vMerge w:val="continue"/>
                  <w:tcBorders>
                    <w:tl2br w:val="nil"/>
                    <w:tr2bl w:val="nil"/>
                  </w:tcBorders>
                  <w:noWrap w:val="0"/>
                  <w:vAlign w:val="center"/>
                </w:tcPr>
                <w:p w14:paraId="3E697A7F">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auto"/>
                      <w:sz w:val="21"/>
                      <w:szCs w:val="21"/>
                    </w:rPr>
                  </w:pPr>
                </w:p>
              </w:tc>
              <w:tc>
                <w:tcPr>
                  <w:tcW w:w="2376" w:type="pct"/>
                  <w:gridSpan w:val="2"/>
                  <w:tcBorders>
                    <w:tl2br w:val="nil"/>
                    <w:tr2bl w:val="nil"/>
                  </w:tcBorders>
                  <w:noWrap w:val="0"/>
                  <w:vAlign w:val="center"/>
                </w:tcPr>
                <w:p w14:paraId="269D64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eastAsia="宋体" w:cs="Times New Roman"/>
                      <w:color w:val="auto"/>
                      <w:kern w:val="24"/>
                      <w:sz w:val="21"/>
                      <w:szCs w:val="21"/>
                    </w:rPr>
                    <w:t>基础、主体结构及装饰工程</w:t>
                  </w:r>
                  <w:r>
                    <w:rPr>
                      <w:rFonts w:hint="default" w:ascii="Times New Roman" w:hAnsi="Times New Roman" w:eastAsia="宋体" w:cs="Times New Roman"/>
                      <w:color w:val="auto"/>
                      <w:spacing w:val="0"/>
                      <w:kern w:val="24"/>
                      <w:position w:val="0"/>
                      <w:sz w:val="21"/>
                      <w:szCs w:val="21"/>
                    </w:rPr>
                    <w:t>mg/m</w:t>
                  </w:r>
                  <w:r>
                    <w:rPr>
                      <w:rFonts w:hint="default" w:ascii="Times New Roman" w:hAnsi="Times New Roman" w:eastAsia="宋体" w:cs="Times New Roman"/>
                      <w:color w:val="auto"/>
                      <w:spacing w:val="0"/>
                      <w:kern w:val="24"/>
                      <w:position w:val="0"/>
                      <w:sz w:val="21"/>
                      <w:szCs w:val="21"/>
                      <w:vertAlign w:val="superscript"/>
                    </w:rPr>
                    <w:t>3</w:t>
                  </w:r>
                </w:p>
              </w:tc>
              <w:tc>
                <w:tcPr>
                  <w:tcW w:w="452" w:type="pct"/>
                  <w:tcBorders>
                    <w:tl2br w:val="nil"/>
                    <w:tr2bl w:val="nil"/>
                  </w:tcBorders>
                  <w:noWrap w:val="0"/>
                  <w:vAlign w:val="center"/>
                </w:tcPr>
                <w:p w14:paraId="6B4AB7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eastAsia="宋体" w:cs="Times New Roman"/>
                      <w:color w:val="auto"/>
                      <w:sz w:val="21"/>
                      <w:szCs w:val="21"/>
                    </w:rPr>
                    <w:t>0.7</w:t>
                  </w:r>
                </w:p>
              </w:tc>
            </w:tr>
            <w:tr w14:paraId="5BD0E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1425" w:type="pct"/>
                  <w:tcBorders>
                    <w:tl2br w:val="nil"/>
                    <w:tr2bl w:val="nil"/>
                  </w:tcBorders>
                  <w:noWrap w:val="0"/>
                  <w:vAlign w:val="center"/>
                </w:tcPr>
                <w:p w14:paraId="5B1951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lang w:eastAsia="zh-CN"/>
                    </w:rPr>
                  </w:pPr>
                  <w:r>
                    <w:rPr>
                      <w:rFonts w:hint="default" w:ascii="Times New Roman" w:hAnsi="Times New Roman" w:eastAsia="宋体" w:cs="Times New Roman"/>
                      <w:color w:val="auto"/>
                      <w:kern w:val="24"/>
                      <w:sz w:val="21"/>
                      <w:szCs w:val="21"/>
                    </w:rPr>
                    <w:t>《大气综合排放标准》表2无组织排放限值</w:t>
                  </w:r>
                </w:p>
              </w:tc>
              <w:tc>
                <w:tcPr>
                  <w:tcW w:w="745" w:type="pct"/>
                  <w:tcBorders>
                    <w:tl2br w:val="nil"/>
                    <w:tr2bl w:val="nil"/>
                  </w:tcBorders>
                  <w:noWrap w:val="0"/>
                  <w:vAlign w:val="center"/>
                </w:tcPr>
                <w:p w14:paraId="4A1861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rPr>
                  </w:pPr>
                  <w:r>
                    <w:rPr>
                      <w:rFonts w:hint="eastAsia" w:ascii="Times New Roman" w:hAnsi="Times New Roman" w:eastAsia="宋体" w:cs="Times New Roman"/>
                      <w:color w:val="auto"/>
                      <w:kern w:val="24"/>
                      <w:sz w:val="21"/>
                      <w:szCs w:val="21"/>
                      <w:lang w:val="en-US" w:eastAsia="zh-CN"/>
                    </w:rPr>
                    <w:t>非甲烷总烃</w:t>
                  </w:r>
                </w:p>
              </w:tc>
              <w:tc>
                <w:tcPr>
                  <w:tcW w:w="743" w:type="pct"/>
                  <w:tcBorders>
                    <w:tl2br w:val="nil"/>
                    <w:tr2bl w:val="nil"/>
                  </w:tcBorders>
                  <w:noWrap w:val="0"/>
                  <w:vAlign w:val="center"/>
                </w:tcPr>
                <w:p w14:paraId="7E7ACC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bidi="ar-SA"/>
                    </w:rPr>
                    <w:t>厂界无组织</w:t>
                  </w:r>
                </w:p>
              </w:tc>
              <w:tc>
                <w:tcPr>
                  <w:tcW w:w="1632" w:type="pct"/>
                  <w:tcBorders>
                    <w:tl2br w:val="nil"/>
                    <w:tr2bl w:val="nil"/>
                  </w:tcBorders>
                  <w:noWrap w:val="0"/>
                  <w:vAlign w:val="center"/>
                </w:tcPr>
                <w:p w14:paraId="2C8C04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sz w:val="21"/>
                      <w:szCs w:val="21"/>
                      <w:lang w:val="en-US" w:eastAsia="zh-CN"/>
                    </w:rPr>
                  </w:pPr>
                  <w:r>
                    <w:rPr>
                      <w:rFonts w:hint="default"/>
                      <w:color w:val="auto"/>
                      <w:sz w:val="21"/>
                      <w:szCs w:val="21"/>
                      <w:lang w:val="en-US" w:eastAsia="zh-CN"/>
                    </w:rPr>
                    <w:t>周界外浓度最高点mg/m³</w:t>
                  </w:r>
                </w:p>
              </w:tc>
              <w:tc>
                <w:tcPr>
                  <w:tcW w:w="452" w:type="pct"/>
                  <w:tcBorders>
                    <w:tl2br w:val="nil"/>
                    <w:tr2bl w:val="nil"/>
                  </w:tcBorders>
                  <w:noWrap w:val="0"/>
                  <w:vAlign w:val="center"/>
                </w:tcPr>
                <w:p w14:paraId="3E4C35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bidi="ar-SA"/>
                    </w:rPr>
                    <w:t>4.0</w:t>
                  </w:r>
                </w:p>
              </w:tc>
            </w:tr>
            <w:tr w14:paraId="00916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1425" w:type="pct"/>
                  <w:vMerge w:val="restart"/>
                  <w:tcBorders>
                    <w:tl2br w:val="nil"/>
                    <w:tr2bl w:val="nil"/>
                  </w:tcBorders>
                  <w:noWrap w:val="0"/>
                  <w:vAlign w:val="center"/>
                </w:tcPr>
                <w:p w14:paraId="24085F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kern w:val="24"/>
                      <w:sz w:val="21"/>
                      <w:szCs w:val="21"/>
                    </w:rPr>
                    <w:t>《挥发性有机物无组织排放控制标准》（GB37822-2019）表A.1</w:t>
                  </w:r>
                </w:p>
              </w:tc>
              <w:tc>
                <w:tcPr>
                  <w:tcW w:w="745" w:type="pct"/>
                  <w:vMerge w:val="restart"/>
                  <w:tcBorders>
                    <w:tl2br w:val="nil"/>
                    <w:tr2bl w:val="nil"/>
                  </w:tcBorders>
                  <w:noWrap w:val="0"/>
                  <w:vAlign w:val="center"/>
                </w:tcPr>
                <w:p w14:paraId="131961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4"/>
                      <w:sz w:val="21"/>
                      <w:szCs w:val="21"/>
                      <w:lang w:val="en-US" w:eastAsia="zh-CN"/>
                    </w:rPr>
                  </w:pPr>
                  <w:r>
                    <w:rPr>
                      <w:rFonts w:hint="eastAsia" w:ascii="Times New Roman" w:hAnsi="Times New Roman" w:eastAsia="宋体" w:cs="Times New Roman"/>
                      <w:color w:val="auto"/>
                      <w:kern w:val="24"/>
                      <w:sz w:val="21"/>
                      <w:szCs w:val="21"/>
                      <w:lang w:val="en-US" w:eastAsia="zh-CN"/>
                    </w:rPr>
                    <w:t>非甲烷总烃</w:t>
                  </w:r>
                </w:p>
              </w:tc>
              <w:tc>
                <w:tcPr>
                  <w:tcW w:w="743" w:type="pct"/>
                  <w:tcBorders>
                    <w:tl2br w:val="nil"/>
                    <w:tr2bl w:val="nil"/>
                  </w:tcBorders>
                  <w:noWrap w:val="0"/>
                  <w:vAlign w:val="center"/>
                </w:tcPr>
                <w:p w14:paraId="781D41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bidi="ar-SA"/>
                    </w:rPr>
                    <w:t>厂内</w:t>
                  </w:r>
                </w:p>
              </w:tc>
              <w:tc>
                <w:tcPr>
                  <w:tcW w:w="1632" w:type="pct"/>
                  <w:tcBorders>
                    <w:tl2br w:val="nil"/>
                    <w:tr2bl w:val="nil"/>
                  </w:tcBorders>
                  <w:noWrap w:val="0"/>
                  <w:vAlign w:val="center"/>
                </w:tcPr>
                <w:p w14:paraId="12BE0A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sz w:val="21"/>
                      <w:szCs w:val="21"/>
                      <w:lang w:val="en-US" w:eastAsia="zh-CN"/>
                    </w:rPr>
                  </w:pPr>
                  <w:r>
                    <w:rPr>
                      <w:rFonts w:hint="default"/>
                      <w:color w:val="auto"/>
                      <w:sz w:val="21"/>
                      <w:szCs w:val="21"/>
                      <w:lang w:val="en-US" w:eastAsia="zh-CN"/>
                    </w:rPr>
                    <w:t>监控点处1h平均浓度值mg/m³</w:t>
                  </w:r>
                </w:p>
              </w:tc>
              <w:tc>
                <w:tcPr>
                  <w:tcW w:w="452" w:type="pct"/>
                  <w:tcBorders>
                    <w:tl2br w:val="nil"/>
                    <w:tr2bl w:val="nil"/>
                  </w:tcBorders>
                  <w:noWrap w:val="0"/>
                  <w:vAlign w:val="center"/>
                </w:tcPr>
                <w:p w14:paraId="5FA772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bidi="ar-SA"/>
                    </w:rPr>
                    <w:t>6</w:t>
                  </w:r>
                </w:p>
              </w:tc>
            </w:tr>
            <w:tr w14:paraId="26CF5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397" w:hRule="atLeast"/>
                <w:jc w:val="center"/>
              </w:trPr>
              <w:tc>
                <w:tcPr>
                  <w:tcW w:w="1425" w:type="pct"/>
                  <w:vMerge w:val="continue"/>
                  <w:tcBorders>
                    <w:tl2br w:val="nil"/>
                    <w:tr2bl w:val="nil"/>
                  </w:tcBorders>
                  <w:noWrap w:val="0"/>
                  <w:vAlign w:val="center"/>
                </w:tcPr>
                <w:p w14:paraId="063D9F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rPr>
                  </w:pPr>
                </w:p>
              </w:tc>
              <w:tc>
                <w:tcPr>
                  <w:tcW w:w="745" w:type="pct"/>
                  <w:vMerge w:val="continue"/>
                  <w:tcBorders>
                    <w:tl2br w:val="nil"/>
                    <w:tr2bl w:val="nil"/>
                  </w:tcBorders>
                  <w:noWrap w:val="0"/>
                  <w:vAlign w:val="center"/>
                </w:tcPr>
                <w:p w14:paraId="55D718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4"/>
                      <w:sz w:val="21"/>
                      <w:szCs w:val="21"/>
                      <w:lang w:val="en-US" w:eastAsia="zh-CN"/>
                    </w:rPr>
                  </w:pPr>
                </w:p>
              </w:tc>
              <w:tc>
                <w:tcPr>
                  <w:tcW w:w="743" w:type="pct"/>
                  <w:tcBorders>
                    <w:tl2br w:val="nil"/>
                    <w:tr2bl w:val="nil"/>
                  </w:tcBorders>
                  <w:noWrap w:val="0"/>
                  <w:vAlign w:val="center"/>
                </w:tcPr>
                <w:p w14:paraId="4700DE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bidi="ar-SA"/>
                    </w:rPr>
                    <w:t>在厂房外设置监控点</w:t>
                  </w:r>
                </w:p>
              </w:tc>
              <w:tc>
                <w:tcPr>
                  <w:tcW w:w="1632" w:type="pct"/>
                  <w:tcBorders>
                    <w:tl2br w:val="nil"/>
                    <w:tr2bl w:val="nil"/>
                  </w:tcBorders>
                  <w:noWrap w:val="0"/>
                  <w:vAlign w:val="center"/>
                </w:tcPr>
                <w:p w14:paraId="19F995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sz w:val="21"/>
                      <w:szCs w:val="21"/>
                      <w:lang w:val="en-US" w:eastAsia="zh-CN"/>
                    </w:rPr>
                  </w:pPr>
                  <w:r>
                    <w:rPr>
                      <w:rFonts w:hint="default"/>
                      <w:color w:val="auto"/>
                      <w:sz w:val="21"/>
                      <w:szCs w:val="21"/>
                      <w:lang w:val="en-US" w:eastAsia="zh-CN"/>
                    </w:rPr>
                    <w:t>监控点处任意一次浓度值mg/m³</w:t>
                  </w:r>
                </w:p>
              </w:tc>
              <w:tc>
                <w:tcPr>
                  <w:tcW w:w="452" w:type="pct"/>
                  <w:tcBorders>
                    <w:tl2br w:val="nil"/>
                    <w:tr2bl w:val="nil"/>
                  </w:tcBorders>
                  <w:noWrap w:val="0"/>
                  <w:vAlign w:val="center"/>
                </w:tcPr>
                <w:p w14:paraId="1CD438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eastAsia="宋体" w:cs="Times New Roman"/>
                      <w:color w:val="auto"/>
                      <w:kern w:val="24"/>
                      <w:sz w:val="21"/>
                      <w:szCs w:val="21"/>
                      <w:lang w:val="en-US" w:eastAsia="zh-CN" w:bidi="ar-SA"/>
                    </w:rPr>
                    <w:t>20</w:t>
                  </w:r>
                </w:p>
              </w:tc>
            </w:tr>
          </w:tbl>
          <w:p w14:paraId="68454AB6">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Chars="0" w:right="0" w:rightChars="0" w:firstLine="482" w:firstLineChars="200"/>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eastAsia="宋体" w:cs="Times New Roman"/>
                <w:b/>
                <w:bCs/>
                <w:color w:val="auto"/>
                <w:sz w:val="24"/>
                <w:szCs w:val="24"/>
                <w:lang w:val="en-US" w:eastAsia="zh-CN"/>
              </w:rPr>
              <w:t>二</w:t>
            </w:r>
            <w:r>
              <w:rPr>
                <w:rFonts w:hint="default" w:ascii="Times New Roman" w:hAnsi="Times New Roman" w:eastAsia="宋体" w:cs="Times New Roman"/>
                <w:b/>
                <w:bCs/>
                <w:color w:val="auto"/>
                <w:sz w:val="24"/>
                <w:szCs w:val="24"/>
              </w:rPr>
              <w:t>、</w:t>
            </w:r>
            <w:r>
              <w:rPr>
                <w:rFonts w:hint="default" w:ascii="Times New Roman" w:hAnsi="Times New Roman" w:cs="Times New Roman"/>
                <w:b/>
                <w:bCs/>
                <w:color w:val="auto"/>
                <w:sz w:val="24"/>
                <w:highlight w:val="none"/>
                <w:lang w:val="en-US" w:eastAsia="zh-CN"/>
              </w:rPr>
              <w:t>废水</w:t>
            </w:r>
          </w:p>
          <w:p w14:paraId="4EE9FE17">
            <w:pPr>
              <w:bidi w:val="0"/>
              <w:rPr>
                <w:rFonts w:hint="eastAsia"/>
                <w:color w:val="auto"/>
                <w:lang w:val="en-US" w:eastAsia="zh-CN"/>
              </w:rPr>
            </w:pPr>
            <w:r>
              <w:rPr>
                <w:rFonts w:hint="eastAsia"/>
                <w:color w:val="auto"/>
                <w:lang w:val="en-US" w:eastAsia="zh-CN"/>
              </w:rPr>
              <w:t>根据项目工程分析，本项目生活污水经化粪池收集处理后接管排入园区污水管网再进入长青工业园区污水处理厂进一步处理。循环冷却水系统排污水经园区污水管线进入长青工业园污水处理厂（宝鸡天龙污水处理有限公司）处理。</w:t>
            </w:r>
          </w:p>
          <w:p w14:paraId="2857299B">
            <w:pPr>
              <w:bidi w:val="0"/>
              <w:rPr>
                <w:rFonts w:hint="eastAsia"/>
                <w:color w:val="auto"/>
                <w:lang w:val="en-US" w:eastAsia="zh-CN"/>
              </w:rPr>
            </w:pPr>
            <w:r>
              <w:rPr>
                <w:rFonts w:hint="eastAsia"/>
                <w:color w:val="auto"/>
                <w:lang w:val="en-US" w:eastAsia="zh-CN"/>
              </w:rPr>
              <w:t>本项目废水排放执行《污水综合排放标准》（GB8978-1996）三级标准与《污水排入城镇下水道水质标准》（GB/T31962-2015）B级标准要求。</w:t>
            </w:r>
          </w:p>
          <w:p w14:paraId="424675A5">
            <w:pPr>
              <w:pStyle w:val="79"/>
              <w:bidi w:val="0"/>
              <w:rPr>
                <w:rFonts w:hint="eastAsia"/>
                <w:lang w:val="en-US" w:eastAsia="zh-CN"/>
              </w:rPr>
            </w:pPr>
            <w:r>
              <w:rPr>
                <w:rFonts w:hint="default"/>
                <w:color w:val="auto"/>
                <w:sz w:val="21"/>
                <w:szCs w:val="21"/>
              </w:rPr>
              <w:t>表</w:t>
            </w:r>
            <w:r>
              <w:rPr>
                <w:rFonts w:hint="eastAsia"/>
                <w:color w:val="auto"/>
                <w:sz w:val="21"/>
                <w:szCs w:val="21"/>
                <w:lang w:val="en-US" w:eastAsia="zh-CN"/>
              </w:rPr>
              <w:t>3-8</w:t>
            </w:r>
            <w:r>
              <w:rPr>
                <w:rFonts w:hint="default"/>
                <w:color w:val="auto"/>
                <w:sz w:val="21"/>
                <w:szCs w:val="21"/>
              </w:rPr>
              <w:t xml:space="preserve">   </w:t>
            </w:r>
            <w:r>
              <w:rPr>
                <w:rFonts w:hint="eastAsia"/>
                <w:color w:val="auto"/>
                <w:sz w:val="21"/>
                <w:szCs w:val="21"/>
                <w:lang w:val="en-US" w:eastAsia="zh-CN"/>
              </w:rPr>
              <w:t>废水</w:t>
            </w:r>
            <w:r>
              <w:rPr>
                <w:rFonts w:hint="default"/>
                <w:color w:val="auto"/>
                <w:sz w:val="21"/>
                <w:szCs w:val="21"/>
              </w:rPr>
              <w:t>污染物排放标准明细表</w:t>
            </w:r>
          </w:p>
          <w:tbl>
            <w:tblPr>
              <w:tblStyle w:val="30"/>
              <w:tblW w:w="825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3" w:type="dxa"/>
                <w:bottom w:w="0" w:type="dxa"/>
                <w:right w:w="23" w:type="dxa"/>
              </w:tblCellMar>
            </w:tblPr>
            <w:tblGrid>
              <w:gridCol w:w="679"/>
              <w:gridCol w:w="830"/>
              <w:gridCol w:w="670"/>
              <w:gridCol w:w="660"/>
              <w:gridCol w:w="580"/>
              <w:gridCol w:w="650"/>
              <w:gridCol w:w="720"/>
              <w:gridCol w:w="3465"/>
            </w:tblGrid>
            <w:tr w14:paraId="6B40A3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679" w:type="dxa"/>
                  <w:tcBorders>
                    <w:tl2br w:val="nil"/>
                    <w:tr2bl w:val="nil"/>
                  </w:tcBorders>
                  <w:noWrap w:val="0"/>
                  <w:vAlign w:val="center"/>
                </w:tcPr>
                <w:p w14:paraId="64112C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r>
                    <w:rPr>
                      <w:rFonts w:hint="default" w:ascii="Times New Roman" w:hAnsi="Times New Roman" w:eastAsia="宋体" w:cs="Times New Roman"/>
                      <w:color w:val="auto"/>
                      <w:spacing w:val="8"/>
                      <w:sz w:val="21"/>
                      <w:szCs w:val="21"/>
                      <w:u w:val="none"/>
                      <w:lang w:val="zh-CN"/>
                    </w:rPr>
                    <w:t>污染因子</w:t>
                  </w:r>
                </w:p>
              </w:tc>
              <w:tc>
                <w:tcPr>
                  <w:tcW w:w="830" w:type="dxa"/>
                  <w:tcBorders>
                    <w:tl2br w:val="nil"/>
                    <w:tr2bl w:val="nil"/>
                  </w:tcBorders>
                  <w:noWrap w:val="0"/>
                  <w:vAlign w:val="center"/>
                </w:tcPr>
                <w:p w14:paraId="7A7F31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r>
                    <w:rPr>
                      <w:rFonts w:hint="default" w:ascii="Times New Roman" w:hAnsi="Times New Roman" w:eastAsia="宋体" w:cs="Times New Roman"/>
                      <w:color w:val="auto"/>
                      <w:spacing w:val="8"/>
                      <w:sz w:val="21"/>
                      <w:szCs w:val="21"/>
                      <w:u w:val="none"/>
                      <w:lang w:val="zh-CN"/>
                    </w:rPr>
                    <w:t>pH</w:t>
                  </w:r>
                </w:p>
              </w:tc>
              <w:tc>
                <w:tcPr>
                  <w:tcW w:w="670" w:type="dxa"/>
                  <w:tcBorders>
                    <w:tl2br w:val="nil"/>
                    <w:tr2bl w:val="nil"/>
                  </w:tcBorders>
                  <w:noWrap w:val="0"/>
                  <w:vAlign w:val="center"/>
                </w:tcPr>
                <w:p w14:paraId="01B68A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r>
                    <w:rPr>
                      <w:rFonts w:hint="default" w:ascii="Times New Roman" w:hAnsi="Times New Roman" w:eastAsia="宋体" w:cs="Times New Roman"/>
                      <w:color w:val="auto"/>
                      <w:spacing w:val="8"/>
                      <w:sz w:val="21"/>
                      <w:szCs w:val="21"/>
                      <w:u w:val="none"/>
                      <w:lang w:val="zh-CN"/>
                    </w:rPr>
                    <w:t>COD</w:t>
                  </w:r>
                </w:p>
              </w:tc>
              <w:tc>
                <w:tcPr>
                  <w:tcW w:w="660" w:type="dxa"/>
                  <w:tcBorders>
                    <w:tl2br w:val="nil"/>
                    <w:tr2bl w:val="nil"/>
                  </w:tcBorders>
                  <w:noWrap w:val="0"/>
                  <w:vAlign w:val="center"/>
                </w:tcPr>
                <w:p w14:paraId="492C9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r>
                    <w:rPr>
                      <w:rFonts w:hint="default" w:ascii="Times New Roman" w:hAnsi="Times New Roman" w:eastAsia="宋体" w:cs="Times New Roman"/>
                      <w:color w:val="auto"/>
                      <w:spacing w:val="8"/>
                      <w:sz w:val="21"/>
                      <w:szCs w:val="21"/>
                      <w:u w:val="none"/>
                      <w:lang w:val="zh-CN"/>
                    </w:rPr>
                    <w:t>BOD</w:t>
                  </w:r>
                  <w:r>
                    <w:rPr>
                      <w:rFonts w:hint="default" w:ascii="Times New Roman" w:hAnsi="Times New Roman" w:eastAsia="宋体" w:cs="Times New Roman"/>
                      <w:color w:val="auto"/>
                      <w:spacing w:val="8"/>
                      <w:sz w:val="21"/>
                      <w:szCs w:val="21"/>
                      <w:u w:val="none"/>
                      <w:vertAlign w:val="subscript"/>
                      <w:lang w:val="zh-CN"/>
                    </w:rPr>
                    <w:t>5</w:t>
                  </w:r>
                </w:p>
              </w:tc>
              <w:tc>
                <w:tcPr>
                  <w:tcW w:w="580" w:type="dxa"/>
                  <w:tcBorders>
                    <w:tl2br w:val="nil"/>
                    <w:tr2bl w:val="nil"/>
                  </w:tcBorders>
                  <w:noWrap w:val="0"/>
                  <w:vAlign w:val="center"/>
                </w:tcPr>
                <w:p w14:paraId="4D1E5A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r>
                    <w:rPr>
                      <w:rFonts w:hint="default" w:ascii="Times New Roman" w:hAnsi="Times New Roman" w:eastAsia="宋体" w:cs="Times New Roman"/>
                      <w:color w:val="auto"/>
                      <w:spacing w:val="8"/>
                      <w:sz w:val="21"/>
                      <w:szCs w:val="21"/>
                      <w:u w:val="none"/>
                      <w:lang w:val="zh-CN"/>
                    </w:rPr>
                    <w:t>SS</w:t>
                  </w:r>
                </w:p>
              </w:tc>
              <w:tc>
                <w:tcPr>
                  <w:tcW w:w="650" w:type="dxa"/>
                  <w:tcBorders>
                    <w:tl2br w:val="nil"/>
                    <w:tr2bl w:val="nil"/>
                  </w:tcBorders>
                  <w:noWrap w:val="0"/>
                  <w:vAlign w:val="center"/>
                </w:tcPr>
                <w:p w14:paraId="4B0495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8"/>
                      <w:sz w:val="21"/>
                      <w:szCs w:val="21"/>
                      <w:u w:val="none"/>
                      <w:lang w:val="en-US" w:eastAsia="zh-CN"/>
                    </w:rPr>
                  </w:pPr>
                  <w:r>
                    <w:rPr>
                      <w:rFonts w:hint="eastAsia" w:cs="Times New Roman"/>
                      <w:color w:val="auto"/>
                      <w:spacing w:val="8"/>
                      <w:sz w:val="21"/>
                      <w:szCs w:val="21"/>
                      <w:u w:val="none"/>
                      <w:lang w:val="en-US" w:eastAsia="zh-CN"/>
                    </w:rPr>
                    <w:t>动植</w:t>
                  </w:r>
                </w:p>
                <w:p w14:paraId="069EC1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8"/>
                      <w:sz w:val="21"/>
                      <w:szCs w:val="21"/>
                      <w:u w:val="none"/>
                      <w:lang w:val="en-US" w:eastAsia="zh-CN"/>
                    </w:rPr>
                  </w:pPr>
                  <w:r>
                    <w:rPr>
                      <w:rFonts w:hint="eastAsia" w:cs="Times New Roman"/>
                      <w:color w:val="auto"/>
                      <w:spacing w:val="8"/>
                      <w:sz w:val="21"/>
                      <w:szCs w:val="21"/>
                      <w:u w:val="none"/>
                      <w:lang w:val="en-US" w:eastAsia="zh-CN"/>
                    </w:rPr>
                    <w:t>物油</w:t>
                  </w:r>
                </w:p>
              </w:tc>
              <w:tc>
                <w:tcPr>
                  <w:tcW w:w="720" w:type="dxa"/>
                  <w:tcBorders>
                    <w:tl2br w:val="nil"/>
                    <w:tr2bl w:val="nil"/>
                  </w:tcBorders>
                  <w:noWrap w:val="0"/>
                  <w:vAlign w:val="center"/>
                </w:tcPr>
                <w:p w14:paraId="11EB3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r>
                    <w:rPr>
                      <w:rFonts w:hint="default" w:ascii="Times New Roman" w:hAnsi="Times New Roman" w:eastAsia="宋体" w:cs="Times New Roman"/>
                      <w:color w:val="auto"/>
                      <w:spacing w:val="8"/>
                      <w:sz w:val="21"/>
                      <w:szCs w:val="21"/>
                      <w:u w:val="none"/>
                      <w:lang w:val="zh-CN"/>
                    </w:rPr>
                    <w:t>氨氮</w:t>
                  </w:r>
                </w:p>
              </w:tc>
              <w:tc>
                <w:tcPr>
                  <w:tcW w:w="3465" w:type="dxa"/>
                  <w:tcBorders>
                    <w:tl2br w:val="nil"/>
                    <w:tr2bl w:val="nil"/>
                  </w:tcBorders>
                  <w:noWrap w:val="0"/>
                  <w:vAlign w:val="center"/>
                </w:tcPr>
                <w:p w14:paraId="05F7DB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r>
                    <w:rPr>
                      <w:rFonts w:hint="default" w:ascii="Times New Roman" w:hAnsi="Times New Roman" w:eastAsia="宋体" w:cs="Times New Roman"/>
                      <w:color w:val="auto"/>
                      <w:spacing w:val="8"/>
                      <w:sz w:val="21"/>
                      <w:szCs w:val="21"/>
                      <w:u w:val="none"/>
                      <w:lang w:val="zh-CN"/>
                    </w:rPr>
                    <w:t>来源</w:t>
                  </w:r>
                </w:p>
              </w:tc>
            </w:tr>
            <w:tr w14:paraId="5F2198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679" w:type="dxa"/>
                  <w:vMerge w:val="restart"/>
                  <w:tcBorders>
                    <w:tl2br w:val="nil"/>
                    <w:tr2bl w:val="nil"/>
                  </w:tcBorders>
                  <w:noWrap w:val="0"/>
                  <w:vAlign w:val="center"/>
                </w:tcPr>
                <w:p w14:paraId="2B23A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en-US" w:eastAsia="zh-CN"/>
                    </w:rPr>
                  </w:pPr>
                  <w:r>
                    <w:rPr>
                      <w:rFonts w:hint="eastAsia" w:cs="Times New Roman"/>
                      <w:color w:val="auto"/>
                      <w:spacing w:val="8"/>
                      <w:sz w:val="21"/>
                      <w:szCs w:val="21"/>
                      <w:u w:val="none"/>
                      <w:lang w:val="en-US" w:eastAsia="zh-CN"/>
                    </w:rPr>
                    <w:t>废水总排口</w:t>
                  </w:r>
                </w:p>
              </w:tc>
              <w:tc>
                <w:tcPr>
                  <w:tcW w:w="830" w:type="dxa"/>
                  <w:tcBorders>
                    <w:tl2br w:val="nil"/>
                    <w:tr2bl w:val="nil"/>
                  </w:tcBorders>
                  <w:noWrap w:val="0"/>
                  <w:vAlign w:val="center"/>
                </w:tcPr>
                <w:p w14:paraId="6647A3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r>
                    <w:rPr>
                      <w:rFonts w:hint="default" w:ascii="Times New Roman" w:hAnsi="Times New Roman" w:eastAsia="宋体" w:cs="Times New Roman"/>
                      <w:color w:val="auto"/>
                      <w:spacing w:val="8"/>
                      <w:sz w:val="21"/>
                      <w:szCs w:val="21"/>
                      <w:u w:val="none"/>
                      <w:lang w:val="zh-CN"/>
                    </w:rPr>
                    <w:t>6~9</w:t>
                  </w:r>
                </w:p>
              </w:tc>
              <w:tc>
                <w:tcPr>
                  <w:tcW w:w="670" w:type="dxa"/>
                  <w:tcBorders>
                    <w:tl2br w:val="nil"/>
                    <w:tr2bl w:val="nil"/>
                  </w:tcBorders>
                  <w:noWrap w:val="0"/>
                  <w:vAlign w:val="center"/>
                </w:tcPr>
                <w:p w14:paraId="29FD5C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r>
                    <w:rPr>
                      <w:rFonts w:hint="default" w:ascii="Times New Roman" w:hAnsi="Times New Roman" w:eastAsia="宋体" w:cs="Times New Roman"/>
                      <w:color w:val="auto"/>
                      <w:spacing w:val="8"/>
                      <w:sz w:val="21"/>
                      <w:szCs w:val="21"/>
                      <w:u w:val="none"/>
                      <w:lang w:val="en-US" w:eastAsia="zh-CN"/>
                    </w:rPr>
                    <w:t>5</w:t>
                  </w:r>
                  <w:r>
                    <w:rPr>
                      <w:rFonts w:hint="default" w:ascii="Times New Roman" w:hAnsi="Times New Roman" w:eastAsia="宋体" w:cs="Times New Roman"/>
                      <w:color w:val="auto"/>
                      <w:spacing w:val="8"/>
                      <w:sz w:val="21"/>
                      <w:szCs w:val="21"/>
                      <w:u w:val="none"/>
                    </w:rPr>
                    <w:t>0</w:t>
                  </w:r>
                  <w:r>
                    <w:rPr>
                      <w:rFonts w:hint="default" w:ascii="Times New Roman" w:hAnsi="Times New Roman" w:eastAsia="宋体" w:cs="Times New Roman"/>
                      <w:color w:val="auto"/>
                      <w:spacing w:val="8"/>
                      <w:sz w:val="21"/>
                      <w:szCs w:val="21"/>
                      <w:u w:val="none"/>
                      <w:lang w:val="zh-CN"/>
                    </w:rPr>
                    <w:t>0</w:t>
                  </w:r>
                </w:p>
              </w:tc>
              <w:tc>
                <w:tcPr>
                  <w:tcW w:w="660" w:type="dxa"/>
                  <w:tcBorders>
                    <w:tl2br w:val="nil"/>
                    <w:tr2bl w:val="nil"/>
                  </w:tcBorders>
                  <w:noWrap w:val="0"/>
                  <w:vAlign w:val="center"/>
                </w:tcPr>
                <w:p w14:paraId="254A02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r>
                    <w:rPr>
                      <w:rFonts w:hint="default" w:ascii="Times New Roman" w:hAnsi="Times New Roman" w:eastAsia="宋体" w:cs="Times New Roman"/>
                      <w:color w:val="auto"/>
                      <w:spacing w:val="8"/>
                      <w:sz w:val="21"/>
                      <w:szCs w:val="21"/>
                      <w:u w:val="none"/>
                      <w:lang w:val="en-US" w:eastAsia="zh-CN"/>
                    </w:rPr>
                    <w:t>30</w:t>
                  </w:r>
                  <w:r>
                    <w:rPr>
                      <w:rFonts w:hint="default" w:ascii="Times New Roman" w:hAnsi="Times New Roman" w:eastAsia="宋体" w:cs="Times New Roman"/>
                      <w:color w:val="auto"/>
                      <w:spacing w:val="8"/>
                      <w:sz w:val="21"/>
                      <w:szCs w:val="21"/>
                      <w:u w:val="none"/>
                      <w:lang w:val="zh-CN"/>
                    </w:rPr>
                    <w:t>0</w:t>
                  </w:r>
                </w:p>
              </w:tc>
              <w:tc>
                <w:tcPr>
                  <w:tcW w:w="580" w:type="dxa"/>
                  <w:tcBorders>
                    <w:tl2br w:val="nil"/>
                    <w:tr2bl w:val="nil"/>
                  </w:tcBorders>
                  <w:noWrap w:val="0"/>
                  <w:vAlign w:val="center"/>
                </w:tcPr>
                <w:p w14:paraId="6EADAA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r>
                    <w:rPr>
                      <w:rFonts w:hint="default" w:ascii="Times New Roman" w:hAnsi="Times New Roman" w:eastAsia="宋体" w:cs="Times New Roman"/>
                      <w:color w:val="auto"/>
                      <w:spacing w:val="8"/>
                      <w:sz w:val="21"/>
                      <w:szCs w:val="21"/>
                      <w:u w:val="none"/>
                      <w:lang w:val="en-US" w:eastAsia="zh-CN"/>
                    </w:rPr>
                    <w:t>4</w:t>
                  </w:r>
                  <w:r>
                    <w:rPr>
                      <w:rFonts w:hint="default" w:ascii="Times New Roman" w:hAnsi="Times New Roman" w:eastAsia="宋体" w:cs="Times New Roman"/>
                      <w:color w:val="auto"/>
                      <w:spacing w:val="8"/>
                      <w:sz w:val="21"/>
                      <w:szCs w:val="21"/>
                      <w:u w:val="none"/>
                      <w:lang w:val="zh-CN"/>
                    </w:rPr>
                    <w:t>00</w:t>
                  </w:r>
                </w:p>
              </w:tc>
              <w:tc>
                <w:tcPr>
                  <w:tcW w:w="650" w:type="dxa"/>
                  <w:tcBorders>
                    <w:tl2br w:val="nil"/>
                    <w:tr2bl w:val="nil"/>
                  </w:tcBorders>
                  <w:noWrap w:val="0"/>
                  <w:vAlign w:val="center"/>
                </w:tcPr>
                <w:p w14:paraId="265F33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en-US" w:eastAsia="zh-CN"/>
                    </w:rPr>
                  </w:pPr>
                  <w:r>
                    <w:rPr>
                      <w:rFonts w:hint="eastAsia" w:cs="Times New Roman"/>
                      <w:color w:val="auto"/>
                      <w:spacing w:val="8"/>
                      <w:sz w:val="21"/>
                      <w:szCs w:val="21"/>
                      <w:u w:val="none"/>
                      <w:lang w:val="en-US" w:eastAsia="zh-CN"/>
                    </w:rPr>
                    <w:t>100</w:t>
                  </w:r>
                </w:p>
              </w:tc>
              <w:tc>
                <w:tcPr>
                  <w:tcW w:w="720" w:type="dxa"/>
                  <w:tcBorders>
                    <w:tl2br w:val="nil"/>
                    <w:tr2bl w:val="nil"/>
                  </w:tcBorders>
                  <w:noWrap w:val="0"/>
                  <w:vAlign w:val="center"/>
                </w:tcPr>
                <w:p w14:paraId="5FC824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r>
                    <w:rPr>
                      <w:rFonts w:hint="default" w:ascii="Times New Roman" w:hAnsi="Times New Roman" w:eastAsia="宋体" w:cs="Times New Roman"/>
                      <w:color w:val="auto"/>
                      <w:spacing w:val="8"/>
                      <w:sz w:val="21"/>
                      <w:szCs w:val="21"/>
                      <w:u w:val="none"/>
                      <w:lang w:val="en-US" w:eastAsia="zh-CN"/>
                    </w:rPr>
                    <w:t>4</w:t>
                  </w:r>
                  <w:r>
                    <w:rPr>
                      <w:rFonts w:hint="default" w:ascii="Times New Roman" w:hAnsi="Times New Roman" w:eastAsia="宋体" w:cs="Times New Roman"/>
                      <w:color w:val="auto"/>
                      <w:spacing w:val="8"/>
                      <w:sz w:val="21"/>
                      <w:szCs w:val="21"/>
                      <w:u w:val="none"/>
                      <w:lang w:val="zh-CN"/>
                    </w:rPr>
                    <w:t>5</w:t>
                  </w:r>
                </w:p>
              </w:tc>
              <w:tc>
                <w:tcPr>
                  <w:tcW w:w="3465" w:type="dxa"/>
                  <w:vMerge w:val="restart"/>
                  <w:tcBorders>
                    <w:tl2br w:val="nil"/>
                    <w:tr2bl w:val="nil"/>
                  </w:tcBorders>
                  <w:noWrap w:val="0"/>
                  <w:vAlign w:val="center"/>
                </w:tcPr>
                <w:p w14:paraId="2DAA6C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rPr>
                  </w:pPr>
                  <w:r>
                    <w:rPr>
                      <w:rFonts w:hint="default" w:ascii="Times New Roman" w:hAnsi="Times New Roman" w:eastAsia="宋体" w:cs="Times New Roman"/>
                      <w:bCs/>
                      <w:color w:val="auto"/>
                      <w:kern w:val="0"/>
                      <w:sz w:val="21"/>
                      <w:szCs w:val="21"/>
                      <w:u w:val="none"/>
                    </w:rPr>
                    <w:t>《污水综合排放标准》</w:t>
                  </w:r>
                  <w:r>
                    <w:rPr>
                      <w:rFonts w:hint="eastAsia" w:cs="Times New Roman"/>
                      <w:bCs/>
                      <w:color w:val="auto"/>
                      <w:kern w:val="0"/>
                      <w:sz w:val="21"/>
                      <w:szCs w:val="21"/>
                      <w:u w:val="none"/>
                      <w:lang w:eastAsia="zh-CN"/>
                    </w:rPr>
                    <w:t>（</w:t>
                  </w:r>
                  <w:r>
                    <w:rPr>
                      <w:rFonts w:hint="default" w:ascii="Times New Roman" w:hAnsi="Times New Roman" w:eastAsia="宋体" w:cs="Times New Roman"/>
                      <w:bCs/>
                      <w:color w:val="auto"/>
                      <w:kern w:val="0"/>
                      <w:sz w:val="21"/>
                      <w:szCs w:val="21"/>
                      <w:u w:val="none"/>
                    </w:rPr>
                    <w:t>GB8978-1996</w:t>
                  </w:r>
                  <w:r>
                    <w:rPr>
                      <w:rFonts w:hint="eastAsia" w:cs="Times New Roman"/>
                      <w:bCs/>
                      <w:color w:val="auto"/>
                      <w:kern w:val="0"/>
                      <w:sz w:val="21"/>
                      <w:szCs w:val="21"/>
                      <w:u w:val="none"/>
                      <w:lang w:eastAsia="zh-CN"/>
                    </w:rPr>
                    <w:t>）</w:t>
                  </w:r>
                  <w:r>
                    <w:rPr>
                      <w:rFonts w:hint="default" w:ascii="Times New Roman" w:hAnsi="Times New Roman" w:eastAsia="宋体" w:cs="Times New Roman"/>
                      <w:bCs/>
                      <w:color w:val="auto"/>
                      <w:kern w:val="0"/>
                      <w:sz w:val="21"/>
                      <w:szCs w:val="21"/>
                      <w:u w:val="none"/>
                    </w:rPr>
                    <w:t>表4三级标准、《污水排入城镇下水道水质标准》</w:t>
                  </w:r>
                  <w:r>
                    <w:rPr>
                      <w:rFonts w:hint="eastAsia" w:cs="Times New Roman"/>
                      <w:bCs/>
                      <w:color w:val="auto"/>
                      <w:kern w:val="0"/>
                      <w:sz w:val="21"/>
                      <w:szCs w:val="21"/>
                      <w:u w:val="none"/>
                      <w:lang w:eastAsia="zh-CN"/>
                    </w:rPr>
                    <w:t>（</w:t>
                  </w:r>
                  <w:r>
                    <w:rPr>
                      <w:rFonts w:hint="default" w:ascii="Times New Roman" w:hAnsi="Times New Roman" w:eastAsia="宋体" w:cs="Times New Roman"/>
                      <w:bCs/>
                      <w:color w:val="auto"/>
                      <w:kern w:val="0"/>
                      <w:sz w:val="21"/>
                      <w:szCs w:val="21"/>
                      <w:u w:val="none"/>
                    </w:rPr>
                    <w:t>GB/T31962-2015</w:t>
                  </w:r>
                  <w:r>
                    <w:rPr>
                      <w:rFonts w:hint="eastAsia" w:cs="Times New Roman"/>
                      <w:bCs/>
                      <w:color w:val="auto"/>
                      <w:kern w:val="0"/>
                      <w:sz w:val="21"/>
                      <w:szCs w:val="21"/>
                      <w:u w:val="none"/>
                      <w:lang w:eastAsia="zh-CN"/>
                    </w:rPr>
                    <w:t>）</w:t>
                  </w:r>
                  <w:r>
                    <w:rPr>
                      <w:rFonts w:hint="default" w:ascii="Times New Roman" w:hAnsi="Times New Roman" w:eastAsia="宋体" w:cs="Times New Roman"/>
                      <w:bCs/>
                      <w:color w:val="auto"/>
                      <w:kern w:val="0"/>
                      <w:sz w:val="21"/>
                      <w:szCs w:val="21"/>
                      <w:u w:val="none"/>
                    </w:rPr>
                    <w:t>表1中B级排放标准</w:t>
                  </w:r>
                </w:p>
              </w:tc>
            </w:tr>
            <w:tr w14:paraId="645A4C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679" w:type="dxa"/>
                  <w:vMerge w:val="continue"/>
                  <w:tcBorders>
                    <w:tl2br w:val="nil"/>
                    <w:tr2bl w:val="nil"/>
                  </w:tcBorders>
                  <w:noWrap w:val="0"/>
                  <w:vAlign w:val="center"/>
                </w:tcPr>
                <w:p w14:paraId="58CAC1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en-US" w:eastAsia="zh-CN"/>
                    </w:rPr>
                  </w:pPr>
                </w:p>
              </w:tc>
              <w:tc>
                <w:tcPr>
                  <w:tcW w:w="830" w:type="dxa"/>
                  <w:tcBorders>
                    <w:tl2br w:val="nil"/>
                    <w:tr2bl w:val="nil"/>
                  </w:tcBorders>
                  <w:shd w:val="clear" w:color="auto" w:fill="auto"/>
                  <w:noWrap w:val="0"/>
                  <w:vAlign w:val="center"/>
                </w:tcPr>
                <w:p w14:paraId="7AD934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kern w:val="2"/>
                      <w:sz w:val="21"/>
                      <w:szCs w:val="21"/>
                      <w:u w:val="none"/>
                      <w:lang w:val="zh-CN" w:eastAsia="zh-CN" w:bidi="ar-SA"/>
                    </w:rPr>
                  </w:pPr>
                  <w:r>
                    <w:rPr>
                      <w:rFonts w:hint="eastAsia" w:cs="Times New Roman"/>
                      <w:color w:val="auto"/>
                      <w:spacing w:val="8"/>
                      <w:sz w:val="21"/>
                      <w:szCs w:val="21"/>
                      <w:u w:val="none"/>
                      <w:lang w:val="en-US" w:eastAsia="zh-CN"/>
                    </w:rPr>
                    <w:t>氯化物</w:t>
                  </w:r>
                </w:p>
              </w:tc>
              <w:tc>
                <w:tcPr>
                  <w:tcW w:w="670" w:type="dxa"/>
                  <w:tcBorders>
                    <w:tl2br w:val="nil"/>
                    <w:tr2bl w:val="nil"/>
                  </w:tcBorders>
                  <w:shd w:val="clear" w:color="auto" w:fill="auto"/>
                  <w:noWrap w:val="0"/>
                  <w:vAlign w:val="center"/>
                </w:tcPr>
                <w:p w14:paraId="2E3290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kern w:val="2"/>
                      <w:sz w:val="21"/>
                      <w:szCs w:val="21"/>
                      <w:u w:val="none"/>
                      <w:lang w:val="zh-CN" w:eastAsia="zh-CN" w:bidi="ar-SA"/>
                    </w:rPr>
                  </w:pPr>
                  <w:r>
                    <w:rPr>
                      <w:rFonts w:hint="eastAsia" w:cs="Times New Roman"/>
                      <w:color w:val="auto"/>
                      <w:spacing w:val="8"/>
                      <w:sz w:val="21"/>
                      <w:szCs w:val="21"/>
                      <w:u w:val="none"/>
                      <w:lang w:val="en-US" w:eastAsia="zh-CN"/>
                    </w:rPr>
                    <w:t>总铁</w:t>
                  </w:r>
                </w:p>
              </w:tc>
              <w:tc>
                <w:tcPr>
                  <w:tcW w:w="660" w:type="dxa"/>
                  <w:tcBorders>
                    <w:tl2br w:val="nil"/>
                    <w:tr2bl w:val="nil"/>
                  </w:tcBorders>
                  <w:shd w:val="clear" w:color="auto" w:fill="auto"/>
                  <w:noWrap w:val="0"/>
                  <w:vAlign w:val="center"/>
                </w:tcPr>
                <w:p w14:paraId="31C2A9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kern w:val="2"/>
                      <w:sz w:val="21"/>
                      <w:szCs w:val="21"/>
                      <w:u w:val="none"/>
                      <w:lang w:val="zh-CN" w:eastAsia="zh-CN" w:bidi="ar-SA"/>
                    </w:rPr>
                  </w:pPr>
                  <w:r>
                    <w:rPr>
                      <w:rFonts w:hint="eastAsia" w:cs="Times New Roman"/>
                      <w:color w:val="auto"/>
                      <w:spacing w:val="8"/>
                      <w:sz w:val="21"/>
                      <w:szCs w:val="21"/>
                      <w:u w:val="none"/>
                      <w:lang w:val="en-US" w:eastAsia="zh-CN"/>
                    </w:rPr>
                    <w:t>总磷</w:t>
                  </w:r>
                </w:p>
              </w:tc>
              <w:tc>
                <w:tcPr>
                  <w:tcW w:w="580" w:type="dxa"/>
                  <w:tcBorders>
                    <w:tl2br w:val="nil"/>
                    <w:tr2bl w:val="nil"/>
                  </w:tcBorders>
                  <w:shd w:val="clear" w:color="auto" w:fill="auto"/>
                  <w:noWrap w:val="0"/>
                  <w:vAlign w:val="center"/>
                </w:tcPr>
                <w:p w14:paraId="41DA7F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kern w:val="2"/>
                      <w:sz w:val="21"/>
                      <w:szCs w:val="21"/>
                      <w:u w:val="none"/>
                      <w:lang w:val="zh-CN" w:eastAsia="zh-CN" w:bidi="ar-SA"/>
                    </w:rPr>
                  </w:pPr>
                  <w:r>
                    <w:rPr>
                      <w:rFonts w:hint="eastAsia" w:cs="Times New Roman"/>
                      <w:color w:val="auto"/>
                      <w:spacing w:val="8"/>
                      <w:sz w:val="21"/>
                      <w:szCs w:val="21"/>
                      <w:u w:val="none"/>
                      <w:lang w:val="en-US" w:eastAsia="zh-CN"/>
                    </w:rPr>
                    <w:t>总氮</w:t>
                  </w:r>
                </w:p>
              </w:tc>
              <w:tc>
                <w:tcPr>
                  <w:tcW w:w="650" w:type="dxa"/>
                  <w:tcBorders>
                    <w:tl2br w:val="nil"/>
                    <w:tr2bl w:val="nil"/>
                  </w:tcBorders>
                  <w:shd w:val="clear" w:color="auto" w:fill="auto"/>
                  <w:noWrap w:val="0"/>
                  <w:vAlign w:val="center"/>
                </w:tcPr>
                <w:p w14:paraId="19E58B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kern w:val="2"/>
                      <w:sz w:val="21"/>
                      <w:szCs w:val="21"/>
                      <w:u w:val="none"/>
                      <w:lang w:val="en-US" w:eastAsia="zh-CN" w:bidi="ar-SA"/>
                    </w:rPr>
                  </w:pPr>
                  <w:r>
                    <w:rPr>
                      <w:rFonts w:hint="eastAsia" w:cs="Times New Roman"/>
                      <w:color w:val="auto"/>
                      <w:spacing w:val="8"/>
                      <w:kern w:val="2"/>
                      <w:sz w:val="21"/>
                      <w:szCs w:val="21"/>
                      <w:u w:val="none"/>
                      <w:lang w:val="en-US" w:eastAsia="zh-CN" w:bidi="ar-SA"/>
                    </w:rPr>
                    <w:t>/</w:t>
                  </w:r>
                </w:p>
              </w:tc>
              <w:tc>
                <w:tcPr>
                  <w:tcW w:w="720" w:type="dxa"/>
                  <w:tcBorders>
                    <w:tl2br w:val="nil"/>
                    <w:tr2bl w:val="nil"/>
                  </w:tcBorders>
                  <w:shd w:val="clear" w:color="auto" w:fill="auto"/>
                  <w:noWrap w:val="0"/>
                  <w:vAlign w:val="center"/>
                </w:tcPr>
                <w:p w14:paraId="3D3245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kern w:val="2"/>
                      <w:sz w:val="21"/>
                      <w:szCs w:val="21"/>
                      <w:u w:val="none"/>
                      <w:lang w:val="zh-CN" w:eastAsia="zh-CN" w:bidi="ar-SA"/>
                    </w:rPr>
                  </w:pPr>
                  <w:r>
                    <w:rPr>
                      <w:rFonts w:hint="eastAsia" w:cs="Times New Roman"/>
                      <w:color w:val="auto"/>
                      <w:spacing w:val="8"/>
                      <w:sz w:val="21"/>
                      <w:szCs w:val="21"/>
                      <w:u w:val="none"/>
                      <w:lang w:val="en-US" w:eastAsia="zh-CN"/>
                    </w:rPr>
                    <w:t>/</w:t>
                  </w:r>
                </w:p>
              </w:tc>
              <w:tc>
                <w:tcPr>
                  <w:tcW w:w="3465" w:type="dxa"/>
                  <w:vMerge w:val="continue"/>
                  <w:tcBorders>
                    <w:tl2br w:val="nil"/>
                    <w:tr2bl w:val="nil"/>
                  </w:tcBorders>
                  <w:noWrap w:val="0"/>
                  <w:vAlign w:val="center"/>
                </w:tcPr>
                <w:p w14:paraId="4AD3F8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p>
              </w:tc>
            </w:tr>
            <w:tr w14:paraId="4E26D2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679" w:type="dxa"/>
                  <w:vMerge w:val="continue"/>
                  <w:tcBorders>
                    <w:tl2br w:val="nil"/>
                    <w:tr2bl w:val="nil"/>
                  </w:tcBorders>
                  <w:noWrap w:val="0"/>
                  <w:vAlign w:val="center"/>
                </w:tcPr>
                <w:p w14:paraId="34F2F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pacing w:val="8"/>
                      <w:sz w:val="21"/>
                      <w:szCs w:val="21"/>
                      <w:u w:val="none"/>
                      <w:lang w:val="en-US" w:eastAsia="zh-CN"/>
                    </w:rPr>
                  </w:pPr>
                </w:p>
              </w:tc>
              <w:tc>
                <w:tcPr>
                  <w:tcW w:w="830" w:type="dxa"/>
                  <w:tcBorders>
                    <w:tl2br w:val="nil"/>
                    <w:tr2bl w:val="nil"/>
                  </w:tcBorders>
                  <w:shd w:val="clear" w:color="auto" w:fill="auto"/>
                  <w:noWrap w:val="0"/>
                  <w:vAlign w:val="center"/>
                </w:tcPr>
                <w:p w14:paraId="4AFD9B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8"/>
                      <w:kern w:val="2"/>
                      <w:sz w:val="21"/>
                      <w:szCs w:val="21"/>
                      <w:u w:val="none"/>
                      <w:lang w:val="en-US" w:eastAsia="zh-CN" w:bidi="ar-SA"/>
                    </w:rPr>
                  </w:pPr>
                  <w:r>
                    <w:rPr>
                      <w:rFonts w:hint="eastAsia" w:cs="Times New Roman"/>
                      <w:color w:val="auto"/>
                      <w:spacing w:val="8"/>
                      <w:sz w:val="21"/>
                      <w:szCs w:val="21"/>
                      <w:u w:val="none"/>
                      <w:lang w:val="en-US" w:eastAsia="zh-CN"/>
                    </w:rPr>
                    <w:t>800</w:t>
                  </w:r>
                </w:p>
              </w:tc>
              <w:tc>
                <w:tcPr>
                  <w:tcW w:w="670" w:type="dxa"/>
                  <w:tcBorders>
                    <w:tl2br w:val="nil"/>
                    <w:tr2bl w:val="nil"/>
                  </w:tcBorders>
                  <w:shd w:val="clear" w:color="auto" w:fill="auto"/>
                  <w:noWrap w:val="0"/>
                  <w:vAlign w:val="center"/>
                </w:tcPr>
                <w:p w14:paraId="6D156D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8"/>
                      <w:kern w:val="2"/>
                      <w:sz w:val="21"/>
                      <w:szCs w:val="21"/>
                      <w:u w:val="none"/>
                      <w:lang w:val="en-US" w:eastAsia="zh-CN" w:bidi="ar-SA"/>
                    </w:rPr>
                  </w:pPr>
                  <w:r>
                    <w:rPr>
                      <w:rFonts w:hint="eastAsia" w:cs="Times New Roman"/>
                      <w:color w:val="auto"/>
                      <w:spacing w:val="8"/>
                      <w:sz w:val="21"/>
                      <w:szCs w:val="21"/>
                      <w:u w:val="none"/>
                      <w:lang w:val="en-US" w:eastAsia="zh-CN"/>
                    </w:rPr>
                    <w:t>10</w:t>
                  </w:r>
                </w:p>
              </w:tc>
              <w:tc>
                <w:tcPr>
                  <w:tcW w:w="660" w:type="dxa"/>
                  <w:tcBorders>
                    <w:tl2br w:val="nil"/>
                    <w:tr2bl w:val="nil"/>
                  </w:tcBorders>
                  <w:shd w:val="clear" w:color="auto" w:fill="auto"/>
                  <w:noWrap w:val="0"/>
                  <w:vAlign w:val="center"/>
                </w:tcPr>
                <w:p w14:paraId="7329C9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8"/>
                      <w:kern w:val="2"/>
                      <w:sz w:val="21"/>
                      <w:szCs w:val="21"/>
                      <w:u w:val="none"/>
                      <w:lang w:val="en-US" w:eastAsia="zh-CN" w:bidi="ar-SA"/>
                    </w:rPr>
                  </w:pPr>
                  <w:r>
                    <w:rPr>
                      <w:rFonts w:hint="eastAsia" w:cs="Times New Roman"/>
                      <w:color w:val="auto"/>
                      <w:spacing w:val="8"/>
                      <w:sz w:val="21"/>
                      <w:szCs w:val="21"/>
                      <w:u w:val="none"/>
                      <w:lang w:val="en-US" w:eastAsia="zh-CN"/>
                    </w:rPr>
                    <w:t>8</w:t>
                  </w:r>
                </w:p>
              </w:tc>
              <w:tc>
                <w:tcPr>
                  <w:tcW w:w="580" w:type="dxa"/>
                  <w:tcBorders>
                    <w:tl2br w:val="nil"/>
                    <w:tr2bl w:val="nil"/>
                  </w:tcBorders>
                  <w:shd w:val="clear" w:color="auto" w:fill="auto"/>
                  <w:noWrap w:val="0"/>
                  <w:vAlign w:val="center"/>
                </w:tcPr>
                <w:p w14:paraId="46253C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8"/>
                      <w:kern w:val="2"/>
                      <w:sz w:val="21"/>
                      <w:szCs w:val="21"/>
                      <w:u w:val="none"/>
                      <w:lang w:val="en-US" w:eastAsia="zh-CN" w:bidi="ar-SA"/>
                    </w:rPr>
                  </w:pPr>
                  <w:r>
                    <w:rPr>
                      <w:rFonts w:hint="eastAsia" w:cs="Times New Roman"/>
                      <w:color w:val="auto"/>
                      <w:spacing w:val="8"/>
                      <w:sz w:val="21"/>
                      <w:szCs w:val="21"/>
                      <w:u w:val="none"/>
                      <w:lang w:val="en-US" w:eastAsia="zh-CN"/>
                    </w:rPr>
                    <w:t>70</w:t>
                  </w:r>
                </w:p>
              </w:tc>
              <w:tc>
                <w:tcPr>
                  <w:tcW w:w="650" w:type="dxa"/>
                  <w:tcBorders>
                    <w:tl2br w:val="nil"/>
                    <w:tr2bl w:val="nil"/>
                  </w:tcBorders>
                  <w:shd w:val="clear" w:color="auto" w:fill="auto"/>
                  <w:noWrap w:val="0"/>
                  <w:vAlign w:val="center"/>
                </w:tcPr>
                <w:p w14:paraId="185BF6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kern w:val="2"/>
                      <w:sz w:val="21"/>
                      <w:szCs w:val="21"/>
                      <w:u w:val="none"/>
                      <w:lang w:val="en-US" w:eastAsia="zh-CN" w:bidi="ar-SA"/>
                    </w:rPr>
                  </w:pPr>
                  <w:r>
                    <w:rPr>
                      <w:rFonts w:hint="eastAsia" w:cs="Times New Roman"/>
                      <w:color w:val="auto"/>
                      <w:spacing w:val="8"/>
                      <w:kern w:val="2"/>
                      <w:sz w:val="21"/>
                      <w:szCs w:val="21"/>
                      <w:u w:val="none"/>
                      <w:lang w:val="en-US" w:eastAsia="zh-CN" w:bidi="ar-SA"/>
                    </w:rPr>
                    <w:t>/</w:t>
                  </w:r>
                </w:p>
              </w:tc>
              <w:tc>
                <w:tcPr>
                  <w:tcW w:w="720" w:type="dxa"/>
                  <w:tcBorders>
                    <w:tl2br w:val="nil"/>
                    <w:tr2bl w:val="nil"/>
                  </w:tcBorders>
                  <w:shd w:val="clear" w:color="auto" w:fill="auto"/>
                  <w:noWrap w:val="0"/>
                  <w:vAlign w:val="center"/>
                </w:tcPr>
                <w:p w14:paraId="2B0E11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pacing w:val="8"/>
                      <w:kern w:val="2"/>
                      <w:sz w:val="21"/>
                      <w:szCs w:val="21"/>
                      <w:u w:val="none"/>
                      <w:lang w:val="en-US" w:eastAsia="zh-CN" w:bidi="ar-SA"/>
                    </w:rPr>
                  </w:pPr>
                  <w:r>
                    <w:rPr>
                      <w:rFonts w:hint="eastAsia" w:cs="Times New Roman"/>
                      <w:color w:val="auto"/>
                      <w:spacing w:val="8"/>
                      <w:sz w:val="21"/>
                      <w:szCs w:val="21"/>
                      <w:u w:val="none"/>
                      <w:lang w:val="en-US" w:eastAsia="zh-CN"/>
                    </w:rPr>
                    <w:t>/</w:t>
                  </w:r>
                </w:p>
              </w:tc>
              <w:tc>
                <w:tcPr>
                  <w:tcW w:w="3465" w:type="dxa"/>
                  <w:vMerge w:val="continue"/>
                  <w:tcBorders>
                    <w:tl2br w:val="nil"/>
                    <w:tr2bl w:val="nil"/>
                  </w:tcBorders>
                  <w:noWrap w:val="0"/>
                  <w:vAlign w:val="center"/>
                </w:tcPr>
                <w:p w14:paraId="7B32CD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8"/>
                      <w:sz w:val="21"/>
                      <w:szCs w:val="21"/>
                      <w:u w:val="none"/>
                      <w:lang w:val="zh-CN"/>
                    </w:rPr>
                  </w:pPr>
                </w:p>
              </w:tc>
            </w:tr>
          </w:tbl>
          <w:p w14:paraId="1E32C3F1">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highlight w:val="none"/>
                <w:lang w:val="en-US" w:eastAsia="zh-CN"/>
              </w:rPr>
              <w:t>三、</w:t>
            </w:r>
            <w:r>
              <w:rPr>
                <w:rFonts w:hint="default" w:ascii="Times New Roman" w:hAnsi="Times New Roman" w:eastAsia="宋体" w:cs="Times New Roman"/>
                <w:b/>
                <w:bCs/>
                <w:color w:val="auto"/>
                <w:sz w:val="24"/>
                <w:szCs w:val="24"/>
                <w:lang w:val="en-US" w:eastAsia="zh-CN"/>
              </w:rPr>
              <w:t>噪声</w:t>
            </w:r>
          </w:p>
          <w:p w14:paraId="50147F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0"/>
                <w:sz w:val="24"/>
              </w:rPr>
              <w:t>施工噪声执行《建筑施工场界环境噪声排放标准》（GB12523-2011）中的相关规定；</w:t>
            </w:r>
            <w:r>
              <w:rPr>
                <w:rFonts w:hint="eastAsia" w:ascii="Times New Roman" w:hAnsi="Times New Roman" w:eastAsia="宋体" w:cs="Times New Roman"/>
                <w:color w:val="auto"/>
                <w:spacing w:val="0"/>
                <w:sz w:val="24"/>
                <w:lang w:val="en-US" w:eastAsia="zh-CN"/>
              </w:rPr>
              <w:t>项目运营期</w:t>
            </w:r>
            <w:r>
              <w:rPr>
                <w:rFonts w:hint="default" w:ascii="Times New Roman" w:hAnsi="Times New Roman" w:eastAsia="宋体" w:cs="Times New Roman"/>
                <w:color w:val="auto"/>
                <w:spacing w:val="0"/>
                <w:sz w:val="24"/>
              </w:rPr>
              <w:t>厂界噪声执行《工业企业厂界环境噪声排放标准》（GB12348-2008）中</w:t>
            </w:r>
            <w:r>
              <w:rPr>
                <w:rFonts w:hint="eastAsia" w:ascii="Times New Roman" w:hAnsi="Times New Roman" w:eastAsia="宋体" w:cs="Times New Roman"/>
                <w:color w:val="auto"/>
                <w:spacing w:val="0"/>
                <w:sz w:val="24"/>
                <w:lang w:val="en-US" w:eastAsia="zh-CN"/>
              </w:rPr>
              <w:t>3</w:t>
            </w:r>
            <w:r>
              <w:rPr>
                <w:rFonts w:hint="default" w:ascii="Times New Roman" w:hAnsi="Times New Roman" w:eastAsia="宋体" w:cs="Times New Roman"/>
                <w:color w:val="auto"/>
                <w:spacing w:val="0"/>
                <w:sz w:val="24"/>
              </w:rPr>
              <w:t>类标准</w:t>
            </w:r>
            <w:r>
              <w:rPr>
                <w:rFonts w:hint="eastAsia" w:ascii="Times New Roman" w:hAnsi="Times New Roman" w:eastAsia="宋体" w:cs="Times New Roman"/>
                <w:color w:val="auto"/>
                <w:spacing w:val="0"/>
                <w:sz w:val="24"/>
                <w:lang w:val="en-US" w:eastAsia="zh-CN"/>
              </w:rPr>
              <w:t>限值</w:t>
            </w:r>
            <w:r>
              <w:rPr>
                <w:rFonts w:hint="eastAsia" w:ascii="Times New Roman" w:hAnsi="Times New Roman" w:eastAsia="宋体" w:cs="Times New Roman"/>
                <w:color w:val="auto"/>
                <w:spacing w:val="0"/>
                <w:sz w:val="24"/>
                <w:lang w:eastAsia="zh-CN"/>
              </w:rPr>
              <w:t>，</w:t>
            </w:r>
            <w:r>
              <w:rPr>
                <w:rFonts w:hint="eastAsia" w:ascii="Times New Roman" w:hAnsi="Times New Roman" w:eastAsia="宋体" w:cs="Times New Roman"/>
                <w:color w:val="auto"/>
                <w:spacing w:val="0"/>
                <w:sz w:val="24"/>
                <w:lang w:val="en-US" w:eastAsia="zh-CN"/>
              </w:rPr>
              <w:t>具体详见下表</w:t>
            </w:r>
            <w:r>
              <w:rPr>
                <w:rFonts w:hint="eastAsia" w:cs="Times New Roman"/>
                <w:color w:val="auto"/>
                <w:spacing w:val="0"/>
                <w:sz w:val="24"/>
                <w:lang w:val="en-US" w:eastAsia="zh-CN"/>
              </w:rPr>
              <w:t>3-9</w:t>
            </w:r>
            <w:r>
              <w:rPr>
                <w:rFonts w:hint="default" w:ascii="Times New Roman" w:hAnsi="Times New Roman" w:eastAsia="宋体" w:cs="Times New Roman"/>
                <w:color w:val="auto"/>
                <w:spacing w:val="0"/>
                <w:sz w:val="24"/>
              </w:rPr>
              <w:t>。</w:t>
            </w:r>
          </w:p>
          <w:p w14:paraId="0DFD7113">
            <w:pPr>
              <w:pStyle w:val="79"/>
              <w:bidi w:val="0"/>
              <w:rPr>
                <w:rFonts w:hint="default"/>
                <w:color w:val="auto"/>
                <w:sz w:val="21"/>
                <w:szCs w:val="21"/>
              </w:rPr>
            </w:pPr>
            <w:r>
              <w:rPr>
                <w:rFonts w:hint="default"/>
                <w:color w:val="auto"/>
                <w:sz w:val="21"/>
                <w:szCs w:val="21"/>
              </w:rPr>
              <w:t>表</w:t>
            </w:r>
            <w:r>
              <w:rPr>
                <w:rFonts w:hint="eastAsia"/>
                <w:color w:val="auto"/>
                <w:sz w:val="21"/>
                <w:szCs w:val="21"/>
                <w:lang w:val="en-US" w:eastAsia="zh-CN"/>
              </w:rPr>
              <w:t>3-9</w:t>
            </w:r>
            <w:r>
              <w:rPr>
                <w:rFonts w:hint="default"/>
                <w:color w:val="auto"/>
                <w:sz w:val="21"/>
                <w:szCs w:val="21"/>
                <w:lang w:val="en-US" w:eastAsia="zh-CN"/>
              </w:rPr>
              <w:t xml:space="preserve">   </w:t>
            </w:r>
            <w:r>
              <w:rPr>
                <w:rFonts w:hint="default"/>
                <w:color w:val="auto"/>
                <w:sz w:val="21"/>
                <w:szCs w:val="21"/>
              </w:rPr>
              <w:t>《工业企业厂界环境噪声排放标准》</w:t>
            </w:r>
            <w:r>
              <w:rPr>
                <w:rFonts w:hint="default"/>
                <w:color w:val="auto"/>
                <w:sz w:val="21"/>
                <w:szCs w:val="21"/>
                <w:lang w:val="en-US" w:eastAsia="zh-CN"/>
              </w:rPr>
              <w:t xml:space="preserve"> </w:t>
            </w:r>
            <w:r>
              <w:rPr>
                <w:rFonts w:hint="default"/>
                <w:color w:val="auto"/>
                <w:sz w:val="21"/>
                <w:szCs w:val="21"/>
              </w:rPr>
              <w:t>单位</w:t>
            </w:r>
            <w:r>
              <w:rPr>
                <w:rFonts w:hint="default"/>
                <w:color w:val="auto"/>
                <w:sz w:val="21"/>
                <w:szCs w:val="21"/>
                <w:lang w:eastAsia="zh-CN"/>
              </w:rPr>
              <w:t>：</w:t>
            </w:r>
            <w:r>
              <w:rPr>
                <w:rFonts w:hint="default"/>
                <w:color w:val="auto"/>
                <w:sz w:val="21"/>
                <w:szCs w:val="21"/>
              </w:rPr>
              <w:t>dB（A）</w:t>
            </w:r>
          </w:p>
          <w:tbl>
            <w:tblPr>
              <w:tblStyle w:val="30"/>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3150"/>
              <w:gridCol w:w="1287"/>
              <w:gridCol w:w="1000"/>
              <w:gridCol w:w="1412"/>
              <w:gridCol w:w="1315"/>
            </w:tblGrid>
            <w:tr w14:paraId="07EEB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150" w:type="dxa"/>
                  <w:noWrap w:val="0"/>
                  <w:vAlign w:val="center"/>
                </w:tcPr>
                <w:p w14:paraId="0A8A645B">
                  <w:pPr>
                    <w:pStyle w:val="52"/>
                    <w:bidi w:val="0"/>
                    <w:rPr>
                      <w:rFonts w:hint="default"/>
                      <w:color w:val="auto"/>
                    </w:rPr>
                  </w:pPr>
                  <w:r>
                    <w:rPr>
                      <w:rFonts w:hint="default"/>
                      <w:color w:val="auto"/>
                    </w:rPr>
                    <w:t>标准名称及级（类）别</w:t>
                  </w:r>
                </w:p>
              </w:tc>
              <w:tc>
                <w:tcPr>
                  <w:tcW w:w="1287" w:type="dxa"/>
                  <w:noWrap w:val="0"/>
                  <w:vAlign w:val="center"/>
                </w:tcPr>
                <w:p w14:paraId="4D896DCB">
                  <w:pPr>
                    <w:pStyle w:val="52"/>
                    <w:bidi w:val="0"/>
                    <w:rPr>
                      <w:rFonts w:hint="default"/>
                      <w:color w:val="auto"/>
                    </w:rPr>
                  </w:pPr>
                  <w:r>
                    <w:rPr>
                      <w:rFonts w:hint="default"/>
                      <w:color w:val="auto"/>
                    </w:rPr>
                    <w:t>项目</w:t>
                  </w:r>
                </w:p>
              </w:tc>
              <w:tc>
                <w:tcPr>
                  <w:tcW w:w="1000" w:type="dxa"/>
                  <w:noWrap w:val="0"/>
                  <w:vAlign w:val="center"/>
                </w:tcPr>
                <w:p w14:paraId="4FA1B221">
                  <w:pPr>
                    <w:pStyle w:val="52"/>
                    <w:bidi w:val="0"/>
                    <w:rPr>
                      <w:rFonts w:hint="default"/>
                      <w:color w:val="auto"/>
                    </w:rPr>
                  </w:pPr>
                  <w:r>
                    <w:rPr>
                      <w:rFonts w:hint="default"/>
                      <w:color w:val="auto"/>
                    </w:rPr>
                    <w:t>单位</w:t>
                  </w:r>
                </w:p>
              </w:tc>
              <w:tc>
                <w:tcPr>
                  <w:tcW w:w="2727" w:type="dxa"/>
                  <w:gridSpan w:val="2"/>
                  <w:noWrap w:val="0"/>
                  <w:vAlign w:val="center"/>
                </w:tcPr>
                <w:p w14:paraId="4BF7ED68">
                  <w:pPr>
                    <w:pStyle w:val="52"/>
                    <w:bidi w:val="0"/>
                    <w:rPr>
                      <w:rFonts w:hint="default"/>
                      <w:color w:val="auto"/>
                    </w:rPr>
                  </w:pPr>
                  <w:r>
                    <w:rPr>
                      <w:rFonts w:hint="default"/>
                      <w:color w:val="auto"/>
                    </w:rPr>
                    <w:t>标准值</w:t>
                  </w:r>
                </w:p>
              </w:tc>
            </w:tr>
            <w:tr w14:paraId="7F207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150" w:type="dxa"/>
                  <w:vMerge w:val="restart"/>
                  <w:noWrap w:val="0"/>
                  <w:vAlign w:val="center"/>
                </w:tcPr>
                <w:p w14:paraId="284EB5D4">
                  <w:pPr>
                    <w:pStyle w:val="52"/>
                    <w:bidi w:val="0"/>
                    <w:rPr>
                      <w:rFonts w:hint="default"/>
                      <w:color w:val="auto"/>
                    </w:rPr>
                  </w:pPr>
                  <w:r>
                    <w:rPr>
                      <w:rFonts w:hint="default"/>
                      <w:color w:val="auto"/>
                    </w:rPr>
                    <w:t>《建筑施工场界环境噪声排放标准》（GB12523-2011）</w:t>
                  </w:r>
                </w:p>
              </w:tc>
              <w:tc>
                <w:tcPr>
                  <w:tcW w:w="1287" w:type="dxa"/>
                  <w:vMerge w:val="restart"/>
                  <w:noWrap w:val="0"/>
                  <w:vAlign w:val="center"/>
                </w:tcPr>
                <w:p w14:paraId="5EC7A476">
                  <w:pPr>
                    <w:pStyle w:val="52"/>
                    <w:bidi w:val="0"/>
                    <w:rPr>
                      <w:rFonts w:hint="default"/>
                      <w:color w:val="auto"/>
                    </w:rPr>
                  </w:pPr>
                  <w:r>
                    <w:rPr>
                      <w:rFonts w:hint="default"/>
                      <w:color w:val="auto"/>
                    </w:rPr>
                    <w:t>等效声级Laeq</w:t>
                  </w:r>
                </w:p>
              </w:tc>
              <w:tc>
                <w:tcPr>
                  <w:tcW w:w="1000" w:type="dxa"/>
                  <w:vMerge w:val="restart"/>
                  <w:noWrap w:val="0"/>
                  <w:vAlign w:val="center"/>
                </w:tcPr>
                <w:p w14:paraId="65459DD8">
                  <w:pPr>
                    <w:pStyle w:val="52"/>
                    <w:bidi w:val="0"/>
                    <w:rPr>
                      <w:rFonts w:hint="default"/>
                      <w:color w:val="auto"/>
                    </w:rPr>
                  </w:pPr>
                  <w:r>
                    <w:rPr>
                      <w:rFonts w:hint="eastAsia"/>
                      <w:color w:val="auto"/>
                      <w:lang w:val="en-US" w:eastAsia="zh-CN"/>
                    </w:rPr>
                    <w:t>dB（</w:t>
                  </w:r>
                  <w:r>
                    <w:rPr>
                      <w:rFonts w:hint="default"/>
                      <w:color w:val="auto"/>
                    </w:rPr>
                    <w:t>A</w:t>
                  </w:r>
                  <w:r>
                    <w:rPr>
                      <w:rFonts w:hint="eastAsia"/>
                      <w:color w:val="auto"/>
                      <w:lang w:eastAsia="zh-CN"/>
                    </w:rPr>
                    <w:t>）</w:t>
                  </w:r>
                </w:p>
              </w:tc>
              <w:tc>
                <w:tcPr>
                  <w:tcW w:w="1412" w:type="dxa"/>
                  <w:noWrap w:val="0"/>
                  <w:vAlign w:val="center"/>
                </w:tcPr>
                <w:p w14:paraId="55489F87">
                  <w:pPr>
                    <w:pStyle w:val="52"/>
                    <w:bidi w:val="0"/>
                    <w:rPr>
                      <w:rFonts w:hint="default"/>
                      <w:color w:val="auto"/>
                    </w:rPr>
                  </w:pPr>
                  <w:r>
                    <w:rPr>
                      <w:rFonts w:hint="default"/>
                      <w:color w:val="auto"/>
                    </w:rPr>
                    <w:t>昼</w:t>
                  </w:r>
                </w:p>
              </w:tc>
              <w:tc>
                <w:tcPr>
                  <w:tcW w:w="1315" w:type="dxa"/>
                  <w:noWrap w:val="0"/>
                  <w:vAlign w:val="center"/>
                </w:tcPr>
                <w:p w14:paraId="0EA95836">
                  <w:pPr>
                    <w:pStyle w:val="52"/>
                    <w:bidi w:val="0"/>
                    <w:rPr>
                      <w:rFonts w:hint="default"/>
                      <w:color w:val="auto"/>
                    </w:rPr>
                  </w:pPr>
                  <w:r>
                    <w:rPr>
                      <w:rFonts w:hint="default"/>
                      <w:color w:val="auto"/>
                    </w:rPr>
                    <w:t>≤70</w:t>
                  </w:r>
                </w:p>
              </w:tc>
            </w:tr>
            <w:tr w14:paraId="56B01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150" w:type="dxa"/>
                  <w:vMerge w:val="continue"/>
                  <w:noWrap w:val="0"/>
                  <w:vAlign w:val="center"/>
                </w:tcPr>
                <w:p w14:paraId="0C293539">
                  <w:pPr>
                    <w:pStyle w:val="52"/>
                    <w:bidi w:val="0"/>
                    <w:rPr>
                      <w:rFonts w:hint="default"/>
                      <w:color w:val="auto"/>
                    </w:rPr>
                  </w:pPr>
                </w:p>
              </w:tc>
              <w:tc>
                <w:tcPr>
                  <w:tcW w:w="1287" w:type="dxa"/>
                  <w:vMerge w:val="continue"/>
                  <w:noWrap w:val="0"/>
                  <w:vAlign w:val="center"/>
                </w:tcPr>
                <w:p w14:paraId="3F9809D7">
                  <w:pPr>
                    <w:pStyle w:val="52"/>
                    <w:bidi w:val="0"/>
                    <w:rPr>
                      <w:rFonts w:hint="default"/>
                      <w:color w:val="auto"/>
                    </w:rPr>
                  </w:pPr>
                </w:p>
              </w:tc>
              <w:tc>
                <w:tcPr>
                  <w:tcW w:w="1000" w:type="dxa"/>
                  <w:vMerge w:val="continue"/>
                  <w:noWrap w:val="0"/>
                  <w:vAlign w:val="center"/>
                </w:tcPr>
                <w:p w14:paraId="388ADABA">
                  <w:pPr>
                    <w:pStyle w:val="52"/>
                    <w:bidi w:val="0"/>
                    <w:rPr>
                      <w:rFonts w:hint="default"/>
                      <w:color w:val="auto"/>
                    </w:rPr>
                  </w:pPr>
                </w:p>
              </w:tc>
              <w:tc>
                <w:tcPr>
                  <w:tcW w:w="1412" w:type="dxa"/>
                  <w:noWrap w:val="0"/>
                  <w:vAlign w:val="center"/>
                </w:tcPr>
                <w:p w14:paraId="599057CE">
                  <w:pPr>
                    <w:pStyle w:val="52"/>
                    <w:bidi w:val="0"/>
                    <w:rPr>
                      <w:rFonts w:hint="default"/>
                      <w:color w:val="auto"/>
                    </w:rPr>
                  </w:pPr>
                  <w:r>
                    <w:rPr>
                      <w:rFonts w:hint="default"/>
                      <w:color w:val="auto"/>
                    </w:rPr>
                    <w:t>夜</w:t>
                  </w:r>
                </w:p>
              </w:tc>
              <w:tc>
                <w:tcPr>
                  <w:tcW w:w="1315" w:type="dxa"/>
                  <w:noWrap w:val="0"/>
                  <w:vAlign w:val="center"/>
                </w:tcPr>
                <w:p w14:paraId="2B2B3578">
                  <w:pPr>
                    <w:pStyle w:val="52"/>
                    <w:bidi w:val="0"/>
                    <w:rPr>
                      <w:rFonts w:hint="default"/>
                      <w:color w:val="auto"/>
                    </w:rPr>
                  </w:pPr>
                  <w:r>
                    <w:rPr>
                      <w:rFonts w:hint="default"/>
                      <w:color w:val="auto"/>
                    </w:rPr>
                    <w:t>≤55</w:t>
                  </w:r>
                </w:p>
              </w:tc>
            </w:tr>
            <w:tr w14:paraId="6CA33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150" w:type="dxa"/>
                  <w:vMerge w:val="restart"/>
                  <w:noWrap w:val="0"/>
                  <w:vAlign w:val="center"/>
                </w:tcPr>
                <w:p w14:paraId="56783DC7">
                  <w:pPr>
                    <w:pStyle w:val="52"/>
                    <w:bidi w:val="0"/>
                    <w:rPr>
                      <w:rFonts w:hint="default"/>
                      <w:color w:val="auto"/>
                    </w:rPr>
                  </w:pPr>
                  <w:bookmarkStart w:id="9" w:name="_Toc381950856"/>
                  <w:bookmarkStart w:id="10" w:name="_Toc392054365"/>
                  <w:bookmarkStart w:id="11" w:name="_Toc387316357"/>
                  <w:bookmarkStart w:id="12" w:name="_Toc387316182"/>
                  <w:bookmarkStart w:id="13" w:name="_Toc380931724"/>
                  <w:bookmarkStart w:id="14" w:name="_Toc380931858"/>
                  <w:bookmarkStart w:id="15" w:name="_Toc380930510"/>
                  <w:bookmarkStart w:id="16" w:name="_Toc380932575"/>
                  <w:bookmarkStart w:id="17" w:name="_Toc383070978"/>
                  <w:bookmarkStart w:id="18" w:name="_Toc387316270"/>
                  <w:bookmarkStart w:id="19" w:name="_Toc380930222"/>
                  <w:bookmarkStart w:id="20" w:name="_Toc417399820"/>
                  <w:bookmarkStart w:id="21" w:name="_Toc416875892"/>
                  <w:r>
                    <w:rPr>
                      <w:rFonts w:hint="default"/>
                      <w:color w:val="auto"/>
                    </w:rPr>
                    <w:t>《工业企业厂界环境噪声排放标准》（GB12348-2008）</w:t>
                  </w:r>
                  <w:bookmarkEnd w:id="9"/>
                  <w:bookmarkEnd w:id="10"/>
                  <w:bookmarkEnd w:id="11"/>
                  <w:bookmarkEnd w:id="12"/>
                  <w:bookmarkEnd w:id="13"/>
                  <w:bookmarkEnd w:id="14"/>
                  <w:bookmarkEnd w:id="15"/>
                  <w:bookmarkEnd w:id="16"/>
                  <w:bookmarkEnd w:id="17"/>
                  <w:bookmarkEnd w:id="18"/>
                  <w:bookmarkEnd w:id="19"/>
                  <w:r>
                    <w:rPr>
                      <w:rFonts w:hint="eastAsia"/>
                      <w:color w:val="auto"/>
                      <w:lang w:val="en-US" w:eastAsia="zh-CN"/>
                    </w:rPr>
                    <w:t>3</w:t>
                  </w:r>
                  <w:r>
                    <w:rPr>
                      <w:rFonts w:hint="default"/>
                      <w:color w:val="auto"/>
                    </w:rPr>
                    <w:t>类</w:t>
                  </w:r>
                  <w:bookmarkEnd w:id="20"/>
                  <w:bookmarkEnd w:id="21"/>
                </w:p>
              </w:tc>
              <w:tc>
                <w:tcPr>
                  <w:tcW w:w="1287" w:type="dxa"/>
                  <w:vMerge w:val="restart"/>
                  <w:noWrap w:val="0"/>
                  <w:vAlign w:val="center"/>
                </w:tcPr>
                <w:p w14:paraId="436665DD">
                  <w:pPr>
                    <w:pStyle w:val="52"/>
                    <w:bidi w:val="0"/>
                    <w:rPr>
                      <w:rFonts w:hint="default"/>
                      <w:color w:val="auto"/>
                    </w:rPr>
                  </w:pPr>
                  <w:r>
                    <w:rPr>
                      <w:rFonts w:hint="default"/>
                      <w:color w:val="auto"/>
                    </w:rPr>
                    <w:t>等效声级Laeq</w:t>
                  </w:r>
                </w:p>
              </w:tc>
              <w:tc>
                <w:tcPr>
                  <w:tcW w:w="1000" w:type="dxa"/>
                  <w:vMerge w:val="restart"/>
                  <w:noWrap w:val="0"/>
                  <w:vAlign w:val="center"/>
                </w:tcPr>
                <w:p w14:paraId="4A73E41C">
                  <w:pPr>
                    <w:pStyle w:val="52"/>
                    <w:bidi w:val="0"/>
                    <w:rPr>
                      <w:rFonts w:hint="default"/>
                      <w:color w:val="auto"/>
                    </w:rPr>
                  </w:pPr>
                  <w:r>
                    <w:rPr>
                      <w:rFonts w:hint="eastAsia"/>
                      <w:color w:val="auto"/>
                      <w:lang w:val="en-US" w:eastAsia="zh-CN"/>
                    </w:rPr>
                    <w:t>dB（</w:t>
                  </w:r>
                  <w:r>
                    <w:rPr>
                      <w:rFonts w:hint="default"/>
                      <w:color w:val="auto"/>
                    </w:rPr>
                    <w:t>A</w:t>
                  </w:r>
                  <w:r>
                    <w:rPr>
                      <w:rFonts w:hint="eastAsia"/>
                      <w:color w:val="auto"/>
                      <w:lang w:eastAsia="zh-CN"/>
                    </w:rPr>
                    <w:t>）</w:t>
                  </w:r>
                </w:p>
              </w:tc>
              <w:tc>
                <w:tcPr>
                  <w:tcW w:w="1412" w:type="dxa"/>
                  <w:noWrap w:val="0"/>
                  <w:vAlign w:val="center"/>
                </w:tcPr>
                <w:p w14:paraId="493FE653">
                  <w:pPr>
                    <w:pStyle w:val="52"/>
                    <w:bidi w:val="0"/>
                    <w:rPr>
                      <w:rFonts w:hint="default"/>
                      <w:color w:val="auto"/>
                    </w:rPr>
                  </w:pPr>
                  <w:r>
                    <w:rPr>
                      <w:rFonts w:hint="default"/>
                      <w:color w:val="auto"/>
                    </w:rPr>
                    <w:t>昼</w:t>
                  </w:r>
                </w:p>
              </w:tc>
              <w:tc>
                <w:tcPr>
                  <w:tcW w:w="1315" w:type="dxa"/>
                  <w:noWrap w:val="0"/>
                  <w:vAlign w:val="center"/>
                </w:tcPr>
                <w:p w14:paraId="529548D5">
                  <w:pPr>
                    <w:pStyle w:val="52"/>
                    <w:bidi w:val="0"/>
                    <w:rPr>
                      <w:rFonts w:hint="eastAsia" w:eastAsia="宋体"/>
                      <w:color w:val="auto"/>
                      <w:lang w:eastAsia="zh-CN"/>
                    </w:rPr>
                  </w:pPr>
                  <w:r>
                    <w:rPr>
                      <w:rFonts w:hint="default"/>
                      <w:color w:val="auto"/>
                    </w:rPr>
                    <w:t>≤6</w:t>
                  </w:r>
                  <w:r>
                    <w:rPr>
                      <w:rFonts w:hint="eastAsia"/>
                      <w:color w:val="auto"/>
                      <w:lang w:val="en-US" w:eastAsia="zh-CN"/>
                    </w:rPr>
                    <w:t>5</w:t>
                  </w:r>
                </w:p>
              </w:tc>
            </w:tr>
            <w:tr w14:paraId="65790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3150" w:type="dxa"/>
                  <w:vMerge w:val="continue"/>
                  <w:noWrap w:val="0"/>
                  <w:vAlign w:val="center"/>
                </w:tcPr>
                <w:p w14:paraId="034B5907">
                  <w:pPr>
                    <w:pStyle w:val="52"/>
                    <w:bidi w:val="0"/>
                    <w:rPr>
                      <w:rFonts w:hint="default"/>
                      <w:color w:val="auto"/>
                    </w:rPr>
                  </w:pPr>
                </w:p>
              </w:tc>
              <w:tc>
                <w:tcPr>
                  <w:tcW w:w="1287" w:type="dxa"/>
                  <w:vMerge w:val="continue"/>
                  <w:noWrap w:val="0"/>
                  <w:vAlign w:val="center"/>
                </w:tcPr>
                <w:p w14:paraId="30B3D4A6">
                  <w:pPr>
                    <w:pStyle w:val="52"/>
                    <w:bidi w:val="0"/>
                    <w:rPr>
                      <w:rFonts w:hint="default"/>
                      <w:color w:val="auto"/>
                    </w:rPr>
                  </w:pPr>
                </w:p>
              </w:tc>
              <w:tc>
                <w:tcPr>
                  <w:tcW w:w="1000" w:type="dxa"/>
                  <w:vMerge w:val="continue"/>
                  <w:noWrap w:val="0"/>
                  <w:vAlign w:val="center"/>
                </w:tcPr>
                <w:p w14:paraId="4296EA77">
                  <w:pPr>
                    <w:pStyle w:val="52"/>
                    <w:bidi w:val="0"/>
                    <w:rPr>
                      <w:rFonts w:hint="default"/>
                      <w:color w:val="auto"/>
                    </w:rPr>
                  </w:pPr>
                </w:p>
              </w:tc>
              <w:tc>
                <w:tcPr>
                  <w:tcW w:w="1412" w:type="dxa"/>
                  <w:noWrap w:val="0"/>
                  <w:vAlign w:val="center"/>
                </w:tcPr>
                <w:p w14:paraId="1E48B985">
                  <w:pPr>
                    <w:pStyle w:val="52"/>
                    <w:bidi w:val="0"/>
                    <w:rPr>
                      <w:rFonts w:hint="default"/>
                      <w:color w:val="auto"/>
                    </w:rPr>
                  </w:pPr>
                  <w:r>
                    <w:rPr>
                      <w:rFonts w:hint="default"/>
                      <w:color w:val="auto"/>
                    </w:rPr>
                    <w:t>夜</w:t>
                  </w:r>
                </w:p>
              </w:tc>
              <w:tc>
                <w:tcPr>
                  <w:tcW w:w="1315" w:type="dxa"/>
                  <w:noWrap w:val="0"/>
                  <w:vAlign w:val="center"/>
                </w:tcPr>
                <w:p w14:paraId="369649AC">
                  <w:pPr>
                    <w:pStyle w:val="52"/>
                    <w:bidi w:val="0"/>
                    <w:rPr>
                      <w:rFonts w:hint="eastAsia" w:eastAsia="宋体"/>
                      <w:color w:val="auto"/>
                      <w:lang w:eastAsia="zh-CN"/>
                    </w:rPr>
                  </w:pPr>
                  <w:r>
                    <w:rPr>
                      <w:rFonts w:hint="default"/>
                      <w:color w:val="auto"/>
                    </w:rPr>
                    <w:t>≤5</w:t>
                  </w:r>
                  <w:r>
                    <w:rPr>
                      <w:rFonts w:hint="eastAsia"/>
                      <w:color w:val="auto"/>
                      <w:lang w:val="en-US" w:eastAsia="zh-CN"/>
                    </w:rPr>
                    <w:t>5</w:t>
                  </w:r>
                </w:p>
              </w:tc>
            </w:tr>
          </w:tbl>
          <w:p w14:paraId="0BB29C36">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四、固体废物</w:t>
            </w:r>
          </w:p>
          <w:p w14:paraId="0E1A5C42">
            <w:pPr>
              <w:bidi w:val="0"/>
              <w:rPr>
                <w:rFonts w:hint="default" w:ascii="Times New Roman" w:hAnsi="Times New Roman" w:eastAsia="宋体" w:cs="Times New Roman"/>
                <w:color w:val="auto"/>
                <w:kern w:val="0"/>
                <w:sz w:val="24"/>
                <w:szCs w:val="24"/>
                <w:highlight w:val="none"/>
              </w:rPr>
            </w:pPr>
            <w:r>
              <w:rPr>
                <w:rFonts w:hint="eastAsia"/>
                <w:color w:val="auto"/>
                <w:lang w:val="en-US" w:eastAsia="zh-CN"/>
              </w:rPr>
              <w:t>本项目固体废物的处理、处置均应满足《中华人民共和国固体废物污染环境防治法》中的有关规定要求，一般工业固体废物贮存过程的污染控制应满足防渗漏、防雨淋、防扬尘等环境保护要求。危险废物执行《危险废物贮存污染控制标准》（</w:t>
            </w:r>
            <w:r>
              <w:rPr>
                <w:rFonts w:hint="default"/>
                <w:color w:val="auto"/>
                <w:lang w:val="en-US" w:eastAsia="zh-CN"/>
              </w:rPr>
              <w:t>GB</w:t>
            </w:r>
            <w:r>
              <w:rPr>
                <w:rFonts w:hint="eastAsia"/>
                <w:color w:val="auto"/>
                <w:lang w:val="en-US" w:eastAsia="zh-CN"/>
              </w:rPr>
              <w:t xml:space="preserve"> </w:t>
            </w:r>
            <w:r>
              <w:rPr>
                <w:rFonts w:hint="default"/>
                <w:color w:val="auto"/>
                <w:lang w:val="en-US" w:eastAsia="zh-CN"/>
              </w:rPr>
              <w:t>18597</w:t>
            </w:r>
            <w:r>
              <w:rPr>
                <w:rFonts w:hint="eastAsia"/>
                <w:color w:val="auto"/>
                <w:lang w:val="en-US" w:eastAsia="zh-CN"/>
              </w:rPr>
              <w:t>-</w:t>
            </w:r>
            <w:r>
              <w:rPr>
                <w:rFonts w:hint="default"/>
                <w:color w:val="auto"/>
                <w:lang w:val="en-US" w:eastAsia="zh-CN"/>
              </w:rPr>
              <w:t>2023</w:t>
            </w:r>
            <w:r>
              <w:rPr>
                <w:rFonts w:hint="eastAsia"/>
                <w:color w:val="auto"/>
                <w:lang w:val="en-US" w:eastAsia="zh-CN"/>
              </w:rPr>
              <w:t>）及《危险废物识别标志设置技术规范》（</w:t>
            </w:r>
            <w:r>
              <w:rPr>
                <w:rFonts w:hint="default"/>
                <w:color w:val="auto"/>
                <w:lang w:val="en-US" w:eastAsia="zh-CN"/>
              </w:rPr>
              <w:t>HJ</w:t>
            </w:r>
            <w:r>
              <w:rPr>
                <w:rFonts w:hint="eastAsia"/>
                <w:color w:val="auto"/>
                <w:lang w:val="en-US" w:eastAsia="zh-CN"/>
              </w:rPr>
              <w:t xml:space="preserve"> </w:t>
            </w:r>
            <w:r>
              <w:rPr>
                <w:rFonts w:hint="default"/>
                <w:color w:val="auto"/>
                <w:lang w:val="en-US" w:eastAsia="zh-CN"/>
              </w:rPr>
              <w:t>1276</w:t>
            </w:r>
            <w:r>
              <w:rPr>
                <w:rFonts w:hint="eastAsia"/>
                <w:color w:val="auto"/>
                <w:lang w:val="en-US" w:eastAsia="zh-CN"/>
              </w:rPr>
              <w:t>-</w:t>
            </w:r>
            <w:r>
              <w:rPr>
                <w:rFonts w:hint="default"/>
                <w:color w:val="auto"/>
                <w:lang w:val="en-US" w:eastAsia="zh-CN"/>
              </w:rPr>
              <w:t>2022</w:t>
            </w:r>
            <w:r>
              <w:rPr>
                <w:rFonts w:hint="eastAsia"/>
                <w:color w:val="auto"/>
                <w:lang w:val="en-US" w:eastAsia="zh-CN"/>
              </w:rPr>
              <w:t>）的标准要求。</w:t>
            </w:r>
          </w:p>
        </w:tc>
      </w:tr>
      <w:tr w14:paraId="43C03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6" w:hRule="atLeast"/>
          <w:jc w:val="center"/>
        </w:trPr>
        <w:tc>
          <w:tcPr>
            <w:tcW w:w="827" w:type="dxa"/>
            <w:noWrap w:val="0"/>
            <w:vAlign w:val="center"/>
          </w:tcPr>
          <w:p w14:paraId="407EAF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总量</w:t>
            </w:r>
          </w:p>
          <w:p w14:paraId="628E34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控制</w:t>
            </w:r>
          </w:p>
          <w:p w14:paraId="7F68BA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指标</w:t>
            </w:r>
          </w:p>
        </w:tc>
        <w:tc>
          <w:tcPr>
            <w:tcW w:w="8462" w:type="dxa"/>
            <w:noWrap w:val="0"/>
            <w:vAlign w:val="center"/>
          </w:tcPr>
          <w:p w14:paraId="45630C88">
            <w:pPr>
              <w:bidi w:val="0"/>
              <w:rPr>
                <w:rFonts w:hint="eastAsia"/>
                <w:sz w:val="24"/>
                <w:szCs w:val="24"/>
                <w:vertAlign w:val="baseline"/>
                <w:lang w:val="en-US" w:eastAsia="zh-CN"/>
              </w:rPr>
            </w:pPr>
            <w:r>
              <w:rPr>
                <w:rFonts w:hint="eastAsia"/>
                <w:sz w:val="24"/>
                <w:szCs w:val="24"/>
                <w:vertAlign w:val="baseline"/>
                <w:lang w:val="en-US" w:eastAsia="zh-CN"/>
              </w:rPr>
              <w:t>根据《关于印发“十四五”生态保护监管规划的通知》（环生态〔2022〕15号）以及《“十四五”节能减排综合工作方案》（国发〔2021〕33号），建设项目总量指标审核和管理的污染物范围包括：化学需氧量、氨氮、氮氧化物、挥发性有机物。</w:t>
            </w:r>
          </w:p>
          <w:p w14:paraId="0B1F30A1">
            <w:pPr>
              <w:bidi w:val="0"/>
              <w:rPr>
                <w:rFonts w:hint="eastAsia"/>
                <w:sz w:val="24"/>
                <w:szCs w:val="24"/>
                <w:vertAlign w:val="baseline"/>
                <w:lang w:val="en-US" w:eastAsia="zh-CN"/>
              </w:rPr>
            </w:pPr>
            <w:r>
              <w:rPr>
                <w:rFonts w:hint="eastAsia"/>
                <w:sz w:val="24"/>
                <w:szCs w:val="24"/>
                <w:vertAlign w:val="baseline"/>
                <w:lang w:val="en-US" w:eastAsia="zh-CN"/>
              </w:rPr>
              <w:t>结合本项目污染物排放特征，</w:t>
            </w:r>
            <w:r>
              <w:rPr>
                <w:rFonts w:hint="default" w:ascii="Times New Roman" w:hAnsi="Times New Roman" w:eastAsia="宋体" w:cs="Times New Roman"/>
                <w:color w:val="auto"/>
                <w:sz w:val="24"/>
              </w:rPr>
              <w:t>本项目</w:t>
            </w:r>
            <w:r>
              <w:rPr>
                <w:rFonts w:hint="eastAsia" w:eastAsia="宋体" w:cs="Times New Roman"/>
                <w:color w:val="auto"/>
                <w:sz w:val="24"/>
                <w:lang w:val="en-US" w:eastAsia="zh-CN"/>
              </w:rPr>
              <w:t>生产废水（</w:t>
            </w:r>
            <w:r>
              <w:rPr>
                <w:rFonts w:hint="default" w:ascii="Times New Roman" w:hAnsi="Times New Roman" w:eastAsia="宋体" w:cs="Times New Roman"/>
                <w:color w:val="auto"/>
                <w:sz w:val="24"/>
              </w:rPr>
              <w:t>设备冷却循环水排污水</w:t>
            </w:r>
            <w:r>
              <w:rPr>
                <w:rFonts w:hint="eastAsia" w:eastAsia="宋体" w:cs="Times New Roman"/>
                <w:color w:val="auto"/>
                <w:sz w:val="24"/>
                <w:lang w:val="en-US" w:eastAsia="zh-CN"/>
              </w:rPr>
              <w:t>）</w:t>
            </w:r>
            <w:r>
              <w:rPr>
                <w:rFonts w:hint="default" w:ascii="Times New Roman" w:hAnsi="Times New Roman" w:eastAsia="宋体" w:cs="Times New Roman"/>
                <w:color w:val="auto"/>
                <w:sz w:val="24"/>
              </w:rPr>
              <w:t>和生活污水</w:t>
            </w:r>
            <w:r>
              <w:rPr>
                <w:rFonts w:hint="eastAsia" w:ascii="Times New Roman" w:hAnsi="Times New Roman" w:eastAsia="宋体" w:cs="Times New Roman"/>
                <w:color w:val="auto"/>
                <w:sz w:val="24"/>
                <w:lang w:val="en-US" w:eastAsia="zh-CN"/>
              </w:rPr>
              <w:t>经</w:t>
            </w:r>
            <w:r>
              <w:rPr>
                <w:rFonts w:hint="eastAsia"/>
                <w:sz w:val="24"/>
                <w:szCs w:val="24"/>
                <w:vertAlign w:val="baseline"/>
                <w:lang w:val="en-US" w:eastAsia="zh-CN"/>
              </w:rPr>
              <w:t>化粪池收集预处理后排入市政污水管网，最终进入</w:t>
            </w:r>
            <w:r>
              <w:rPr>
                <w:rFonts w:hint="default" w:ascii="Times New Roman" w:hAnsi="Times New Roman" w:eastAsia="宋体" w:cs="Times New Roman"/>
                <w:color w:val="auto"/>
                <w:sz w:val="24"/>
              </w:rPr>
              <w:t>长青工业园污水处理厂</w:t>
            </w:r>
            <w:r>
              <w:rPr>
                <w:rFonts w:hint="eastAsia"/>
                <w:sz w:val="24"/>
                <w:szCs w:val="24"/>
                <w:vertAlign w:val="baseline"/>
                <w:lang w:val="en-US" w:eastAsia="zh-CN"/>
              </w:rPr>
              <w:t>进一步处理。废水已全部纳入</w:t>
            </w:r>
            <w:r>
              <w:rPr>
                <w:rFonts w:hint="default" w:ascii="Times New Roman" w:hAnsi="Times New Roman" w:eastAsia="宋体" w:cs="Times New Roman"/>
                <w:color w:val="auto"/>
                <w:sz w:val="24"/>
              </w:rPr>
              <w:t>长青工业园污水处理厂</w:t>
            </w:r>
            <w:r>
              <w:rPr>
                <w:rFonts w:hint="eastAsia"/>
                <w:sz w:val="24"/>
                <w:szCs w:val="24"/>
                <w:vertAlign w:val="baseline"/>
                <w:lang w:val="en-US" w:eastAsia="zh-CN"/>
              </w:rPr>
              <w:t>总量控制指标，不单独申请。本项目VOCs排放量为0.5628t/a。</w:t>
            </w:r>
          </w:p>
          <w:p w14:paraId="0278C38D">
            <w:pPr>
              <w:bidi w:val="0"/>
              <w:rPr>
                <w:rFonts w:hint="eastAsia"/>
                <w:sz w:val="24"/>
                <w:szCs w:val="24"/>
                <w:vertAlign w:val="baseline"/>
                <w:lang w:val="en-US" w:eastAsia="zh-CN"/>
              </w:rPr>
            </w:pPr>
            <w:r>
              <w:rPr>
                <w:rFonts w:hint="eastAsia"/>
                <w:sz w:val="24"/>
                <w:szCs w:val="24"/>
                <w:vertAlign w:val="baseline"/>
                <w:lang w:val="en-US" w:eastAsia="zh-CN"/>
              </w:rPr>
              <w:t>要求建设单位根据《陕西省主要污染物排污权有偿使用和交易试点实施方案（试行）》（陕政办发〔2016〕51号）要求，在办理排污许可证或实际排污前，参加排污权交易，取得主要污染物排污权。</w:t>
            </w:r>
          </w:p>
          <w:p w14:paraId="594167C1">
            <w:pPr>
              <w:pStyle w:val="24"/>
              <w:rPr>
                <w:rFonts w:hint="eastAsia"/>
                <w:sz w:val="24"/>
                <w:szCs w:val="24"/>
                <w:vertAlign w:val="baseline"/>
                <w:lang w:val="en-US" w:eastAsia="zh-CN"/>
              </w:rPr>
            </w:pPr>
          </w:p>
          <w:p w14:paraId="2A87F450">
            <w:pPr>
              <w:rPr>
                <w:rFonts w:hint="eastAsia"/>
                <w:sz w:val="24"/>
                <w:szCs w:val="24"/>
                <w:vertAlign w:val="baseline"/>
                <w:lang w:val="en-US" w:eastAsia="zh-CN"/>
              </w:rPr>
            </w:pPr>
          </w:p>
          <w:p w14:paraId="47685B14">
            <w:pPr>
              <w:pStyle w:val="24"/>
              <w:rPr>
                <w:rFonts w:hint="eastAsia"/>
                <w:sz w:val="24"/>
                <w:szCs w:val="24"/>
                <w:vertAlign w:val="baseline"/>
                <w:lang w:val="en-US" w:eastAsia="zh-CN"/>
              </w:rPr>
            </w:pPr>
          </w:p>
          <w:p w14:paraId="41C04B32">
            <w:pPr>
              <w:rPr>
                <w:rFonts w:hint="eastAsia"/>
                <w:sz w:val="24"/>
                <w:szCs w:val="24"/>
                <w:vertAlign w:val="baseline"/>
                <w:lang w:val="en-US" w:eastAsia="zh-CN"/>
              </w:rPr>
            </w:pPr>
          </w:p>
          <w:p w14:paraId="7B9A7EBC">
            <w:pPr>
              <w:pStyle w:val="24"/>
              <w:rPr>
                <w:rFonts w:hint="eastAsia"/>
                <w:sz w:val="24"/>
                <w:szCs w:val="24"/>
                <w:vertAlign w:val="baseline"/>
                <w:lang w:val="en-US" w:eastAsia="zh-CN"/>
              </w:rPr>
            </w:pPr>
          </w:p>
          <w:p w14:paraId="7314FB17">
            <w:pPr>
              <w:rPr>
                <w:rFonts w:hint="eastAsia"/>
                <w:sz w:val="24"/>
                <w:szCs w:val="24"/>
                <w:vertAlign w:val="baseline"/>
                <w:lang w:val="en-US" w:eastAsia="zh-CN"/>
              </w:rPr>
            </w:pPr>
          </w:p>
          <w:p w14:paraId="223C3CF1">
            <w:pPr>
              <w:pStyle w:val="24"/>
              <w:rPr>
                <w:rFonts w:hint="eastAsia"/>
                <w:sz w:val="24"/>
                <w:szCs w:val="24"/>
                <w:vertAlign w:val="baseline"/>
                <w:lang w:val="en-US" w:eastAsia="zh-CN"/>
              </w:rPr>
            </w:pPr>
          </w:p>
          <w:p w14:paraId="053BC14F">
            <w:pPr>
              <w:rPr>
                <w:rFonts w:hint="eastAsia"/>
                <w:sz w:val="24"/>
                <w:szCs w:val="24"/>
                <w:vertAlign w:val="baseline"/>
                <w:lang w:val="en-US" w:eastAsia="zh-CN"/>
              </w:rPr>
            </w:pPr>
          </w:p>
          <w:p w14:paraId="27BC16E6">
            <w:pPr>
              <w:pStyle w:val="24"/>
              <w:rPr>
                <w:rFonts w:hint="eastAsia"/>
                <w:sz w:val="24"/>
                <w:szCs w:val="24"/>
                <w:vertAlign w:val="baseline"/>
                <w:lang w:val="en-US" w:eastAsia="zh-CN"/>
              </w:rPr>
            </w:pPr>
          </w:p>
          <w:p w14:paraId="240DDAA1">
            <w:pPr>
              <w:pStyle w:val="24"/>
              <w:rPr>
                <w:rFonts w:hint="eastAsia"/>
                <w:sz w:val="24"/>
                <w:szCs w:val="24"/>
                <w:vertAlign w:val="baseline"/>
                <w:lang w:val="en-US" w:eastAsia="zh-CN"/>
              </w:rPr>
            </w:pPr>
          </w:p>
          <w:p w14:paraId="2C83A5ED">
            <w:pPr>
              <w:rPr>
                <w:rFonts w:hint="eastAsia"/>
                <w:lang w:val="en-US" w:eastAsia="zh-CN"/>
              </w:rPr>
            </w:pPr>
          </w:p>
          <w:p w14:paraId="5E34181C">
            <w:pPr>
              <w:rPr>
                <w:rFonts w:hint="eastAsia"/>
                <w:sz w:val="24"/>
                <w:szCs w:val="24"/>
                <w:vertAlign w:val="baseline"/>
                <w:lang w:val="en-US" w:eastAsia="zh-CN"/>
              </w:rPr>
            </w:pPr>
          </w:p>
          <w:p w14:paraId="33BBDC1A">
            <w:pPr>
              <w:pStyle w:val="24"/>
              <w:rPr>
                <w:rFonts w:hint="eastAsia"/>
                <w:lang w:val="en-US" w:eastAsia="zh-CN"/>
              </w:rPr>
            </w:pPr>
          </w:p>
          <w:p w14:paraId="3695EF70">
            <w:pPr>
              <w:pStyle w:val="24"/>
              <w:rPr>
                <w:rFonts w:hint="eastAsia"/>
                <w:sz w:val="24"/>
                <w:szCs w:val="24"/>
                <w:vertAlign w:val="baseline"/>
                <w:lang w:val="en-US" w:eastAsia="zh-CN"/>
              </w:rPr>
            </w:pPr>
          </w:p>
          <w:p w14:paraId="4CC82C86">
            <w:pPr>
              <w:rPr>
                <w:rFonts w:hint="eastAsia"/>
                <w:sz w:val="24"/>
                <w:szCs w:val="24"/>
                <w:vertAlign w:val="baseline"/>
                <w:lang w:val="en-US" w:eastAsia="zh-CN"/>
              </w:rPr>
            </w:pPr>
          </w:p>
          <w:p w14:paraId="75D10BEA">
            <w:pPr>
              <w:pStyle w:val="24"/>
              <w:rPr>
                <w:rFonts w:hint="eastAsia"/>
                <w:sz w:val="24"/>
                <w:szCs w:val="24"/>
                <w:vertAlign w:val="baseline"/>
                <w:lang w:val="en-US" w:eastAsia="zh-CN"/>
              </w:rPr>
            </w:pPr>
          </w:p>
          <w:p w14:paraId="3AC0898E">
            <w:pPr>
              <w:rPr>
                <w:rFonts w:hint="default"/>
                <w:lang w:val="en-US"/>
              </w:rPr>
            </w:pPr>
          </w:p>
        </w:tc>
      </w:tr>
    </w:tbl>
    <w:p w14:paraId="493B7236">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tLeast"/>
        <w:jc w:val="center"/>
        <w:textAlignment w:val="auto"/>
        <w:outlineLvl w:val="0"/>
        <w:rPr>
          <w:rFonts w:hint="default" w:ascii="Times New Roman" w:hAnsi="Times New Roman" w:eastAsia="宋体" w:cs="Times New Roman"/>
          <w:b/>
          <w:bCs/>
          <w:snapToGrid w:val="0"/>
          <w:color w:val="auto"/>
          <w:sz w:val="30"/>
          <w:szCs w:val="30"/>
          <w:highlight w:val="none"/>
        </w:rPr>
      </w:pPr>
      <w:bookmarkStart w:id="22" w:name="_Toc22880"/>
      <w:bookmarkStart w:id="23" w:name="_Toc15583"/>
      <w:bookmarkStart w:id="24" w:name="_Toc14236"/>
      <w:bookmarkStart w:id="25" w:name="_Hlk54167917"/>
      <w:r>
        <w:rPr>
          <w:rFonts w:hint="default" w:ascii="Times New Roman" w:hAnsi="Times New Roman" w:eastAsia="宋体" w:cs="Times New Roman"/>
          <w:snapToGrid w:val="0"/>
          <w:color w:val="auto"/>
          <w:sz w:val="36"/>
          <w:szCs w:val="36"/>
          <w:highlight w:val="none"/>
        </w:rPr>
        <w:br w:type="page"/>
      </w:r>
      <w:bookmarkStart w:id="26" w:name="_Toc3199"/>
      <w:bookmarkStart w:id="27" w:name="_Toc27698"/>
      <w:bookmarkStart w:id="28" w:name="_Toc29003"/>
      <w:r>
        <w:rPr>
          <w:rFonts w:hint="default" w:ascii="Times New Roman" w:hAnsi="Times New Roman" w:eastAsia="黑体" w:cs="Times New Roman"/>
          <w:snapToGrid w:val="0"/>
          <w:color w:val="auto"/>
          <w:sz w:val="30"/>
          <w:szCs w:val="30"/>
          <w:highlight w:val="none"/>
        </w:rPr>
        <w:t>四、主要环境影响和保护措施</w:t>
      </w:r>
      <w:bookmarkEnd w:id="26"/>
      <w:bookmarkEnd w:id="27"/>
      <w:bookmarkEnd w:id="28"/>
    </w:p>
    <w:tbl>
      <w:tblPr>
        <w:tblStyle w:val="30"/>
        <w:tblW w:w="91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8470"/>
      </w:tblGrid>
      <w:tr w14:paraId="1DDDA6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09" w:hRule="atLeast"/>
          <w:jc w:val="center"/>
        </w:trPr>
        <w:tc>
          <w:tcPr>
            <w:tcW w:w="828" w:type="dxa"/>
            <w:noWrap w:val="0"/>
            <w:tcMar>
              <w:left w:w="28" w:type="dxa"/>
              <w:right w:w="28" w:type="dxa"/>
            </w:tcMar>
            <w:vAlign w:val="center"/>
          </w:tcPr>
          <w:p w14:paraId="5C327F90">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施工</w:t>
            </w:r>
          </w:p>
          <w:p w14:paraId="5B72ABEA">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期环</w:t>
            </w:r>
          </w:p>
          <w:p w14:paraId="7E620906">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境保</w:t>
            </w:r>
          </w:p>
          <w:p w14:paraId="0D24EE7A">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护措</w:t>
            </w:r>
          </w:p>
          <w:p w14:paraId="2E54B0DC">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b/>
                <w:bCs/>
                <w:color w:val="auto"/>
                <w:kern w:val="2"/>
                <w:sz w:val="24"/>
                <w:szCs w:val="24"/>
                <w:highlight w:val="none"/>
              </w:rPr>
              <w:t>施</w:t>
            </w:r>
          </w:p>
        </w:tc>
        <w:tc>
          <w:tcPr>
            <w:tcW w:w="8362" w:type="dxa"/>
            <w:noWrap w:val="0"/>
            <w:vAlign w:val="center"/>
          </w:tcPr>
          <w:p w14:paraId="0F576ADC">
            <w:pPr>
              <w:topLinePunct/>
              <w:spacing w:line="360" w:lineRule="auto"/>
              <w:ind w:firstLine="480" w:firstLineChars="200"/>
              <w:rPr>
                <w:rFonts w:hint="default" w:eastAsia="宋体"/>
                <w:sz w:val="24"/>
                <w:szCs w:val="24"/>
                <w:lang w:val="en-US" w:eastAsia="zh-CN"/>
              </w:rPr>
            </w:pPr>
            <w:r>
              <w:rPr>
                <w:rFonts w:hint="eastAsia"/>
                <w:sz w:val="24"/>
                <w:szCs w:val="24"/>
                <w:lang w:val="en-US" w:eastAsia="zh-CN"/>
              </w:rPr>
              <w:t>本项目</w:t>
            </w:r>
            <w:r>
              <w:rPr>
                <w:sz w:val="24"/>
                <w:szCs w:val="24"/>
              </w:rPr>
              <w:t>工程</w:t>
            </w:r>
            <w:r>
              <w:rPr>
                <w:rFonts w:hint="eastAsia"/>
                <w:sz w:val="24"/>
                <w:szCs w:val="24"/>
              </w:rPr>
              <w:t>量</w:t>
            </w:r>
            <w:r>
              <w:rPr>
                <w:sz w:val="24"/>
                <w:szCs w:val="24"/>
              </w:rPr>
              <w:t>较小，施工期较短</w:t>
            </w:r>
            <w:r>
              <w:rPr>
                <w:rFonts w:hint="eastAsia"/>
                <w:sz w:val="24"/>
                <w:szCs w:val="24"/>
                <w:lang w:eastAsia="zh-CN"/>
              </w:rPr>
              <w:t>。</w:t>
            </w:r>
            <w:r>
              <w:rPr>
                <w:sz w:val="24"/>
                <w:szCs w:val="24"/>
              </w:rPr>
              <w:t>随着施工的结束，对周围环境</w:t>
            </w:r>
            <w:r>
              <w:rPr>
                <w:rFonts w:hint="eastAsia"/>
                <w:sz w:val="24"/>
                <w:szCs w:val="24"/>
                <w:lang w:eastAsia="zh-CN"/>
              </w:rPr>
              <w:t>的</w:t>
            </w:r>
            <w:r>
              <w:rPr>
                <w:sz w:val="24"/>
                <w:szCs w:val="24"/>
              </w:rPr>
              <w:t>影响也会随之消失。施工过程主要为车辆运输产生的噪声、扬尘、施工生活污水和生活垃圾</w:t>
            </w:r>
            <w:r>
              <w:rPr>
                <w:rFonts w:hint="eastAsia"/>
                <w:sz w:val="24"/>
                <w:szCs w:val="24"/>
              </w:rPr>
              <w:t>和建筑垃圾</w:t>
            </w:r>
            <w:r>
              <w:rPr>
                <w:sz w:val="24"/>
                <w:szCs w:val="24"/>
              </w:rPr>
              <w:t>等。</w:t>
            </w:r>
            <w:r>
              <w:rPr>
                <w:rFonts w:hint="eastAsia"/>
                <w:sz w:val="24"/>
                <w:szCs w:val="24"/>
                <w:lang w:val="en-US" w:eastAsia="zh-CN"/>
              </w:rPr>
              <w:t>施工期的环境保护措施如下：</w:t>
            </w:r>
          </w:p>
          <w:p w14:paraId="0ACC6407">
            <w:pPr>
              <w:bidi w:val="0"/>
              <w:rPr>
                <w:rFonts w:hint="default" w:ascii="Times New Roman" w:hAnsi="Times New Roman" w:cs="Times New Roman"/>
                <w:color w:val="auto"/>
                <w:szCs w:val="24"/>
              </w:rPr>
            </w:pPr>
            <w:r>
              <w:rPr>
                <w:rFonts w:hint="eastAsia" w:ascii="Times New Roman" w:hAnsi="Times New Roman" w:cs="Times New Roman"/>
                <w:b/>
                <w:bCs w:val="0"/>
                <w:color w:val="auto"/>
                <w:szCs w:val="24"/>
                <w:lang w:val="en-US" w:eastAsia="zh-CN"/>
              </w:rPr>
              <w:t>一、</w:t>
            </w:r>
            <w:r>
              <w:rPr>
                <w:rFonts w:hint="default" w:ascii="Times New Roman" w:hAnsi="Times New Roman" w:cs="Times New Roman"/>
                <w:b/>
                <w:bCs w:val="0"/>
                <w:color w:val="auto"/>
                <w:szCs w:val="24"/>
              </w:rPr>
              <w:t>施工期扬尘污染防治措施</w:t>
            </w:r>
            <w:r>
              <w:rPr>
                <w:rFonts w:hint="eastAsia" w:cs="Times New Roman"/>
                <w:b/>
                <w:bCs w:val="0"/>
                <w:color w:val="auto"/>
                <w:szCs w:val="24"/>
                <w:lang w:eastAsia="zh-CN"/>
              </w:rPr>
              <w:t>：</w:t>
            </w:r>
            <w:r>
              <w:rPr>
                <w:rFonts w:hint="default" w:ascii="Times New Roman" w:hAnsi="Times New Roman" w:cs="Times New Roman"/>
                <w:color w:val="auto"/>
                <w:szCs w:val="24"/>
              </w:rPr>
              <w:t>依照《陕西省大气污染防治条例</w:t>
            </w:r>
            <w:r>
              <w:rPr>
                <w:rFonts w:hint="eastAsia" w:cs="Times New Roman"/>
                <w:color w:val="auto"/>
                <w:szCs w:val="24"/>
                <w:lang w:eastAsia="zh-CN"/>
              </w:rPr>
              <w:t>》《宝鸡市大气污染防治条例</w:t>
            </w:r>
            <w:r>
              <w:rPr>
                <w:rFonts w:hint="default" w:ascii="Times New Roman" w:hAnsi="Times New Roman" w:cs="Times New Roman"/>
                <w:color w:val="auto"/>
                <w:szCs w:val="24"/>
              </w:rPr>
              <w:t>》</w:t>
            </w:r>
            <w:r>
              <w:rPr>
                <w:rFonts w:hint="default"/>
                <w:color w:val="auto"/>
                <w:highlight w:val="none"/>
                <w:lang w:eastAsia="zh-CN"/>
              </w:rPr>
              <w:t>《宝鸡市环境空气质量限期达标规划》</w:t>
            </w:r>
            <w:r>
              <w:rPr>
                <w:rFonts w:hint="eastAsia"/>
                <w:color w:val="auto"/>
                <w:lang w:eastAsia="zh-CN"/>
              </w:rPr>
              <w:t>《</w:t>
            </w:r>
            <w:r>
              <w:rPr>
                <w:rFonts w:hint="default"/>
                <w:color w:val="auto"/>
              </w:rPr>
              <w:t>宝鸡市大气污染防治专项行动实施方案</w:t>
            </w:r>
            <w:r>
              <w:rPr>
                <w:rFonts w:hint="eastAsia"/>
                <w:color w:val="auto"/>
                <w:lang w:eastAsia="zh-CN"/>
              </w:rPr>
              <w:t>（</w:t>
            </w:r>
            <w:r>
              <w:rPr>
                <w:rFonts w:hint="default"/>
                <w:color w:val="auto"/>
              </w:rPr>
              <w:t>2023-2027</w:t>
            </w:r>
            <w:r>
              <w:rPr>
                <w:rFonts w:hint="eastAsia"/>
                <w:color w:val="auto"/>
                <w:lang w:val="en-US" w:eastAsia="zh-CN"/>
              </w:rPr>
              <w:t>年</w:t>
            </w:r>
            <w:r>
              <w:rPr>
                <w:rFonts w:hint="eastAsia"/>
                <w:color w:val="auto"/>
                <w:lang w:eastAsia="zh-CN"/>
              </w:rPr>
              <w:t>）》</w:t>
            </w:r>
            <w:r>
              <w:rPr>
                <w:rFonts w:hint="default" w:ascii="Times New Roman" w:hAnsi="Times New Roman" w:cs="Times New Roman"/>
                <w:color w:val="auto"/>
                <w:szCs w:val="24"/>
              </w:rPr>
              <w:t>等关于扬尘控制的有关要求进行施工。施工扬尘的主要防治措施如下：</w:t>
            </w:r>
          </w:p>
          <w:p w14:paraId="6E6861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rPr>
            </w:pPr>
            <w:r>
              <w:rPr>
                <w:rFonts w:hint="default"/>
                <w:color w:val="auto"/>
              </w:rPr>
              <w:t>①</w:t>
            </w:r>
            <w:r>
              <w:rPr>
                <w:sz w:val="24"/>
                <w:szCs w:val="24"/>
              </w:rPr>
              <w:t>施工现场出入口设置环境保护牌，公示举报电话、 扬尘污染控制措施、建设工地负责人、环保监督员、扬尘监管行政主管部门等有关信息，接受社会监督；</w:t>
            </w:r>
            <w:r>
              <w:rPr>
                <w:rFonts w:ascii="Times New Roman" w:hAnsi="Times New Roman"/>
                <w:sz w:val="24"/>
              </w:rPr>
              <w:t xml:space="preserve">  </w:t>
            </w:r>
          </w:p>
          <w:p w14:paraId="5B6E75C3">
            <w:pPr>
              <w:bidi w:val="0"/>
              <w:rPr>
                <w:rFonts w:ascii="Times New Roman" w:hAnsi="Times New Roman"/>
                <w:sz w:val="24"/>
              </w:rPr>
            </w:pPr>
            <w:r>
              <w:rPr>
                <w:rFonts w:hint="eastAsia"/>
                <w:color w:val="auto"/>
                <w:lang w:val="en-US" w:eastAsia="zh-CN"/>
              </w:rPr>
              <w:t>②</w:t>
            </w:r>
            <w:r>
              <w:rPr>
                <w:rFonts w:ascii="Times New Roman" w:hAnsi="Times New Roman"/>
                <w:sz w:val="24"/>
              </w:rPr>
              <w:t>防尘分段施工：土方、拆除、洗刨</w:t>
            </w:r>
            <w:r>
              <w:rPr>
                <w:rFonts w:hint="eastAsia"/>
                <w:sz w:val="24"/>
                <w:lang w:val="en-US" w:eastAsia="zh-CN"/>
              </w:rPr>
              <w:t>等</w:t>
            </w:r>
            <w:r>
              <w:rPr>
                <w:rFonts w:ascii="Times New Roman" w:hAnsi="Times New Roman"/>
                <w:sz w:val="24"/>
              </w:rPr>
              <w:t xml:space="preserve">工程作业时应当分段作业，实施湿法作业； </w:t>
            </w:r>
          </w:p>
          <w:p w14:paraId="1274A9A3">
            <w:pPr>
              <w:bidi w:val="0"/>
              <w:rPr>
                <w:rFonts w:hint="eastAsia"/>
                <w:color w:val="auto"/>
                <w:lang w:val="en-US" w:eastAsia="zh-CN"/>
              </w:rPr>
            </w:pPr>
            <w:r>
              <w:rPr>
                <w:rFonts w:hint="default"/>
                <w:color w:val="auto"/>
              </w:rPr>
              <w:t>③施工场地实现</w:t>
            </w:r>
            <w:r>
              <w:rPr>
                <w:rFonts w:hint="eastAsia"/>
                <w:color w:val="auto"/>
                <w:lang w:eastAsia="zh-CN"/>
              </w:rPr>
              <w:t>”</w:t>
            </w:r>
            <w:r>
              <w:rPr>
                <w:rFonts w:hint="default"/>
                <w:color w:val="auto"/>
              </w:rPr>
              <w:t>洒水、覆盖、硬化、冲洗、绿化、围挡</w:t>
            </w:r>
            <w:r>
              <w:rPr>
                <w:rFonts w:hint="eastAsia"/>
                <w:color w:val="auto"/>
                <w:lang w:eastAsia="zh-CN"/>
              </w:rPr>
              <w:t>”</w:t>
            </w:r>
            <w:r>
              <w:rPr>
                <w:rFonts w:hint="default"/>
                <w:color w:val="auto"/>
              </w:rPr>
              <w:t>六个100%。施工现场应全封闭设置围挡墙，严禁敞开式作业；施工现场出入口及场内主要道路必须硬化，其余场地必须绿化或固化；施工现场集中堆放的土方必须覆盖，严禁裸露；施工现场的水泥</w:t>
            </w:r>
            <w:r>
              <w:rPr>
                <w:rFonts w:hint="eastAsia"/>
                <w:color w:val="auto"/>
                <w:lang w:eastAsia="zh-CN"/>
              </w:rPr>
              <w:t>及其他</w:t>
            </w:r>
            <w:r>
              <w:rPr>
                <w:rFonts w:hint="default"/>
                <w:color w:val="auto"/>
              </w:rPr>
              <w:t>粉尘类建筑材料必须密闭存放或覆盖，严禁露天放置；施工现场运送土方、渣土、建筑垃圾的车辆必须封闭或遮盖，严禁沿路遗漏或抛撒；施工现场出入口必须配备车辆冲洗设施，严禁车辆带泥出场；施工现场配备洒水车辆，建立洒水清扫制度或雾化降尘措施，并有专人负责。</w:t>
            </w:r>
          </w:p>
          <w:p w14:paraId="55A930DB">
            <w:pPr>
              <w:bidi w:val="0"/>
              <w:rPr>
                <w:rFonts w:hint="default"/>
                <w:color w:val="auto"/>
              </w:rPr>
            </w:pPr>
            <w:r>
              <w:rPr>
                <w:rFonts w:hint="default"/>
                <w:color w:val="auto"/>
              </w:rPr>
              <w:t>④施工现场必须设置固定垃圾存放点，垃圾应分类集中堆放并覆盖，及时清运，严禁焚烧、</w:t>
            </w:r>
            <w:r>
              <w:rPr>
                <w:rFonts w:hint="eastAsia"/>
                <w:color w:val="auto"/>
                <w:lang w:eastAsia="zh-CN"/>
              </w:rPr>
              <w:t>掩埋</w:t>
            </w:r>
            <w:r>
              <w:rPr>
                <w:rFonts w:hint="default"/>
                <w:color w:val="auto"/>
              </w:rPr>
              <w:t>和随意丢弃。</w:t>
            </w:r>
          </w:p>
          <w:p w14:paraId="57CDD80C">
            <w:pPr>
              <w:bidi w:val="0"/>
              <w:rPr>
                <w:rFonts w:hint="default"/>
                <w:color w:val="auto"/>
              </w:rPr>
            </w:pPr>
            <w:r>
              <w:rPr>
                <w:rFonts w:hint="default"/>
                <w:color w:val="auto"/>
              </w:rPr>
              <w:t>⑤施工场地安装视频监控设施，对施工扬尘进行实时监控，并与建设主管部门联网。</w:t>
            </w:r>
          </w:p>
          <w:p w14:paraId="40DD8640">
            <w:pPr>
              <w:bidi w:val="0"/>
              <w:rPr>
                <w:rFonts w:hint="default"/>
                <w:color w:val="auto"/>
              </w:rPr>
            </w:pPr>
            <w:r>
              <w:rPr>
                <w:rFonts w:hint="default"/>
                <w:color w:val="auto"/>
              </w:rPr>
              <w:t>⑥在出现严重雾霾、沙尘暴等恶劣天气时，应按当地政府要求停止施工。在此基础上，施工造成的不利影响是局部的、短期的，本项目建设完成之后影响就会消失，因此本项目施工期大气环境影响可接受。</w:t>
            </w:r>
          </w:p>
          <w:p w14:paraId="4CE72FB0">
            <w:pPr>
              <w:numPr>
                <w:ilvl w:val="0"/>
                <w:numId w:val="7"/>
              </w:numPr>
              <w:bidi w:val="0"/>
              <w:rPr>
                <w:rFonts w:hint="eastAsia" w:cs="Times New Roman"/>
                <w:color w:val="auto"/>
                <w:szCs w:val="24"/>
                <w:lang w:val="en-US" w:eastAsia="zh-CN"/>
              </w:rPr>
            </w:pPr>
            <w:r>
              <w:rPr>
                <w:rFonts w:hint="eastAsia" w:cs="Times New Roman"/>
                <w:b/>
                <w:bCs w:val="0"/>
                <w:color w:val="auto"/>
                <w:szCs w:val="24"/>
                <w:lang w:eastAsia="zh-CN"/>
              </w:rPr>
              <w:t>施工期废水污染防治措施：</w:t>
            </w:r>
            <w:r>
              <w:rPr>
                <w:rFonts w:hint="eastAsia" w:cs="Times New Roman"/>
                <w:color w:val="auto"/>
                <w:szCs w:val="24"/>
                <w:lang w:eastAsia="zh-CN"/>
              </w:rPr>
              <w:t>施工期生产废水和生活污水若不妥善处理将会对地表水造成一定的环境污染，因此，建议</w:t>
            </w:r>
            <w:r>
              <w:rPr>
                <w:rFonts w:hint="eastAsia" w:cs="Times New Roman"/>
                <w:color w:val="auto"/>
                <w:szCs w:val="24"/>
                <w:lang w:val="en-US" w:eastAsia="zh-CN"/>
              </w:rPr>
              <w:t>对</w:t>
            </w:r>
            <w:r>
              <w:rPr>
                <w:rFonts w:hint="eastAsia" w:cs="Times New Roman"/>
                <w:color w:val="auto"/>
                <w:szCs w:val="24"/>
                <w:lang w:eastAsia="zh-CN"/>
              </w:rPr>
              <w:t>施工期废水做好以下防治措施：</w:t>
            </w:r>
            <w:r>
              <w:rPr>
                <w:rFonts w:hint="eastAsia" w:cs="Times New Roman"/>
                <w:color w:val="auto"/>
                <w:szCs w:val="24"/>
                <w:lang w:val="en-US" w:eastAsia="zh-CN"/>
              </w:rPr>
              <w:t xml:space="preserve">  </w:t>
            </w:r>
          </w:p>
          <w:p w14:paraId="59664C01">
            <w:pPr>
              <w:numPr>
                <w:ilvl w:val="0"/>
                <w:numId w:val="0"/>
              </w:numPr>
              <w:bidi w:val="0"/>
              <w:ind w:firstLine="480" w:firstLineChars="200"/>
              <w:rPr>
                <w:rFonts w:hint="eastAsia" w:cs="Times New Roman"/>
                <w:color w:val="auto"/>
                <w:szCs w:val="24"/>
                <w:lang w:eastAsia="zh-CN"/>
              </w:rPr>
            </w:pPr>
            <w:r>
              <w:rPr>
                <w:rFonts w:hint="eastAsia" w:cs="Times New Roman"/>
                <w:color w:val="auto"/>
                <w:szCs w:val="24"/>
                <w:lang w:eastAsia="zh-CN"/>
              </w:rPr>
              <w:t>①施工期施工单位应严格执行《建设工程施工场地文明施工及环境管理暂行规定》，对地面水的排放进行组织设计，严禁乱排、乱流</w:t>
            </w:r>
            <w:r>
              <w:rPr>
                <w:rFonts w:hint="eastAsia" w:cs="Times New Roman"/>
                <w:color w:val="auto"/>
                <w:szCs w:val="24"/>
                <w:lang w:val="en-US" w:eastAsia="zh-CN"/>
              </w:rPr>
              <w:t>等</w:t>
            </w:r>
            <w:r>
              <w:rPr>
                <w:rFonts w:hint="eastAsia" w:cs="Times New Roman"/>
                <w:color w:val="auto"/>
                <w:szCs w:val="24"/>
                <w:lang w:eastAsia="zh-CN"/>
              </w:rPr>
              <w:t>污染道路、水体；</w:t>
            </w:r>
          </w:p>
          <w:p w14:paraId="13697465">
            <w:pPr>
              <w:numPr>
                <w:ilvl w:val="0"/>
                <w:numId w:val="0"/>
              </w:numPr>
              <w:bidi w:val="0"/>
              <w:ind w:firstLine="480" w:firstLineChars="200"/>
              <w:rPr>
                <w:rFonts w:hint="eastAsia" w:cs="Times New Roman"/>
                <w:color w:val="auto"/>
                <w:szCs w:val="24"/>
                <w:lang w:eastAsia="zh-CN"/>
              </w:rPr>
            </w:pPr>
            <w:r>
              <w:rPr>
                <w:rFonts w:hint="eastAsia" w:cs="Times New Roman"/>
                <w:color w:val="auto"/>
                <w:szCs w:val="24"/>
                <w:lang w:eastAsia="zh-CN"/>
              </w:rPr>
              <w:t>②</w:t>
            </w:r>
            <w:r>
              <w:rPr>
                <w:rFonts w:hint="eastAsia"/>
                <w:sz w:val="24"/>
                <w:szCs w:val="24"/>
                <w:lang w:val="en-US" w:eastAsia="zh-CN"/>
              </w:rPr>
              <w:t>车辆冲洗废水</w:t>
            </w:r>
            <w:r>
              <w:rPr>
                <w:rFonts w:hint="eastAsia"/>
                <w:sz w:val="24"/>
                <w:szCs w:val="24"/>
                <w:lang w:eastAsia="zh-CN"/>
              </w:rPr>
              <w:t>：</w:t>
            </w:r>
            <w:r>
              <w:rPr>
                <w:rFonts w:hint="eastAsia"/>
                <w:sz w:val="24"/>
                <w:szCs w:val="24"/>
              </w:rPr>
              <w:t>建设单位需建设临时沉淀池，废水沉淀后用于场地降尘洒水。</w:t>
            </w:r>
            <w:r>
              <w:rPr>
                <w:rFonts w:ascii="Times New Roman" w:hAnsi="Times New Roman"/>
                <w:sz w:val="24"/>
              </w:rPr>
              <w:t>沉渣不得随意倾倒，外运到</w:t>
            </w:r>
            <w:r>
              <w:rPr>
                <w:rFonts w:hint="eastAsia" w:ascii="Times New Roman" w:hAnsi="Times New Roman"/>
                <w:sz w:val="24"/>
                <w:lang w:val="en-US" w:eastAsia="zh-CN"/>
              </w:rPr>
              <w:t>指定</w:t>
            </w:r>
            <w:r>
              <w:rPr>
                <w:rFonts w:ascii="Times New Roman" w:hAnsi="Times New Roman"/>
                <w:sz w:val="24"/>
              </w:rPr>
              <w:t>建筑垃圾填埋场处置</w:t>
            </w:r>
            <w:r>
              <w:rPr>
                <w:rFonts w:hint="eastAsia" w:ascii="Times New Roman" w:hAnsi="Times New Roman"/>
                <w:sz w:val="24"/>
                <w:lang w:eastAsia="zh-CN"/>
              </w:rPr>
              <w:t>。</w:t>
            </w:r>
            <w:r>
              <w:rPr>
                <w:rFonts w:hint="eastAsia" w:cs="Times New Roman"/>
                <w:color w:val="auto"/>
                <w:szCs w:val="24"/>
                <w:lang w:eastAsia="zh-CN"/>
              </w:rPr>
              <w:t>加强对施工人员的教育，贯彻文明施工的原则，严格按施工操作规范执行：</w:t>
            </w:r>
          </w:p>
          <w:p w14:paraId="04DE5456">
            <w:pPr>
              <w:numPr>
                <w:ilvl w:val="0"/>
                <w:numId w:val="0"/>
              </w:numPr>
              <w:bidi w:val="0"/>
              <w:ind w:firstLine="480" w:firstLineChars="200"/>
              <w:rPr>
                <w:rFonts w:hint="eastAsia" w:cs="Times New Roman"/>
                <w:color w:val="auto"/>
                <w:szCs w:val="24"/>
                <w:lang w:eastAsia="zh-CN"/>
              </w:rPr>
            </w:pPr>
            <w:r>
              <w:rPr>
                <w:rFonts w:hint="eastAsia" w:cs="Times New Roman"/>
                <w:color w:val="auto"/>
                <w:szCs w:val="24"/>
                <w:lang w:eastAsia="zh-CN"/>
              </w:rPr>
              <w:t>③施工初期，开挖和钻孔产生的泥浆水及混凝土养护废水，将这类施工废水设沉砂池沉淀处理后尽量循环使用；</w:t>
            </w:r>
          </w:p>
          <w:p w14:paraId="592C80C3">
            <w:pPr>
              <w:numPr>
                <w:ilvl w:val="0"/>
                <w:numId w:val="0"/>
              </w:numPr>
              <w:bidi w:val="0"/>
              <w:ind w:firstLine="480" w:firstLineChars="200"/>
              <w:rPr>
                <w:rFonts w:hint="eastAsia" w:ascii="Times New Roman" w:hAnsi="Times New Roman" w:eastAsia="宋体" w:cs="Times New Roman"/>
                <w:color w:val="auto"/>
                <w:szCs w:val="24"/>
                <w:lang w:eastAsia="zh-CN"/>
              </w:rPr>
            </w:pPr>
            <w:r>
              <w:rPr>
                <w:rFonts w:hint="eastAsia" w:cs="Times New Roman"/>
                <w:color w:val="auto"/>
                <w:szCs w:val="24"/>
                <w:lang w:eastAsia="zh-CN"/>
              </w:rPr>
              <w:t>④</w:t>
            </w:r>
            <w:r>
              <w:rPr>
                <w:rFonts w:ascii="Times New Roman" w:hAnsi="Times New Roman" w:eastAsia="宋体" w:cs="Times New Roman"/>
                <w:sz w:val="24"/>
              </w:rPr>
              <w:t>施工期</w:t>
            </w:r>
            <w:r>
              <w:rPr>
                <w:rFonts w:hint="eastAsia" w:ascii="Times New Roman" w:hAnsi="Times New Roman" w:eastAsia="宋体" w:cs="Times New Roman"/>
                <w:sz w:val="24"/>
                <w:lang w:val="en-US" w:eastAsia="zh-CN"/>
              </w:rPr>
              <w:t>建设临时化粪池，</w:t>
            </w:r>
            <w:r>
              <w:rPr>
                <w:rFonts w:hint="default" w:ascii="Times New Roman" w:hAnsi="Times New Roman" w:eastAsia="宋体" w:cs="Times New Roman"/>
                <w:sz w:val="24"/>
              </w:rPr>
              <w:t>生活污水经临时化粪池处理后</w:t>
            </w:r>
            <w:r>
              <w:rPr>
                <w:rFonts w:hint="eastAsia" w:ascii="Times New Roman" w:hAnsi="Times New Roman" w:eastAsia="宋体" w:cs="Times New Roman"/>
                <w:sz w:val="24"/>
                <w:lang w:val="en-US" w:eastAsia="zh-CN"/>
              </w:rPr>
              <w:t>定期清掏，外运肥田</w:t>
            </w:r>
            <w:r>
              <w:rPr>
                <w:rFonts w:hint="eastAsia" w:cs="Times New Roman"/>
                <w:color w:val="auto"/>
                <w:szCs w:val="24"/>
                <w:lang w:eastAsia="zh-CN"/>
              </w:rPr>
              <w:t>。</w:t>
            </w:r>
          </w:p>
          <w:p w14:paraId="1455A1CA">
            <w:pPr>
              <w:numPr>
                <w:ilvl w:val="0"/>
                <w:numId w:val="0"/>
              </w:numPr>
              <w:bidi w:val="0"/>
              <w:ind w:firstLine="482" w:firstLineChars="200"/>
              <w:rPr>
                <w:rFonts w:hint="eastAsia" w:ascii="Times New Roman" w:hAnsi="Times New Roman" w:eastAsia="宋体" w:cs="Times New Roman"/>
                <w:sz w:val="24"/>
              </w:rPr>
            </w:pPr>
            <w:r>
              <w:rPr>
                <w:rFonts w:hint="eastAsia" w:cs="Times New Roman"/>
                <w:b/>
                <w:bCs w:val="0"/>
                <w:color w:val="auto"/>
                <w:szCs w:val="24"/>
                <w:lang w:val="en-US" w:eastAsia="zh-CN"/>
              </w:rPr>
              <w:t>三、</w:t>
            </w:r>
            <w:r>
              <w:rPr>
                <w:rFonts w:hint="eastAsia" w:cs="Times New Roman"/>
                <w:b/>
                <w:bCs w:val="0"/>
                <w:color w:val="auto"/>
                <w:szCs w:val="24"/>
                <w:lang w:eastAsia="zh-CN"/>
              </w:rPr>
              <w:t>施工期噪声污染防治措施：</w:t>
            </w:r>
            <w:r>
              <w:rPr>
                <w:rFonts w:hint="eastAsia" w:ascii="Times New Roman" w:hAnsi="Times New Roman" w:eastAsia="宋体" w:cs="Times New Roman"/>
                <w:sz w:val="24"/>
              </w:rPr>
              <w:t>施工噪声具有阶段性、临时性和不固定性等特点，因此管理显得尤为重要。施工现场的噪声管理执行《建筑施工场界环境噪声排放标准》（GB12523-2011）的规定，加强管理，文明施工。为有效降低施工噪声的影响，现就施工期</w:t>
            </w:r>
            <w:r>
              <w:rPr>
                <w:rFonts w:hint="eastAsia" w:cs="Times New Roman"/>
                <w:sz w:val="24"/>
                <w:lang w:val="en-US" w:eastAsia="zh-CN"/>
              </w:rPr>
              <w:t>的</w:t>
            </w:r>
            <w:r>
              <w:rPr>
                <w:rFonts w:hint="eastAsia" w:ascii="Times New Roman" w:hAnsi="Times New Roman" w:eastAsia="宋体" w:cs="Times New Roman"/>
                <w:sz w:val="24"/>
              </w:rPr>
              <w:t>噪声控制措施提出以下措施：</w:t>
            </w:r>
          </w:p>
          <w:p w14:paraId="7B2470E1">
            <w:pPr>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①建筑工地四周设置硬质围墙；</w:t>
            </w:r>
          </w:p>
          <w:p w14:paraId="40B40C61">
            <w:pPr>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②建筑施工时尽可能采用低噪声施工机械；</w:t>
            </w:r>
          </w:p>
          <w:p w14:paraId="46D933FC">
            <w:pPr>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③调整施工设备布局将高噪声设备设置在场地</w:t>
            </w:r>
            <w:r>
              <w:rPr>
                <w:rFonts w:hint="eastAsia" w:cs="Times New Roman"/>
                <w:color w:val="auto"/>
                <w:szCs w:val="24"/>
                <w:lang w:eastAsia="zh-CN"/>
              </w:rPr>
              <w:t>西</w:t>
            </w:r>
            <w:r>
              <w:rPr>
                <w:rFonts w:hint="default" w:ascii="Times New Roman" w:hAnsi="Times New Roman" w:cs="Times New Roman"/>
                <w:color w:val="auto"/>
                <w:szCs w:val="24"/>
              </w:rPr>
              <w:t>侧，并对高噪声设备采用移动式隔声屏障进行隔声；</w:t>
            </w:r>
          </w:p>
          <w:p w14:paraId="0EA5FCFC">
            <w:pPr>
              <w:spacing w:line="360" w:lineRule="auto"/>
              <w:ind w:firstLine="480" w:firstLineChars="200"/>
              <w:rPr>
                <w:rFonts w:hint="eastAsia" w:ascii="Times New Roman" w:hAnsi="Times New Roman" w:eastAsia="宋体" w:cs="Times New Roman"/>
                <w:sz w:val="24"/>
              </w:rPr>
            </w:pPr>
            <w:r>
              <w:rPr>
                <w:rFonts w:hint="default" w:ascii="Times New Roman" w:hAnsi="Times New Roman" w:cs="Times New Roman"/>
                <w:color w:val="auto"/>
                <w:szCs w:val="24"/>
              </w:rPr>
              <w:t>④严格控制施工时间，根据不同季节正常作息时间，合理安排施工计划，尽可能避开夜间（22</w:t>
            </w:r>
            <w:r>
              <w:rPr>
                <w:rFonts w:hint="eastAsia" w:ascii="Times New Roman" w:hAnsi="Times New Roman" w:cs="Times New Roman"/>
                <w:color w:val="auto"/>
                <w:szCs w:val="24"/>
                <w:lang w:eastAsia="zh-CN"/>
              </w:rPr>
              <w:t>：</w:t>
            </w:r>
            <w:r>
              <w:rPr>
                <w:rFonts w:hint="default" w:ascii="Times New Roman" w:hAnsi="Times New Roman" w:cs="Times New Roman"/>
                <w:color w:val="auto"/>
                <w:szCs w:val="24"/>
              </w:rPr>
              <w:t>00-6</w:t>
            </w:r>
            <w:r>
              <w:rPr>
                <w:rFonts w:hint="eastAsia" w:ascii="Times New Roman" w:hAnsi="Times New Roman" w:cs="Times New Roman"/>
                <w:color w:val="auto"/>
                <w:szCs w:val="24"/>
                <w:lang w:eastAsia="zh-CN"/>
              </w:rPr>
              <w:t>：</w:t>
            </w:r>
            <w:r>
              <w:rPr>
                <w:rFonts w:hint="eastAsia" w:cs="Times New Roman"/>
                <w:color w:val="auto"/>
                <w:szCs w:val="24"/>
                <w:lang w:eastAsia="zh-CN"/>
              </w:rPr>
              <w:t>00）</w:t>
            </w:r>
            <w:r>
              <w:rPr>
                <w:rFonts w:hint="default" w:ascii="Times New Roman" w:hAnsi="Times New Roman" w:cs="Times New Roman"/>
                <w:color w:val="auto"/>
                <w:szCs w:val="24"/>
              </w:rPr>
              <w:t>昼间午休时间动用高噪声设备，以免产生扰民现象。</w:t>
            </w:r>
          </w:p>
          <w:p w14:paraId="50A7CB30">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⑤</w:t>
            </w:r>
            <w:r>
              <w:rPr>
                <w:rFonts w:hint="eastAsia" w:ascii="Times New Roman" w:hAnsi="Times New Roman" w:eastAsia="宋体" w:cs="Times New Roman"/>
                <w:sz w:val="24"/>
              </w:rPr>
              <w:t>运输车辆，运载设备的车辆要选择合适的时间、路线进行运输，车辆出入现场时应低速</w:t>
            </w:r>
            <w:r>
              <w:rPr>
                <w:rFonts w:hint="eastAsia" w:cs="Times New Roman"/>
                <w:sz w:val="24"/>
                <w:lang w:val="en-US" w:eastAsia="zh-CN"/>
              </w:rPr>
              <w:t>行驶</w:t>
            </w:r>
            <w:r>
              <w:rPr>
                <w:rFonts w:hint="eastAsia" w:ascii="Times New Roman" w:hAnsi="Times New Roman" w:eastAsia="宋体" w:cs="Times New Roman"/>
                <w:sz w:val="24"/>
              </w:rPr>
              <w:t>、禁止鸣笛，减少对敏感点的影响。</w:t>
            </w:r>
          </w:p>
          <w:p w14:paraId="194F2FEB">
            <w:pPr>
              <w:bidi w:val="0"/>
              <w:rPr>
                <w:rFonts w:hint="eastAsia" w:cs="Times New Roman"/>
                <w:color w:val="auto"/>
                <w:szCs w:val="24"/>
                <w:lang w:val="en-US" w:eastAsia="zh-CN"/>
              </w:rPr>
            </w:pPr>
            <w:r>
              <w:rPr>
                <w:rFonts w:hint="eastAsia" w:cs="Times New Roman"/>
                <w:b/>
                <w:bCs w:val="0"/>
                <w:color w:val="auto"/>
                <w:szCs w:val="24"/>
                <w:lang w:val="en-US" w:eastAsia="zh-CN"/>
              </w:rPr>
              <w:t>四、</w:t>
            </w:r>
            <w:r>
              <w:rPr>
                <w:rFonts w:hint="eastAsia" w:cs="Times New Roman"/>
                <w:b/>
                <w:bCs w:val="0"/>
                <w:color w:val="auto"/>
                <w:szCs w:val="24"/>
                <w:lang w:eastAsia="zh-CN"/>
              </w:rPr>
              <w:t>施工期固体废物污染防治措施：</w:t>
            </w:r>
            <w:r>
              <w:rPr>
                <w:rFonts w:hint="eastAsia" w:cs="Times New Roman"/>
                <w:color w:val="auto"/>
                <w:szCs w:val="24"/>
                <w:lang w:val="en-US" w:eastAsia="zh-CN"/>
              </w:rPr>
              <w:t>施工期产生的固体废物主要是施工过程产生的建筑垃圾和施工队伍生活产生的生活垃圾。以上垃圾应分别堆放，妥善处理。对建筑垃圾，可回收利用的应尽量回收。不能回收的应及时处理，防止因长期堆放产生扬尘等污染。生活垃圾定点堆放，定期由环卫部门统一清运。</w:t>
            </w:r>
          </w:p>
          <w:p w14:paraId="15C1BE0A">
            <w:pPr>
              <w:bidi w:val="0"/>
              <w:rPr>
                <w:rFonts w:hint="default"/>
                <w:color w:val="auto"/>
              </w:rPr>
            </w:pPr>
            <w:r>
              <w:rPr>
                <w:rFonts w:hint="default"/>
                <w:color w:val="auto"/>
              </w:rPr>
              <w:t>归纳建设期各项防治措施及其预期效果详见表</w:t>
            </w:r>
            <w:r>
              <w:rPr>
                <w:rFonts w:hint="eastAsia"/>
                <w:color w:val="auto"/>
                <w:lang w:val="en-US" w:eastAsia="zh-CN"/>
              </w:rPr>
              <w:t>4</w:t>
            </w:r>
            <w:r>
              <w:rPr>
                <w:rFonts w:hint="default"/>
                <w:color w:val="auto"/>
              </w:rPr>
              <w:t>-1。</w:t>
            </w:r>
          </w:p>
          <w:p w14:paraId="6ECDF335">
            <w:pPr>
              <w:pStyle w:val="79"/>
              <w:bidi w:val="0"/>
              <w:rPr>
                <w:rFonts w:hint="default"/>
                <w:color w:val="auto"/>
              </w:rPr>
            </w:pPr>
            <w:r>
              <w:rPr>
                <w:rFonts w:hint="default"/>
                <w:color w:val="auto"/>
              </w:rPr>
              <w:t>表</w:t>
            </w:r>
            <w:r>
              <w:rPr>
                <w:rFonts w:hint="eastAsia"/>
                <w:color w:val="auto"/>
                <w:lang w:val="en-US" w:eastAsia="zh-CN"/>
              </w:rPr>
              <w:t>4</w:t>
            </w:r>
            <w:r>
              <w:rPr>
                <w:rFonts w:hint="default"/>
                <w:color w:val="auto"/>
              </w:rPr>
              <w:t>-1</w:t>
            </w:r>
            <w:r>
              <w:rPr>
                <w:rFonts w:hint="eastAsia"/>
                <w:color w:val="auto"/>
                <w:lang w:val="en-US" w:eastAsia="zh-CN"/>
              </w:rPr>
              <w:t xml:space="preserve">  </w:t>
            </w:r>
            <w:r>
              <w:rPr>
                <w:rFonts w:hint="default"/>
                <w:color w:val="auto"/>
              </w:rPr>
              <w:t xml:space="preserve"> 建设期环保措施及预期效果一览表</w:t>
            </w:r>
          </w:p>
          <w:tbl>
            <w:tblPr>
              <w:tblStyle w:val="31"/>
              <w:tblW w:w="81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2362"/>
              <w:gridCol w:w="966"/>
              <w:gridCol w:w="989"/>
              <w:gridCol w:w="1094"/>
              <w:gridCol w:w="2107"/>
            </w:tblGrid>
            <w:tr w14:paraId="03755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tcBorders>
                    <w:tl2br w:val="nil"/>
                    <w:tr2bl w:val="nil"/>
                  </w:tcBorders>
                  <w:noWrap w:val="0"/>
                  <w:vAlign w:val="center"/>
                </w:tcPr>
                <w:p w14:paraId="4B802596">
                  <w:pPr>
                    <w:pStyle w:val="93"/>
                    <w:numPr>
                      <w:ilvl w:val="0"/>
                      <w:numId w:val="0"/>
                    </w:numPr>
                    <w:spacing w:after="0" w:line="240" w:lineRule="auto"/>
                    <w:jc w:val="center"/>
                    <w:rPr>
                      <w:rFonts w:hint="eastAsia" w:ascii="Times New Roman" w:hAnsi="Times New Roman" w:eastAsia="宋体" w:cs="Times New Roman"/>
                      <w:b/>
                      <w:bCs w:val="0"/>
                      <w:color w:val="auto"/>
                      <w:sz w:val="21"/>
                      <w:szCs w:val="21"/>
                      <w:vertAlign w:val="baseline"/>
                      <w:lang w:eastAsia="zh-CN"/>
                    </w:rPr>
                  </w:pPr>
                  <w:r>
                    <w:rPr>
                      <w:rFonts w:hint="eastAsia" w:ascii="Times New Roman" w:hAnsi="Times New Roman" w:cs="Times New Roman"/>
                      <w:b/>
                      <w:bCs w:val="0"/>
                      <w:color w:val="auto"/>
                      <w:sz w:val="21"/>
                      <w:szCs w:val="21"/>
                      <w:vertAlign w:val="baseline"/>
                      <w:lang w:eastAsia="zh-CN"/>
                    </w:rPr>
                    <w:t>项目</w:t>
                  </w:r>
                </w:p>
              </w:tc>
              <w:tc>
                <w:tcPr>
                  <w:tcW w:w="1510" w:type="pct"/>
                  <w:tcBorders>
                    <w:tl2br w:val="nil"/>
                    <w:tr2bl w:val="nil"/>
                  </w:tcBorders>
                  <w:noWrap w:val="0"/>
                  <w:vAlign w:val="center"/>
                </w:tcPr>
                <w:p w14:paraId="345C7FF6">
                  <w:pPr>
                    <w:pStyle w:val="93"/>
                    <w:numPr>
                      <w:ilvl w:val="0"/>
                      <w:numId w:val="0"/>
                    </w:numPr>
                    <w:spacing w:after="0" w:line="240" w:lineRule="auto"/>
                    <w:jc w:val="center"/>
                    <w:rPr>
                      <w:rFonts w:hint="eastAsia" w:ascii="Times New Roman" w:hAnsi="Times New Roman" w:eastAsia="宋体" w:cs="Times New Roman"/>
                      <w:b/>
                      <w:bCs w:val="0"/>
                      <w:color w:val="auto"/>
                      <w:sz w:val="21"/>
                      <w:szCs w:val="21"/>
                      <w:vertAlign w:val="baseline"/>
                      <w:lang w:eastAsia="zh-CN"/>
                    </w:rPr>
                  </w:pPr>
                  <w:r>
                    <w:rPr>
                      <w:rFonts w:hint="eastAsia" w:ascii="Times New Roman" w:hAnsi="Times New Roman" w:cs="Times New Roman"/>
                      <w:b/>
                      <w:bCs w:val="0"/>
                      <w:color w:val="auto"/>
                      <w:sz w:val="21"/>
                      <w:szCs w:val="21"/>
                      <w:vertAlign w:val="baseline"/>
                      <w:lang w:eastAsia="zh-CN"/>
                    </w:rPr>
                    <w:t>环保设施或措施要求</w:t>
                  </w:r>
                </w:p>
              </w:tc>
              <w:tc>
                <w:tcPr>
                  <w:tcW w:w="656" w:type="pct"/>
                  <w:tcBorders>
                    <w:tl2br w:val="nil"/>
                    <w:tr2bl w:val="nil"/>
                  </w:tcBorders>
                  <w:noWrap w:val="0"/>
                  <w:vAlign w:val="center"/>
                </w:tcPr>
                <w:p w14:paraId="0C257CD1">
                  <w:pPr>
                    <w:pStyle w:val="93"/>
                    <w:numPr>
                      <w:ilvl w:val="0"/>
                      <w:numId w:val="0"/>
                    </w:numPr>
                    <w:spacing w:after="0" w:line="240" w:lineRule="auto"/>
                    <w:jc w:val="center"/>
                    <w:rPr>
                      <w:rFonts w:hint="eastAsia" w:ascii="Times New Roman" w:hAnsi="Times New Roman" w:eastAsia="宋体" w:cs="Times New Roman"/>
                      <w:b/>
                      <w:bCs w:val="0"/>
                      <w:color w:val="auto"/>
                      <w:sz w:val="21"/>
                      <w:szCs w:val="21"/>
                      <w:vertAlign w:val="baseline"/>
                      <w:lang w:eastAsia="zh-CN"/>
                    </w:rPr>
                  </w:pPr>
                  <w:r>
                    <w:rPr>
                      <w:rFonts w:hint="eastAsia" w:ascii="Times New Roman" w:hAnsi="Times New Roman" w:cs="Times New Roman"/>
                      <w:b/>
                      <w:bCs w:val="0"/>
                      <w:color w:val="auto"/>
                      <w:sz w:val="21"/>
                      <w:szCs w:val="21"/>
                      <w:vertAlign w:val="baseline"/>
                      <w:lang w:eastAsia="zh-CN"/>
                    </w:rPr>
                    <w:t>实施部位</w:t>
                  </w:r>
                </w:p>
              </w:tc>
              <w:tc>
                <w:tcPr>
                  <w:tcW w:w="670" w:type="pct"/>
                  <w:tcBorders>
                    <w:tl2br w:val="nil"/>
                    <w:tr2bl w:val="nil"/>
                  </w:tcBorders>
                  <w:noWrap w:val="0"/>
                  <w:vAlign w:val="center"/>
                </w:tcPr>
                <w:p w14:paraId="5D62FC15">
                  <w:pPr>
                    <w:pStyle w:val="93"/>
                    <w:numPr>
                      <w:ilvl w:val="0"/>
                      <w:numId w:val="0"/>
                    </w:numPr>
                    <w:spacing w:after="0" w:line="240" w:lineRule="auto"/>
                    <w:jc w:val="center"/>
                    <w:rPr>
                      <w:rFonts w:hint="eastAsia" w:ascii="Times New Roman" w:hAnsi="Times New Roman" w:eastAsia="宋体" w:cs="Times New Roman"/>
                      <w:b/>
                      <w:bCs w:val="0"/>
                      <w:color w:val="auto"/>
                      <w:sz w:val="21"/>
                      <w:szCs w:val="21"/>
                      <w:vertAlign w:val="baseline"/>
                      <w:lang w:eastAsia="zh-CN"/>
                    </w:rPr>
                  </w:pPr>
                  <w:r>
                    <w:rPr>
                      <w:rFonts w:hint="eastAsia" w:ascii="Times New Roman" w:hAnsi="Times New Roman" w:cs="Times New Roman"/>
                      <w:b/>
                      <w:bCs w:val="0"/>
                      <w:color w:val="auto"/>
                      <w:sz w:val="21"/>
                      <w:szCs w:val="21"/>
                      <w:vertAlign w:val="baseline"/>
                      <w:lang w:eastAsia="zh-CN"/>
                    </w:rPr>
                    <w:t>保护对象</w:t>
                  </w:r>
                </w:p>
              </w:tc>
              <w:tc>
                <w:tcPr>
                  <w:tcW w:w="734" w:type="pct"/>
                  <w:tcBorders>
                    <w:tl2br w:val="nil"/>
                    <w:tr2bl w:val="nil"/>
                  </w:tcBorders>
                  <w:noWrap w:val="0"/>
                  <w:vAlign w:val="center"/>
                </w:tcPr>
                <w:p w14:paraId="4BFA5463">
                  <w:pPr>
                    <w:pStyle w:val="93"/>
                    <w:numPr>
                      <w:ilvl w:val="0"/>
                      <w:numId w:val="0"/>
                    </w:numPr>
                    <w:spacing w:after="0" w:line="240" w:lineRule="auto"/>
                    <w:jc w:val="center"/>
                    <w:rPr>
                      <w:rFonts w:hint="eastAsia" w:ascii="Times New Roman" w:hAnsi="Times New Roman" w:eastAsia="宋体" w:cs="Times New Roman"/>
                      <w:b/>
                      <w:bCs w:val="0"/>
                      <w:color w:val="auto"/>
                      <w:sz w:val="21"/>
                      <w:szCs w:val="21"/>
                      <w:vertAlign w:val="baseline"/>
                      <w:lang w:eastAsia="zh-CN"/>
                    </w:rPr>
                  </w:pPr>
                  <w:r>
                    <w:rPr>
                      <w:rFonts w:hint="eastAsia" w:ascii="Times New Roman" w:hAnsi="Times New Roman" w:cs="Times New Roman"/>
                      <w:b/>
                      <w:bCs w:val="0"/>
                      <w:color w:val="auto"/>
                      <w:sz w:val="21"/>
                      <w:szCs w:val="21"/>
                      <w:vertAlign w:val="baseline"/>
                      <w:lang w:eastAsia="zh-CN"/>
                    </w:rPr>
                    <w:t>保证措施</w:t>
                  </w:r>
                </w:p>
              </w:tc>
              <w:tc>
                <w:tcPr>
                  <w:tcW w:w="965" w:type="pct"/>
                  <w:tcBorders>
                    <w:tl2br w:val="nil"/>
                    <w:tr2bl w:val="nil"/>
                  </w:tcBorders>
                  <w:noWrap w:val="0"/>
                  <w:vAlign w:val="center"/>
                </w:tcPr>
                <w:p w14:paraId="4AD998A4">
                  <w:pPr>
                    <w:pStyle w:val="93"/>
                    <w:numPr>
                      <w:ilvl w:val="0"/>
                      <w:numId w:val="0"/>
                    </w:numPr>
                    <w:spacing w:after="0" w:line="240" w:lineRule="auto"/>
                    <w:jc w:val="center"/>
                    <w:rPr>
                      <w:rFonts w:hint="eastAsia" w:ascii="Times New Roman" w:hAnsi="Times New Roman" w:eastAsia="宋体" w:cs="Times New Roman"/>
                      <w:b/>
                      <w:bCs w:val="0"/>
                      <w:color w:val="auto"/>
                      <w:sz w:val="21"/>
                      <w:szCs w:val="21"/>
                      <w:vertAlign w:val="baseline"/>
                      <w:lang w:eastAsia="zh-CN"/>
                    </w:rPr>
                  </w:pPr>
                  <w:r>
                    <w:rPr>
                      <w:rFonts w:hint="eastAsia" w:ascii="Times New Roman" w:hAnsi="Times New Roman" w:cs="Times New Roman"/>
                      <w:b/>
                      <w:bCs w:val="0"/>
                      <w:color w:val="auto"/>
                      <w:sz w:val="21"/>
                      <w:szCs w:val="21"/>
                      <w:vertAlign w:val="baseline"/>
                      <w:lang w:eastAsia="zh-CN"/>
                    </w:rPr>
                    <w:t>预期效果</w:t>
                  </w:r>
                </w:p>
              </w:tc>
            </w:tr>
            <w:tr w14:paraId="034EDF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tcBorders>
                    <w:tl2br w:val="nil"/>
                    <w:tr2bl w:val="nil"/>
                  </w:tcBorders>
                  <w:noWrap w:val="0"/>
                  <w:vAlign w:val="center"/>
                </w:tcPr>
                <w:p w14:paraId="6A11D3C6">
                  <w:pPr>
                    <w:pStyle w:val="93"/>
                    <w:numPr>
                      <w:ilvl w:val="0"/>
                      <w:numId w:val="0"/>
                    </w:numPr>
                    <w:spacing w:after="0" w:line="240" w:lineRule="auto"/>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施工扬尘</w:t>
                  </w:r>
                </w:p>
              </w:tc>
              <w:tc>
                <w:tcPr>
                  <w:tcW w:w="1510" w:type="pct"/>
                  <w:tcBorders>
                    <w:tl2br w:val="nil"/>
                    <w:tr2bl w:val="nil"/>
                  </w:tcBorders>
                  <w:noWrap w:val="0"/>
                  <w:vAlign w:val="center"/>
                </w:tcPr>
                <w:p w14:paraId="5EE0EBAB">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①原材料运输、堆放要求遮盖；②场地四周设围栏，及时清理场地弃渣料，洒水</w:t>
                  </w:r>
                  <w:r>
                    <w:rPr>
                      <w:rFonts w:hint="eastAsia" w:ascii="Times New Roman" w:hAnsi="Times New Roman" w:cs="Times New Roman"/>
                      <w:color w:val="auto"/>
                      <w:sz w:val="21"/>
                      <w:szCs w:val="21"/>
                      <w:vertAlign w:val="baseline"/>
                      <w:lang w:eastAsia="zh-CN"/>
                    </w:rPr>
                    <w:t>抑尘</w:t>
                  </w:r>
                  <w:r>
                    <w:rPr>
                      <w:rFonts w:hint="default" w:ascii="Times New Roman" w:hAnsi="Times New Roman" w:cs="Times New Roman"/>
                      <w:color w:val="auto"/>
                      <w:sz w:val="21"/>
                      <w:szCs w:val="21"/>
                      <w:vertAlign w:val="baseline"/>
                    </w:rPr>
                    <w:t>，</w:t>
                  </w:r>
                  <w:r>
                    <w:rPr>
                      <w:rFonts w:hint="eastAsia" w:ascii="Times New Roman" w:hAnsi="Times New Roman" w:cs="Times New Roman"/>
                      <w:color w:val="auto"/>
                      <w:sz w:val="21"/>
                      <w:szCs w:val="21"/>
                      <w:vertAlign w:val="baseline"/>
                      <w:lang w:eastAsia="zh-CN"/>
                    </w:rPr>
                    <w:t>临时堆土、粉状物料及暂未建设区域及时苫盖，</w:t>
                  </w:r>
                  <w:r>
                    <w:rPr>
                      <w:rFonts w:hint="default" w:ascii="Times New Roman" w:hAnsi="Times New Roman" w:cs="Times New Roman"/>
                      <w:color w:val="auto"/>
                      <w:sz w:val="21"/>
                      <w:szCs w:val="21"/>
                      <w:vertAlign w:val="baseline"/>
                    </w:rPr>
                    <w:t>防止二次扬尘；③逐段施工方式，缩短</w:t>
                  </w:r>
                  <w:r>
                    <w:rPr>
                      <w:rFonts w:hint="eastAsia" w:cs="Times New Roman"/>
                      <w:color w:val="auto"/>
                      <w:sz w:val="21"/>
                      <w:szCs w:val="21"/>
                      <w:vertAlign w:val="baseline"/>
                      <w:lang w:val="en-US" w:eastAsia="zh-CN"/>
                    </w:rPr>
                    <w:t>工期</w:t>
                  </w:r>
                  <w:r>
                    <w:rPr>
                      <w:rFonts w:hint="default" w:ascii="Times New Roman" w:hAnsi="Times New Roman" w:cs="Times New Roman"/>
                      <w:color w:val="auto"/>
                      <w:sz w:val="21"/>
                      <w:szCs w:val="21"/>
                      <w:vertAlign w:val="baseline"/>
                    </w:rPr>
                    <w:t>。</w:t>
                  </w:r>
                </w:p>
              </w:tc>
              <w:tc>
                <w:tcPr>
                  <w:tcW w:w="656" w:type="pct"/>
                  <w:tcBorders>
                    <w:tl2br w:val="nil"/>
                    <w:tr2bl w:val="nil"/>
                  </w:tcBorders>
                  <w:noWrap w:val="0"/>
                  <w:vAlign w:val="center"/>
                </w:tcPr>
                <w:p w14:paraId="1599A6EA">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①运输车辆、堆料场周围；②施工场地弃渣处。</w:t>
                  </w:r>
                </w:p>
              </w:tc>
              <w:tc>
                <w:tcPr>
                  <w:tcW w:w="670" w:type="pct"/>
                  <w:tcBorders>
                    <w:tl2br w:val="nil"/>
                    <w:tr2bl w:val="nil"/>
                  </w:tcBorders>
                  <w:noWrap w:val="0"/>
                  <w:vAlign w:val="center"/>
                </w:tcPr>
                <w:p w14:paraId="7DFCBCD2">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施工场地周围</w:t>
                  </w:r>
                  <w:r>
                    <w:rPr>
                      <w:rFonts w:hint="eastAsia" w:ascii="Times New Roman" w:hAnsi="Times New Roman" w:cs="Times New Roman"/>
                      <w:color w:val="auto"/>
                      <w:sz w:val="21"/>
                      <w:szCs w:val="21"/>
                      <w:vertAlign w:val="baseline"/>
                      <w:lang w:eastAsia="zh-CN"/>
                    </w:rPr>
                    <w:t>大</w:t>
                  </w:r>
                  <w:r>
                    <w:rPr>
                      <w:rFonts w:hint="default" w:ascii="Times New Roman" w:hAnsi="Times New Roman" w:cs="Times New Roman"/>
                      <w:color w:val="auto"/>
                      <w:sz w:val="21"/>
                      <w:szCs w:val="21"/>
                      <w:vertAlign w:val="baseline"/>
                    </w:rPr>
                    <w:t>气环境、施工人员及周围植被</w:t>
                  </w:r>
                </w:p>
              </w:tc>
              <w:tc>
                <w:tcPr>
                  <w:tcW w:w="734" w:type="pct"/>
                  <w:vMerge w:val="restart"/>
                  <w:tcBorders>
                    <w:tl2br w:val="nil"/>
                    <w:tr2bl w:val="nil"/>
                  </w:tcBorders>
                  <w:noWrap w:val="0"/>
                  <w:vAlign w:val="center"/>
                </w:tcPr>
                <w:p w14:paraId="45A084B3">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①建立环境管理机构，配备专职或兼职环保管理人员；②制定相关方环境管理</w:t>
                  </w:r>
                  <w:r>
                    <w:rPr>
                      <w:rFonts w:hint="eastAsia" w:ascii="Times New Roman" w:hAnsi="Times New Roman" w:cs="Times New Roman"/>
                      <w:color w:val="auto"/>
                      <w:sz w:val="21"/>
                      <w:szCs w:val="21"/>
                      <w:vertAlign w:val="baseline"/>
                      <w:lang w:eastAsia="zh-CN"/>
                    </w:rPr>
                    <w:t>制度</w:t>
                  </w:r>
                  <w:r>
                    <w:rPr>
                      <w:rFonts w:hint="default" w:ascii="Times New Roman" w:hAnsi="Times New Roman" w:cs="Times New Roman"/>
                      <w:color w:val="auto"/>
                      <w:sz w:val="21"/>
                      <w:szCs w:val="21"/>
                      <w:vertAlign w:val="baseline"/>
                    </w:rPr>
                    <w:t>、质量管理规定。</w:t>
                  </w:r>
                </w:p>
              </w:tc>
              <w:tc>
                <w:tcPr>
                  <w:tcW w:w="965" w:type="pct"/>
                  <w:tcBorders>
                    <w:tl2br w:val="nil"/>
                    <w:tr2bl w:val="nil"/>
                  </w:tcBorders>
                  <w:noWrap w:val="0"/>
                  <w:vAlign w:val="center"/>
                </w:tcPr>
                <w:p w14:paraId="473BB026">
                  <w:pPr>
                    <w:pStyle w:val="93"/>
                    <w:numPr>
                      <w:ilvl w:val="0"/>
                      <w:numId w:val="0"/>
                    </w:numPr>
                    <w:spacing w:after="0" w:line="240" w:lineRule="auto"/>
                    <w:jc w:val="center"/>
                    <w:rPr>
                      <w:rFonts w:hint="eastAsia"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rPr>
                    <w:t>周围环境空气质量</w:t>
                  </w:r>
                  <w:r>
                    <w:rPr>
                      <w:rFonts w:hint="eastAsia" w:ascii="Times New Roman" w:hAnsi="Times New Roman" w:cs="Times New Roman"/>
                      <w:color w:val="auto"/>
                      <w:sz w:val="21"/>
                      <w:szCs w:val="21"/>
                      <w:vertAlign w:val="baseline"/>
                      <w:lang w:eastAsia="zh-CN"/>
                    </w:rPr>
                    <w:t>满足</w:t>
                  </w:r>
                  <w:r>
                    <w:rPr>
                      <w:rFonts w:hint="default" w:ascii="Times New Roman" w:hAnsi="Times New Roman" w:cs="Times New Roman"/>
                      <w:color w:val="auto"/>
                      <w:sz w:val="21"/>
                      <w:szCs w:val="21"/>
                      <w:vertAlign w:val="baseline"/>
                    </w:rPr>
                    <w:t>《施工场界扬尘排放限值》（DB61/1078-2017）周界外浓度最高点</w:t>
                  </w:r>
                  <w:r>
                    <w:rPr>
                      <w:rFonts w:hint="eastAsia" w:ascii="Times New Roman" w:hAnsi="Times New Roman" w:cs="Times New Roman"/>
                      <w:color w:val="auto"/>
                      <w:sz w:val="21"/>
                      <w:szCs w:val="21"/>
                      <w:vertAlign w:val="baseline"/>
                      <w:lang w:eastAsia="zh-CN"/>
                    </w:rPr>
                    <w:t>限值</w:t>
                  </w:r>
                </w:p>
              </w:tc>
            </w:tr>
            <w:tr w14:paraId="6883A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Merge w:val="restart"/>
                  <w:tcBorders>
                    <w:tl2br w:val="nil"/>
                    <w:tr2bl w:val="nil"/>
                  </w:tcBorders>
                  <w:noWrap w:val="0"/>
                  <w:vAlign w:val="center"/>
                </w:tcPr>
                <w:p w14:paraId="386A2D97">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施工噪声防治</w:t>
                  </w:r>
                </w:p>
              </w:tc>
              <w:tc>
                <w:tcPr>
                  <w:tcW w:w="1510" w:type="pct"/>
                  <w:tcBorders>
                    <w:tl2br w:val="nil"/>
                    <w:tr2bl w:val="nil"/>
                  </w:tcBorders>
                  <w:noWrap w:val="0"/>
                  <w:vAlign w:val="center"/>
                </w:tcPr>
                <w:p w14:paraId="2649994D">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①合理布置，选用低噪声设备；②采取</w:t>
                  </w:r>
                  <w:r>
                    <w:rPr>
                      <w:rFonts w:hint="eastAsia" w:cs="Times New Roman"/>
                      <w:color w:val="auto"/>
                      <w:sz w:val="21"/>
                      <w:szCs w:val="21"/>
                      <w:vertAlign w:val="baseline"/>
                      <w:lang w:eastAsia="zh-CN"/>
                    </w:rPr>
                    <w:t>隔声</w:t>
                  </w:r>
                  <w:r>
                    <w:rPr>
                      <w:rFonts w:hint="default" w:ascii="Times New Roman" w:hAnsi="Times New Roman" w:cs="Times New Roman"/>
                      <w:color w:val="auto"/>
                      <w:sz w:val="21"/>
                      <w:szCs w:val="21"/>
                      <w:vertAlign w:val="baseline"/>
                    </w:rPr>
                    <w:t>、减振措施</w:t>
                  </w:r>
                  <w:r>
                    <w:rPr>
                      <w:rFonts w:hint="eastAsia" w:ascii="Times New Roman" w:hAnsi="Times New Roman" w:cs="Times New Roman"/>
                      <w:color w:val="auto"/>
                      <w:sz w:val="21"/>
                      <w:szCs w:val="21"/>
                      <w:vertAlign w:val="baseline"/>
                      <w:lang w:eastAsia="zh-CN"/>
                    </w:rPr>
                    <w:t>、设置硬质围挡</w:t>
                  </w:r>
                  <w:r>
                    <w:rPr>
                      <w:rFonts w:hint="default" w:ascii="Times New Roman" w:hAnsi="Times New Roman" w:cs="Times New Roman"/>
                      <w:color w:val="auto"/>
                      <w:sz w:val="21"/>
                      <w:szCs w:val="21"/>
                      <w:vertAlign w:val="baseline"/>
                    </w:rPr>
                    <w:t>；</w:t>
                  </w:r>
                </w:p>
              </w:tc>
              <w:tc>
                <w:tcPr>
                  <w:tcW w:w="656" w:type="pct"/>
                  <w:tcBorders>
                    <w:tl2br w:val="nil"/>
                    <w:tr2bl w:val="nil"/>
                  </w:tcBorders>
                  <w:noWrap w:val="0"/>
                  <w:vAlign w:val="center"/>
                </w:tcPr>
                <w:p w14:paraId="61D673FE">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施工场地强噪声设备</w:t>
                  </w:r>
                </w:p>
              </w:tc>
              <w:tc>
                <w:tcPr>
                  <w:tcW w:w="670" w:type="pct"/>
                  <w:vMerge w:val="restart"/>
                  <w:tcBorders>
                    <w:tl2br w:val="nil"/>
                    <w:tr2bl w:val="nil"/>
                  </w:tcBorders>
                  <w:noWrap w:val="0"/>
                  <w:vAlign w:val="center"/>
                </w:tcPr>
                <w:p w14:paraId="48382110">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施工人员及施工场地周围的环境敏感点</w:t>
                  </w:r>
                </w:p>
              </w:tc>
              <w:tc>
                <w:tcPr>
                  <w:tcW w:w="734" w:type="pct"/>
                  <w:vMerge w:val="continue"/>
                  <w:tcBorders>
                    <w:tl2br w:val="nil"/>
                    <w:tr2bl w:val="nil"/>
                  </w:tcBorders>
                  <w:noWrap w:val="0"/>
                  <w:vAlign w:val="center"/>
                </w:tcPr>
                <w:p w14:paraId="4550F5CA">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965" w:type="pct"/>
                  <w:vMerge w:val="restart"/>
                  <w:tcBorders>
                    <w:tl2br w:val="nil"/>
                    <w:tr2bl w:val="nil"/>
                  </w:tcBorders>
                  <w:noWrap w:val="0"/>
                  <w:vAlign w:val="center"/>
                </w:tcPr>
                <w:p w14:paraId="36252E23">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施工场界噪声符合《建筑施工场界环境噪声排放标准》（GB12523-2011）要求</w:t>
                  </w:r>
                </w:p>
              </w:tc>
            </w:tr>
            <w:tr w14:paraId="28521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Merge w:val="continue"/>
                  <w:tcBorders>
                    <w:tl2br w:val="nil"/>
                    <w:tr2bl w:val="nil"/>
                  </w:tcBorders>
                  <w:noWrap w:val="0"/>
                  <w:vAlign w:val="center"/>
                </w:tcPr>
                <w:p w14:paraId="24858CFE">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1510" w:type="pct"/>
                  <w:tcBorders>
                    <w:tl2br w:val="nil"/>
                    <w:tr2bl w:val="nil"/>
                  </w:tcBorders>
                  <w:noWrap w:val="0"/>
                  <w:vAlign w:val="center"/>
                </w:tcPr>
                <w:p w14:paraId="5951670F">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③严格操作规程，降低人为噪声环境污染；</w:t>
                  </w:r>
                </w:p>
              </w:tc>
              <w:tc>
                <w:tcPr>
                  <w:tcW w:w="656" w:type="pct"/>
                  <w:tcBorders>
                    <w:tl2br w:val="nil"/>
                    <w:tr2bl w:val="nil"/>
                  </w:tcBorders>
                  <w:noWrap w:val="0"/>
                  <w:vAlign w:val="center"/>
                </w:tcPr>
                <w:p w14:paraId="376245C0">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eastAsia" w:ascii="Times New Roman" w:hAnsi="Times New Roman" w:cs="Times New Roman"/>
                      <w:color w:val="auto"/>
                      <w:sz w:val="21"/>
                      <w:szCs w:val="21"/>
                      <w:vertAlign w:val="baseline"/>
                      <w:lang w:eastAsia="zh-CN"/>
                    </w:rPr>
                    <w:t>源强大的</w:t>
                  </w:r>
                  <w:r>
                    <w:rPr>
                      <w:rFonts w:hint="default" w:ascii="Times New Roman" w:hAnsi="Times New Roman" w:cs="Times New Roman"/>
                      <w:color w:val="auto"/>
                      <w:sz w:val="21"/>
                      <w:szCs w:val="21"/>
                      <w:vertAlign w:val="baseline"/>
                    </w:rPr>
                    <w:t>噪声设备操作人员</w:t>
                  </w:r>
                </w:p>
              </w:tc>
              <w:tc>
                <w:tcPr>
                  <w:tcW w:w="670" w:type="pct"/>
                  <w:vMerge w:val="continue"/>
                  <w:tcBorders>
                    <w:tl2br w:val="nil"/>
                    <w:tr2bl w:val="nil"/>
                  </w:tcBorders>
                  <w:noWrap w:val="0"/>
                  <w:vAlign w:val="center"/>
                </w:tcPr>
                <w:p w14:paraId="358BA15C">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734" w:type="pct"/>
                  <w:vMerge w:val="continue"/>
                  <w:tcBorders>
                    <w:tl2br w:val="nil"/>
                    <w:tr2bl w:val="nil"/>
                  </w:tcBorders>
                  <w:noWrap w:val="0"/>
                  <w:vAlign w:val="center"/>
                </w:tcPr>
                <w:p w14:paraId="096E4918">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965" w:type="pct"/>
                  <w:vMerge w:val="continue"/>
                  <w:tcBorders>
                    <w:tl2br w:val="nil"/>
                    <w:tr2bl w:val="nil"/>
                  </w:tcBorders>
                  <w:noWrap w:val="0"/>
                  <w:vAlign w:val="center"/>
                </w:tcPr>
                <w:p w14:paraId="24821AC7">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r>
            <w:tr w14:paraId="11697E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Merge w:val="continue"/>
                  <w:tcBorders>
                    <w:tl2br w:val="nil"/>
                    <w:tr2bl w:val="nil"/>
                  </w:tcBorders>
                  <w:noWrap w:val="0"/>
                  <w:vAlign w:val="center"/>
                </w:tcPr>
                <w:p w14:paraId="3679AC95">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1510" w:type="pct"/>
                  <w:tcBorders>
                    <w:tl2br w:val="nil"/>
                    <w:tr2bl w:val="nil"/>
                  </w:tcBorders>
                  <w:noWrap w:val="0"/>
                  <w:vAlign w:val="center"/>
                </w:tcPr>
                <w:p w14:paraId="7B4CF06A">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④严格控制施工时段，禁止夜间进行产生环境噪声污染的建筑施工作业；</w:t>
                  </w:r>
                </w:p>
              </w:tc>
              <w:tc>
                <w:tcPr>
                  <w:tcW w:w="656" w:type="pct"/>
                  <w:vMerge w:val="restart"/>
                  <w:tcBorders>
                    <w:tl2br w:val="nil"/>
                    <w:tr2bl w:val="nil"/>
                  </w:tcBorders>
                  <w:noWrap w:val="0"/>
                  <w:vAlign w:val="center"/>
                </w:tcPr>
                <w:p w14:paraId="2A9C6035">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施工场地</w:t>
                  </w:r>
                </w:p>
              </w:tc>
              <w:tc>
                <w:tcPr>
                  <w:tcW w:w="670" w:type="pct"/>
                  <w:vMerge w:val="continue"/>
                  <w:tcBorders>
                    <w:tl2br w:val="nil"/>
                    <w:tr2bl w:val="nil"/>
                  </w:tcBorders>
                  <w:noWrap w:val="0"/>
                  <w:vAlign w:val="center"/>
                </w:tcPr>
                <w:p w14:paraId="1D49754C">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734" w:type="pct"/>
                  <w:vMerge w:val="continue"/>
                  <w:tcBorders>
                    <w:tl2br w:val="nil"/>
                    <w:tr2bl w:val="nil"/>
                  </w:tcBorders>
                  <w:noWrap w:val="0"/>
                  <w:vAlign w:val="center"/>
                </w:tcPr>
                <w:p w14:paraId="5061B24F">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965" w:type="pct"/>
                  <w:vMerge w:val="continue"/>
                  <w:tcBorders>
                    <w:tl2br w:val="nil"/>
                    <w:tr2bl w:val="nil"/>
                  </w:tcBorders>
                  <w:noWrap w:val="0"/>
                  <w:vAlign w:val="center"/>
                </w:tcPr>
                <w:p w14:paraId="34E40DDF">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r>
            <w:tr w14:paraId="62756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vMerge w:val="continue"/>
                  <w:tcBorders>
                    <w:tl2br w:val="nil"/>
                    <w:tr2bl w:val="nil"/>
                  </w:tcBorders>
                  <w:noWrap w:val="0"/>
                  <w:vAlign w:val="center"/>
                </w:tcPr>
                <w:p w14:paraId="341970AD">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1510" w:type="pct"/>
                  <w:tcBorders>
                    <w:tl2br w:val="nil"/>
                    <w:tr2bl w:val="nil"/>
                  </w:tcBorders>
                  <w:noWrap w:val="0"/>
                  <w:vAlign w:val="center"/>
                </w:tcPr>
                <w:p w14:paraId="3521D58A">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⑤优化运输路线，减少对周围敏感点的影响。</w:t>
                  </w:r>
                </w:p>
              </w:tc>
              <w:tc>
                <w:tcPr>
                  <w:tcW w:w="656" w:type="pct"/>
                  <w:vMerge w:val="continue"/>
                  <w:tcBorders>
                    <w:tl2br w:val="nil"/>
                    <w:tr2bl w:val="nil"/>
                  </w:tcBorders>
                  <w:noWrap w:val="0"/>
                  <w:vAlign w:val="center"/>
                </w:tcPr>
                <w:p w14:paraId="4E125184">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670" w:type="pct"/>
                  <w:vMerge w:val="continue"/>
                  <w:tcBorders>
                    <w:tl2br w:val="nil"/>
                    <w:tr2bl w:val="nil"/>
                  </w:tcBorders>
                  <w:noWrap w:val="0"/>
                  <w:vAlign w:val="center"/>
                </w:tcPr>
                <w:p w14:paraId="4F0213D0">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734" w:type="pct"/>
                  <w:vMerge w:val="continue"/>
                  <w:tcBorders>
                    <w:tl2br w:val="nil"/>
                    <w:tr2bl w:val="nil"/>
                  </w:tcBorders>
                  <w:noWrap w:val="0"/>
                  <w:vAlign w:val="center"/>
                </w:tcPr>
                <w:p w14:paraId="35E7F885">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965" w:type="pct"/>
                  <w:vMerge w:val="continue"/>
                  <w:tcBorders>
                    <w:tl2br w:val="nil"/>
                    <w:tr2bl w:val="nil"/>
                  </w:tcBorders>
                  <w:noWrap w:val="0"/>
                  <w:vAlign w:val="center"/>
                </w:tcPr>
                <w:p w14:paraId="2D3B64B6">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r>
            <w:tr w14:paraId="1DF99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tcBorders>
                    <w:tl2br w:val="nil"/>
                    <w:tr2bl w:val="nil"/>
                  </w:tcBorders>
                  <w:noWrap w:val="0"/>
                  <w:vAlign w:val="center"/>
                </w:tcPr>
                <w:p w14:paraId="41FE5B4E">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固体废物处置</w:t>
                  </w:r>
                </w:p>
              </w:tc>
              <w:tc>
                <w:tcPr>
                  <w:tcW w:w="1510" w:type="pct"/>
                  <w:tcBorders>
                    <w:tl2br w:val="nil"/>
                    <w:tr2bl w:val="nil"/>
                  </w:tcBorders>
                  <w:noWrap w:val="0"/>
                  <w:vAlign w:val="center"/>
                </w:tcPr>
                <w:p w14:paraId="654E0E15">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生活垃圾、建筑垃圾应分别堆放，送指定垃圾</w:t>
                  </w:r>
                  <w:r>
                    <w:rPr>
                      <w:rFonts w:hint="eastAsia" w:ascii="Times New Roman" w:hAnsi="Times New Roman" w:cs="Times New Roman"/>
                      <w:color w:val="auto"/>
                      <w:sz w:val="21"/>
                      <w:szCs w:val="21"/>
                      <w:vertAlign w:val="baseline"/>
                      <w:lang w:eastAsia="zh-CN"/>
                    </w:rPr>
                    <w:t>收集点</w:t>
                  </w:r>
                </w:p>
              </w:tc>
              <w:tc>
                <w:tcPr>
                  <w:tcW w:w="656" w:type="pct"/>
                  <w:tcBorders>
                    <w:tl2br w:val="nil"/>
                    <w:tr2bl w:val="nil"/>
                  </w:tcBorders>
                  <w:noWrap w:val="0"/>
                  <w:vAlign w:val="center"/>
                </w:tcPr>
                <w:p w14:paraId="27747510">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施工场地与场外道路</w:t>
                  </w:r>
                </w:p>
              </w:tc>
              <w:tc>
                <w:tcPr>
                  <w:tcW w:w="670" w:type="pct"/>
                  <w:tcBorders>
                    <w:tl2br w:val="nil"/>
                    <w:tr2bl w:val="nil"/>
                  </w:tcBorders>
                  <w:noWrap w:val="0"/>
                  <w:vAlign w:val="center"/>
                </w:tcPr>
                <w:p w14:paraId="17D14421">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施工场地周围环境空气、土壤及植被</w:t>
                  </w:r>
                </w:p>
              </w:tc>
              <w:tc>
                <w:tcPr>
                  <w:tcW w:w="734" w:type="pct"/>
                  <w:vMerge w:val="continue"/>
                  <w:tcBorders>
                    <w:tl2br w:val="nil"/>
                    <w:tr2bl w:val="nil"/>
                  </w:tcBorders>
                  <w:noWrap w:val="0"/>
                  <w:vAlign w:val="center"/>
                </w:tcPr>
                <w:p w14:paraId="07A4C84E">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965" w:type="pct"/>
                  <w:tcBorders>
                    <w:tl2br w:val="nil"/>
                    <w:tr2bl w:val="nil"/>
                  </w:tcBorders>
                  <w:noWrap w:val="0"/>
                  <w:vAlign w:val="center"/>
                </w:tcPr>
                <w:p w14:paraId="07723CA3">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合理调配土方</w:t>
                  </w:r>
                </w:p>
              </w:tc>
            </w:tr>
            <w:tr w14:paraId="6BFFD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tcBorders>
                    <w:tl2br w:val="nil"/>
                    <w:tr2bl w:val="nil"/>
                  </w:tcBorders>
                  <w:noWrap w:val="0"/>
                  <w:vAlign w:val="center"/>
                </w:tcPr>
                <w:p w14:paraId="382517FC">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施工废水防治</w:t>
                  </w:r>
                </w:p>
              </w:tc>
              <w:tc>
                <w:tcPr>
                  <w:tcW w:w="1510" w:type="pct"/>
                  <w:tcBorders>
                    <w:tl2br w:val="nil"/>
                    <w:tr2bl w:val="nil"/>
                  </w:tcBorders>
                  <w:noWrap w:val="0"/>
                  <w:vAlign w:val="center"/>
                </w:tcPr>
                <w:p w14:paraId="0D063FE6">
                  <w:pPr>
                    <w:pStyle w:val="93"/>
                    <w:numPr>
                      <w:ilvl w:val="0"/>
                      <w:numId w:val="0"/>
                    </w:numPr>
                    <w:spacing w:after="0" w:line="240" w:lineRule="auto"/>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设置临时</w:t>
                  </w:r>
                  <w:r>
                    <w:rPr>
                      <w:rFonts w:hint="eastAsia" w:cs="Times New Roman"/>
                      <w:color w:val="auto"/>
                      <w:sz w:val="21"/>
                      <w:szCs w:val="21"/>
                      <w:vertAlign w:val="baseline"/>
                      <w:lang w:eastAsia="zh-CN"/>
                    </w:rPr>
                    <w:t>沉沙池</w:t>
                  </w:r>
                </w:p>
              </w:tc>
              <w:tc>
                <w:tcPr>
                  <w:tcW w:w="656" w:type="pct"/>
                  <w:tcBorders>
                    <w:tl2br w:val="nil"/>
                    <w:tr2bl w:val="nil"/>
                  </w:tcBorders>
                  <w:noWrap w:val="0"/>
                  <w:vAlign w:val="center"/>
                </w:tcPr>
                <w:p w14:paraId="0C94CBB2">
                  <w:pPr>
                    <w:pStyle w:val="93"/>
                    <w:numPr>
                      <w:ilvl w:val="0"/>
                      <w:numId w:val="0"/>
                    </w:numPr>
                    <w:spacing w:after="0" w:line="240" w:lineRule="auto"/>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施工场地</w:t>
                  </w:r>
                </w:p>
              </w:tc>
              <w:tc>
                <w:tcPr>
                  <w:tcW w:w="670" w:type="pct"/>
                  <w:tcBorders>
                    <w:tl2br w:val="nil"/>
                    <w:tr2bl w:val="nil"/>
                  </w:tcBorders>
                  <w:noWrap w:val="0"/>
                  <w:vAlign w:val="center"/>
                </w:tcPr>
                <w:p w14:paraId="44C8CD99">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施工场地附近地表水体</w:t>
                  </w:r>
                </w:p>
              </w:tc>
              <w:tc>
                <w:tcPr>
                  <w:tcW w:w="734" w:type="pct"/>
                  <w:vMerge w:val="continue"/>
                  <w:tcBorders>
                    <w:tl2br w:val="nil"/>
                    <w:tr2bl w:val="nil"/>
                  </w:tcBorders>
                  <w:noWrap w:val="0"/>
                  <w:vAlign w:val="center"/>
                </w:tcPr>
                <w:p w14:paraId="49185CE7">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965" w:type="pct"/>
                  <w:tcBorders>
                    <w:tl2br w:val="nil"/>
                    <w:tr2bl w:val="nil"/>
                  </w:tcBorders>
                  <w:noWrap w:val="0"/>
                  <w:vAlign w:val="center"/>
                </w:tcPr>
                <w:p w14:paraId="17A6918D">
                  <w:pPr>
                    <w:pStyle w:val="93"/>
                    <w:numPr>
                      <w:ilvl w:val="0"/>
                      <w:numId w:val="0"/>
                    </w:numPr>
                    <w:spacing w:after="0" w:line="240" w:lineRule="auto"/>
                    <w:jc w:val="center"/>
                    <w:rPr>
                      <w:rFonts w:hint="eastAsia" w:ascii="Times New Roman" w:hAnsi="Times New Roman" w:eastAsia="宋体" w:cs="Times New Roman"/>
                      <w:color w:val="auto"/>
                      <w:sz w:val="21"/>
                      <w:szCs w:val="21"/>
                      <w:vertAlign w:val="baseline"/>
                      <w:lang w:eastAsia="zh-CN"/>
                    </w:rPr>
                  </w:pPr>
                  <w:r>
                    <w:rPr>
                      <w:rFonts w:hint="eastAsia" w:ascii="Times New Roman" w:hAnsi="Times New Roman" w:cs="Times New Roman"/>
                      <w:color w:val="auto"/>
                      <w:sz w:val="21"/>
                      <w:szCs w:val="21"/>
                      <w:vertAlign w:val="baseline"/>
                      <w:lang w:eastAsia="zh-CN"/>
                    </w:rPr>
                    <w:t>全部综合利用</w:t>
                  </w:r>
                </w:p>
              </w:tc>
            </w:tr>
            <w:tr w14:paraId="11E04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pct"/>
                  <w:tcBorders>
                    <w:tl2br w:val="nil"/>
                    <w:tr2bl w:val="nil"/>
                  </w:tcBorders>
                  <w:noWrap w:val="0"/>
                  <w:vAlign w:val="center"/>
                </w:tcPr>
                <w:p w14:paraId="0704CC3C">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生态环境保护</w:t>
                  </w:r>
                </w:p>
              </w:tc>
              <w:tc>
                <w:tcPr>
                  <w:tcW w:w="1510" w:type="pct"/>
                  <w:tcBorders>
                    <w:tl2br w:val="nil"/>
                    <w:tr2bl w:val="nil"/>
                  </w:tcBorders>
                  <w:noWrap w:val="0"/>
                  <w:vAlign w:val="center"/>
                </w:tcPr>
                <w:p w14:paraId="5F5EDE69">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①强化生态环境保护意识；②加强管理，控制施工占地、及时恢复植被。</w:t>
                  </w:r>
                </w:p>
              </w:tc>
              <w:tc>
                <w:tcPr>
                  <w:tcW w:w="656" w:type="pct"/>
                  <w:tcBorders>
                    <w:tl2br w:val="nil"/>
                    <w:tr2bl w:val="nil"/>
                  </w:tcBorders>
                  <w:noWrap w:val="0"/>
                  <w:vAlign w:val="center"/>
                </w:tcPr>
                <w:p w14:paraId="14E12C8F">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施工场界及内部临时占地</w:t>
                  </w:r>
                </w:p>
              </w:tc>
              <w:tc>
                <w:tcPr>
                  <w:tcW w:w="670" w:type="pct"/>
                  <w:tcBorders>
                    <w:tl2br w:val="nil"/>
                    <w:tr2bl w:val="nil"/>
                  </w:tcBorders>
                  <w:noWrap w:val="0"/>
                  <w:vAlign w:val="center"/>
                </w:tcPr>
                <w:p w14:paraId="15253518">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施工场地周围土壤、植被</w:t>
                  </w:r>
                </w:p>
              </w:tc>
              <w:tc>
                <w:tcPr>
                  <w:tcW w:w="734" w:type="pct"/>
                  <w:vMerge w:val="continue"/>
                  <w:tcBorders>
                    <w:tl2br w:val="nil"/>
                    <w:tr2bl w:val="nil"/>
                  </w:tcBorders>
                  <w:noWrap w:val="0"/>
                  <w:vAlign w:val="center"/>
                </w:tcPr>
                <w:p w14:paraId="1280015D">
                  <w:pPr>
                    <w:pStyle w:val="93"/>
                    <w:numPr>
                      <w:ilvl w:val="0"/>
                      <w:numId w:val="0"/>
                    </w:numPr>
                    <w:spacing w:after="0" w:line="240" w:lineRule="auto"/>
                    <w:jc w:val="center"/>
                    <w:rPr>
                      <w:rFonts w:hint="default" w:ascii="Times New Roman" w:hAnsi="Times New Roman" w:cs="Times New Roman"/>
                      <w:color w:val="auto"/>
                      <w:sz w:val="21"/>
                      <w:szCs w:val="21"/>
                      <w:vertAlign w:val="baseline"/>
                    </w:rPr>
                  </w:pPr>
                </w:p>
              </w:tc>
              <w:tc>
                <w:tcPr>
                  <w:tcW w:w="965" w:type="pct"/>
                  <w:tcBorders>
                    <w:tl2br w:val="nil"/>
                    <w:tr2bl w:val="nil"/>
                  </w:tcBorders>
                  <w:noWrap w:val="0"/>
                  <w:vAlign w:val="center"/>
                </w:tcPr>
                <w:p w14:paraId="0C8CEAC0">
                  <w:pPr>
                    <w:pStyle w:val="93"/>
                    <w:numPr>
                      <w:ilvl w:val="0"/>
                      <w:numId w:val="0"/>
                    </w:numPr>
                    <w:spacing w:after="0" w:line="240" w:lineRule="auto"/>
                    <w:jc w:val="center"/>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施工场地周围土壤、植被不被破坏</w:t>
                  </w:r>
                </w:p>
              </w:tc>
            </w:tr>
          </w:tbl>
          <w:p w14:paraId="3F4F761A">
            <w:pPr>
              <w:bidi w:val="0"/>
              <w:rPr>
                <w:rFonts w:hint="default" w:ascii="Times New Roman" w:hAnsi="Times New Roman" w:eastAsia="宋体" w:cs="Times New Roman"/>
                <w:bCs/>
                <w:color w:val="auto"/>
                <w:spacing w:val="-10"/>
                <w:szCs w:val="21"/>
                <w:highlight w:val="none"/>
              </w:rPr>
            </w:pPr>
            <w:r>
              <w:rPr>
                <w:rFonts w:hint="eastAsia" w:ascii="Times New Roman" w:hAnsi="Times New Roman" w:eastAsia="宋体" w:cs="Times New Roman"/>
                <w:color w:val="auto"/>
                <w:sz w:val="24"/>
                <w:szCs w:val="24"/>
                <w:lang w:val="en-US" w:eastAsia="zh-CN"/>
              </w:rPr>
              <w:t>综上所述</w:t>
            </w:r>
            <w:r>
              <w:rPr>
                <w:rFonts w:hint="default" w:ascii="Times New Roman" w:hAnsi="Times New Roman" w:eastAsia="宋体" w:cs="Times New Roman"/>
                <w:color w:val="auto"/>
                <w:sz w:val="24"/>
                <w:szCs w:val="24"/>
              </w:rPr>
              <w:t>，施工期对环境产生的上述影响，均为可逆的、短期的。建设单位和施工单位在施工过程中只要切实</w:t>
            </w:r>
            <w:r>
              <w:rPr>
                <w:rFonts w:hint="eastAsia" w:ascii="Calibri" w:hAnsi="Calibri" w:eastAsia="宋体" w:cs="Times New Roman"/>
                <w:color w:val="auto"/>
                <w:sz w:val="24"/>
                <w:szCs w:val="24"/>
                <w:lang w:eastAsia="zh-CN"/>
              </w:rPr>
              <w:t>强化落实本次环评提出的施工期</w:t>
            </w:r>
            <w:r>
              <w:rPr>
                <w:rFonts w:hint="default" w:ascii="Times New Roman" w:hAnsi="Times New Roman" w:eastAsia="宋体" w:cs="Times New Roman"/>
                <w:color w:val="auto"/>
                <w:sz w:val="24"/>
                <w:szCs w:val="24"/>
              </w:rPr>
              <w:t>扬尘、废水、噪声、固体废物</w:t>
            </w:r>
            <w:r>
              <w:rPr>
                <w:rFonts w:hint="eastAsia" w:ascii="Calibri" w:hAnsi="Calibri" w:eastAsia="宋体" w:cs="Times New Roman"/>
                <w:color w:val="auto"/>
                <w:sz w:val="24"/>
                <w:szCs w:val="24"/>
                <w:lang w:eastAsia="zh-CN"/>
              </w:rPr>
              <w:t>和生态环境保护</w:t>
            </w:r>
            <w:r>
              <w:rPr>
                <w:rFonts w:hint="default" w:ascii="Times New Roman" w:hAnsi="Times New Roman" w:eastAsia="宋体" w:cs="Times New Roman"/>
                <w:color w:val="auto"/>
                <w:sz w:val="24"/>
                <w:szCs w:val="24"/>
              </w:rPr>
              <w:t>的管理和控制措施，施工期环境影响将得到有效控制</w:t>
            </w:r>
            <w:r>
              <w:rPr>
                <w:rFonts w:hint="eastAsia" w:ascii="Times New Roman" w:hAnsi="Times New Roman" w:eastAsia="宋体" w:cs="Times New Roman"/>
                <w:color w:val="auto"/>
                <w:sz w:val="24"/>
                <w:szCs w:val="24"/>
                <w:lang w:eastAsia="zh-CN"/>
              </w:rPr>
              <w:t>。</w:t>
            </w:r>
          </w:p>
        </w:tc>
      </w:tr>
      <w:tr w14:paraId="0B13A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dxa"/>
            <w:noWrap w:val="0"/>
            <w:tcMar>
              <w:left w:w="28" w:type="dxa"/>
              <w:right w:w="28" w:type="dxa"/>
            </w:tcMar>
            <w:vAlign w:val="center"/>
          </w:tcPr>
          <w:p w14:paraId="0445F0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kern w:val="21"/>
                <w:position w:val="0"/>
                <w:sz w:val="24"/>
                <w:szCs w:val="24"/>
                <w:highlight w:val="none"/>
              </w:rPr>
            </w:pPr>
            <w:r>
              <w:rPr>
                <w:rFonts w:hint="default" w:ascii="Times New Roman" w:hAnsi="Times New Roman" w:eastAsia="宋体" w:cs="Times New Roman"/>
                <w:b/>
                <w:bCs w:val="0"/>
                <w:color w:val="auto"/>
                <w:spacing w:val="0"/>
                <w:kern w:val="21"/>
                <w:position w:val="0"/>
                <w:sz w:val="24"/>
                <w:szCs w:val="24"/>
                <w:highlight w:val="none"/>
              </w:rPr>
              <w:t>运营</w:t>
            </w:r>
          </w:p>
          <w:p w14:paraId="497875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kern w:val="21"/>
                <w:position w:val="0"/>
                <w:sz w:val="24"/>
                <w:szCs w:val="24"/>
                <w:highlight w:val="none"/>
              </w:rPr>
            </w:pPr>
            <w:r>
              <w:rPr>
                <w:rFonts w:hint="default" w:ascii="Times New Roman" w:hAnsi="Times New Roman" w:eastAsia="宋体" w:cs="Times New Roman"/>
                <w:b/>
                <w:bCs w:val="0"/>
                <w:color w:val="auto"/>
                <w:spacing w:val="0"/>
                <w:kern w:val="21"/>
                <w:position w:val="0"/>
                <w:sz w:val="24"/>
                <w:szCs w:val="24"/>
                <w:highlight w:val="none"/>
              </w:rPr>
              <w:t>期环</w:t>
            </w:r>
          </w:p>
          <w:p w14:paraId="2DE067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kern w:val="21"/>
                <w:position w:val="0"/>
                <w:sz w:val="24"/>
                <w:szCs w:val="24"/>
                <w:highlight w:val="none"/>
              </w:rPr>
            </w:pPr>
            <w:r>
              <w:rPr>
                <w:rFonts w:hint="default" w:ascii="Times New Roman" w:hAnsi="Times New Roman" w:eastAsia="宋体" w:cs="Times New Roman"/>
                <w:b/>
                <w:bCs w:val="0"/>
                <w:color w:val="auto"/>
                <w:spacing w:val="0"/>
                <w:kern w:val="21"/>
                <w:position w:val="0"/>
                <w:sz w:val="24"/>
                <w:szCs w:val="24"/>
                <w:highlight w:val="none"/>
              </w:rPr>
              <w:t>境影</w:t>
            </w:r>
          </w:p>
          <w:p w14:paraId="48CE8F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kern w:val="21"/>
                <w:position w:val="0"/>
                <w:sz w:val="24"/>
                <w:szCs w:val="24"/>
                <w:highlight w:val="none"/>
              </w:rPr>
            </w:pPr>
            <w:r>
              <w:rPr>
                <w:rFonts w:hint="default" w:ascii="Times New Roman" w:hAnsi="Times New Roman" w:eastAsia="宋体" w:cs="Times New Roman"/>
                <w:b/>
                <w:bCs w:val="0"/>
                <w:color w:val="auto"/>
                <w:spacing w:val="0"/>
                <w:kern w:val="21"/>
                <w:position w:val="0"/>
                <w:sz w:val="24"/>
                <w:szCs w:val="24"/>
                <w:highlight w:val="none"/>
              </w:rPr>
              <w:t>响和</w:t>
            </w:r>
          </w:p>
          <w:p w14:paraId="3934AD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pacing w:val="0"/>
                <w:kern w:val="21"/>
                <w:position w:val="0"/>
                <w:sz w:val="24"/>
                <w:szCs w:val="24"/>
                <w:highlight w:val="none"/>
              </w:rPr>
            </w:pPr>
            <w:r>
              <w:rPr>
                <w:rFonts w:hint="default" w:ascii="Times New Roman" w:hAnsi="Times New Roman" w:eastAsia="宋体" w:cs="Times New Roman"/>
                <w:b/>
                <w:bCs w:val="0"/>
                <w:color w:val="auto"/>
                <w:spacing w:val="0"/>
                <w:kern w:val="21"/>
                <w:position w:val="0"/>
                <w:sz w:val="24"/>
                <w:szCs w:val="24"/>
                <w:highlight w:val="none"/>
              </w:rPr>
              <w:t>保护</w:t>
            </w:r>
          </w:p>
          <w:p w14:paraId="6564D227">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val="0"/>
                <w:color w:val="auto"/>
                <w:spacing w:val="0"/>
                <w:kern w:val="21"/>
                <w:position w:val="0"/>
                <w:sz w:val="24"/>
                <w:szCs w:val="24"/>
                <w:highlight w:val="none"/>
              </w:rPr>
              <w:t>措施</w:t>
            </w:r>
          </w:p>
        </w:tc>
        <w:tc>
          <w:tcPr>
            <w:tcW w:w="8362" w:type="dxa"/>
            <w:noWrap w:val="0"/>
            <w:vAlign w:val="center"/>
          </w:tcPr>
          <w:p w14:paraId="59140013">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outlineLvl w:val="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rPr>
              <w:t>、废气</w:t>
            </w:r>
          </w:p>
          <w:p w14:paraId="149804F4">
            <w:pPr>
              <w:bidi w:val="0"/>
              <w:rPr>
                <w:rFonts w:hint="default"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1、废气</w:t>
            </w:r>
            <w:r>
              <w:rPr>
                <w:rFonts w:hint="eastAsia" w:cs="Times New Roman"/>
                <w:b/>
                <w:bCs/>
                <w:color w:val="auto"/>
                <w:sz w:val="24"/>
                <w:szCs w:val="24"/>
                <w:highlight w:val="none"/>
                <w:lang w:val="en-US" w:eastAsia="zh-CN"/>
              </w:rPr>
              <w:t>产生与排放</w:t>
            </w:r>
          </w:p>
          <w:p w14:paraId="4E87E52E">
            <w:pPr>
              <w:bidi w:val="0"/>
              <w:rPr>
                <w:rFonts w:hint="eastAsia"/>
                <w:b/>
                <w:bCs/>
                <w:color w:val="auto"/>
                <w:sz w:val="24"/>
                <w:szCs w:val="24"/>
                <w:lang w:val="en-US" w:eastAsia="zh-CN"/>
              </w:rPr>
            </w:pPr>
            <w:r>
              <w:rPr>
                <w:rFonts w:hint="eastAsia"/>
                <w:b/>
                <w:bCs/>
                <w:color w:val="auto"/>
                <w:sz w:val="24"/>
                <w:szCs w:val="24"/>
                <w:lang w:val="en-US" w:eastAsia="zh-CN"/>
              </w:rPr>
              <w:t>（一）液体空分：</w:t>
            </w:r>
          </w:p>
          <w:p w14:paraId="3A97E26D">
            <w:pPr>
              <w:pStyle w:val="18"/>
              <w:adjustRightInd w:val="0"/>
              <w:snapToGrid w:val="0"/>
              <w:spacing w:after="0" w:line="360" w:lineRule="auto"/>
              <w:ind w:left="0" w:leftChars="0" w:firstLine="480" w:firstLineChars="200"/>
              <w:rPr>
                <w:rFonts w:hint="eastAsia"/>
                <w:color w:val="auto"/>
                <w:sz w:val="24"/>
                <w:lang w:val="en-US" w:eastAsia="zh-CN"/>
              </w:rPr>
            </w:pPr>
            <w:r>
              <w:rPr>
                <w:rFonts w:hint="eastAsia"/>
                <w:color w:val="auto"/>
                <w:sz w:val="24"/>
                <w:lang w:val="en-US" w:eastAsia="zh-CN"/>
              </w:rPr>
              <w:t>液体空分装置运营过程中，</w:t>
            </w:r>
            <w:r>
              <w:rPr>
                <w:rFonts w:hint="eastAsia"/>
                <w:color w:val="auto"/>
                <w:sz w:val="24"/>
              </w:rPr>
              <w:t>以空气为原料，通过物理过程分离</w:t>
            </w:r>
            <w:r>
              <w:rPr>
                <w:rFonts w:hint="eastAsia"/>
                <w:color w:val="auto"/>
                <w:sz w:val="24"/>
                <w:lang w:eastAsia="zh-CN"/>
              </w:rPr>
              <w:t>、</w:t>
            </w:r>
            <w:r>
              <w:rPr>
                <w:rFonts w:hint="eastAsia"/>
                <w:color w:val="auto"/>
                <w:sz w:val="24"/>
                <w:lang w:val="en-US" w:eastAsia="zh-CN"/>
              </w:rPr>
              <w:t>提纯</w:t>
            </w:r>
            <w:r>
              <w:rPr>
                <w:rFonts w:hint="eastAsia"/>
                <w:color w:val="auto"/>
                <w:sz w:val="24"/>
              </w:rPr>
              <w:t>得到氧气、氮气和氩气</w:t>
            </w:r>
            <w:r>
              <w:rPr>
                <w:rFonts w:hint="eastAsia"/>
                <w:color w:val="auto"/>
                <w:sz w:val="24"/>
                <w:lang w:val="en-US" w:eastAsia="zh-CN"/>
              </w:rPr>
              <w:t>，其过程不发生任何化学反应，不产生其他污染性气体。无化学反应发生，无新物质产生。项目外排废气主要为水冷塔、分子筛吸附器排放的污氮（纯度不高的氮气）放空，因不符合产品质量要求而称为“污氮”，其主要成分为氮气和稀有气体的混合物，外排废气中主要成分均为空气中的组分，无具体排放标准和排放要求，本次评价不对该类气体进行定量分析。</w:t>
            </w:r>
          </w:p>
          <w:p w14:paraId="53D07505">
            <w:pPr>
              <w:bidi w:val="0"/>
              <w:rPr>
                <w:rFonts w:hint="eastAsia"/>
                <w:b/>
                <w:bCs/>
                <w:color w:val="auto"/>
                <w:sz w:val="24"/>
                <w:szCs w:val="24"/>
                <w:lang w:val="en-US" w:eastAsia="zh-CN"/>
              </w:rPr>
            </w:pPr>
            <w:r>
              <w:rPr>
                <w:rFonts w:hint="eastAsia"/>
                <w:b/>
                <w:bCs/>
                <w:color w:val="auto"/>
                <w:sz w:val="24"/>
                <w:szCs w:val="24"/>
                <w:lang w:val="en-US" w:eastAsia="zh-CN"/>
              </w:rPr>
              <w:t>（二）充装：</w:t>
            </w:r>
          </w:p>
          <w:p w14:paraId="75963503">
            <w:pPr>
              <w:bidi w:val="0"/>
              <w:rPr>
                <w:rFonts w:hint="eastAsia"/>
                <w:b w:val="0"/>
                <w:bCs w:val="0"/>
                <w:color w:val="auto"/>
                <w:sz w:val="24"/>
                <w:szCs w:val="24"/>
                <w:lang w:val="en-US" w:eastAsia="zh-CN"/>
              </w:rPr>
            </w:pPr>
            <w:r>
              <w:rPr>
                <w:rFonts w:hint="eastAsia"/>
                <w:b w:val="0"/>
                <w:bCs w:val="0"/>
                <w:color w:val="auto"/>
                <w:sz w:val="24"/>
                <w:szCs w:val="24"/>
                <w:lang w:val="en-US" w:eastAsia="zh-CN"/>
              </w:rPr>
              <w:t>（1）氮气、二氧化碳、氩气、氧气、混合气体充装废气</w:t>
            </w:r>
          </w:p>
          <w:p w14:paraId="4612342F">
            <w:pPr>
              <w:bidi w:val="0"/>
              <w:rPr>
                <w:rFonts w:hint="eastAsia"/>
                <w:b w:val="0"/>
                <w:bCs w:val="0"/>
                <w:color w:val="auto"/>
                <w:sz w:val="24"/>
                <w:szCs w:val="24"/>
                <w:lang w:val="en-US" w:eastAsia="zh-CN"/>
              </w:rPr>
            </w:pPr>
            <w:r>
              <w:rPr>
                <w:rFonts w:hint="eastAsia"/>
                <w:b w:val="0"/>
                <w:bCs w:val="0"/>
                <w:color w:val="auto"/>
                <w:sz w:val="24"/>
                <w:szCs w:val="24"/>
                <w:lang w:val="en-US" w:eastAsia="zh-CN"/>
              </w:rPr>
              <w:t>需进行分装的氮气、二氧化碳、氩气、氧气罐装钢瓶形式储存，储运过程为全密闭式储存，充装过程中会有少量氮气、二氧化碳、氩气、氧气气体的排放，放空为间歇性排放。本项目充装过程中，管线、泵、阀门在使用过程中是高压密闭的，但各类设备连接处的密封性在实际生产中不可能做到100%完全不泄漏，在温度、压力、振动、摩擦和腐蚀的影响下，各类泵、阀门、连接件、管线等密封连接点均可能有微量的泄漏。检修过程会有少量放空气体。</w:t>
            </w:r>
          </w:p>
          <w:p w14:paraId="463AF3E8">
            <w:pPr>
              <w:bidi w:val="0"/>
              <w:rPr>
                <w:rFonts w:hint="eastAsia"/>
                <w:b w:val="0"/>
                <w:bCs w:val="0"/>
                <w:color w:val="auto"/>
                <w:sz w:val="24"/>
                <w:szCs w:val="24"/>
                <w:lang w:val="en-US" w:eastAsia="zh-CN"/>
              </w:rPr>
            </w:pPr>
            <w:r>
              <w:rPr>
                <w:rFonts w:hint="eastAsia"/>
                <w:b w:val="0"/>
                <w:bCs w:val="0"/>
                <w:color w:val="auto"/>
                <w:sz w:val="24"/>
                <w:szCs w:val="24"/>
                <w:lang w:val="en-US" w:eastAsia="zh-CN"/>
              </w:rPr>
              <w:t>由于氮气、二氧化碳、氩气、氧气均为空气主要成分，不属于环境污染因子，且无相应的排放标准和质量标准要求，不会对周围环境空气造成污染影响。</w:t>
            </w:r>
          </w:p>
          <w:p w14:paraId="1A300B6A">
            <w:pPr>
              <w:bidi w:val="0"/>
              <w:rPr>
                <w:rFonts w:hint="default"/>
                <w:b w:val="0"/>
                <w:bCs w:val="0"/>
                <w:color w:val="auto"/>
                <w:sz w:val="24"/>
                <w:szCs w:val="24"/>
                <w:lang w:val="en-US" w:eastAsia="zh-CN"/>
              </w:rPr>
            </w:pPr>
            <w:r>
              <w:rPr>
                <w:rFonts w:hint="eastAsia"/>
                <w:b w:val="0"/>
                <w:bCs w:val="0"/>
                <w:color w:val="auto"/>
                <w:sz w:val="24"/>
                <w:szCs w:val="24"/>
                <w:lang w:val="en-US" w:eastAsia="zh-CN"/>
              </w:rPr>
              <w:t>（2）丙烷与液化石油气充装废气</w:t>
            </w:r>
          </w:p>
          <w:p w14:paraId="17DF0C4A">
            <w:pPr>
              <w:bidi w:val="0"/>
              <w:rPr>
                <w:rFonts w:hint="eastAsia"/>
                <w:b w:val="0"/>
                <w:bCs w:val="0"/>
                <w:color w:val="auto"/>
                <w:sz w:val="24"/>
                <w:szCs w:val="24"/>
                <w:lang w:val="en-US" w:eastAsia="zh-CN"/>
              </w:rPr>
            </w:pPr>
            <w:r>
              <w:rPr>
                <w:rFonts w:hint="eastAsia"/>
                <w:b w:val="0"/>
                <w:bCs w:val="0"/>
                <w:color w:val="auto"/>
                <w:sz w:val="24"/>
                <w:szCs w:val="24"/>
                <w:lang w:val="en-US" w:eastAsia="zh-CN"/>
              </w:rPr>
              <w:t>本项目产生的废气主要为槽罐车卸车废气、灌瓶过程废气、残液回收过程废气及设备与管道组件密封点废气。</w:t>
            </w:r>
          </w:p>
          <w:p w14:paraId="74498201">
            <w:pPr>
              <w:bidi w:val="0"/>
              <w:rPr>
                <w:rFonts w:hint="default"/>
                <w:b w:val="0"/>
                <w:bCs w:val="0"/>
                <w:color w:val="auto"/>
                <w:sz w:val="24"/>
                <w:szCs w:val="24"/>
                <w:lang w:val="en-US" w:eastAsia="zh-CN"/>
              </w:rPr>
            </w:pPr>
            <w:r>
              <w:rPr>
                <w:rFonts w:hint="eastAsia"/>
                <w:b w:val="0"/>
                <w:bCs w:val="0"/>
                <w:color w:val="auto"/>
                <w:sz w:val="24"/>
                <w:szCs w:val="24"/>
                <w:lang w:val="en-US" w:eastAsia="zh-CN"/>
              </w:rPr>
              <w:t>结合石化行业VOCs污染源排查工作指南，压力罐主要用于储存挥发性较强的有机液体或气体。压力罐通常装有安全阀，可以阻止因沸腾引起的外排损失以及因昼夜温差和气压变化引起的呼吸损失。压力罐的操作中几乎没有蒸发或工作损失发生。另外，对压力罐的VOCs损失还没有合适的评价体系来进行估算。本项目丙烷及液化石油气的储罐区为地埋式，且为全压力式储罐，不存在小呼吸（小呼吸是指在气温和罐内压力的变化下，罐体产生的气体释放）。根据丙烷及液化石油气充装工艺分析，项目采用压缩机增压卸车方式。先将丙烷及液化石油气槽车和丙烷及液化石油气储罐的气相空间连通，然后通过压缩机增压将储罐内气相抽入槽车内增大槽车的压力，槽车内液态丙烷及液化石油气会由于压力流入储罐内，待液态丙烷及液化石油气卸完后，通过压缩机回抽槽车内气相至储罐，确保储罐的储存压力范围，同时起到对槽车降压的作用，整个操作过程无丙烷气体排放，故不存在大呼吸（大呼吸是指储罐进出物料，由于液体升降而使气体容积增减，导致静压差发生变化，这种由于罐内液面变化而产生的气体释放）。</w:t>
            </w:r>
          </w:p>
          <w:p w14:paraId="14A07F2F">
            <w:pPr>
              <w:bidi w:val="0"/>
              <w:rPr>
                <w:rFonts w:hint="eastAsia"/>
                <w:b w:val="0"/>
                <w:bCs w:val="0"/>
                <w:color w:val="auto"/>
                <w:sz w:val="24"/>
                <w:szCs w:val="24"/>
                <w:lang w:val="en-US" w:eastAsia="zh-CN"/>
              </w:rPr>
            </w:pPr>
            <w:r>
              <w:rPr>
                <w:rFonts w:hint="eastAsia"/>
                <w:b w:val="0"/>
                <w:bCs w:val="0"/>
                <w:color w:val="auto"/>
                <w:sz w:val="24"/>
                <w:szCs w:val="24"/>
                <w:lang w:val="en-US" w:eastAsia="zh-CN"/>
              </w:rPr>
              <w:t>本项目外购的丙烷及液化石油气储存于储罐中，储罐均为压力罐，不涉及大小呼吸，储存过程中由于设备维修等非正常工况下，导致储罐内的压力超过正常安全压力范围，储罐的安全泄放阀自动开启，进行紧急放空，气体排放后，阀门自动关闭。一般发生超压排放的频率较低，本次环评不进行定量分析。</w:t>
            </w:r>
          </w:p>
          <w:p w14:paraId="0E3DBD5E">
            <w:pPr>
              <w:bidi w:val="0"/>
              <w:rPr>
                <w:rFonts w:hint="eastAsia"/>
                <w:b w:val="0"/>
                <w:bCs w:val="0"/>
                <w:color w:val="auto"/>
                <w:sz w:val="24"/>
                <w:szCs w:val="24"/>
                <w:lang w:val="en-US" w:eastAsia="zh-CN"/>
              </w:rPr>
            </w:pPr>
            <w:r>
              <w:rPr>
                <w:rFonts w:hint="eastAsia"/>
                <w:b w:val="0"/>
                <w:bCs w:val="0"/>
                <w:color w:val="auto"/>
                <w:sz w:val="24"/>
                <w:szCs w:val="24"/>
                <w:lang w:val="en-US" w:eastAsia="zh-CN"/>
              </w:rPr>
              <w:t>①槽罐车卸车废气</w:t>
            </w:r>
          </w:p>
          <w:p w14:paraId="5875F430">
            <w:pPr>
              <w:bidi w:val="0"/>
              <w:rPr>
                <w:rFonts w:hint="eastAsia"/>
                <w:b w:val="0"/>
                <w:bCs w:val="0"/>
                <w:color w:val="auto"/>
                <w:sz w:val="24"/>
                <w:szCs w:val="24"/>
                <w:lang w:val="en-US" w:eastAsia="zh-CN"/>
              </w:rPr>
            </w:pPr>
            <w:r>
              <w:rPr>
                <w:rFonts w:hint="eastAsia"/>
                <w:b w:val="0"/>
                <w:bCs w:val="0"/>
                <w:color w:val="auto"/>
                <w:sz w:val="24"/>
                <w:szCs w:val="24"/>
                <w:lang w:val="en-US" w:eastAsia="zh-CN"/>
              </w:rPr>
              <w:t>本项目丙烷和液化石油气均为液态原料，丙烷和液化石油气由罐车运至站区后，通过槽车和装卸台柱，启动压缩机把储罐内气体压入罐车内，槽车内丙烷和液化石油气因压差而送至丙烷和液化石油气储罐内储存。丙烷和液化石油气装卸完毕后，用压缩机将被卸空的罐车中的部分气态液化石油气抽回储罐。由以上分析可知，槽车卸车时与储罐通过管道相连，处于相对密闭的压力环境，无废气产生。但由于卸料管道连接处会沾染极少量的原料，卸料完成后断开连接，导致该部分沾染的原料挥发进入大气环境中，形成卸料废气（产生量极小，不易收集），在厂区内无组织排放。</w:t>
            </w:r>
          </w:p>
          <w:p w14:paraId="54C2D67B">
            <w:pPr>
              <w:bidi w:val="0"/>
              <w:rPr>
                <w:rFonts w:hint="eastAsia"/>
                <w:b w:val="0"/>
                <w:bCs w:val="0"/>
                <w:color w:val="auto"/>
                <w:sz w:val="24"/>
                <w:szCs w:val="24"/>
                <w:lang w:val="en-US" w:eastAsia="zh-CN"/>
              </w:rPr>
            </w:pPr>
            <w:r>
              <w:rPr>
                <w:rFonts w:hint="eastAsia"/>
                <w:b w:val="0"/>
                <w:bCs w:val="0"/>
                <w:color w:val="auto"/>
                <w:sz w:val="24"/>
                <w:szCs w:val="24"/>
                <w:lang w:val="en-US" w:eastAsia="zh-CN"/>
              </w:rPr>
              <w:t>本次评价丙烷及液化石油气卸料废气的计算方法如下：</w:t>
            </w:r>
          </w:p>
          <w:p w14:paraId="60C488EC">
            <w:pPr>
              <w:bidi w:val="0"/>
              <w:rPr>
                <w:rFonts w:hint="eastAsia"/>
                <w:b w:val="0"/>
                <w:bCs w:val="0"/>
                <w:color w:val="auto"/>
                <w:sz w:val="24"/>
                <w:szCs w:val="24"/>
                <w:lang w:val="en-US" w:eastAsia="zh-CN"/>
              </w:rPr>
            </w:pPr>
            <w:r>
              <w:rPr>
                <w:rFonts w:hint="eastAsia"/>
                <w:b w:val="0"/>
                <w:bCs w:val="0"/>
                <w:color w:val="auto"/>
                <w:sz w:val="24"/>
                <w:szCs w:val="24"/>
                <w:lang w:val="en-US" w:eastAsia="zh-CN"/>
              </w:rPr>
              <w:t>根据建设单位提供的资料：1、卸料口尺寸为Φ0.05m×0.15m 圆柱；2、槽车单车运输能力20t。单次卸车时间约30-50min。标准大气压下丙烷及液化石油气单次卸车损失以卸料枪喷嘴到关闭阀段气态充装物计算：</w:t>
            </w:r>
          </w:p>
          <w:p w14:paraId="13927C28">
            <w:pPr>
              <w:bidi w:val="0"/>
              <w:jc w:val="center"/>
              <w:rPr>
                <w:rFonts w:hint="eastAsia"/>
                <w:b w:val="0"/>
                <w:bCs w:val="0"/>
                <w:color w:val="auto"/>
                <w:sz w:val="24"/>
                <w:szCs w:val="24"/>
                <w:lang w:val="en-US" w:eastAsia="zh-CN"/>
              </w:rPr>
            </w:pPr>
            <w:r>
              <w:rPr>
                <w:rFonts w:hint="eastAsia"/>
                <w:b w:val="0"/>
                <w:bCs w:val="0"/>
                <w:color w:val="auto"/>
                <w:sz w:val="24"/>
                <w:szCs w:val="24"/>
                <w:lang w:val="en-US" w:eastAsia="zh-CN"/>
              </w:rPr>
              <w:t>n=V×M×P×1000/Vm</w:t>
            </w:r>
          </w:p>
          <w:p w14:paraId="3C7D4116">
            <w:pPr>
              <w:bidi w:val="0"/>
              <w:rPr>
                <w:rFonts w:hint="eastAsia"/>
                <w:b w:val="0"/>
                <w:bCs w:val="0"/>
                <w:color w:val="auto"/>
                <w:sz w:val="24"/>
                <w:szCs w:val="24"/>
                <w:lang w:val="en-US" w:eastAsia="zh-CN"/>
              </w:rPr>
            </w:pPr>
            <w:r>
              <w:rPr>
                <w:rFonts w:hint="eastAsia"/>
                <w:b w:val="0"/>
                <w:bCs w:val="0"/>
                <w:color w:val="auto"/>
                <w:sz w:val="24"/>
                <w:szCs w:val="24"/>
                <w:lang w:val="en-US" w:eastAsia="zh-CN"/>
              </w:rPr>
              <w:t>其中：n——单次卸车损失，g/次；</w:t>
            </w:r>
          </w:p>
          <w:p w14:paraId="1E59837C">
            <w:pPr>
              <w:bidi w:val="0"/>
              <w:ind w:firstLine="1200" w:firstLineChars="500"/>
              <w:rPr>
                <w:rFonts w:hint="eastAsia"/>
                <w:b w:val="0"/>
                <w:bCs w:val="0"/>
                <w:color w:val="auto"/>
                <w:sz w:val="24"/>
                <w:szCs w:val="24"/>
                <w:lang w:val="en-US" w:eastAsia="zh-CN"/>
              </w:rPr>
            </w:pPr>
            <w:r>
              <w:rPr>
                <w:rFonts w:hint="eastAsia"/>
                <w:b w:val="0"/>
                <w:bCs w:val="0"/>
                <w:color w:val="auto"/>
                <w:sz w:val="24"/>
                <w:szCs w:val="24"/>
                <w:lang w:val="en-US" w:eastAsia="zh-CN"/>
              </w:rPr>
              <w:t>V——损失气体体积，m</w:t>
            </w:r>
            <w:r>
              <w:rPr>
                <w:rFonts w:hint="eastAsia"/>
                <w:b w:val="0"/>
                <w:bCs w:val="0"/>
                <w:color w:val="auto"/>
                <w:sz w:val="24"/>
                <w:szCs w:val="24"/>
                <w:vertAlign w:val="superscript"/>
                <w:lang w:val="en-US" w:eastAsia="zh-CN"/>
              </w:rPr>
              <w:t>3</w:t>
            </w:r>
            <w:r>
              <w:rPr>
                <w:rFonts w:hint="eastAsia"/>
                <w:b w:val="0"/>
                <w:bCs w:val="0"/>
                <w:color w:val="auto"/>
                <w:sz w:val="24"/>
                <w:szCs w:val="24"/>
                <w:lang w:val="en-US" w:eastAsia="zh-CN"/>
              </w:rPr>
              <w:t>，根据卸料口尺寸，损失气体体积约为 0.000294；</w:t>
            </w:r>
          </w:p>
          <w:p w14:paraId="24C1E0A0">
            <w:pPr>
              <w:bidi w:val="0"/>
              <w:ind w:firstLine="1200" w:firstLineChars="500"/>
              <w:rPr>
                <w:rFonts w:hint="eastAsia"/>
                <w:b w:val="0"/>
                <w:bCs w:val="0"/>
                <w:color w:val="auto"/>
                <w:sz w:val="24"/>
                <w:szCs w:val="24"/>
                <w:lang w:val="en-US" w:eastAsia="zh-CN"/>
              </w:rPr>
            </w:pPr>
            <w:r>
              <w:rPr>
                <w:rFonts w:hint="eastAsia"/>
                <w:b w:val="0"/>
                <w:bCs w:val="0"/>
                <w:color w:val="auto"/>
                <w:sz w:val="24"/>
                <w:szCs w:val="24"/>
                <w:lang w:val="en-US" w:eastAsia="zh-CN"/>
              </w:rPr>
              <w:t>M——气体摩尔质量，g/mol；丙烷取44.1、液化石油气取49.3；</w:t>
            </w:r>
          </w:p>
          <w:p w14:paraId="3F83420D">
            <w:pPr>
              <w:bidi w:val="0"/>
              <w:ind w:firstLine="1200" w:firstLineChars="500"/>
              <w:rPr>
                <w:rFonts w:hint="eastAsia"/>
                <w:b w:val="0"/>
                <w:bCs w:val="0"/>
                <w:color w:val="auto"/>
                <w:sz w:val="24"/>
                <w:szCs w:val="24"/>
                <w:lang w:val="en-US" w:eastAsia="zh-CN"/>
              </w:rPr>
            </w:pPr>
            <w:r>
              <w:rPr>
                <w:rFonts w:hint="eastAsia"/>
                <w:b w:val="0"/>
                <w:bCs w:val="0"/>
                <w:color w:val="auto"/>
                <w:sz w:val="24"/>
                <w:szCs w:val="24"/>
                <w:lang w:val="en-US" w:eastAsia="zh-CN"/>
              </w:rPr>
              <w:t>P——标准大气压个数，本项目丙烷及液化石油气储罐安全压力均为1.77Mpa，P取17.7；</w:t>
            </w:r>
          </w:p>
          <w:p w14:paraId="733F149B">
            <w:pPr>
              <w:bidi w:val="0"/>
              <w:ind w:firstLine="1200" w:firstLineChars="500"/>
              <w:rPr>
                <w:rFonts w:hint="eastAsia"/>
                <w:b w:val="0"/>
                <w:bCs w:val="0"/>
                <w:color w:val="auto"/>
                <w:sz w:val="24"/>
                <w:szCs w:val="24"/>
                <w:lang w:val="en-US" w:eastAsia="zh-CN"/>
              </w:rPr>
            </w:pPr>
            <w:r>
              <w:rPr>
                <w:rFonts w:hint="eastAsia"/>
                <w:b w:val="0"/>
                <w:bCs w:val="0"/>
                <w:color w:val="auto"/>
                <w:sz w:val="24"/>
                <w:szCs w:val="24"/>
                <w:lang w:val="en-US" w:eastAsia="zh-CN"/>
              </w:rPr>
              <w:t>Vm——标准大气压下摩尔体积，22.4L/mol。</w:t>
            </w:r>
          </w:p>
          <w:p w14:paraId="06080F66">
            <w:pPr>
              <w:bidi w:val="0"/>
              <w:rPr>
                <w:rFonts w:hint="eastAsia"/>
                <w:b w:val="0"/>
                <w:bCs w:val="0"/>
                <w:color w:val="auto"/>
                <w:sz w:val="24"/>
                <w:szCs w:val="24"/>
                <w:lang w:val="en-US" w:eastAsia="zh-CN"/>
              </w:rPr>
            </w:pPr>
            <w:r>
              <w:rPr>
                <w:rFonts w:hint="eastAsia"/>
                <w:b w:val="0"/>
                <w:bCs w:val="0"/>
                <w:color w:val="auto"/>
                <w:sz w:val="24"/>
                <w:szCs w:val="24"/>
                <w:lang w:val="en-US" w:eastAsia="zh-CN"/>
              </w:rPr>
              <w:t>丙烷及液化石油气槽车卸车损失情况见下表。</w:t>
            </w:r>
          </w:p>
          <w:p w14:paraId="67DB3900">
            <w:pPr>
              <w:bidi w:val="0"/>
              <w:spacing w:line="240" w:lineRule="auto"/>
              <w:ind w:left="0" w:leftChars="0" w:firstLine="0" w:firstLineChars="0"/>
              <w:jc w:val="center"/>
              <w:rPr>
                <w:rFonts w:hint="eastAsia"/>
                <w:b w:val="0"/>
                <w:bCs w:val="0"/>
                <w:color w:val="auto"/>
                <w:sz w:val="24"/>
                <w:szCs w:val="24"/>
                <w:lang w:val="en-US" w:eastAsia="zh-CN"/>
              </w:rPr>
            </w:pPr>
            <w:r>
              <w:rPr>
                <w:rFonts w:hint="eastAsia"/>
                <w:b/>
                <w:bCs/>
                <w:color w:val="auto"/>
                <w:sz w:val="21"/>
                <w:szCs w:val="21"/>
                <w:lang w:val="en-US" w:eastAsia="zh-CN"/>
              </w:rPr>
              <w:t>表4-2   项目丙烷及液化石油气槽车卸车损失情况一览表</w:t>
            </w:r>
          </w:p>
          <w:tbl>
            <w:tblPr>
              <w:tblStyle w:val="31"/>
              <w:tblW w:w="81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129"/>
              <w:gridCol w:w="1004"/>
              <w:gridCol w:w="1153"/>
              <w:gridCol w:w="869"/>
              <w:gridCol w:w="1150"/>
              <w:gridCol w:w="1000"/>
              <w:gridCol w:w="1018"/>
            </w:tblGrid>
            <w:tr w14:paraId="74166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tcBorders>
                    <w:tl2br w:val="nil"/>
                    <w:tr2bl w:val="nil"/>
                  </w:tcBorders>
                  <w:vAlign w:val="center"/>
                </w:tcPr>
                <w:p w14:paraId="18EEF6E9">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污染</w:t>
                  </w:r>
                </w:p>
                <w:p w14:paraId="03BA2EA2">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因子</w:t>
                  </w:r>
                </w:p>
              </w:tc>
              <w:tc>
                <w:tcPr>
                  <w:tcW w:w="1190" w:type="dxa"/>
                  <w:vMerge w:val="restart"/>
                  <w:tcBorders>
                    <w:tl2br w:val="nil"/>
                    <w:tr2bl w:val="nil"/>
                  </w:tcBorders>
                  <w:vAlign w:val="center"/>
                </w:tcPr>
                <w:p w14:paraId="491F3329">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年卸车次数（次/年）</w:t>
                  </w:r>
                </w:p>
              </w:tc>
              <w:tc>
                <w:tcPr>
                  <w:tcW w:w="4072" w:type="dxa"/>
                  <w:gridSpan w:val="4"/>
                  <w:tcBorders>
                    <w:tl2br w:val="nil"/>
                    <w:tr2bl w:val="nil"/>
                  </w:tcBorders>
                  <w:vAlign w:val="center"/>
                </w:tcPr>
                <w:p w14:paraId="2EBC41C5">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单次卸车损失计算系数</w:t>
                  </w:r>
                </w:p>
              </w:tc>
              <w:tc>
                <w:tcPr>
                  <w:tcW w:w="2038" w:type="dxa"/>
                  <w:gridSpan w:val="2"/>
                  <w:tcBorders>
                    <w:tl2br w:val="nil"/>
                    <w:tr2bl w:val="nil"/>
                  </w:tcBorders>
                  <w:vAlign w:val="center"/>
                </w:tcPr>
                <w:p w14:paraId="086FE001">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年卸车损失情况</w:t>
                  </w:r>
                </w:p>
              </w:tc>
            </w:tr>
            <w:tr w14:paraId="0F0CE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tcBorders>
                    <w:tl2br w:val="nil"/>
                    <w:tr2bl w:val="nil"/>
                  </w:tcBorders>
                  <w:vAlign w:val="center"/>
                </w:tcPr>
                <w:p w14:paraId="02DD5722">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sz w:val="21"/>
                      <w:szCs w:val="21"/>
                      <w:vertAlign w:val="baseline"/>
                      <w:lang w:val="en-US" w:eastAsia="zh-CN"/>
                    </w:rPr>
                  </w:pPr>
                </w:p>
              </w:tc>
              <w:tc>
                <w:tcPr>
                  <w:tcW w:w="1190" w:type="dxa"/>
                  <w:vMerge w:val="continue"/>
                  <w:tcBorders>
                    <w:tl2br w:val="nil"/>
                    <w:tr2bl w:val="nil"/>
                  </w:tcBorders>
                  <w:vAlign w:val="center"/>
                </w:tcPr>
                <w:p w14:paraId="01E4ECD0">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sz w:val="21"/>
                      <w:szCs w:val="21"/>
                      <w:vertAlign w:val="baseline"/>
                      <w:lang w:val="en-US" w:eastAsia="zh-CN"/>
                    </w:rPr>
                  </w:pPr>
                </w:p>
              </w:tc>
              <w:tc>
                <w:tcPr>
                  <w:tcW w:w="880" w:type="dxa"/>
                  <w:tcBorders>
                    <w:tl2br w:val="nil"/>
                    <w:tr2bl w:val="nil"/>
                  </w:tcBorders>
                  <w:vAlign w:val="center"/>
                </w:tcPr>
                <w:p w14:paraId="06E12CAE">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V（m</w:t>
                  </w:r>
                  <w:r>
                    <w:rPr>
                      <w:rFonts w:hint="eastAsia"/>
                      <w:sz w:val="21"/>
                      <w:szCs w:val="21"/>
                      <w:vertAlign w:val="superscript"/>
                      <w:lang w:val="en-US" w:eastAsia="zh-CN"/>
                    </w:rPr>
                    <w:t>3</w:t>
                  </w:r>
                  <w:r>
                    <w:rPr>
                      <w:rFonts w:hint="eastAsia"/>
                      <w:sz w:val="21"/>
                      <w:szCs w:val="21"/>
                      <w:vertAlign w:val="baseline"/>
                      <w:lang w:val="en-US" w:eastAsia="zh-CN"/>
                    </w:rPr>
                    <w:t>）</w:t>
                  </w:r>
                </w:p>
              </w:tc>
              <w:tc>
                <w:tcPr>
                  <w:tcW w:w="1156" w:type="dxa"/>
                  <w:tcBorders>
                    <w:tl2br w:val="nil"/>
                    <w:tr2bl w:val="nil"/>
                  </w:tcBorders>
                  <w:vAlign w:val="center"/>
                </w:tcPr>
                <w:p w14:paraId="4CB69ED4">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M（g/mol）</w:t>
                  </w:r>
                </w:p>
              </w:tc>
              <w:tc>
                <w:tcPr>
                  <w:tcW w:w="904" w:type="dxa"/>
                  <w:tcBorders>
                    <w:tl2br w:val="nil"/>
                    <w:tr2bl w:val="nil"/>
                  </w:tcBorders>
                  <w:vAlign w:val="center"/>
                </w:tcPr>
                <w:p w14:paraId="2E7B39C1">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P</w:t>
                  </w:r>
                </w:p>
              </w:tc>
              <w:tc>
                <w:tcPr>
                  <w:tcW w:w="1132" w:type="dxa"/>
                  <w:tcBorders>
                    <w:tl2br w:val="nil"/>
                    <w:tr2bl w:val="nil"/>
                  </w:tcBorders>
                  <w:vAlign w:val="center"/>
                </w:tcPr>
                <w:p w14:paraId="2ADA5F2E">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Vm（L/mol）</w:t>
                  </w:r>
                </w:p>
              </w:tc>
              <w:tc>
                <w:tcPr>
                  <w:tcW w:w="1019" w:type="dxa"/>
                  <w:tcBorders>
                    <w:tl2br w:val="nil"/>
                    <w:tr2bl w:val="nil"/>
                  </w:tcBorders>
                  <w:vAlign w:val="center"/>
                </w:tcPr>
                <w:p w14:paraId="467BDA71">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损失量（t/a）</w:t>
                  </w:r>
                </w:p>
              </w:tc>
              <w:tc>
                <w:tcPr>
                  <w:tcW w:w="1019" w:type="dxa"/>
                  <w:tcBorders>
                    <w:tl2br w:val="nil"/>
                    <w:tr2bl w:val="nil"/>
                  </w:tcBorders>
                  <w:vAlign w:val="center"/>
                </w:tcPr>
                <w:p w14:paraId="0E5F0A54">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损失速率（kg/h）</w:t>
                  </w:r>
                </w:p>
              </w:tc>
            </w:tr>
            <w:tr w14:paraId="05459A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l2br w:val="nil"/>
                    <w:tr2bl w:val="nil"/>
                  </w:tcBorders>
                  <w:vAlign w:val="center"/>
                </w:tcPr>
                <w:p w14:paraId="60DEDF6C">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丙烷（以非甲烷总烃计）</w:t>
                  </w:r>
                </w:p>
              </w:tc>
              <w:tc>
                <w:tcPr>
                  <w:tcW w:w="1190" w:type="dxa"/>
                  <w:tcBorders>
                    <w:tl2br w:val="nil"/>
                    <w:tr2bl w:val="nil"/>
                  </w:tcBorders>
                  <w:vAlign w:val="center"/>
                </w:tcPr>
                <w:p w14:paraId="7DC83516">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130</w:t>
                  </w:r>
                </w:p>
              </w:tc>
              <w:tc>
                <w:tcPr>
                  <w:tcW w:w="880" w:type="dxa"/>
                  <w:tcBorders>
                    <w:tl2br w:val="nil"/>
                    <w:tr2bl w:val="nil"/>
                  </w:tcBorders>
                  <w:vAlign w:val="center"/>
                </w:tcPr>
                <w:p w14:paraId="5EEF4319">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0.000294</w:t>
                  </w:r>
                </w:p>
              </w:tc>
              <w:tc>
                <w:tcPr>
                  <w:tcW w:w="1156" w:type="dxa"/>
                  <w:tcBorders>
                    <w:tl2br w:val="nil"/>
                    <w:tr2bl w:val="nil"/>
                  </w:tcBorders>
                  <w:vAlign w:val="center"/>
                </w:tcPr>
                <w:p w14:paraId="68EEB27A">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44.1</w:t>
                  </w:r>
                </w:p>
              </w:tc>
              <w:tc>
                <w:tcPr>
                  <w:tcW w:w="904" w:type="dxa"/>
                  <w:tcBorders>
                    <w:tl2br w:val="nil"/>
                    <w:tr2bl w:val="nil"/>
                  </w:tcBorders>
                  <w:vAlign w:val="center"/>
                </w:tcPr>
                <w:p w14:paraId="36772610">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17.7</w:t>
                  </w:r>
                </w:p>
              </w:tc>
              <w:tc>
                <w:tcPr>
                  <w:tcW w:w="1132" w:type="dxa"/>
                  <w:tcBorders>
                    <w:tl2br w:val="nil"/>
                    <w:tr2bl w:val="nil"/>
                  </w:tcBorders>
                  <w:vAlign w:val="center"/>
                </w:tcPr>
                <w:p w14:paraId="08FD981F">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22.4</w:t>
                  </w:r>
                </w:p>
              </w:tc>
              <w:tc>
                <w:tcPr>
                  <w:tcW w:w="1019" w:type="dxa"/>
                  <w:tcBorders>
                    <w:tl2br w:val="nil"/>
                    <w:tr2bl w:val="nil"/>
                  </w:tcBorders>
                  <w:vAlign w:val="center"/>
                </w:tcPr>
                <w:p w14:paraId="48BAEBBF">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0.0013</w:t>
                  </w:r>
                </w:p>
              </w:tc>
              <w:tc>
                <w:tcPr>
                  <w:tcW w:w="1019" w:type="dxa"/>
                  <w:tcBorders>
                    <w:tl2br w:val="nil"/>
                    <w:tr2bl w:val="nil"/>
                  </w:tcBorders>
                  <w:vAlign w:val="center"/>
                </w:tcPr>
                <w:p w14:paraId="464789D2">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0.015</w:t>
                  </w:r>
                </w:p>
              </w:tc>
            </w:tr>
            <w:tr w14:paraId="5D9F0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l2br w:val="nil"/>
                    <w:tr2bl w:val="nil"/>
                  </w:tcBorders>
                  <w:vAlign w:val="center"/>
                </w:tcPr>
                <w:p w14:paraId="372D1468">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液化石油气（以非甲烷总烃计）</w:t>
                  </w:r>
                </w:p>
              </w:tc>
              <w:tc>
                <w:tcPr>
                  <w:tcW w:w="1190" w:type="dxa"/>
                  <w:tcBorders>
                    <w:tl2br w:val="nil"/>
                    <w:tr2bl w:val="nil"/>
                  </w:tcBorders>
                  <w:vAlign w:val="center"/>
                </w:tcPr>
                <w:p w14:paraId="5FA65DAE">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130</w:t>
                  </w:r>
                </w:p>
              </w:tc>
              <w:tc>
                <w:tcPr>
                  <w:tcW w:w="880" w:type="dxa"/>
                  <w:tcBorders>
                    <w:tl2br w:val="nil"/>
                    <w:tr2bl w:val="nil"/>
                  </w:tcBorders>
                  <w:vAlign w:val="center"/>
                </w:tcPr>
                <w:p w14:paraId="2071A1C9">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0.000294</w:t>
                  </w:r>
                </w:p>
              </w:tc>
              <w:tc>
                <w:tcPr>
                  <w:tcW w:w="1156" w:type="dxa"/>
                  <w:tcBorders>
                    <w:tl2br w:val="nil"/>
                    <w:tr2bl w:val="nil"/>
                  </w:tcBorders>
                  <w:vAlign w:val="center"/>
                </w:tcPr>
                <w:p w14:paraId="3F2064AA">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49.3</w:t>
                  </w:r>
                </w:p>
              </w:tc>
              <w:tc>
                <w:tcPr>
                  <w:tcW w:w="904" w:type="dxa"/>
                  <w:tcBorders>
                    <w:tl2br w:val="nil"/>
                    <w:tr2bl w:val="nil"/>
                  </w:tcBorders>
                  <w:shd w:val="clear" w:color="auto" w:fill="auto"/>
                  <w:vAlign w:val="center"/>
                </w:tcPr>
                <w:p w14:paraId="0E5ED9B2">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kern w:val="0"/>
                      <w:sz w:val="21"/>
                      <w:szCs w:val="21"/>
                      <w:vertAlign w:val="baseline"/>
                      <w:lang w:val="en-US" w:eastAsia="zh-CN" w:bidi="ar-SA"/>
                    </w:rPr>
                  </w:pPr>
                  <w:r>
                    <w:rPr>
                      <w:rFonts w:hint="eastAsia"/>
                      <w:sz w:val="21"/>
                      <w:szCs w:val="21"/>
                      <w:vertAlign w:val="baseline"/>
                      <w:lang w:val="en-US" w:eastAsia="zh-CN"/>
                    </w:rPr>
                    <w:t>17.7</w:t>
                  </w:r>
                </w:p>
              </w:tc>
              <w:tc>
                <w:tcPr>
                  <w:tcW w:w="1132" w:type="dxa"/>
                  <w:tcBorders>
                    <w:tl2br w:val="nil"/>
                    <w:tr2bl w:val="nil"/>
                  </w:tcBorders>
                  <w:shd w:val="clear" w:color="auto" w:fill="auto"/>
                  <w:vAlign w:val="center"/>
                </w:tcPr>
                <w:p w14:paraId="4E41B8AA">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kern w:val="0"/>
                      <w:sz w:val="21"/>
                      <w:szCs w:val="21"/>
                      <w:vertAlign w:val="baseline"/>
                      <w:lang w:val="en-US" w:eastAsia="zh-CN" w:bidi="ar-SA"/>
                    </w:rPr>
                  </w:pPr>
                  <w:r>
                    <w:rPr>
                      <w:rFonts w:hint="eastAsia"/>
                      <w:sz w:val="21"/>
                      <w:szCs w:val="21"/>
                      <w:vertAlign w:val="baseline"/>
                      <w:lang w:val="en-US" w:eastAsia="zh-CN"/>
                    </w:rPr>
                    <w:t>22.4</w:t>
                  </w:r>
                </w:p>
              </w:tc>
              <w:tc>
                <w:tcPr>
                  <w:tcW w:w="1019" w:type="dxa"/>
                  <w:tcBorders>
                    <w:tl2br w:val="nil"/>
                    <w:tr2bl w:val="nil"/>
                  </w:tcBorders>
                  <w:vAlign w:val="center"/>
                </w:tcPr>
                <w:p w14:paraId="255AC57E">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0.0015</w:t>
                  </w:r>
                </w:p>
              </w:tc>
              <w:tc>
                <w:tcPr>
                  <w:tcW w:w="1019" w:type="dxa"/>
                  <w:tcBorders>
                    <w:tl2br w:val="nil"/>
                    <w:tr2bl w:val="nil"/>
                  </w:tcBorders>
                  <w:vAlign w:val="center"/>
                </w:tcPr>
                <w:p w14:paraId="19B3E727">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0.017</w:t>
                  </w:r>
                </w:p>
              </w:tc>
            </w:tr>
            <w:tr w14:paraId="2319C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l2br w:val="nil"/>
                    <w:tr2bl w:val="nil"/>
                  </w:tcBorders>
                  <w:vAlign w:val="center"/>
                </w:tcPr>
                <w:p w14:paraId="63BBA80C">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合计</w:t>
                  </w:r>
                </w:p>
              </w:tc>
              <w:tc>
                <w:tcPr>
                  <w:tcW w:w="1190" w:type="dxa"/>
                  <w:tcBorders>
                    <w:tl2br w:val="nil"/>
                    <w:tr2bl w:val="nil"/>
                  </w:tcBorders>
                  <w:vAlign w:val="center"/>
                </w:tcPr>
                <w:p w14:paraId="1DECFBE3">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880" w:type="dxa"/>
                  <w:tcBorders>
                    <w:tl2br w:val="nil"/>
                    <w:tr2bl w:val="nil"/>
                  </w:tcBorders>
                  <w:vAlign w:val="center"/>
                </w:tcPr>
                <w:p w14:paraId="2FD9B49C">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156" w:type="dxa"/>
                  <w:tcBorders>
                    <w:tl2br w:val="nil"/>
                    <w:tr2bl w:val="nil"/>
                  </w:tcBorders>
                  <w:vAlign w:val="center"/>
                </w:tcPr>
                <w:p w14:paraId="437C346E">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904" w:type="dxa"/>
                  <w:tcBorders>
                    <w:tl2br w:val="nil"/>
                    <w:tr2bl w:val="nil"/>
                  </w:tcBorders>
                  <w:shd w:val="clear" w:color="auto" w:fill="auto"/>
                  <w:vAlign w:val="center"/>
                </w:tcPr>
                <w:p w14:paraId="57D9F5CD">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132" w:type="dxa"/>
                  <w:tcBorders>
                    <w:tl2br w:val="nil"/>
                    <w:tr2bl w:val="nil"/>
                  </w:tcBorders>
                  <w:shd w:val="clear" w:color="auto" w:fill="auto"/>
                  <w:vAlign w:val="center"/>
                </w:tcPr>
                <w:p w14:paraId="2F3823DC">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019" w:type="dxa"/>
                  <w:tcBorders>
                    <w:tl2br w:val="nil"/>
                    <w:tr2bl w:val="nil"/>
                  </w:tcBorders>
                  <w:vAlign w:val="center"/>
                </w:tcPr>
                <w:p w14:paraId="4154BC7F">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0.0028</w:t>
                  </w:r>
                </w:p>
              </w:tc>
              <w:tc>
                <w:tcPr>
                  <w:tcW w:w="1019" w:type="dxa"/>
                  <w:tcBorders>
                    <w:tl2br w:val="nil"/>
                    <w:tr2bl w:val="nil"/>
                  </w:tcBorders>
                  <w:vAlign w:val="center"/>
                </w:tcPr>
                <w:p w14:paraId="694335D4">
                  <w:pPr>
                    <w:pStyle w:val="20"/>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0.032</w:t>
                  </w:r>
                </w:p>
              </w:tc>
            </w:tr>
          </w:tbl>
          <w:p w14:paraId="0B3799A9">
            <w:pPr>
              <w:bidi w:val="0"/>
              <w:rPr>
                <w:rFonts w:hint="eastAsia"/>
                <w:b w:val="0"/>
                <w:bCs w:val="0"/>
                <w:color w:val="auto"/>
                <w:sz w:val="24"/>
                <w:szCs w:val="24"/>
                <w:lang w:val="en-US" w:eastAsia="zh-CN"/>
              </w:rPr>
            </w:pPr>
            <w:r>
              <w:rPr>
                <w:rFonts w:hint="eastAsia"/>
                <w:b w:val="0"/>
                <w:bCs w:val="0"/>
                <w:color w:val="auto"/>
                <w:sz w:val="24"/>
                <w:szCs w:val="24"/>
                <w:lang w:val="en-US" w:eastAsia="zh-CN"/>
              </w:rPr>
              <w:t>根据上表，拟建项目运营期卸车产生的废气中非甲烷总烃产生量约为0.0028t/a（0.032kg/h），槽罐车卸车废气在厂区内无组织排放。</w:t>
            </w:r>
          </w:p>
          <w:p w14:paraId="00B47086">
            <w:pPr>
              <w:bidi w:val="0"/>
              <w:rPr>
                <w:rFonts w:hint="eastAsia"/>
                <w:b w:val="0"/>
                <w:bCs w:val="0"/>
                <w:color w:val="auto"/>
                <w:sz w:val="24"/>
                <w:szCs w:val="24"/>
                <w:lang w:val="en-US" w:eastAsia="zh-CN"/>
              </w:rPr>
            </w:pPr>
            <w:r>
              <w:rPr>
                <w:rFonts w:hint="eastAsia"/>
                <w:b w:val="0"/>
                <w:bCs w:val="0"/>
                <w:color w:val="auto"/>
                <w:sz w:val="24"/>
                <w:szCs w:val="24"/>
                <w:lang w:val="en-US" w:eastAsia="zh-CN"/>
              </w:rPr>
              <w:t>②灌装过程中废气</w:t>
            </w:r>
          </w:p>
          <w:p w14:paraId="30A23BC0">
            <w:pPr>
              <w:bidi w:val="0"/>
              <w:rPr>
                <w:rFonts w:hint="eastAsia"/>
                <w:b w:val="0"/>
                <w:bCs w:val="0"/>
                <w:color w:val="auto"/>
                <w:sz w:val="24"/>
                <w:szCs w:val="24"/>
                <w:lang w:val="en-US" w:eastAsia="zh-CN"/>
              </w:rPr>
            </w:pPr>
            <w:r>
              <w:rPr>
                <w:rFonts w:hint="eastAsia"/>
                <w:b w:val="0"/>
                <w:bCs w:val="0"/>
                <w:color w:val="auto"/>
                <w:sz w:val="24"/>
                <w:szCs w:val="24"/>
                <w:lang w:val="en-US" w:eastAsia="zh-CN"/>
              </w:rPr>
              <w:t>本项目对丙烷和液化石油气进行充装，项目储罐、称量、管道等均设置阀门、法兰及检漏装置，在充装过程中管道、泵体中间的物料为密闭运输，正常情况下无废气产生，无非甲烷总烃废气泄漏。仅在丙烷和液化石油气充装过程中每个钢瓶充装完成后充装接头拆卸过程中残留在接头处的微量丙烷和液化石油气气体，类比已批复的《太和县清晨燃气有限公司液化石油气站分装项目》，灌装时非甲烷总烃排放量约为0.1g/次，本项目丙烷及液化石油气年最大灌瓶量100万瓶，则项目灌瓶过程产生的非甲烷总量为0.1 t/a。</w:t>
            </w:r>
          </w:p>
          <w:p w14:paraId="388B412A">
            <w:pPr>
              <w:bidi w:val="0"/>
              <w:rPr>
                <w:rFonts w:hint="eastAsia"/>
                <w:b w:val="0"/>
                <w:bCs w:val="0"/>
                <w:color w:val="auto"/>
                <w:sz w:val="24"/>
                <w:szCs w:val="24"/>
                <w:lang w:val="en-US" w:eastAsia="zh-CN"/>
              </w:rPr>
            </w:pPr>
            <w:r>
              <w:rPr>
                <w:rFonts w:hint="eastAsia"/>
                <w:b w:val="0"/>
                <w:bCs w:val="0"/>
                <w:color w:val="auto"/>
                <w:sz w:val="24"/>
                <w:szCs w:val="24"/>
                <w:lang w:val="en-US" w:eastAsia="zh-CN"/>
              </w:rPr>
              <w:t>（3）残液回收废气</w:t>
            </w:r>
          </w:p>
          <w:p w14:paraId="1AB3F533">
            <w:pPr>
              <w:bidi w:val="0"/>
              <w:rPr>
                <w:rFonts w:hint="eastAsia"/>
                <w:b w:val="0"/>
                <w:bCs w:val="0"/>
                <w:color w:val="auto"/>
                <w:sz w:val="24"/>
                <w:szCs w:val="24"/>
                <w:lang w:val="en-US" w:eastAsia="zh-CN"/>
              </w:rPr>
            </w:pPr>
            <w:r>
              <w:rPr>
                <w:rFonts w:hint="eastAsia"/>
                <w:b w:val="0"/>
                <w:bCs w:val="0"/>
                <w:color w:val="auto"/>
                <w:sz w:val="24"/>
                <w:szCs w:val="24"/>
                <w:lang w:val="en-US" w:eastAsia="zh-CN"/>
              </w:rPr>
              <w:t>当空液化石油气钢瓶中残液量过多时，应倒空残液，其流程为将要倒出残液的钢瓶置于残液倒空架上，通过循环压缩机，将钢瓶中的残液抽出压至液化石油气残液罐。企业拟采用正压倒残法回收残液，即用压缩机抽吸残液罐的气相向钢瓶加压，当瓶内压力大于残液罐的压力0.1MPa至0.2MPa时，切换倒空管路的阀门，翻转倒空架即可将钢瓶内的残液倒入残液罐。由以上分析可知，倒残液过程为封闭高压环境，无废气产生。仅在接头拆装过程中会有微量有机废气产生。根据建设单位及设计单位提供数据，本项目液化石油气残液量较少，产生量约60kg/a，且液化石油气残液罐为地埋常温全压力式储罐，容量为50m³（20t），故残液装车回收外运计接头拆装过程废气产生量很少，以无组织排放（以非甲烷总烃计），忽略不计。</w:t>
            </w:r>
          </w:p>
          <w:p w14:paraId="528B4331">
            <w:pPr>
              <w:bidi w:val="0"/>
              <w:rPr>
                <w:rFonts w:hint="eastAsia"/>
                <w:b w:val="0"/>
                <w:bCs w:val="0"/>
                <w:color w:val="auto"/>
                <w:sz w:val="24"/>
                <w:szCs w:val="24"/>
                <w:lang w:val="en-US" w:eastAsia="zh-CN"/>
              </w:rPr>
            </w:pPr>
            <w:r>
              <w:rPr>
                <w:rFonts w:hint="eastAsia"/>
                <w:b w:val="0"/>
                <w:bCs w:val="0"/>
                <w:color w:val="auto"/>
                <w:sz w:val="24"/>
                <w:szCs w:val="24"/>
                <w:lang w:val="en-US" w:eastAsia="zh-CN"/>
              </w:rPr>
              <w:t>（4）设备动静密封点无组织逸散有机废气</w:t>
            </w:r>
          </w:p>
          <w:p w14:paraId="23B6A7A2">
            <w:pPr>
              <w:pStyle w:val="20"/>
              <w:rPr>
                <w:rFonts w:hint="eastAsia"/>
                <w:sz w:val="24"/>
                <w:szCs w:val="28"/>
                <w:lang w:val="en-US" w:eastAsia="zh-CN"/>
              </w:rPr>
            </w:pPr>
            <w:r>
              <w:rPr>
                <w:rFonts w:hint="eastAsia"/>
                <w:sz w:val="24"/>
                <w:szCs w:val="28"/>
                <w:lang w:val="en-US" w:eastAsia="zh-CN"/>
              </w:rPr>
              <w:t>营运期项目采取全密闭工艺，工艺装置设备与管线组件等动静密封点会挥发少量有机废气（非甲烷总烃）。根据《污染源源强核算技术指南 石油炼制工业》（HJ982-2018），6.2.2.1新建工程的生产装置及设施，挥发性有机物流经的设备与管件密封点泄漏的挥发性有机物采用下式计算：</w:t>
            </w:r>
          </w:p>
          <w:p w14:paraId="2C85E164">
            <w:pPr>
              <w:bidi w:val="0"/>
              <w:jc w:val="center"/>
              <w:rPr>
                <w:rFonts w:hint="eastAsia"/>
                <w:b/>
                <w:bCs/>
                <w:color w:val="auto"/>
                <w:sz w:val="24"/>
                <w:szCs w:val="24"/>
                <w:lang w:val="en-US" w:eastAsia="zh-CN"/>
              </w:rPr>
            </w:pPr>
            <w:r>
              <w:rPr>
                <w:rFonts w:hint="eastAsia"/>
                <w:b/>
                <w:bCs/>
                <w:color w:val="auto"/>
                <w:position w:val="-32"/>
                <w:sz w:val="24"/>
                <w:szCs w:val="24"/>
                <w:lang w:val="en-US" w:eastAsia="zh-CN"/>
              </w:rPr>
              <w:object>
                <v:shape id="_x0000_i1034" o:spt="75" type="#_x0000_t75" style="height:36pt;width:167pt;" o:ole="t" filled="f" o:preferrelative="t" stroked="f" coordsize="21600,21600">
                  <v:path/>
                  <v:fill on="f" focussize="0,0"/>
                  <v:stroke on="f"/>
                  <v:imagedata r:id="rId39" o:title=""/>
                  <o:lock v:ext="edit" aspectratio="t"/>
                  <w10:wrap type="none"/>
                  <w10:anchorlock/>
                </v:shape>
                <o:OLEObject Type="Embed" ProgID="Equation.KSEE3" ShapeID="_x0000_i1034" DrawAspect="Content" ObjectID="_1468075734" r:id="rId38">
                  <o:LockedField>false</o:LockedField>
                </o:OLEObject>
              </w:object>
            </w:r>
          </w:p>
          <w:p w14:paraId="6D70BB0E">
            <w:pPr>
              <w:pStyle w:val="20"/>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式中：D</w:t>
            </w:r>
            <w:r>
              <w:rPr>
                <w:rFonts w:hint="default" w:ascii="Times New Roman" w:hAnsi="Times New Roman" w:cs="Times New Roman"/>
                <w:sz w:val="24"/>
                <w:szCs w:val="28"/>
                <w:vertAlign w:val="subscript"/>
                <w:lang w:val="en-US" w:eastAsia="zh-CN"/>
              </w:rPr>
              <w:t>设备</w:t>
            </w:r>
            <w:r>
              <w:rPr>
                <w:rFonts w:hint="eastAsia" w:cs="Times New Roman"/>
                <w:sz w:val="24"/>
                <w:szCs w:val="28"/>
                <w:vertAlign w:val="baseline"/>
                <w:lang w:val="en-US" w:eastAsia="zh-CN"/>
              </w:rPr>
              <w:t>——</w:t>
            </w:r>
            <w:r>
              <w:rPr>
                <w:rFonts w:hint="default" w:ascii="Times New Roman" w:hAnsi="Times New Roman" w:cs="Times New Roman"/>
                <w:sz w:val="24"/>
                <w:szCs w:val="28"/>
                <w:lang w:val="en-US" w:eastAsia="zh-CN"/>
              </w:rPr>
              <w:t>核算时段内设备与管线组件密封点泄漏的挥发性有机物的量，kg</w:t>
            </w:r>
            <w:r>
              <w:rPr>
                <w:rFonts w:hint="eastAsia" w:cs="Times New Roman"/>
                <w:sz w:val="24"/>
                <w:szCs w:val="28"/>
                <w:lang w:val="en-US" w:eastAsia="zh-CN"/>
              </w:rPr>
              <w:t>/a</w:t>
            </w:r>
            <w:r>
              <w:rPr>
                <w:rFonts w:hint="default" w:ascii="Times New Roman" w:hAnsi="Times New Roman" w:cs="Times New Roman"/>
                <w:sz w:val="24"/>
                <w:szCs w:val="28"/>
                <w:lang w:val="en-US" w:eastAsia="zh-CN"/>
              </w:rPr>
              <w:t>；</w:t>
            </w:r>
          </w:p>
          <w:p w14:paraId="146DB555">
            <w:pPr>
              <w:pStyle w:val="20"/>
              <w:ind w:firstLine="1200" w:firstLineChars="500"/>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α</w:t>
            </w:r>
            <w:r>
              <w:rPr>
                <w:rFonts w:hint="eastAsia" w:cs="Times New Roman"/>
                <w:sz w:val="24"/>
                <w:szCs w:val="28"/>
                <w:lang w:val="en-US" w:eastAsia="zh-CN"/>
              </w:rPr>
              <w:t>——</w:t>
            </w:r>
            <w:r>
              <w:rPr>
                <w:rFonts w:hint="default" w:ascii="Times New Roman" w:hAnsi="Times New Roman" w:cs="Times New Roman"/>
                <w:sz w:val="24"/>
                <w:szCs w:val="28"/>
                <w:lang w:val="en-US" w:eastAsia="zh-CN"/>
              </w:rPr>
              <w:t>设备与管线组件密封点的泄漏比例</w:t>
            </w:r>
            <w:r>
              <w:rPr>
                <w:rFonts w:hint="eastAsia" w:cs="Times New Roman"/>
                <w:sz w:val="24"/>
                <w:szCs w:val="28"/>
                <w:lang w:val="en-US" w:eastAsia="zh-CN"/>
              </w:rPr>
              <w:t>，</w:t>
            </w:r>
            <w:r>
              <w:rPr>
                <w:rFonts w:hint="default" w:ascii="Times New Roman" w:hAnsi="Times New Roman" w:cs="Times New Roman"/>
                <w:sz w:val="24"/>
                <w:szCs w:val="28"/>
                <w:lang w:val="en-US" w:eastAsia="zh-CN"/>
              </w:rPr>
              <w:t>本项目均选取密封性较好的装置，</w:t>
            </w:r>
            <w:r>
              <w:rPr>
                <w:rFonts w:hint="eastAsia" w:cs="Times New Roman"/>
                <w:sz w:val="24"/>
                <w:szCs w:val="28"/>
                <w:lang w:val="en-US" w:eastAsia="zh-CN"/>
              </w:rPr>
              <w:t>取值为0.003</w:t>
            </w:r>
            <w:r>
              <w:rPr>
                <w:rFonts w:hint="default" w:ascii="Times New Roman" w:hAnsi="Times New Roman" w:cs="Times New Roman"/>
                <w:sz w:val="24"/>
                <w:szCs w:val="28"/>
                <w:lang w:val="en-US" w:eastAsia="zh-CN"/>
              </w:rPr>
              <w:t>；</w:t>
            </w:r>
          </w:p>
          <w:p w14:paraId="39F1A70A">
            <w:pPr>
              <w:pStyle w:val="20"/>
              <w:ind w:firstLine="1200" w:firstLineChars="500"/>
              <w:rPr>
                <w:rFonts w:hint="default" w:ascii="Times New Roman" w:hAnsi="Times New Roman" w:cs="Times New Roman"/>
                <w:sz w:val="24"/>
                <w:szCs w:val="28"/>
                <w:lang w:val="en-US" w:eastAsia="zh-CN"/>
              </w:rPr>
            </w:pPr>
            <w:r>
              <w:rPr>
                <w:rFonts w:hint="eastAsia" w:cs="Times New Roman"/>
                <w:sz w:val="24"/>
                <w:szCs w:val="28"/>
                <w:lang w:val="en-US" w:eastAsia="zh-CN"/>
              </w:rPr>
              <w:t>n——</w:t>
            </w:r>
            <w:r>
              <w:rPr>
                <w:rFonts w:hint="default" w:ascii="Times New Roman" w:hAnsi="Times New Roman" w:cs="Times New Roman"/>
                <w:sz w:val="24"/>
                <w:szCs w:val="28"/>
                <w:lang w:val="en-US" w:eastAsia="zh-CN"/>
              </w:rPr>
              <w:t>挥发性有机物流经的设备与管道组件密封点数</w:t>
            </w:r>
            <w:r>
              <w:rPr>
                <w:rFonts w:hint="eastAsia" w:cs="Times New Roman"/>
                <w:sz w:val="24"/>
                <w:szCs w:val="28"/>
                <w:lang w:val="en-US" w:eastAsia="zh-CN"/>
              </w:rPr>
              <w:t>，见附录B.3进行统计</w:t>
            </w:r>
            <w:r>
              <w:rPr>
                <w:rFonts w:hint="default" w:ascii="Times New Roman" w:hAnsi="Times New Roman" w:cs="Times New Roman"/>
                <w:sz w:val="24"/>
                <w:szCs w:val="28"/>
                <w:lang w:val="en-US" w:eastAsia="zh-CN"/>
              </w:rPr>
              <w:t>；</w:t>
            </w:r>
          </w:p>
          <w:p w14:paraId="7FCE171B">
            <w:pPr>
              <w:pStyle w:val="20"/>
              <w:ind w:firstLine="1200" w:firstLineChars="500"/>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e</w:t>
            </w:r>
            <w:r>
              <w:rPr>
                <w:rFonts w:hint="default" w:ascii="Times New Roman" w:hAnsi="Times New Roman" w:cs="Times New Roman"/>
                <w:sz w:val="21"/>
                <w:szCs w:val="21"/>
                <w:vertAlign w:val="subscript"/>
                <w:lang w:val="en-US" w:eastAsia="zh-CN"/>
              </w:rPr>
              <w:t>TOC</w:t>
            </w:r>
            <w:r>
              <w:rPr>
                <w:rFonts w:hint="eastAsia" w:cs="Times New Roman"/>
                <w:sz w:val="21"/>
                <w:szCs w:val="21"/>
                <w:vertAlign w:val="subscript"/>
                <w:lang w:val="en-US" w:eastAsia="zh-CN"/>
              </w:rPr>
              <w:t>，i</w:t>
            </w:r>
            <w:r>
              <w:rPr>
                <w:rFonts w:hint="eastAsia" w:cs="Times New Roman"/>
                <w:sz w:val="24"/>
                <w:szCs w:val="28"/>
                <w:lang w:val="en-US" w:eastAsia="zh-CN"/>
              </w:rPr>
              <w:t>——</w:t>
            </w:r>
            <w:r>
              <w:rPr>
                <w:rFonts w:hint="default" w:ascii="Times New Roman" w:hAnsi="Times New Roman" w:cs="Times New Roman"/>
                <w:sz w:val="24"/>
                <w:szCs w:val="28"/>
                <w:lang w:val="en-US" w:eastAsia="zh-CN"/>
              </w:rPr>
              <w:t>密封点i的总有机碳（TOC）排放速率，kg/h</w:t>
            </w:r>
            <w:r>
              <w:rPr>
                <w:rFonts w:hint="eastAsia" w:cs="Times New Roman"/>
                <w:sz w:val="24"/>
                <w:szCs w:val="28"/>
                <w:lang w:val="en-US" w:eastAsia="zh-CN"/>
              </w:rPr>
              <w:t>，取值参见表4</w:t>
            </w:r>
            <w:r>
              <w:rPr>
                <w:rFonts w:hint="default" w:ascii="Times New Roman" w:hAnsi="Times New Roman" w:cs="Times New Roman"/>
                <w:sz w:val="24"/>
                <w:szCs w:val="28"/>
                <w:lang w:val="en-US" w:eastAsia="zh-CN"/>
              </w:rPr>
              <w:t>；</w:t>
            </w:r>
          </w:p>
          <w:p w14:paraId="0D142A6B">
            <w:pPr>
              <w:pStyle w:val="20"/>
              <w:ind w:firstLine="1200" w:firstLineChars="500"/>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WF</w:t>
            </w:r>
            <w:r>
              <w:rPr>
                <w:rFonts w:hint="default" w:ascii="Times New Roman" w:hAnsi="Times New Roman" w:cs="Times New Roman"/>
                <w:sz w:val="24"/>
                <w:szCs w:val="28"/>
                <w:vertAlign w:val="subscript"/>
                <w:lang w:val="en-US" w:eastAsia="zh-CN"/>
              </w:rPr>
              <w:t>VOCs</w:t>
            </w:r>
            <w:r>
              <w:rPr>
                <w:rFonts w:hint="eastAsia" w:cs="Times New Roman"/>
                <w:sz w:val="24"/>
                <w:szCs w:val="28"/>
                <w:vertAlign w:val="subscript"/>
                <w:lang w:val="en-US" w:eastAsia="zh-CN"/>
              </w:rPr>
              <w:t>，</w:t>
            </w:r>
            <w:r>
              <w:rPr>
                <w:rFonts w:hint="default" w:ascii="Times New Roman" w:hAnsi="Times New Roman" w:cs="Times New Roman"/>
                <w:sz w:val="24"/>
                <w:szCs w:val="28"/>
                <w:vertAlign w:val="subscript"/>
                <w:lang w:val="en-US" w:eastAsia="zh-CN"/>
              </w:rPr>
              <w:t>i</w:t>
            </w:r>
            <w:r>
              <w:rPr>
                <w:rFonts w:hint="eastAsia" w:cs="Times New Roman"/>
                <w:sz w:val="24"/>
                <w:szCs w:val="28"/>
                <w:lang w:val="en-US" w:eastAsia="zh-CN"/>
              </w:rPr>
              <w:t>——</w:t>
            </w:r>
            <w:r>
              <w:rPr>
                <w:rFonts w:hint="default" w:ascii="Times New Roman" w:hAnsi="Times New Roman" w:cs="Times New Roman"/>
                <w:sz w:val="24"/>
                <w:szCs w:val="28"/>
                <w:lang w:val="en-US" w:eastAsia="zh-CN"/>
              </w:rPr>
              <w:t>流经密封点i的物料中挥发性有机物的设计平均质量分数，%；</w:t>
            </w:r>
          </w:p>
          <w:p w14:paraId="739CD35D">
            <w:pPr>
              <w:pStyle w:val="20"/>
              <w:ind w:firstLine="1200" w:firstLineChars="500"/>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WF</w:t>
            </w:r>
            <w:r>
              <w:rPr>
                <w:rFonts w:hint="default" w:ascii="Times New Roman" w:hAnsi="Times New Roman" w:cs="Times New Roman"/>
                <w:sz w:val="24"/>
                <w:szCs w:val="28"/>
                <w:vertAlign w:val="subscript"/>
                <w:lang w:val="en-US" w:eastAsia="zh-CN"/>
              </w:rPr>
              <w:t>TOC，i</w:t>
            </w:r>
            <w:r>
              <w:rPr>
                <w:rFonts w:hint="eastAsia" w:cs="Times New Roman"/>
                <w:sz w:val="24"/>
                <w:szCs w:val="28"/>
                <w:lang w:val="en-US" w:eastAsia="zh-CN"/>
              </w:rPr>
              <w:t>——</w:t>
            </w:r>
            <w:r>
              <w:rPr>
                <w:rFonts w:hint="default" w:ascii="Times New Roman" w:hAnsi="Times New Roman" w:cs="Times New Roman"/>
                <w:sz w:val="24"/>
                <w:szCs w:val="28"/>
                <w:lang w:val="en-US" w:eastAsia="zh-CN"/>
              </w:rPr>
              <w:t>流经密封点i的物料中总有机碳（TOC）的设计平均质量分数，%；</w:t>
            </w:r>
          </w:p>
          <w:p w14:paraId="6A5F5936">
            <w:pPr>
              <w:pStyle w:val="20"/>
              <w:ind w:firstLine="1200" w:firstLineChars="500"/>
              <w:rPr>
                <w:rFonts w:hint="default" w:ascii="Times New Roman" w:hAnsi="Times New Roman" w:cs="Times New Roman"/>
                <w:sz w:val="24"/>
                <w:szCs w:val="28"/>
                <w:lang w:val="en-US" w:eastAsia="zh-CN"/>
              </w:rPr>
            </w:pPr>
            <w:r>
              <w:rPr>
                <w:rFonts w:hint="default" w:ascii="Times New Roman" w:hAnsi="Times New Roman" w:cs="Times New Roman"/>
                <w:sz w:val="24"/>
                <w:szCs w:val="28"/>
                <w:lang w:val="en-US" w:eastAsia="zh-CN"/>
              </w:rPr>
              <w:t>t</w:t>
            </w:r>
            <w:r>
              <w:rPr>
                <w:rFonts w:hint="default" w:ascii="Times New Roman" w:hAnsi="Times New Roman" w:cs="Times New Roman"/>
                <w:sz w:val="24"/>
                <w:szCs w:val="28"/>
                <w:vertAlign w:val="subscript"/>
                <w:lang w:val="en-US" w:eastAsia="zh-CN"/>
              </w:rPr>
              <w:t>i</w:t>
            </w:r>
            <w:r>
              <w:rPr>
                <w:rFonts w:hint="eastAsia" w:cs="Times New Roman"/>
                <w:sz w:val="24"/>
                <w:szCs w:val="28"/>
                <w:lang w:val="en-US" w:eastAsia="zh-CN"/>
              </w:rPr>
              <w:t>——</w:t>
            </w:r>
            <w:r>
              <w:rPr>
                <w:rFonts w:hint="default" w:ascii="Times New Roman" w:hAnsi="Times New Roman" w:cs="Times New Roman"/>
                <w:sz w:val="24"/>
                <w:szCs w:val="28"/>
                <w:lang w:val="en-US" w:eastAsia="zh-CN"/>
              </w:rPr>
              <w:t>核算时段内密封点i的运行时间，</w:t>
            </w:r>
            <w:r>
              <w:rPr>
                <w:rFonts w:hint="eastAsia" w:cs="Times New Roman"/>
                <w:sz w:val="24"/>
                <w:szCs w:val="28"/>
                <w:lang w:val="en-US" w:eastAsia="zh-CN"/>
              </w:rPr>
              <w:t>取7920h</w:t>
            </w:r>
            <w:r>
              <w:rPr>
                <w:rFonts w:hint="default" w:ascii="Times New Roman" w:hAnsi="Times New Roman" w:cs="Times New Roman"/>
                <w:sz w:val="24"/>
                <w:szCs w:val="28"/>
                <w:lang w:val="en-US" w:eastAsia="zh-CN"/>
              </w:rPr>
              <w:t>。</w:t>
            </w:r>
          </w:p>
          <w:p w14:paraId="43C1DAE4">
            <w:pPr>
              <w:bidi w:val="0"/>
              <w:spacing w:line="240" w:lineRule="auto"/>
              <w:ind w:left="0" w:leftChars="0" w:firstLine="0" w:firstLineChars="0"/>
              <w:jc w:val="center"/>
              <w:rPr>
                <w:rFonts w:hint="eastAsia"/>
                <w:b/>
                <w:bCs/>
                <w:color w:val="auto"/>
                <w:sz w:val="21"/>
                <w:szCs w:val="21"/>
                <w:lang w:val="en-US" w:eastAsia="zh-CN"/>
              </w:rPr>
            </w:pPr>
            <w:r>
              <w:rPr>
                <w:rFonts w:hint="eastAsia"/>
                <w:b/>
                <w:bCs/>
                <w:color w:val="auto"/>
                <w:sz w:val="21"/>
                <w:szCs w:val="21"/>
                <w:lang w:val="en-US" w:eastAsia="zh-CN"/>
              </w:rPr>
              <w:t>表4-3   石油化学工业设备与管线组件密封点TOC泄漏排放速率e</w:t>
            </w:r>
            <w:r>
              <w:rPr>
                <w:rFonts w:hint="eastAsia"/>
                <w:b/>
                <w:bCs/>
                <w:color w:val="auto"/>
                <w:sz w:val="21"/>
                <w:szCs w:val="21"/>
                <w:vertAlign w:val="subscript"/>
                <w:lang w:val="en-US" w:eastAsia="zh-CN"/>
              </w:rPr>
              <w:t>TOC，i</w:t>
            </w:r>
            <w:r>
              <w:rPr>
                <w:rFonts w:hint="eastAsia"/>
                <w:b/>
                <w:bCs/>
                <w:color w:val="auto"/>
                <w:sz w:val="21"/>
                <w:szCs w:val="21"/>
                <w:lang w:val="en-US" w:eastAsia="zh-CN"/>
              </w:rPr>
              <w:t xml:space="preserve"> 取值参数表</w:t>
            </w:r>
          </w:p>
          <w:tbl>
            <w:tblPr>
              <w:tblStyle w:val="3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73"/>
              <w:gridCol w:w="4073"/>
            </w:tblGrid>
            <w:tr w14:paraId="218DA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3" w:type="dxa"/>
                  <w:tcBorders>
                    <w:tl2br w:val="nil"/>
                    <w:tr2bl w:val="nil"/>
                  </w:tcBorders>
                </w:tcPr>
                <w:p w14:paraId="30C47C15">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设备类型</w:t>
                  </w:r>
                </w:p>
              </w:tc>
              <w:tc>
                <w:tcPr>
                  <w:tcW w:w="4073" w:type="dxa"/>
                  <w:tcBorders>
                    <w:tl2br w:val="nil"/>
                    <w:tr2bl w:val="nil"/>
                  </w:tcBorders>
                </w:tcPr>
                <w:p w14:paraId="777BF9B6">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b w:val="0"/>
                      <w:bCs w:val="0"/>
                      <w:sz w:val="21"/>
                      <w:szCs w:val="21"/>
                      <w:vertAlign w:val="baseline"/>
                      <w:lang w:val="en-US" w:eastAsia="zh-CN"/>
                    </w:rPr>
                    <w:t>排放速率</w:t>
                  </w:r>
                  <w:r>
                    <w:rPr>
                      <w:rFonts w:hint="eastAsia"/>
                      <w:b w:val="0"/>
                      <w:bCs w:val="0"/>
                      <w:color w:val="auto"/>
                      <w:sz w:val="21"/>
                      <w:szCs w:val="21"/>
                      <w:lang w:val="en-US" w:eastAsia="zh-CN"/>
                    </w:rPr>
                    <w:t>e</w:t>
                  </w:r>
                  <w:r>
                    <w:rPr>
                      <w:rFonts w:hint="eastAsia"/>
                      <w:b w:val="0"/>
                      <w:bCs w:val="0"/>
                      <w:color w:val="auto"/>
                      <w:sz w:val="21"/>
                      <w:szCs w:val="21"/>
                      <w:vertAlign w:val="subscript"/>
                      <w:lang w:val="en-US" w:eastAsia="zh-CN"/>
                    </w:rPr>
                    <w:t>TOC，i</w:t>
                  </w:r>
                  <w:r>
                    <w:rPr>
                      <w:rFonts w:hint="eastAsia"/>
                      <w:b w:val="0"/>
                      <w:bCs w:val="0"/>
                      <w:color w:val="auto"/>
                      <w:sz w:val="21"/>
                      <w:szCs w:val="21"/>
                      <w:lang w:val="en-US" w:eastAsia="zh-CN"/>
                    </w:rPr>
                    <w:t xml:space="preserve"> /（kg/h排放源）</w:t>
                  </w:r>
                </w:p>
              </w:tc>
            </w:tr>
            <w:tr w14:paraId="008407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3" w:type="dxa"/>
                  <w:tcBorders>
                    <w:tl2br w:val="nil"/>
                    <w:tr2bl w:val="nil"/>
                  </w:tcBorders>
                </w:tcPr>
                <w:p w14:paraId="3FEE1DF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连接件</w:t>
                  </w:r>
                </w:p>
              </w:tc>
              <w:tc>
                <w:tcPr>
                  <w:tcW w:w="4073" w:type="dxa"/>
                  <w:tcBorders>
                    <w:tl2br w:val="nil"/>
                    <w:tr2bl w:val="nil"/>
                  </w:tcBorders>
                </w:tcPr>
                <w:p w14:paraId="324EC321">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0.028</w:t>
                  </w:r>
                </w:p>
              </w:tc>
            </w:tr>
            <w:tr w14:paraId="03904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3" w:type="dxa"/>
                  <w:tcBorders>
                    <w:tl2br w:val="nil"/>
                    <w:tr2bl w:val="nil"/>
                  </w:tcBorders>
                </w:tcPr>
                <w:p w14:paraId="5A88D425">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阀门</w:t>
                  </w:r>
                </w:p>
              </w:tc>
              <w:tc>
                <w:tcPr>
                  <w:tcW w:w="4073" w:type="dxa"/>
                  <w:tcBorders>
                    <w:tl2br w:val="nil"/>
                    <w:tr2bl w:val="nil"/>
                  </w:tcBorders>
                </w:tcPr>
                <w:p w14:paraId="1BF06DC6">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0.064</w:t>
                  </w:r>
                </w:p>
              </w:tc>
            </w:tr>
            <w:tr w14:paraId="4AF9E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3" w:type="dxa"/>
                  <w:tcBorders>
                    <w:tl2br w:val="nil"/>
                    <w:tr2bl w:val="nil"/>
                  </w:tcBorders>
                </w:tcPr>
                <w:p w14:paraId="3EC4876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开口阀或开口管线</w:t>
                  </w:r>
                </w:p>
              </w:tc>
              <w:tc>
                <w:tcPr>
                  <w:tcW w:w="4073" w:type="dxa"/>
                  <w:tcBorders>
                    <w:tl2br w:val="nil"/>
                    <w:tr2bl w:val="nil"/>
                  </w:tcBorders>
                </w:tcPr>
                <w:p w14:paraId="4BFDCCFD">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0.03</w:t>
                  </w:r>
                </w:p>
              </w:tc>
            </w:tr>
            <w:tr w14:paraId="07750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3" w:type="dxa"/>
                  <w:tcBorders>
                    <w:tl2br w:val="nil"/>
                    <w:tr2bl w:val="nil"/>
                  </w:tcBorders>
                </w:tcPr>
                <w:p w14:paraId="05077864">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泵</w:t>
                  </w:r>
                </w:p>
              </w:tc>
              <w:tc>
                <w:tcPr>
                  <w:tcW w:w="4073" w:type="dxa"/>
                  <w:tcBorders>
                    <w:tl2br w:val="nil"/>
                    <w:tr2bl w:val="nil"/>
                  </w:tcBorders>
                </w:tcPr>
                <w:p w14:paraId="167911FA">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0.074</w:t>
                  </w:r>
                </w:p>
              </w:tc>
            </w:tr>
            <w:tr w14:paraId="3E1DB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3" w:type="dxa"/>
                  <w:tcBorders>
                    <w:tl2br w:val="nil"/>
                    <w:tr2bl w:val="nil"/>
                  </w:tcBorders>
                </w:tcPr>
                <w:p w14:paraId="4634D3E2">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法兰</w:t>
                  </w:r>
                </w:p>
              </w:tc>
              <w:tc>
                <w:tcPr>
                  <w:tcW w:w="4073" w:type="dxa"/>
                  <w:tcBorders>
                    <w:tl2br w:val="nil"/>
                    <w:tr2bl w:val="nil"/>
                  </w:tcBorders>
                </w:tcPr>
                <w:p w14:paraId="1A49F71B">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0.085</w:t>
                  </w:r>
                </w:p>
              </w:tc>
            </w:tr>
            <w:tr w14:paraId="34876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3" w:type="dxa"/>
                  <w:tcBorders>
                    <w:tl2br w:val="nil"/>
                    <w:tr2bl w:val="nil"/>
                  </w:tcBorders>
                </w:tcPr>
                <w:p w14:paraId="21403FB1">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压缩机、搅拌器、泄压设备</w:t>
                  </w:r>
                </w:p>
              </w:tc>
              <w:tc>
                <w:tcPr>
                  <w:tcW w:w="4073" w:type="dxa"/>
                  <w:tcBorders>
                    <w:tl2br w:val="nil"/>
                    <w:tr2bl w:val="nil"/>
                  </w:tcBorders>
                </w:tcPr>
                <w:p w14:paraId="6BEB14D1">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0.073</w:t>
                  </w:r>
                </w:p>
              </w:tc>
            </w:tr>
            <w:tr w14:paraId="276060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3" w:type="dxa"/>
                  <w:tcBorders>
                    <w:tl2br w:val="nil"/>
                    <w:tr2bl w:val="nil"/>
                  </w:tcBorders>
                </w:tcPr>
                <w:p w14:paraId="53BE18A2">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其他</w:t>
                  </w:r>
                </w:p>
              </w:tc>
              <w:tc>
                <w:tcPr>
                  <w:tcW w:w="4073" w:type="dxa"/>
                  <w:tcBorders>
                    <w:tl2br w:val="nil"/>
                    <w:tr2bl w:val="nil"/>
                  </w:tcBorders>
                </w:tcPr>
                <w:p w14:paraId="615741A5">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0.073</w:t>
                  </w:r>
                </w:p>
              </w:tc>
            </w:tr>
          </w:tbl>
          <w:p w14:paraId="3D9A1294">
            <w:pPr>
              <w:pStyle w:val="20"/>
              <w:rPr>
                <w:rFonts w:hint="eastAsia"/>
                <w:sz w:val="24"/>
                <w:szCs w:val="28"/>
                <w:lang w:val="en-US" w:eastAsia="zh-CN"/>
              </w:rPr>
            </w:pPr>
            <w:r>
              <w:rPr>
                <w:rFonts w:hint="eastAsia"/>
                <w:sz w:val="24"/>
                <w:szCs w:val="28"/>
                <w:lang w:val="en-US" w:eastAsia="zh-CN"/>
              </w:rPr>
              <w:t>本项目罐区设备动静密封点数量统计见表4-4，VOCs排放量计算结果见表4-5。</w:t>
            </w:r>
          </w:p>
          <w:p w14:paraId="35633AFD">
            <w:pPr>
              <w:bidi w:val="0"/>
              <w:spacing w:line="240" w:lineRule="auto"/>
              <w:ind w:left="0" w:leftChars="0" w:firstLine="0" w:firstLineChars="0"/>
              <w:jc w:val="center"/>
              <w:rPr>
                <w:rFonts w:hint="default"/>
                <w:b/>
                <w:bCs/>
                <w:color w:val="auto"/>
                <w:sz w:val="21"/>
                <w:szCs w:val="21"/>
                <w:lang w:val="en-US" w:eastAsia="zh-CN"/>
              </w:rPr>
            </w:pPr>
            <w:r>
              <w:rPr>
                <w:rFonts w:hint="eastAsia"/>
                <w:b/>
                <w:bCs/>
                <w:color w:val="auto"/>
                <w:sz w:val="21"/>
                <w:szCs w:val="21"/>
                <w:lang w:val="en-US" w:eastAsia="zh-CN"/>
              </w:rPr>
              <w:t>表4-4   本项目设备动静密封点数量统计</w:t>
            </w:r>
          </w:p>
          <w:tbl>
            <w:tblPr>
              <w:tblStyle w:val="31"/>
              <w:tblW w:w="82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846"/>
              <w:gridCol w:w="1114"/>
              <w:gridCol w:w="916"/>
              <w:gridCol w:w="1067"/>
              <w:gridCol w:w="1689"/>
              <w:gridCol w:w="846"/>
            </w:tblGrid>
            <w:tr w14:paraId="12985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tcBorders>
                    <w:tl2br w:val="nil"/>
                    <w:tr2bl w:val="nil"/>
                  </w:tcBorders>
                  <w:vAlign w:val="center"/>
                </w:tcPr>
                <w:p w14:paraId="7A55563F">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设备名称</w:t>
                  </w:r>
                </w:p>
              </w:tc>
              <w:tc>
                <w:tcPr>
                  <w:tcW w:w="770" w:type="dxa"/>
                  <w:tcBorders>
                    <w:tl2br w:val="nil"/>
                    <w:tr2bl w:val="nil"/>
                  </w:tcBorders>
                  <w:vAlign w:val="center"/>
                </w:tcPr>
                <w:p w14:paraId="79B50850">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气体阀门（个）</w:t>
                  </w:r>
                </w:p>
              </w:tc>
              <w:tc>
                <w:tcPr>
                  <w:tcW w:w="1130" w:type="dxa"/>
                  <w:tcBorders>
                    <w:tl2br w:val="nil"/>
                    <w:tr2bl w:val="nil"/>
                  </w:tcBorders>
                  <w:vAlign w:val="center"/>
                </w:tcPr>
                <w:p w14:paraId="0058D783">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开口阀或开孔管线（个）</w:t>
                  </w:r>
                </w:p>
              </w:tc>
              <w:tc>
                <w:tcPr>
                  <w:tcW w:w="920" w:type="dxa"/>
                  <w:tcBorders>
                    <w:tl2br w:val="nil"/>
                    <w:tr2bl w:val="nil"/>
                  </w:tcBorders>
                  <w:vAlign w:val="center"/>
                </w:tcPr>
                <w:p w14:paraId="1D8A0A2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有机液体阀门（个）</w:t>
                  </w:r>
                </w:p>
              </w:tc>
              <w:tc>
                <w:tcPr>
                  <w:tcW w:w="1080" w:type="dxa"/>
                  <w:tcBorders>
                    <w:tl2br w:val="nil"/>
                    <w:tr2bl w:val="nil"/>
                  </w:tcBorders>
                  <w:vAlign w:val="center"/>
                </w:tcPr>
                <w:p w14:paraId="34DD2224">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法兰或连接件（个）</w:t>
                  </w:r>
                </w:p>
              </w:tc>
              <w:tc>
                <w:tcPr>
                  <w:tcW w:w="1740" w:type="dxa"/>
                  <w:tcBorders>
                    <w:tl2br w:val="nil"/>
                    <w:tr2bl w:val="nil"/>
                  </w:tcBorders>
                  <w:vAlign w:val="center"/>
                </w:tcPr>
                <w:p w14:paraId="04B78058">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泵、压缩机、搅拌器、泄压设备（个）</w:t>
                  </w:r>
                </w:p>
              </w:tc>
              <w:tc>
                <w:tcPr>
                  <w:tcW w:w="772" w:type="dxa"/>
                  <w:tcBorders>
                    <w:tl2br w:val="nil"/>
                    <w:tr2bl w:val="nil"/>
                  </w:tcBorders>
                  <w:vAlign w:val="center"/>
                </w:tcPr>
                <w:p w14:paraId="6197A40A">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其他（个）</w:t>
                  </w:r>
                </w:p>
              </w:tc>
            </w:tr>
            <w:tr w14:paraId="14BD3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tcBorders>
                    <w:tl2br w:val="nil"/>
                    <w:tr2bl w:val="nil"/>
                  </w:tcBorders>
                  <w:vAlign w:val="center"/>
                </w:tcPr>
                <w:p w14:paraId="7B7698BD">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罐区（丙烷及液化石油气/残液）</w:t>
                  </w:r>
                </w:p>
              </w:tc>
              <w:tc>
                <w:tcPr>
                  <w:tcW w:w="770" w:type="dxa"/>
                  <w:tcBorders>
                    <w:tl2br w:val="nil"/>
                    <w:tr2bl w:val="nil"/>
                  </w:tcBorders>
                  <w:vAlign w:val="center"/>
                </w:tcPr>
                <w:p w14:paraId="6A0FF0F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20</w:t>
                  </w:r>
                </w:p>
              </w:tc>
              <w:tc>
                <w:tcPr>
                  <w:tcW w:w="1130" w:type="dxa"/>
                  <w:tcBorders>
                    <w:tl2br w:val="nil"/>
                    <w:tr2bl w:val="nil"/>
                  </w:tcBorders>
                  <w:vAlign w:val="center"/>
                </w:tcPr>
                <w:p w14:paraId="3C61D28B">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920" w:type="dxa"/>
                  <w:tcBorders>
                    <w:tl2br w:val="nil"/>
                    <w:tr2bl w:val="nil"/>
                  </w:tcBorders>
                  <w:vAlign w:val="center"/>
                </w:tcPr>
                <w:p w14:paraId="72C29A4A">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30</w:t>
                  </w:r>
                </w:p>
              </w:tc>
              <w:tc>
                <w:tcPr>
                  <w:tcW w:w="1080" w:type="dxa"/>
                  <w:tcBorders>
                    <w:tl2br w:val="nil"/>
                    <w:tr2bl w:val="nil"/>
                  </w:tcBorders>
                  <w:vAlign w:val="center"/>
                </w:tcPr>
                <w:p w14:paraId="4AD45B93">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100</w:t>
                  </w:r>
                </w:p>
              </w:tc>
              <w:tc>
                <w:tcPr>
                  <w:tcW w:w="1740" w:type="dxa"/>
                  <w:tcBorders>
                    <w:tl2br w:val="nil"/>
                    <w:tr2bl w:val="nil"/>
                  </w:tcBorders>
                  <w:vAlign w:val="center"/>
                </w:tcPr>
                <w:p w14:paraId="30F09A16">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772" w:type="dxa"/>
                  <w:tcBorders>
                    <w:tl2br w:val="nil"/>
                    <w:tr2bl w:val="nil"/>
                  </w:tcBorders>
                  <w:vAlign w:val="center"/>
                </w:tcPr>
                <w:p w14:paraId="58B00C43">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r>
            <w:tr w14:paraId="23D9B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tcBorders>
                    <w:tl2br w:val="nil"/>
                    <w:tr2bl w:val="nil"/>
                  </w:tcBorders>
                  <w:vAlign w:val="center"/>
                </w:tcPr>
                <w:p w14:paraId="2589629E">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装卸区（丙烷及液化石油气/残液）</w:t>
                  </w:r>
                </w:p>
              </w:tc>
              <w:tc>
                <w:tcPr>
                  <w:tcW w:w="770" w:type="dxa"/>
                  <w:tcBorders>
                    <w:tl2br w:val="nil"/>
                    <w:tr2bl w:val="nil"/>
                  </w:tcBorders>
                  <w:vAlign w:val="center"/>
                </w:tcPr>
                <w:p w14:paraId="07DF99DE">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12</w:t>
                  </w:r>
                </w:p>
              </w:tc>
              <w:tc>
                <w:tcPr>
                  <w:tcW w:w="1130" w:type="dxa"/>
                  <w:tcBorders>
                    <w:tl2br w:val="nil"/>
                    <w:tr2bl w:val="nil"/>
                  </w:tcBorders>
                  <w:vAlign w:val="center"/>
                </w:tcPr>
                <w:p w14:paraId="75C7ABD3">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920" w:type="dxa"/>
                  <w:tcBorders>
                    <w:tl2br w:val="nil"/>
                    <w:tr2bl w:val="nil"/>
                  </w:tcBorders>
                  <w:vAlign w:val="center"/>
                </w:tcPr>
                <w:p w14:paraId="6962F2D3">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14</w:t>
                  </w:r>
                </w:p>
              </w:tc>
              <w:tc>
                <w:tcPr>
                  <w:tcW w:w="1080" w:type="dxa"/>
                  <w:tcBorders>
                    <w:tl2br w:val="nil"/>
                    <w:tr2bl w:val="nil"/>
                  </w:tcBorders>
                  <w:vAlign w:val="center"/>
                </w:tcPr>
                <w:p w14:paraId="02C0BFAE">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58</w:t>
                  </w:r>
                </w:p>
              </w:tc>
              <w:tc>
                <w:tcPr>
                  <w:tcW w:w="1740" w:type="dxa"/>
                  <w:tcBorders>
                    <w:tl2br w:val="nil"/>
                    <w:tr2bl w:val="nil"/>
                  </w:tcBorders>
                  <w:vAlign w:val="center"/>
                </w:tcPr>
                <w:p w14:paraId="78134E52">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772" w:type="dxa"/>
                  <w:tcBorders>
                    <w:tl2br w:val="nil"/>
                    <w:tr2bl w:val="nil"/>
                  </w:tcBorders>
                  <w:vAlign w:val="center"/>
                </w:tcPr>
                <w:p w14:paraId="0A70F9D5">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r>
          </w:tbl>
          <w:p w14:paraId="5C986E4B">
            <w:pPr>
              <w:bidi w:val="0"/>
              <w:spacing w:line="240" w:lineRule="auto"/>
              <w:jc w:val="center"/>
              <w:rPr>
                <w:rFonts w:hint="default"/>
                <w:b/>
                <w:bCs/>
                <w:color w:val="auto"/>
                <w:sz w:val="21"/>
                <w:szCs w:val="21"/>
                <w:lang w:val="en-US" w:eastAsia="zh-CN"/>
              </w:rPr>
            </w:pPr>
            <w:r>
              <w:rPr>
                <w:rFonts w:hint="eastAsia"/>
                <w:b/>
                <w:bCs/>
                <w:color w:val="auto"/>
                <w:sz w:val="21"/>
                <w:szCs w:val="21"/>
                <w:lang w:val="en-US" w:eastAsia="zh-CN"/>
              </w:rPr>
              <w:t>表4-5   本项目设备动静密封点VOCs排放量计算结果</w:t>
            </w:r>
          </w:p>
          <w:tbl>
            <w:tblPr>
              <w:tblStyle w:val="31"/>
              <w:tblW w:w="80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846"/>
              <w:gridCol w:w="1097"/>
              <w:gridCol w:w="929"/>
              <w:gridCol w:w="889"/>
              <w:gridCol w:w="1324"/>
              <w:gridCol w:w="846"/>
              <w:gridCol w:w="847"/>
            </w:tblGrid>
            <w:tr w14:paraId="47859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tcBorders>
                    <w:tl2br w:val="nil"/>
                    <w:tr2bl w:val="nil"/>
                  </w:tcBorders>
                  <w:vAlign w:val="center"/>
                </w:tcPr>
                <w:p w14:paraId="23A78E05">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设备名称</w:t>
                  </w:r>
                </w:p>
              </w:tc>
              <w:tc>
                <w:tcPr>
                  <w:tcW w:w="840" w:type="dxa"/>
                  <w:tcBorders>
                    <w:tl2br w:val="nil"/>
                    <w:tr2bl w:val="nil"/>
                  </w:tcBorders>
                  <w:vAlign w:val="center"/>
                </w:tcPr>
                <w:p w14:paraId="021B8F58">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气体阀门（个）</w:t>
                  </w:r>
                </w:p>
              </w:tc>
              <w:tc>
                <w:tcPr>
                  <w:tcW w:w="1100" w:type="dxa"/>
                  <w:tcBorders>
                    <w:tl2br w:val="nil"/>
                    <w:tr2bl w:val="nil"/>
                  </w:tcBorders>
                  <w:vAlign w:val="center"/>
                </w:tcPr>
                <w:p w14:paraId="41B42517">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开口阀或开孔管线（个）</w:t>
                  </w:r>
                </w:p>
              </w:tc>
              <w:tc>
                <w:tcPr>
                  <w:tcW w:w="930" w:type="dxa"/>
                  <w:tcBorders>
                    <w:tl2br w:val="nil"/>
                    <w:tr2bl w:val="nil"/>
                  </w:tcBorders>
                  <w:vAlign w:val="center"/>
                </w:tcPr>
                <w:p w14:paraId="0F7C7916">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有机液体阀门（个）</w:t>
                  </w:r>
                </w:p>
              </w:tc>
              <w:tc>
                <w:tcPr>
                  <w:tcW w:w="890" w:type="dxa"/>
                  <w:tcBorders>
                    <w:tl2br w:val="nil"/>
                    <w:tr2bl w:val="nil"/>
                  </w:tcBorders>
                  <w:vAlign w:val="center"/>
                </w:tcPr>
                <w:p w14:paraId="451067F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法兰或连接件（个）</w:t>
                  </w:r>
                </w:p>
              </w:tc>
              <w:tc>
                <w:tcPr>
                  <w:tcW w:w="1330" w:type="dxa"/>
                  <w:tcBorders>
                    <w:tl2br w:val="nil"/>
                    <w:tr2bl w:val="nil"/>
                  </w:tcBorders>
                  <w:vAlign w:val="center"/>
                </w:tcPr>
                <w:p w14:paraId="24786A40">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泵、压缩机、搅拌器、泄压设备（个）</w:t>
                  </w:r>
                </w:p>
              </w:tc>
              <w:tc>
                <w:tcPr>
                  <w:tcW w:w="840" w:type="dxa"/>
                  <w:tcBorders>
                    <w:tl2br w:val="nil"/>
                    <w:tr2bl w:val="nil"/>
                  </w:tcBorders>
                  <w:vAlign w:val="center"/>
                </w:tcPr>
                <w:p w14:paraId="124FFEC1">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其他（个）</w:t>
                  </w:r>
                </w:p>
              </w:tc>
              <w:tc>
                <w:tcPr>
                  <w:tcW w:w="840" w:type="dxa"/>
                  <w:tcBorders>
                    <w:tl2br w:val="nil"/>
                    <w:tr2bl w:val="nil"/>
                  </w:tcBorders>
                  <w:vAlign w:val="center"/>
                </w:tcPr>
                <w:p w14:paraId="641287BE">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合计（t/a）</w:t>
                  </w:r>
                </w:p>
              </w:tc>
            </w:tr>
            <w:tr w14:paraId="2DE90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9" w:type="dxa"/>
                  <w:tcBorders>
                    <w:tl2br w:val="nil"/>
                    <w:tr2bl w:val="nil"/>
                  </w:tcBorders>
                  <w:vAlign w:val="center"/>
                </w:tcPr>
                <w:p w14:paraId="67FCB568">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罐区、装卸区（丙烷及液化石油气/残液）</w:t>
                  </w:r>
                </w:p>
              </w:tc>
              <w:tc>
                <w:tcPr>
                  <w:tcW w:w="840" w:type="dxa"/>
                  <w:tcBorders>
                    <w:tl2br w:val="nil"/>
                    <w:tr2bl w:val="nil"/>
                  </w:tcBorders>
                  <w:vAlign w:val="center"/>
                </w:tcPr>
                <w:p w14:paraId="53F03FD5">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32</w:t>
                  </w:r>
                </w:p>
              </w:tc>
              <w:tc>
                <w:tcPr>
                  <w:tcW w:w="1100" w:type="dxa"/>
                  <w:tcBorders>
                    <w:tl2br w:val="nil"/>
                    <w:tr2bl w:val="nil"/>
                  </w:tcBorders>
                  <w:vAlign w:val="center"/>
                </w:tcPr>
                <w:p w14:paraId="4AF22683">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930" w:type="dxa"/>
                  <w:tcBorders>
                    <w:tl2br w:val="nil"/>
                    <w:tr2bl w:val="nil"/>
                  </w:tcBorders>
                  <w:vAlign w:val="center"/>
                </w:tcPr>
                <w:p w14:paraId="068C90F7">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44</w:t>
                  </w:r>
                </w:p>
              </w:tc>
              <w:tc>
                <w:tcPr>
                  <w:tcW w:w="890" w:type="dxa"/>
                  <w:tcBorders>
                    <w:tl2br w:val="nil"/>
                    <w:tr2bl w:val="nil"/>
                  </w:tcBorders>
                  <w:vAlign w:val="center"/>
                </w:tcPr>
                <w:p w14:paraId="7C410FCE">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158</w:t>
                  </w:r>
                </w:p>
              </w:tc>
              <w:tc>
                <w:tcPr>
                  <w:tcW w:w="1330" w:type="dxa"/>
                  <w:tcBorders>
                    <w:tl2br w:val="nil"/>
                    <w:tr2bl w:val="nil"/>
                  </w:tcBorders>
                  <w:vAlign w:val="center"/>
                </w:tcPr>
                <w:p w14:paraId="7C0D726B">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15</w:t>
                  </w:r>
                </w:p>
              </w:tc>
              <w:tc>
                <w:tcPr>
                  <w:tcW w:w="840" w:type="dxa"/>
                  <w:tcBorders>
                    <w:tl2br w:val="nil"/>
                    <w:tr2bl w:val="nil"/>
                  </w:tcBorders>
                  <w:vAlign w:val="center"/>
                </w:tcPr>
                <w:p w14:paraId="517D2EEA">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w:t>
                  </w:r>
                </w:p>
              </w:tc>
              <w:tc>
                <w:tcPr>
                  <w:tcW w:w="840" w:type="dxa"/>
                  <w:tcBorders>
                    <w:tl2br w:val="nil"/>
                    <w:tr2bl w:val="nil"/>
                  </w:tcBorders>
                  <w:vAlign w:val="center"/>
                </w:tcPr>
                <w:p w14:paraId="5E1976D1">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0.46</w:t>
                  </w:r>
                </w:p>
              </w:tc>
            </w:tr>
          </w:tbl>
          <w:p w14:paraId="6730F1DC">
            <w:pPr>
              <w:bidi w:val="0"/>
              <w:rPr>
                <w:rFonts w:hint="eastAsia"/>
                <w:b w:val="0"/>
                <w:bCs w:val="0"/>
                <w:color w:val="auto"/>
                <w:sz w:val="24"/>
                <w:szCs w:val="24"/>
                <w:lang w:val="en-US" w:eastAsia="zh-CN"/>
              </w:rPr>
            </w:pPr>
            <w:r>
              <w:rPr>
                <w:rFonts w:hint="eastAsia"/>
                <w:b w:val="0"/>
                <w:bCs w:val="0"/>
                <w:color w:val="auto"/>
                <w:sz w:val="24"/>
                <w:szCs w:val="24"/>
                <w:lang w:val="en-US" w:eastAsia="zh-CN"/>
              </w:rPr>
              <w:t>根据上文计算，本项目无组织废气排放主要为丙烷、液化石油气充装废气（以非甲烷总烃表征）和罐区设备动静密封点泄漏废气，则本项目无组织废气核算表结果见表4-6。</w:t>
            </w:r>
          </w:p>
          <w:p w14:paraId="6E8A285F">
            <w:pPr>
              <w:bidi w:val="0"/>
              <w:spacing w:line="240" w:lineRule="auto"/>
              <w:ind w:left="0" w:leftChars="0"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 xml:space="preserve">  本项目废气</w:t>
            </w:r>
            <w:r>
              <w:rPr>
                <w:rFonts w:hint="eastAsia" w:cs="Times New Roman"/>
                <w:b/>
                <w:bCs/>
                <w:color w:val="auto"/>
                <w:sz w:val="21"/>
                <w:szCs w:val="21"/>
                <w:lang w:val="en-US" w:eastAsia="zh-CN"/>
              </w:rPr>
              <w:t>（非甲烷总烃）</w:t>
            </w:r>
            <w:r>
              <w:rPr>
                <w:rFonts w:hint="eastAsia" w:ascii="Times New Roman" w:hAnsi="Times New Roman" w:eastAsia="宋体" w:cs="Times New Roman"/>
                <w:b/>
                <w:bCs/>
                <w:color w:val="auto"/>
                <w:sz w:val="21"/>
                <w:szCs w:val="21"/>
                <w:lang w:val="en-US" w:eastAsia="zh-CN"/>
              </w:rPr>
              <w:t>核算表</w:t>
            </w:r>
          </w:p>
          <w:tbl>
            <w:tblPr>
              <w:tblStyle w:val="31"/>
              <w:tblW w:w="81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54"/>
              <w:gridCol w:w="1940"/>
              <w:gridCol w:w="2875"/>
            </w:tblGrid>
            <w:tr w14:paraId="4F103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4" w:type="dxa"/>
                  <w:tcBorders>
                    <w:tl2br w:val="nil"/>
                    <w:tr2bl w:val="nil"/>
                  </w:tcBorders>
                  <w:vAlign w:val="center"/>
                </w:tcPr>
                <w:p w14:paraId="3F93064F">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污染项目</w:t>
                  </w:r>
                </w:p>
              </w:tc>
              <w:tc>
                <w:tcPr>
                  <w:tcW w:w="1940" w:type="dxa"/>
                  <w:tcBorders>
                    <w:tl2br w:val="nil"/>
                    <w:tr2bl w:val="nil"/>
                  </w:tcBorders>
                  <w:vAlign w:val="center"/>
                </w:tcPr>
                <w:p w14:paraId="31A4B70E">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排放量（t/a）</w:t>
                  </w:r>
                </w:p>
              </w:tc>
              <w:tc>
                <w:tcPr>
                  <w:tcW w:w="2875" w:type="dxa"/>
                  <w:tcBorders>
                    <w:tl2br w:val="nil"/>
                    <w:tr2bl w:val="nil"/>
                  </w:tcBorders>
                  <w:vAlign w:val="center"/>
                </w:tcPr>
                <w:p w14:paraId="647D52BF">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合计排放量（t/a）</w:t>
                  </w:r>
                </w:p>
              </w:tc>
            </w:tr>
            <w:tr w14:paraId="09261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4" w:type="dxa"/>
                  <w:tcBorders>
                    <w:tl2br w:val="nil"/>
                    <w:tr2bl w:val="nil"/>
                  </w:tcBorders>
                  <w:vAlign w:val="center"/>
                </w:tcPr>
                <w:p w14:paraId="3CC1DD0C">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槽罐车卸车废气</w:t>
                  </w:r>
                </w:p>
              </w:tc>
              <w:tc>
                <w:tcPr>
                  <w:tcW w:w="1940" w:type="dxa"/>
                  <w:tcBorders>
                    <w:tl2br w:val="nil"/>
                    <w:tr2bl w:val="nil"/>
                  </w:tcBorders>
                  <w:vAlign w:val="center"/>
                </w:tcPr>
                <w:p w14:paraId="7F256963">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0.0028</w:t>
                  </w:r>
                </w:p>
              </w:tc>
              <w:tc>
                <w:tcPr>
                  <w:tcW w:w="2875" w:type="dxa"/>
                  <w:vMerge w:val="restart"/>
                  <w:tcBorders>
                    <w:tl2br w:val="nil"/>
                    <w:tr2bl w:val="nil"/>
                  </w:tcBorders>
                  <w:vAlign w:val="center"/>
                </w:tcPr>
                <w:p w14:paraId="0A48CB94">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0.5628</w:t>
                  </w:r>
                </w:p>
              </w:tc>
            </w:tr>
            <w:tr w14:paraId="78D92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4" w:type="dxa"/>
                  <w:tcBorders>
                    <w:tl2br w:val="nil"/>
                    <w:tr2bl w:val="nil"/>
                  </w:tcBorders>
                  <w:vAlign w:val="center"/>
                </w:tcPr>
                <w:p w14:paraId="71A37600">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灌装过程废气</w:t>
                  </w:r>
                </w:p>
              </w:tc>
              <w:tc>
                <w:tcPr>
                  <w:tcW w:w="1940" w:type="dxa"/>
                  <w:tcBorders>
                    <w:tl2br w:val="nil"/>
                    <w:tr2bl w:val="nil"/>
                  </w:tcBorders>
                  <w:vAlign w:val="center"/>
                </w:tcPr>
                <w:p w14:paraId="3071DA8F">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0.10</w:t>
                  </w:r>
                </w:p>
              </w:tc>
              <w:tc>
                <w:tcPr>
                  <w:tcW w:w="2875" w:type="dxa"/>
                  <w:vMerge w:val="continue"/>
                  <w:tcBorders>
                    <w:tl2br w:val="nil"/>
                    <w:tr2bl w:val="nil"/>
                  </w:tcBorders>
                  <w:vAlign w:val="center"/>
                </w:tcPr>
                <w:p w14:paraId="23702613">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vertAlign w:val="baseline"/>
                      <w:lang w:val="en-US" w:eastAsia="zh-CN"/>
                    </w:rPr>
                  </w:pPr>
                </w:p>
              </w:tc>
            </w:tr>
            <w:tr w14:paraId="4B38C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354" w:type="dxa"/>
                  <w:tcBorders>
                    <w:tl2br w:val="nil"/>
                    <w:tr2bl w:val="nil"/>
                  </w:tcBorders>
                  <w:vAlign w:val="center"/>
                </w:tcPr>
                <w:p w14:paraId="09E954FA">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设备动静密封点无组织逸散有机废气（丙烷及液化石油气/残液罐区、装卸区）</w:t>
                  </w:r>
                </w:p>
              </w:tc>
              <w:tc>
                <w:tcPr>
                  <w:tcW w:w="1940" w:type="dxa"/>
                  <w:tcBorders>
                    <w:tl2br w:val="nil"/>
                    <w:tr2bl w:val="nil"/>
                  </w:tcBorders>
                  <w:vAlign w:val="center"/>
                </w:tcPr>
                <w:p w14:paraId="748B9964">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0.46</w:t>
                  </w:r>
                </w:p>
              </w:tc>
              <w:tc>
                <w:tcPr>
                  <w:tcW w:w="2875" w:type="dxa"/>
                  <w:vMerge w:val="continue"/>
                  <w:tcBorders>
                    <w:tl2br w:val="nil"/>
                    <w:tr2bl w:val="nil"/>
                  </w:tcBorders>
                  <w:vAlign w:val="center"/>
                </w:tcPr>
                <w:p w14:paraId="46768493">
                  <w:pPr>
                    <w:pStyle w:val="2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 w:val="21"/>
                      <w:szCs w:val="21"/>
                      <w:vertAlign w:val="baseline"/>
                      <w:lang w:val="en-US" w:eastAsia="zh-CN"/>
                    </w:rPr>
                  </w:pPr>
                </w:p>
              </w:tc>
            </w:tr>
          </w:tbl>
          <w:p w14:paraId="58CC742E">
            <w:pPr>
              <w:pStyle w:val="15"/>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w:t>
            </w:r>
            <w:r>
              <w:rPr>
                <w:rFonts w:hint="eastAsia" w:ascii="Times New Roman" w:cs="Times New Roman"/>
                <w:sz w:val="24"/>
                <w:szCs w:val="24"/>
                <w:lang w:val="en-US" w:eastAsia="zh-CN"/>
              </w:rPr>
              <w:t>三</w:t>
            </w:r>
            <w:r>
              <w:rPr>
                <w:rFonts w:hint="eastAsia" w:ascii="Times New Roman" w:hAnsi="Times New Roman" w:cs="Times New Roman"/>
                <w:sz w:val="24"/>
                <w:szCs w:val="24"/>
                <w:lang w:val="en-US" w:eastAsia="zh-CN"/>
              </w:rPr>
              <w:t>）食堂油烟</w:t>
            </w:r>
          </w:p>
          <w:p w14:paraId="3E876BDD">
            <w:pPr>
              <w:pStyle w:val="104"/>
              <w:bidi w:val="0"/>
              <w:rPr>
                <w:rFonts w:hint="eastAsia"/>
                <w:color w:val="auto"/>
                <w:sz w:val="24"/>
                <w:szCs w:val="24"/>
                <w:u w:val="none"/>
                <w:lang w:val="en-US" w:eastAsia="zh-CN"/>
              </w:rPr>
            </w:pPr>
            <w:r>
              <w:rPr>
                <w:rFonts w:hint="eastAsia" w:ascii="Times New Roman" w:hAnsi="Times New Roman" w:eastAsia="宋体" w:cs="Times New Roman"/>
                <w:color w:val="auto"/>
                <w:lang w:val="en-US" w:eastAsia="zh-CN"/>
              </w:rPr>
              <w:t>项目劳动定员60人，项目年工作时间330天，实行四班制三运转制度，厂区提供三餐，不提供住宿。该项目设置员工食堂，</w:t>
            </w:r>
            <w:r>
              <w:rPr>
                <w:rFonts w:hint="eastAsia" w:cs="Times New Roman"/>
                <w:color w:val="auto"/>
                <w:lang w:val="en-US" w:eastAsia="zh-CN"/>
              </w:rPr>
              <w:t>每天约</w:t>
            </w:r>
            <w:r>
              <w:rPr>
                <w:rFonts w:hint="eastAsia" w:eastAsia="宋体" w:cs="Times New Roman"/>
                <w:color w:val="auto"/>
                <w:lang w:val="en-US" w:eastAsia="zh-CN"/>
              </w:rPr>
              <w:t>30</w:t>
            </w:r>
            <w:r>
              <w:rPr>
                <w:rFonts w:hint="eastAsia" w:ascii="Times New Roman" w:hAnsi="Times New Roman" w:eastAsia="宋体" w:cs="Times New Roman"/>
                <w:color w:val="auto"/>
                <w:lang w:val="en-US" w:eastAsia="zh-CN"/>
              </w:rPr>
              <w:t>人在厂内</w:t>
            </w:r>
            <w:r>
              <w:rPr>
                <w:rFonts w:hint="eastAsia" w:cs="Times New Roman"/>
                <w:color w:val="auto"/>
                <w:highlight w:val="none"/>
                <w:lang w:val="en-US" w:eastAsia="zh-CN"/>
              </w:rPr>
              <w:t>吃饭</w:t>
            </w:r>
            <w:r>
              <w:rPr>
                <w:rFonts w:hint="eastAsia" w:ascii="Times New Roman" w:hAnsi="Times New Roman" w:eastAsia="宋体" w:cs="Times New Roman"/>
                <w:color w:val="auto"/>
                <w:lang w:val="en-US" w:eastAsia="zh-CN"/>
              </w:rPr>
              <w:t>，基准灶头数为</w:t>
            </w:r>
            <w:r>
              <w:rPr>
                <w:rFonts w:hint="eastAsia" w:eastAsia="宋体" w:cs="Times New Roman"/>
                <w:color w:val="auto"/>
                <w:lang w:val="en-US" w:eastAsia="zh-CN"/>
              </w:rPr>
              <w:t>2</w:t>
            </w:r>
            <w:r>
              <w:rPr>
                <w:rFonts w:hint="eastAsia" w:ascii="Times New Roman" w:hAnsi="Times New Roman" w:eastAsia="宋体" w:cs="Times New Roman"/>
                <w:color w:val="auto"/>
                <w:lang w:val="en-US" w:eastAsia="zh-CN"/>
              </w:rPr>
              <w:t>个，规模属于小型食堂</w:t>
            </w:r>
            <w:r>
              <w:rPr>
                <w:rFonts w:hint="eastAsia" w:ascii="Times New Roman" w:hAnsi="Times New Roman" w:eastAsia="宋体" w:cs="Times New Roman"/>
                <w:color w:val="auto"/>
                <w:u w:val="none"/>
                <w:lang w:val="en-US" w:eastAsia="zh-CN"/>
              </w:rPr>
              <w:t>。食堂以</w:t>
            </w:r>
            <w:r>
              <w:rPr>
                <w:rFonts w:hint="eastAsia" w:eastAsia="宋体" w:cs="Times New Roman"/>
                <w:color w:val="auto"/>
                <w:u w:val="none"/>
                <w:lang w:val="en-US" w:eastAsia="zh-CN"/>
              </w:rPr>
              <w:t>电或者液化石油气作为</w:t>
            </w:r>
            <w:r>
              <w:rPr>
                <w:rFonts w:hint="eastAsia" w:ascii="Times New Roman" w:hAnsi="Times New Roman" w:eastAsia="宋体" w:cs="Times New Roman"/>
                <w:color w:val="auto"/>
                <w:u w:val="none"/>
                <w:lang w:val="en-US" w:eastAsia="zh-CN"/>
              </w:rPr>
              <w:t>燃料，厨房作业时产生的污染主要是油烟，每个灶头排风量以</w:t>
            </w:r>
            <w:r>
              <w:rPr>
                <w:rFonts w:hint="eastAsia" w:cs="Times New Roman"/>
                <w:color w:val="auto"/>
                <w:u w:val="none"/>
                <w:lang w:val="en-US" w:eastAsia="zh-CN"/>
              </w:rPr>
              <w:t>2</w:t>
            </w:r>
            <w:r>
              <w:rPr>
                <w:rFonts w:hint="default" w:ascii="Times New Roman" w:hAnsi="Times New Roman" w:eastAsia="宋体" w:cs="Times New Roman"/>
                <w:color w:val="auto"/>
                <w:u w:val="none"/>
                <w:lang w:val="en-US" w:eastAsia="zh-CN"/>
              </w:rPr>
              <w:t>000m³/h</w:t>
            </w:r>
            <w:r>
              <w:rPr>
                <w:rFonts w:hint="eastAsia" w:ascii="Times New Roman" w:hAnsi="Times New Roman" w:eastAsia="宋体" w:cs="Times New Roman"/>
                <w:color w:val="auto"/>
                <w:u w:val="none"/>
                <w:lang w:val="en-US" w:eastAsia="zh-CN"/>
              </w:rPr>
              <w:t>计，年工作日</w:t>
            </w:r>
            <w:r>
              <w:rPr>
                <w:rFonts w:hint="eastAsia" w:eastAsia="宋体" w:cs="Times New Roman"/>
                <w:color w:val="auto"/>
                <w:u w:val="none"/>
                <w:lang w:val="en-US" w:eastAsia="zh-CN"/>
              </w:rPr>
              <w:t>330</w:t>
            </w:r>
            <w:r>
              <w:rPr>
                <w:rFonts w:hint="eastAsia" w:ascii="Times New Roman" w:hAnsi="Times New Roman" w:eastAsia="宋体" w:cs="Times New Roman"/>
                <w:color w:val="auto"/>
                <w:u w:val="none"/>
                <w:lang w:val="en-US" w:eastAsia="zh-CN"/>
              </w:rPr>
              <w:t>天，日工作时间约</w:t>
            </w:r>
            <w:r>
              <w:rPr>
                <w:rFonts w:hint="eastAsia" w:cs="Times New Roman"/>
                <w:color w:val="auto"/>
                <w:u w:val="none"/>
                <w:lang w:val="en-US" w:eastAsia="zh-CN"/>
              </w:rPr>
              <w:t>4</w:t>
            </w:r>
            <w:r>
              <w:rPr>
                <w:rFonts w:hint="default" w:ascii="Times New Roman" w:hAnsi="Times New Roman" w:eastAsia="宋体" w:cs="Times New Roman"/>
                <w:color w:val="auto"/>
                <w:u w:val="none"/>
                <w:lang w:val="en-US" w:eastAsia="zh-CN"/>
              </w:rPr>
              <w:t>h</w:t>
            </w:r>
            <w:r>
              <w:rPr>
                <w:rFonts w:hint="eastAsia" w:ascii="Times New Roman" w:hAnsi="Times New Roman" w:eastAsia="宋体" w:cs="Times New Roman"/>
                <w:color w:val="auto"/>
                <w:u w:val="none"/>
                <w:lang w:val="en-US" w:eastAsia="zh-CN"/>
              </w:rPr>
              <w:t>，</w:t>
            </w:r>
            <w:r>
              <w:rPr>
                <w:rFonts w:hint="eastAsia"/>
                <w:color w:val="auto"/>
                <w:sz w:val="24"/>
                <w:szCs w:val="24"/>
                <w:u w:val="none"/>
                <w:lang w:val="en-US" w:eastAsia="zh-CN"/>
              </w:rPr>
              <w:t>据统计，目前居民人均食用油用量约30g/人·d，一般油烟挥发量占总耗油量的2%~4%。本项目取最大值4%，则油烟产生量为0.012kg/d、0.012t/a。</w:t>
            </w:r>
            <w:r>
              <w:rPr>
                <w:rFonts w:hint="eastAsia" w:ascii="Times New Roman" w:hAnsi="Times New Roman" w:eastAsia="宋体" w:cs="Times New Roman"/>
                <w:color w:val="auto"/>
                <w:u w:val="none"/>
                <w:lang w:val="en-US" w:eastAsia="zh-CN"/>
              </w:rPr>
              <w:t>建议</w:t>
            </w:r>
            <w:r>
              <w:rPr>
                <w:rFonts w:hint="eastAsia" w:eastAsia="宋体" w:cs="Times New Roman"/>
                <w:color w:val="auto"/>
                <w:u w:val="none"/>
                <w:lang w:val="en-US" w:eastAsia="zh-CN"/>
              </w:rPr>
              <w:t>建设单位</w:t>
            </w:r>
            <w:r>
              <w:rPr>
                <w:rFonts w:hint="eastAsia" w:ascii="Times New Roman" w:hAnsi="Times New Roman" w:eastAsia="宋体" w:cs="Times New Roman"/>
                <w:color w:val="auto"/>
                <w:u w:val="none"/>
                <w:lang w:val="en-US" w:eastAsia="zh-CN"/>
              </w:rPr>
              <w:t>安装使用油烟去除率不低于8</w:t>
            </w:r>
            <w:r>
              <w:rPr>
                <w:rFonts w:hint="eastAsia" w:cs="Times New Roman"/>
                <w:color w:val="auto"/>
                <w:u w:val="none"/>
                <w:lang w:val="en-US" w:eastAsia="zh-CN"/>
              </w:rPr>
              <w:t>0</w:t>
            </w:r>
            <w:r>
              <w:rPr>
                <w:rFonts w:hint="default" w:ascii="Times New Roman" w:hAnsi="Times New Roman" w:eastAsia="宋体" w:cs="Times New Roman"/>
                <w:color w:val="auto"/>
                <w:u w:val="none"/>
                <w:lang w:val="en-US" w:eastAsia="zh-CN"/>
              </w:rPr>
              <w:t>%</w:t>
            </w:r>
            <w:r>
              <w:rPr>
                <w:rFonts w:hint="eastAsia" w:ascii="Times New Roman" w:hAnsi="Times New Roman" w:eastAsia="宋体" w:cs="Times New Roman"/>
                <w:color w:val="auto"/>
                <w:u w:val="none"/>
                <w:lang w:val="en-US" w:eastAsia="zh-CN"/>
              </w:rPr>
              <w:t>的油烟净化器，净化后的食堂</w:t>
            </w:r>
            <w:r>
              <w:rPr>
                <w:rFonts w:hint="eastAsia" w:eastAsia="宋体" w:cs="Times New Roman"/>
                <w:color w:val="auto"/>
                <w:u w:val="none"/>
                <w:lang w:val="en-US" w:eastAsia="zh-CN"/>
              </w:rPr>
              <w:t>油烟</w:t>
            </w:r>
            <w:r>
              <w:rPr>
                <w:rFonts w:hint="eastAsia" w:ascii="Times New Roman" w:hAnsi="Times New Roman" w:eastAsia="宋体" w:cs="Times New Roman"/>
                <w:color w:val="auto"/>
                <w:u w:val="none"/>
                <w:lang w:val="en-US" w:eastAsia="zh-CN"/>
              </w:rPr>
              <w:t>经专用烟道</w:t>
            </w:r>
            <w:r>
              <w:rPr>
                <w:rFonts w:hint="eastAsia" w:cs="Times New Roman"/>
                <w:color w:val="auto"/>
                <w:u w:val="none"/>
                <w:lang w:val="en-US" w:eastAsia="zh-CN"/>
              </w:rPr>
              <w:t>引至屋顶</w:t>
            </w:r>
            <w:r>
              <w:rPr>
                <w:rFonts w:hint="eastAsia" w:ascii="Times New Roman" w:hAnsi="Times New Roman" w:eastAsia="宋体" w:cs="Times New Roman"/>
                <w:color w:val="auto"/>
                <w:u w:val="none"/>
                <w:lang w:val="en-US" w:eastAsia="zh-CN"/>
              </w:rPr>
              <w:t>达标排放，</w:t>
            </w:r>
            <w:r>
              <w:rPr>
                <w:rFonts w:hint="eastAsia"/>
                <w:color w:val="auto"/>
                <w:sz w:val="24"/>
                <w:szCs w:val="24"/>
                <w:u w:val="none"/>
                <w:lang w:val="en-US" w:eastAsia="zh-CN"/>
              </w:rPr>
              <w:t>经处理后油烟废气的排放量为0.0024t/a，排放速率为0.0018kg/h，排放浓度</w:t>
            </w:r>
            <w:r>
              <w:rPr>
                <w:rFonts w:hint="eastAsia" w:eastAsia="宋体" w:cs="Times New Roman"/>
                <w:color w:val="auto"/>
                <w:u w:val="none"/>
                <w:lang w:val="en-US" w:eastAsia="zh-CN"/>
              </w:rPr>
              <w:t>为</w:t>
            </w:r>
            <w:r>
              <w:rPr>
                <w:rFonts w:hint="eastAsia" w:cs="Times New Roman"/>
                <w:color w:val="auto"/>
                <w:u w:val="none"/>
                <w:lang w:val="en-US" w:eastAsia="zh-CN"/>
              </w:rPr>
              <w:t>0.45</w:t>
            </w:r>
            <w:r>
              <w:rPr>
                <w:rFonts w:hint="eastAsia" w:eastAsia="宋体" w:cs="Times New Roman"/>
                <w:color w:val="auto"/>
                <w:u w:val="none"/>
                <w:lang w:val="en-US" w:eastAsia="zh-CN"/>
              </w:rPr>
              <w:t>mg/m</w:t>
            </w:r>
            <w:r>
              <w:rPr>
                <w:rFonts w:hint="eastAsia"/>
                <w:color w:val="auto"/>
                <w:sz w:val="24"/>
                <w:szCs w:val="24"/>
                <w:u w:val="none"/>
                <w:vertAlign w:val="superscript"/>
                <w:lang w:val="en-US" w:eastAsia="zh-CN"/>
              </w:rPr>
              <w:t>3</w:t>
            </w:r>
            <w:r>
              <w:rPr>
                <w:rFonts w:hint="eastAsia"/>
                <w:color w:val="auto"/>
                <w:sz w:val="24"/>
                <w:szCs w:val="24"/>
                <w:u w:val="none"/>
                <w:lang w:val="en-US" w:eastAsia="zh-CN"/>
              </w:rPr>
              <w:t>，满足《饮食业油烟排放标准（试行）》（GB18483-2001）标准要求（2.0mg/m</w:t>
            </w:r>
            <w:r>
              <w:rPr>
                <w:rFonts w:hint="eastAsia"/>
                <w:color w:val="auto"/>
                <w:sz w:val="24"/>
                <w:szCs w:val="24"/>
                <w:u w:val="none"/>
                <w:vertAlign w:val="superscript"/>
                <w:lang w:val="en-US" w:eastAsia="zh-CN"/>
              </w:rPr>
              <w:t>3</w:t>
            </w:r>
            <w:r>
              <w:rPr>
                <w:rFonts w:hint="eastAsia"/>
                <w:color w:val="auto"/>
                <w:sz w:val="24"/>
                <w:szCs w:val="24"/>
                <w:u w:val="none"/>
                <w:lang w:val="en-US" w:eastAsia="zh-CN"/>
              </w:rPr>
              <w:t>）。</w:t>
            </w:r>
          </w:p>
          <w:p w14:paraId="2FA71D4B">
            <w:pPr>
              <w:bidi w:val="0"/>
              <w:rPr>
                <w:rFonts w:hint="eastAsia"/>
                <w:b/>
                <w:bCs/>
                <w:color w:val="auto"/>
                <w:sz w:val="24"/>
                <w:szCs w:val="24"/>
                <w:lang w:val="en-US" w:eastAsia="zh-CN"/>
              </w:rPr>
            </w:pPr>
            <w:r>
              <w:rPr>
                <w:rFonts w:hint="eastAsia"/>
                <w:b/>
                <w:bCs/>
                <w:color w:val="auto"/>
                <w:sz w:val="24"/>
                <w:szCs w:val="24"/>
                <w:lang w:val="en-US" w:eastAsia="zh-CN"/>
              </w:rPr>
              <w:t>2、防治措施可行性分析</w:t>
            </w:r>
          </w:p>
          <w:p w14:paraId="7F7F20C6">
            <w:pPr>
              <w:bidi w:val="0"/>
              <w:rPr>
                <w:rFonts w:hint="eastAsia"/>
                <w:b w:val="0"/>
                <w:bCs w:val="0"/>
                <w:color w:val="auto"/>
                <w:sz w:val="24"/>
                <w:szCs w:val="24"/>
                <w:lang w:val="en-US" w:eastAsia="zh-CN"/>
              </w:rPr>
            </w:pPr>
            <w:r>
              <w:rPr>
                <w:rFonts w:hint="eastAsia"/>
                <w:b w:val="0"/>
                <w:bCs w:val="0"/>
                <w:color w:val="auto"/>
                <w:sz w:val="24"/>
                <w:szCs w:val="24"/>
                <w:lang w:val="en-US" w:eastAsia="zh-CN"/>
              </w:rPr>
              <w:t>①根据《挥发性有机物无组织排放控制标准》（GB37822-2019），本项目丙烷、液化石油气及其残液均储存在埋地卧式储罐区，该罐区为地下式罐区，储罐位于罐区坑内，上面有覆土填埋，原料储罐均为卧式压力储罐，原料进行密闭储存，故本项目原料储存满足标准中VOCs物料储存无组织排放控制要求。</w:t>
            </w:r>
          </w:p>
          <w:p w14:paraId="6EA5C1E0">
            <w:pPr>
              <w:bidi w:val="0"/>
              <w:rPr>
                <w:rFonts w:hint="eastAsia"/>
                <w:b w:val="0"/>
                <w:bCs w:val="0"/>
                <w:color w:val="auto"/>
                <w:sz w:val="24"/>
                <w:szCs w:val="24"/>
                <w:lang w:val="en-US" w:eastAsia="zh-CN"/>
              </w:rPr>
            </w:pPr>
            <w:r>
              <w:rPr>
                <w:rFonts w:hint="eastAsia"/>
                <w:b w:val="0"/>
                <w:bCs w:val="0"/>
                <w:color w:val="auto"/>
                <w:sz w:val="24"/>
                <w:szCs w:val="24"/>
                <w:lang w:val="en-US" w:eastAsia="zh-CN"/>
              </w:rPr>
              <w:t>②根据《挥发性有机物无组织排放控制标准》（GB37822-2019），本项目丙烷、液化石油气及其残液均储存于密闭压力储罐内，故本项目原料储罐满足标准中挥发性有机液体储罐控制要求。</w:t>
            </w:r>
          </w:p>
          <w:p w14:paraId="5D9DBA81">
            <w:pPr>
              <w:bidi w:val="0"/>
              <w:rPr>
                <w:rFonts w:hint="eastAsia"/>
                <w:b w:val="0"/>
                <w:bCs w:val="0"/>
                <w:color w:val="auto"/>
                <w:sz w:val="24"/>
                <w:szCs w:val="24"/>
                <w:lang w:val="en-US" w:eastAsia="zh-CN"/>
              </w:rPr>
            </w:pPr>
            <w:r>
              <w:rPr>
                <w:rFonts w:hint="eastAsia"/>
                <w:b w:val="0"/>
                <w:bCs w:val="0"/>
                <w:color w:val="auto"/>
                <w:sz w:val="24"/>
                <w:szCs w:val="24"/>
                <w:lang w:val="en-US" w:eastAsia="zh-CN"/>
              </w:rPr>
              <w:t>③根据《挥发性有机物无组织排放控制标准》（GB37822-2019），本项目丙烷、液化石油气及其残液均为液态物质，原料均采用密闭槽罐车运输进厂，故本项目原料运输满足标准中VOCs物料转移和运输无组织排放控制要求。</w:t>
            </w:r>
          </w:p>
          <w:p w14:paraId="158E5E24">
            <w:pPr>
              <w:bidi w:val="0"/>
              <w:rPr>
                <w:rFonts w:hint="eastAsia"/>
                <w:b w:val="0"/>
                <w:bCs w:val="0"/>
                <w:color w:val="auto"/>
                <w:sz w:val="24"/>
                <w:szCs w:val="24"/>
                <w:lang w:val="en-US" w:eastAsia="zh-CN"/>
              </w:rPr>
            </w:pPr>
            <w:r>
              <w:rPr>
                <w:rFonts w:hint="eastAsia"/>
                <w:b w:val="0"/>
                <w:bCs w:val="0"/>
                <w:color w:val="auto"/>
                <w:sz w:val="24"/>
                <w:szCs w:val="24"/>
                <w:lang w:val="en-US" w:eastAsia="zh-CN"/>
              </w:rPr>
              <w:t>④根据《挥发性有机物无组织排放控制标准》（GB37822-2019），本项目丙烷、液化石油气及其残液在卸料、充装等过程中均采用密闭管道进行输送，充装工艺均为密闭连接充装口与钢瓶后进行物料充装；项目作业过程中产生有机废气主要为接口处残留极少量的物料挥发后进入大气环境；故本项目生产工艺满足标准中工艺过程VOCs无组织排放控制要求。</w:t>
            </w:r>
          </w:p>
          <w:p w14:paraId="60FECBB2">
            <w:pPr>
              <w:bidi w:val="0"/>
              <w:rPr>
                <w:rFonts w:hint="eastAsia"/>
                <w:b w:val="0"/>
                <w:bCs w:val="0"/>
                <w:color w:val="auto"/>
                <w:sz w:val="24"/>
                <w:szCs w:val="24"/>
                <w:lang w:val="en-US" w:eastAsia="zh-CN"/>
              </w:rPr>
            </w:pPr>
            <w:r>
              <w:rPr>
                <w:rFonts w:hint="eastAsia"/>
                <w:b w:val="0"/>
                <w:bCs w:val="0"/>
                <w:color w:val="auto"/>
                <w:sz w:val="24"/>
                <w:szCs w:val="24"/>
                <w:lang w:val="en-US" w:eastAsia="zh-CN"/>
              </w:rPr>
              <w:t>综上所述，本项目丙烷在原料运输、卸车、充装过程均采用密闭槽罐车运输，作业过程中采用密闭管道连接运输的方式；满足《挥发性有机物无组织排放控制标准》（GB37822-2019）相关要求，项目通过加强厂区内部管理，定期对储罐阀门、法兰等处进行检查、加强厂区通风等措施可有效减少丙烷、液化石油气（以非甲烷总烃计）等有机废气的挥发和无组织排放。本项目对环境影响较小，污染治理措施技术可行。</w:t>
            </w:r>
          </w:p>
          <w:p w14:paraId="4C0E099A">
            <w:pPr>
              <w:bidi w:val="0"/>
              <w:rPr>
                <w:rFonts w:hint="default" w:ascii="Times New Roman" w:hAnsi="Times New Roman" w:cs="Times New Roman"/>
                <w:b/>
                <w:bCs w:val="0"/>
                <w:color w:val="auto"/>
                <w:sz w:val="24"/>
                <w:szCs w:val="24"/>
                <w:lang w:val="en-US" w:eastAsia="zh-CN"/>
              </w:rPr>
            </w:pPr>
            <w:r>
              <w:rPr>
                <w:rFonts w:hint="eastAsia" w:cs="Times New Roman"/>
                <w:b/>
                <w:bCs w:val="0"/>
                <w:color w:val="auto"/>
                <w:sz w:val="24"/>
                <w:szCs w:val="24"/>
                <w:lang w:val="en-US" w:eastAsia="zh-CN"/>
              </w:rPr>
              <w:t>3、</w:t>
            </w:r>
            <w:r>
              <w:rPr>
                <w:rFonts w:hint="default" w:ascii="Times New Roman" w:hAnsi="Times New Roman" w:cs="Times New Roman"/>
                <w:b/>
                <w:bCs w:val="0"/>
                <w:color w:val="auto"/>
                <w:sz w:val="24"/>
                <w:szCs w:val="24"/>
                <w:lang w:val="en-US" w:eastAsia="zh-CN"/>
              </w:rPr>
              <w:t>监测计划</w:t>
            </w:r>
          </w:p>
          <w:p w14:paraId="52F15FC3">
            <w:pPr>
              <w:pStyle w:val="10"/>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jc w:val="left"/>
              <w:textAlignment w:val="auto"/>
              <w:rPr>
                <w:rFonts w:hint="eastAsia" w:ascii="Times New Roman" w:hAnsi="Times New Roman" w:cs="Times New Roman"/>
                <w:color w:val="auto"/>
                <w:kern w:val="0"/>
                <w:sz w:val="24"/>
                <w:szCs w:val="21"/>
                <w:highlight w:val="none"/>
                <w:lang w:val="en-US" w:eastAsia="zh-CN" w:bidi="ar-SA"/>
              </w:rPr>
            </w:pPr>
            <w:r>
              <w:rPr>
                <w:rFonts w:hint="default" w:ascii="Times New Roman" w:hAnsi="Times New Roman" w:eastAsia="宋体" w:cs="Times New Roman"/>
                <w:color w:val="auto"/>
                <w:sz w:val="24"/>
                <w:szCs w:val="24"/>
                <w:lang w:val="en-US" w:eastAsia="zh-CN"/>
              </w:rPr>
              <w:t>《排污单位自行监测技术指南</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总则</w:t>
            </w:r>
            <w:r>
              <w:rPr>
                <w:rFonts w:hint="default" w:ascii="Times New Roman" w:hAnsi="Times New Roman" w:eastAsia="宋体" w:cs="Times New Roman"/>
                <w:color w:val="auto"/>
                <w:sz w:val="24"/>
                <w:szCs w:val="24"/>
                <w:lang w:val="en-US" w:eastAsia="zh-CN"/>
              </w:rPr>
              <w:t xml:space="preserve">》（HJ </w:t>
            </w:r>
            <w:r>
              <w:rPr>
                <w:rFonts w:hint="eastAsia" w:ascii="Times New Roman" w:hAnsi="Times New Roman" w:eastAsia="宋体" w:cs="Times New Roman"/>
                <w:color w:val="auto"/>
                <w:sz w:val="24"/>
                <w:szCs w:val="24"/>
                <w:lang w:val="en-US" w:eastAsia="zh-CN"/>
              </w:rPr>
              <w:t>819-2017</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排污许可证申请与核发技术规范</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总则》（H</w:t>
            </w:r>
            <w:r>
              <w:rPr>
                <w:rFonts w:hint="default" w:ascii="Times New Roman" w:hAnsi="Times New Roman" w:eastAsia="宋体" w:cs="Times New Roman"/>
                <w:color w:val="auto"/>
                <w:sz w:val="24"/>
                <w:szCs w:val="24"/>
                <w:lang w:val="en-US" w:eastAsia="zh-CN"/>
              </w:rPr>
              <w:t>J</w:t>
            </w:r>
            <w:r>
              <w:rPr>
                <w:rFonts w:hint="eastAsia" w:ascii="Times New Roman" w:hAnsi="Times New Roman" w:eastAsia="宋体" w:cs="Times New Roman"/>
                <w:color w:val="auto"/>
                <w:sz w:val="24"/>
                <w:szCs w:val="24"/>
                <w:lang w:val="en-US" w:eastAsia="zh-CN"/>
              </w:rPr>
              <w:t>942-2018）</w:t>
            </w:r>
            <w:r>
              <w:rPr>
                <w:rFonts w:hint="default" w:ascii="Times New Roman" w:hAnsi="Times New Roman" w:eastAsia="宋体" w:cs="Times New Roman"/>
                <w:color w:val="auto"/>
                <w:sz w:val="24"/>
                <w:szCs w:val="24"/>
                <w:lang w:val="en-US" w:eastAsia="zh-CN"/>
              </w:rPr>
              <w:t>并结合本项目的自身特点，确定本项目</w:t>
            </w:r>
            <w:r>
              <w:rPr>
                <w:rFonts w:hint="eastAsia" w:cs="Times New Roman"/>
                <w:color w:val="auto"/>
                <w:sz w:val="24"/>
                <w:szCs w:val="24"/>
                <w:lang w:val="en-US" w:eastAsia="zh-CN"/>
              </w:rPr>
              <w:t>废气自行</w:t>
            </w:r>
            <w:r>
              <w:rPr>
                <w:rFonts w:hint="default" w:ascii="Times New Roman" w:hAnsi="Times New Roman" w:eastAsia="宋体" w:cs="Times New Roman"/>
                <w:color w:val="auto"/>
                <w:sz w:val="24"/>
                <w:szCs w:val="24"/>
                <w:lang w:val="en-US" w:eastAsia="zh-CN"/>
              </w:rPr>
              <w:t>监测计划</w:t>
            </w:r>
            <w:r>
              <w:rPr>
                <w:rFonts w:hint="eastAsia" w:ascii="Times New Roman" w:hAnsi="Times New Roman" w:eastAsia="宋体" w:cs="Times New Roman"/>
                <w:color w:val="auto"/>
                <w:sz w:val="24"/>
                <w:szCs w:val="24"/>
                <w:lang w:val="en-US" w:eastAsia="zh-CN"/>
              </w:rPr>
              <w:t>见表</w:t>
            </w:r>
            <w:r>
              <w:rPr>
                <w:rFonts w:hint="eastAsia" w:ascii="Times New Roman" w:hAnsi="Times New Roman" w:cs="Times New Roman"/>
                <w:color w:val="auto"/>
                <w:kern w:val="0"/>
                <w:sz w:val="24"/>
                <w:szCs w:val="21"/>
                <w:highlight w:val="none"/>
                <w:lang w:val="en-US" w:eastAsia="zh-CN" w:bidi="ar-SA"/>
              </w:rPr>
              <w:t>4-</w:t>
            </w:r>
            <w:r>
              <w:rPr>
                <w:rFonts w:hint="eastAsia" w:cs="Times New Roman"/>
                <w:color w:val="auto"/>
                <w:kern w:val="0"/>
                <w:sz w:val="24"/>
                <w:szCs w:val="21"/>
                <w:highlight w:val="none"/>
                <w:lang w:val="en-US" w:eastAsia="zh-CN" w:bidi="ar-SA"/>
              </w:rPr>
              <w:t>6</w:t>
            </w:r>
            <w:r>
              <w:rPr>
                <w:rFonts w:hint="eastAsia" w:ascii="Times New Roman" w:hAnsi="Times New Roman" w:cs="Times New Roman"/>
                <w:color w:val="auto"/>
                <w:kern w:val="0"/>
                <w:sz w:val="24"/>
                <w:szCs w:val="21"/>
                <w:highlight w:val="none"/>
                <w:lang w:val="en-US" w:eastAsia="zh-CN" w:bidi="ar-SA"/>
              </w:rPr>
              <w:t>。</w:t>
            </w:r>
          </w:p>
          <w:p w14:paraId="5C1B213F">
            <w:pPr>
              <w:pStyle w:val="10"/>
              <w:keepNext w:val="0"/>
              <w:keepLines w:val="0"/>
              <w:pageBreakBefore w:val="0"/>
              <w:widowControl/>
              <w:kinsoku/>
              <w:wordWrap/>
              <w:overflowPunct/>
              <w:topLinePunct w:val="0"/>
              <w:autoSpaceDE/>
              <w:autoSpaceDN/>
              <w:bidi w:val="0"/>
              <w:adjustRightInd/>
              <w:snapToGrid/>
              <w:spacing w:before="0" w:after="0" w:line="240" w:lineRule="auto"/>
              <w:ind w:right="0" w:firstLine="422" w:firstLineChars="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 xml:space="preserve">6   </w:t>
            </w:r>
            <w:r>
              <w:rPr>
                <w:rFonts w:hint="default" w:ascii="Times New Roman" w:hAnsi="Times New Roman" w:eastAsia="宋体" w:cs="Times New Roman"/>
                <w:b/>
                <w:bCs/>
                <w:color w:val="auto"/>
                <w:sz w:val="21"/>
                <w:szCs w:val="21"/>
                <w:lang w:val="en-US" w:eastAsia="zh-CN"/>
              </w:rPr>
              <w:t>废气</w:t>
            </w:r>
            <w:r>
              <w:rPr>
                <w:rFonts w:hint="eastAsia" w:cs="Times New Roman"/>
                <w:b/>
                <w:bCs/>
                <w:color w:val="auto"/>
                <w:sz w:val="21"/>
                <w:szCs w:val="21"/>
                <w:lang w:val="en-US" w:eastAsia="zh-CN"/>
              </w:rPr>
              <w:t>自行</w:t>
            </w:r>
            <w:r>
              <w:rPr>
                <w:rFonts w:hint="default" w:ascii="Times New Roman" w:hAnsi="Times New Roman" w:eastAsia="宋体" w:cs="Times New Roman"/>
                <w:b/>
                <w:bCs/>
                <w:color w:val="auto"/>
                <w:sz w:val="21"/>
                <w:szCs w:val="21"/>
                <w:lang w:val="en-US" w:eastAsia="zh-CN"/>
              </w:rPr>
              <w:t>监测计划</w:t>
            </w:r>
            <w:r>
              <w:rPr>
                <w:rFonts w:hint="eastAsia" w:ascii="Times New Roman" w:hAnsi="Times New Roman" w:eastAsia="宋体" w:cs="Times New Roman"/>
                <w:b/>
                <w:bCs/>
                <w:color w:val="auto"/>
                <w:sz w:val="21"/>
                <w:szCs w:val="21"/>
                <w:lang w:val="en-US" w:eastAsia="zh-CN"/>
              </w:rPr>
              <w:t>一览表</w:t>
            </w:r>
          </w:p>
          <w:tbl>
            <w:tblPr>
              <w:tblStyle w:val="3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46"/>
              <w:gridCol w:w="1296"/>
              <w:gridCol w:w="1073"/>
              <w:gridCol w:w="3836"/>
            </w:tblGrid>
            <w:tr w14:paraId="21DCE2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240" w:type="pct"/>
                  <w:tcBorders>
                    <w:tl2br w:val="nil"/>
                    <w:tr2bl w:val="nil"/>
                  </w:tcBorders>
                  <w:noWrap w:val="0"/>
                  <w:vAlign w:val="center"/>
                </w:tcPr>
                <w:p w14:paraId="15BA635E">
                  <w:pPr>
                    <w:pStyle w:val="7"/>
                    <w:keepNext w:val="0"/>
                    <w:keepLines w:val="0"/>
                    <w:pageBreakBefore w:val="0"/>
                    <w:widowControl w:val="0"/>
                    <w:tabs>
                      <w:tab w:val="center" w:pos="10467"/>
                      <w:tab w:val="left" w:pos="13095"/>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color w:val="auto"/>
                      <w:kern w:val="0"/>
                      <w:sz w:val="21"/>
                      <w:szCs w:val="21"/>
                      <w:u w:val="none" w:color="auto"/>
                      <w:vertAlign w:val="baseline"/>
                      <w:lang w:val="en-US" w:eastAsia="zh-CN"/>
                    </w:rPr>
                  </w:pPr>
                  <w:r>
                    <w:rPr>
                      <w:rFonts w:hint="default" w:ascii="Times New Roman" w:hAnsi="Times New Roman" w:eastAsia="宋体" w:cs="Times New Roman"/>
                      <w:b w:val="0"/>
                      <w:bCs/>
                      <w:color w:val="auto"/>
                      <w:sz w:val="21"/>
                      <w:szCs w:val="21"/>
                      <w:u w:val="none"/>
                      <w:lang w:val="en-US" w:eastAsia="zh-CN"/>
                    </w:rPr>
                    <w:t>监测点位</w:t>
                  </w:r>
                </w:p>
              </w:tc>
              <w:tc>
                <w:tcPr>
                  <w:tcW w:w="785" w:type="pct"/>
                  <w:tcBorders>
                    <w:tl2br w:val="nil"/>
                    <w:tr2bl w:val="nil"/>
                  </w:tcBorders>
                  <w:noWrap w:val="0"/>
                  <w:vAlign w:val="center"/>
                </w:tcPr>
                <w:p w14:paraId="38628193">
                  <w:pPr>
                    <w:pStyle w:val="7"/>
                    <w:keepNext w:val="0"/>
                    <w:keepLines w:val="0"/>
                    <w:pageBreakBefore w:val="0"/>
                    <w:widowControl w:val="0"/>
                    <w:tabs>
                      <w:tab w:val="center" w:pos="10467"/>
                      <w:tab w:val="left" w:pos="13095"/>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color w:val="auto"/>
                      <w:kern w:val="0"/>
                      <w:sz w:val="21"/>
                      <w:szCs w:val="21"/>
                      <w:u w:val="none" w:color="auto"/>
                      <w:vertAlign w:val="baseline"/>
                      <w:lang w:val="en-US" w:eastAsia="zh-CN"/>
                    </w:rPr>
                  </w:pPr>
                  <w:r>
                    <w:rPr>
                      <w:rFonts w:hint="eastAsia" w:ascii="Times New Roman" w:hAnsi="Times New Roman" w:eastAsia="宋体" w:cs="Times New Roman"/>
                      <w:b w:val="0"/>
                      <w:bCs/>
                      <w:color w:val="auto"/>
                      <w:sz w:val="21"/>
                      <w:szCs w:val="21"/>
                      <w:u w:val="none"/>
                      <w:lang w:val="en-US" w:eastAsia="zh-CN"/>
                    </w:rPr>
                    <w:t>监测因子</w:t>
                  </w:r>
                </w:p>
              </w:tc>
              <w:tc>
                <w:tcPr>
                  <w:tcW w:w="650" w:type="pct"/>
                  <w:tcBorders>
                    <w:tl2br w:val="nil"/>
                    <w:tr2bl w:val="nil"/>
                  </w:tcBorders>
                  <w:noWrap w:val="0"/>
                  <w:vAlign w:val="center"/>
                </w:tcPr>
                <w:p w14:paraId="7B8CEA11">
                  <w:pPr>
                    <w:pStyle w:val="7"/>
                    <w:keepNext w:val="0"/>
                    <w:keepLines w:val="0"/>
                    <w:pageBreakBefore w:val="0"/>
                    <w:widowControl w:val="0"/>
                    <w:tabs>
                      <w:tab w:val="center" w:pos="10467"/>
                      <w:tab w:val="left" w:pos="13095"/>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color w:val="auto"/>
                      <w:kern w:val="0"/>
                      <w:sz w:val="21"/>
                      <w:szCs w:val="21"/>
                      <w:u w:val="none" w:color="auto"/>
                      <w:vertAlign w:val="baseline"/>
                      <w:lang w:val="en-US" w:eastAsia="zh-CN"/>
                    </w:rPr>
                  </w:pPr>
                  <w:r>
                    <w:rPr>
                      <w:rFonts w:hint="default" w:ascii="Times New Roman" w:hAnsi="Times New Roman" w:eastAsia="宋体" w:cs="Times New Roman"/>
                      <w:b w:val="0"/>
                      <w:bCs/>
                      <w:color w:val="auto"/>
                      <w:kern w:val="0"/>
                      <w:sz w:val="21"/>
                      <w:szCs w:val="21"/>
                      <w:u w:val="none" w:color="auto"/>
                      <w:vertAlign w:val="baseline"/>
                      <w:lang w:val="en-US" w:eastAsia="zh-CN"/>
                    </w:rPr>
                    <w:t>监测频次</w:t>
                  </w:r>
                </w:p>
              </w:tc>
              <w:tc>
                <w:tcPr>
                  <w:tcW w:w="2324" w:type="pct"/>
                  <w:tcBorders>
                    <w:tl2br w:val="nil"/>
                    <w:tr2bl w:val="nil"/>
                  </w:tcBorders>
                  <w:noWrap w:val="0"/>
                  <w:vAlign w:val="center"/>
                </w:tcPr>
                <w:p w14:paraId="43346364">
                  <w:pPr>
                    <w:pStyle w:val="7"/>
                    <w:keepNext w:val="0"/>
                    <w:keepLines w:val="0"/>
                    <w:pageBreakBefore w:val="0"/>
                    <w:widowControl w:val="0"/>
                    <w:tabs>
                      <w:tab w:val="center" w:pos="10467"/>
                      <w:tab w:val="left" w:pos="13095"/>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color w:val="auto"/>
                      <w:kern w:val="0"/>
                      <w:sz w:val="21"/>
                      <w:szCs w:val="21"/>
                      <w:u w:val="none" w:color="auto"/>
                      <w:vertAlign w:val="baseline"/>
                      <w:lang w:val="en-US" w:eastAsia="zh-CN" w:bidi="ar-SA"/>
                    </w:rPr>
                  </w:pPr>
                  <w:r>
                    <w:rPr>
                      <w:rFonts w:hint="eastAsia" w:ascii="Times New Roman" w:hAnsi="Times New Roman" w:eastAsia="宋体" w:cs="Times New Roman"/>
                      <w:b w:val="0"/>
                      <w:bCs/>
                      <w:color w:val="auto"/>
                      <w:sz w:val="21"/>
                      <w:szCs w:val="21"/>
                      <w:u w:val="none"/>
                      <w:lang w:val="en-US" w:eastAsia="zh-CN"/>
                    </w:rPr>
                    <w:t>执行排放标准</w:t>
                  </w:r>
                </w:p>
              </w:tc>
            </w:tr>
            <w:tr w14:paraId="0ABE07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2" w:hRule="atLeast"/>
              </w:trPr>
              <w:tc>
                <w:tcPr>
                  <w:tcW w:w="1240" w:type="pct"/>
                  <w:tcBorders>
                    <w:tl2br w:val="nil"/>
                    <w:tr2bl w:val="nil"/>
                  </w:tcBorders>
                  <w:noWrap w:val="0"/>
                  <w:vAlign w:val="center"/>
                </w:tcPr>
                <w:p w14:paraId="1993576B">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u w:val="none" w:color="auto"/>
                      <w:vertAlign w:val="baseline"/>
                      <w:lang w:val="en-US" w:eastAsia="zh-CN"/>
                    </w:rPr>
                  </w:pPr>
                  <w:r>
                    <w:rPr>
                      <w:rFonts w:hint="default" w:ascii="Times New Roman" w:hAnsi="Times New Roman" w:eastAsia="宋体" w:cs="Times New Roman"/>
                      <w:b w:val="0"/>
                      <w:bCs/>
                      <w:color w:val="auto"/>
                      <w:kern w:val="0"/>
                      <w:sz w:val="21"/>
                      <w:szCs w:val="21"/>
                      <w:u w:val="none" w:color="auto"/>
                      <w:vertAlign w:val="baseline"/>
                      <w:lang w:val="en-US" w:eastAsia="zh-CN"/>
                    </w:rPr>
                    <w:t>厂界上、下风向</w:t>
                  </w:r>
                </w:p>
              </w:tc>
              <w:tc>
                <w:tcPr>
                  <w:tcW w:w="785" w:type="pct"/>
                  <w:tcBorders>
                    <w:tl2br w:val="nil"/>
                    <w:tr2bl w:val="nil"/>
                  </w:tcBorders>
                  <w:noWrap w:val="0"/>
                  <w:vAlign w:val="center"/>
                </w:tcPr>
                <w:p w14:paraId="438FE4A3">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u w:val="none" w:color="auto"/>
                      <w:vertAlign w:val="baseline"/>
                      <w:lang w:val="en-US" w:eastAsia="zh-CN"/>
                    </w:rPr>
                  </w:pPr>
                  <w:r>
                    <w:rPr>
                      <w:rFonts w:hint="default" w:ascii="Times New Roman" w:hAnsi="Times New Roman" w:eastAsia="宋体" w:cs="Times New Roman"/>
                      <w:b w:val="0"/>
                      <w:bCs/>
                      <w:color w:val="auto"/>
                      <w:kern w:val="0"/>
                      <w:sz w:val="21"/>
                      <w:szCs w:val="21"/>
                      <w:u w:val="none" w:color="auto"/>
                      <w:vertAlign w:val="baseline"/>
                      <w:lang w:val="en-US" w:eastAsia="zh-CN"/>
                    </w:rPr>
                    <w:t>非甲烷总烃</w:t>
                  </w:r>
                </w:p>
              </w:tc>
              <w:tc>
                <w:tcPr>
                  <w:tcW w:w="650" w:type="pct"/>
                  <w:tcBorders>
                    <w:tl2br w:val="nil"/>
                    <w:tr2bl w:val="nil"/>
                  </w:tcBorders>
                  <w:noWrap w:val="0"/>
                  <w:vAlign w:val="center"/>
                </w:tcPr>
                <w:p w14:paraId="5E4FD8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b w:val="0"/>
                      <w:bCs/>
                      <w:color w:val="auto"/>
                      <w:kern w:val="0"/>
                      <w:sz w:val="21"/>
                      <w:szCs w:val="21"/>
                      <w:u w:val="none" w:color="auto"/>
                      <w:vertAlign w:val="baseline"/>
                      <w:lang w:val="en-US" w:eastAsia="zh-CN"/>
                    </w:rPr>
                  </w:pPr>
                  <w:r>
                    <w:rPr>
                      <w:rFonts w:hint="eastAsia" w:ascii="Times New Roman" w:hAnsi="Times New Roman" w:eastAsia="宋体" w:cs="Times New Roman"/>
                      <w:b w:val="0"/>
                      <w:bCs/>
                      <w:color w:val="auto"/>
                      <w:kern w:val="0"/>
                      <w:sz w:val="21"/>
                      <w:szCs w:val="21"/>
                      <w:u w:val="none" w:color="auto"/>
                      <w:vertAlign w:val="baseline"/>
                      <w:lang w:val="en-US" w:eastAsia="zh-CN"/>
                    </w:rPr>
                    <w:t>1次/半年</w:t>
                  </w:r>
                </w:p>
              </w:tc>
              <w:tc>
                <w:tcPr>
                  <w:tcW w:w="2324" w:type="pct"/>
                  <w:tcBorders>
                    <w:tl2br w:val="nil"/>
                    <w:tr2bl w:val="nil"/>
                  </w:tcBorders>
                  <w:noWrap w:val="0"/>
                  <w:vAlign w:val="center"/>
                </w:tcPr>
                <w:p w14:paraId="71ADBC44">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000000"/>
                      <w:sz w:val="21"/>
                      <w:szCs w:val="21"/>
                      <w:u w:val="none"/>
                      <w:lang w:val="en-US"/>
                    </w:rPr>
                  </w:pPr>
                  <w:r>
                    <w:rPr>
                      <w:rFonts w:hint="eastAsia" w:ascii="Times New Roman" w:hAnsi="Times New Roman" w:eastAsia="宋体" w:cs="Times New Roman"/>
                      <w:b w:val="0"/>
                      <w:bCs/>
                      <w:color w:val="auto"/>
                      <w:kern w:val="0"/>
                      <w:sz w:val="21"/>
                      <w:szCs w:val="21"/>
                      <w:u w:val="none" w:color="auto"/>
                      <w:vertAlign w:val="baseline"/>
                      <w:lang w:val="en-US" w:eastAsia="zh-CN"/>
                    </w:rPr>
                    <w:t>《大气污染物综合排放标准》（GB16297-1996）表2无组织排放标准</w:t>
                  </w:r>
                </w:p>
              </w:tc>
            </w:tr>
            <w:tr w14:paraId="41A079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240" w:type="pct"/>
                  <w:tcBorders>
                    <w:tl2br w:val="nil"/>
                    <w:tr2bl w:val="nil"/>
                  </w:tcBorders>
                  <w:noWrap w:val="0"/>
                  <w:vAlign w:val="center"/>
                </w:tcPr>
                <w:p w14:paraId="6CA8E702">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21"/>
                      <w:szCs w:val="21"/>
                      <w:u w:val="none" w:color="auto"/>
                      <w:vertAlign w:val="baseline"/>
                      <w:lang w:val="en-US" w:eastAsia="zh-CN"/>
                    </w:rPr>
                  </w:pPr>
                  <w:r>
                    <w:rPr>
                      <w:rFonts w:hint="eastAsia" w:ascii="Times New Roman" w:hAnsi="Times New Roman" w:eastAsia="宋体" w:cs="Times New Roman"/>
                      <w:b w:val="0"/>
                      <w:bCs/>
                      <w:color w:val="auto"/>
                      <w:kern w:val="0"/>
                      <w:sz w:val="21"/>
                      <w:szCs w:val="21"/>
                      <w:u w:val="none" w:color="auto"/>
                      <w:vertAlign w:val="baseline"/>
                      <w:lang w:val="en-US" w:eastAsia="zh-CN"/>
                    </w:rPr>
                    <w:t>厂</w:t>
                  </w:r>
                  <w:r>
                    <w:rPr>
                      <w:rFonts w:hint="eastAsia" w:ascii="Times New Roman" w:cs="Times New Roman"/>
                      <w:b w:val="0"/>
                      <w:bCs/>
                      <w:color w:val="auto"/>
                      <w:kern w:val="0"/>
                      <w:sz w:val="21"/>
                      <w:szCs w:val="21"/>
                      <w:u w:val="none" w:color="auto"/>
                      <w:vertAlign w:val="baseline"/>
                      <w:lang w:val="en-US" w:eastAsia="zh-CN"/>
                    </w:rPr>
                    <w:t>区</w:t>
                  </w:r>
                  <w:r>
                    <w:rPr>
                      <w:rFonts w:hint="eastAsia" w:ascii="Times New Roman" w:hAnsi="Times New Roman" w:eastAsia="宋体" w:cs="Times New Roman"/>
                      <w:b w:val="0"/>
                      <w:bCs/>
                      <w:color w:val="auto"/>
                      <w:kern w:val="0"/>
                      <w:sz w:val="21"/>
                      <w:szCs w:val="21"/>
                      <w:u w:val="none" w:color="auto"/>
                      <w:vertAlign w:val="baseline"/>
                      <w:lang w:val="en-US" w:eastAsia="zh-CN"/>
                    </w:rPr>
                    <w:t>内</w:t>
                  </w:r>
                  <w:r>
                    <w:rPr>
                      <w:rFonts w:hint="eastAsia" w:ascii="Times New Roman" w:cs="Times New Roman"/>
                      <w:b w:val="0"/>
                      <w:bCs/>
                      <w:color w:val="auto"/>
                      <w:kern w:val="0"/>
                      <w:sz w:val="21"/>
                      <w:szCs w:val="21"/>
                      <w:u w:val="none" w:color="auto"/>
                      <w:vertAlign w:val="baseline"/>
                      <w:lang w:val="en-US" w:eastAsia="zh-CN"/>
                    </w:rPr>
                    <w:t>（</w:t>
                  </w:r>
                  <w:r>
                    <w:rPr>
                      <w:rFonts w:hint="eastAsia" w:ascii="Times New Roman" w:hAnsi="Times New Roman" w:eastAsia="宋体" w:cs="Times New Roman"/>
                      <w:b w:val="0"/>
                      <w:bCs/>
                      <w:color w:val="auto"/>
                      <w:kern w:val="0"/>
                      <w:sz w:val="21"/>
                      <w:szCs w:val="21"/>
                      <w:u w:val="none" w:color="auto"/>
                      <w:vertAlign w:val="baseline"/>
                      <w:lang w:val="en-US" w:eastAsia="zh-CN"/>
                    </w:rPr>
                    <w:t>在厂房门窗或通风口、其他开口等排放口外 1m</w:t>
                  </w:r>
                  <w:r>
                    <w:rPr>
                      <w:rFonts w:hint="eastAsia" w:ascii="Times New Roman" w:cs="Times New Roman"/>
                      <w:b w:val="0"/>
                      <w:bCs/>
                      <w:color w:val="auto"/>
                      <w:kern w:val="0"/>
                      <w:sz w:val="21"/>
                      <w:szCs w:val="21"/>
                      <w:u w:val="none" w:color="auto"/>
                      <w:vertAlign w:val="baseline"/>
                      <w:lang w:val="en-US" w:eastAsia="zh-CN"/>
                    </w:rPr>
                    <w:t>）</w:t>
                  </w:r>
                </w:p>
              </w:tc>
              <w:tc>
                <w:tcPr>
                  <w:tcW w:w="785" w:type="pct"/>
                  <w:tcBorders>
                    <w:tl2br w:val="nil"/>
                    <w:tr2bl w:val="nil"/>
                  </w:tcBorders>
                  <w:noWrap w:val="0"/>
                  <w:vAlign w:val="center"/>
                </w:tcPr>
                <w:p w14:paraId="1A1C36B9">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21"/>
                      <w:szCs w:val="21"/>
                      <w:u w:val="none" w:color="auto"/>
                      <w:vertAlign w:val="baseline"/>
                      <w:lang w:val="en-US" w:eastAsia="zh-CN"/>
                    </w:rPr>
                  </w:pPr>
                  <w:r>
                    <w:rPr>
                      <w:rFonts w:hint="eastAsia" w:ascii="Times New Roman" w:hAnsi="Times New Roman" w:eastAsia="宋体" w:cs="Times New Roman"/>
                      <w:b w:val="0"/>
                      <w:bCs/>
                      <w:color w:val="auto"/>
                      <w:kern w:val="0"/>
                      <w:sz w:val="21"/>
                      <w:szCs w:val="21"/>
                      <w:u w:val="none" w:color="auto"/>
                      <w:vertAlign w:val="baseline"/>
                      <w:lang w:val="en-US" w:eastAsia="zh-CN"/>
                    </w:rPr>
                    <w:t>非甲烷总烃</w:t>
                  </w:r>
                </w:p>
              </w:tc>
              <w:tc>
                <w:tcPr>
                  <w:tcW w:w="650" w:type="pct"/>
                  <w:tcBorders>
                    <w:tl2br w:val="nil"/>
                    <w:tr2bl w:val="nil"/>
                  </w:tcBorders>
                  <w:noWrap w:val="0"/>
                  <w:vAlign w:val="center"/>
                </w:tcPr>
                <w:p w14:paraId="7CEDAE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b w:val="0"/>
                      <w:bCs/>
                      <w:color w:val="000000"/>
                      <w:sz w:val="21"/>
                      <w:szCs w:val="21"/>
                      <w:u w:val="none"/>
                      <w:lang w:val="en-US" w:eastAsia="zh-CN"/>
                    </w:rPr>
                  </w:pPr>
                  <w:r>
                    <w:rPr>
                      <w:rFonts w:hint="eastAsia" w:ascii="Times New Roman" w:hAnsi="Times New Roman" w:eastAsia="宋体" w:cs="Times New Roman"/>
                      <w:b w:val="0"/>
                      <w:bCs/>
                      <w:color w:val="auto"/>
                      <w:kern w:val="0"/>
                      <w:sz w:val="21"/>
                      <w:szCs w:val="21"/>
                      <w:u w:val="none" w:color="auto"/>
                      <w:vertAlign w:val="baseline"/>
                      <w:lang w:val="en-US" w:eastAsia="zh-CN"/>
                    </w:rPr>
                    <w:t>1次/半年</w:t>
                  </w:r>
                </w:p>
              </w:tc>
              <w:tc>
                <w:tcPr>
                  <w:tcW w:w="2324" w:type="pct"/>
                  <w:tcBorders>
                    <w:tl2br w:val="nil"/>
                    <w:tr2bl w:val="nil"/>
                  </w:tcBorders>
                  <w:noWrap w:val="0"/>
                  <w:vAlign w:val="center"/>
                </w:tcPr>
                <w:p w14:paraId="2C4B3120">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0"/>
                      <w:sz w:val="21"/>
                      <w:szCs w:val="21"/>
                      <w:u w:val="none" w:color="auto"/>
                      <w:vertAlign w:val="baseline"/>
                      <w:lang w:val="en-US" w:eastAsia="zh-CN"/>
                    </w:rPr>
                  </w:pPr>
                  <w:r>
                    <w:rPr>
                      <w:rFonts w:hint="eastAsia" w:ascii="Times New Roman" w:hAnsi="Times New Roman" w:eastAsia="宋体" w:cs="Times New Roman"/>
                      <w:b w:val="0"/>
                      <w:bCs/>
                      <w:color w:val="auto"/>
                      <w:kern w:val="0"/>
                      <w:sz w:val="21"/>
                      <w:szCs w:val="21"/>
                      <w:u w:val="none" w:color="auto"/>
                      <w:vertAlign w:val="baseline"/>
                      <w:lang w:val="en-US" w:eastAsia="zh-CN"/>
                    </w:rPr>
                    <w:t>《挥发性有机物无组织排放控制标准》（GB 37822-2019）表A.1厂区内VOCs无组织</w:t>
                  </w:r>
                  <w:r>
                    <w:rPr>
                      <w:rFonts w:hint="eastAsia" w:ascii="Times New Roman" w:cs="Times New Roman"/>
                      <w:b w:val="0"/>
                      <w:bCs/>
                      <w:color w:val="auto"/>
                      <w:kern w:val="0"/>
                      <w:sz w:val="21"/>
                      <w:szCs w:val="21"/>
                      <w:u w:val="none" w:color="auto"/>
                      <w:vertAlign w:val="baseline"/>
                      <w:lang w:val="en-US" w:eastAsia="zh-CN"/>
                    </w:rPr>
                    <w:t>特别</w:t>
                  </w:r>
                  <w:r>
                    <w:rPr>
                      <w:rFonts w:hint="eastAsia" w:ascii="Times New Roman" w:hAnsi="Times New Roman" w:eastAsia="宋体" w:cs="Times New Roman"/>
                      <w:b w:val="0"/>
                      <w:bCs/>
                      <w:color w:val="auto"/>
                      <w:kern w:val="0"/>
                      <w:sz w:val="21"/>
                      <w:szCs w:val="21"/>
                      <w:u w:val="none" w:color="auto"/>
                      <w:vertAlign w:val="baseline"/>
                      <w:lang w:val="en-US" w:eastAsia="zh-CN"/>
                    </w:rPr>
                    <w:t>排放限值</w:t>
                  </w:r>
                </w:p>
              </w:tc>
            </w:tr>
          </w:tbl>
          <w:p w14:paraId="425BBB8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二</w:t>
            </w:r>
            <w:r>
              <w:rPr>
                <w:rFonts w:hint="default" w:ascii="Times New Roman" w:hAnsi="Times New Roman" w:eastAsia="宋体" w:cs="Times New Roman"/>
                <w:b/>
                <w:bCs/>
                <w:color w:val="auto"/>
                <w:sz w:val="24"/>
                <w:szCs w:val="24"/>
                <w:highlight w:val="none"/>
                <w:lang w:val="en-US" w:eastAsia="zh-CN"/>
              </w:rPr>
              <w:t>、废水</w:t>
            </w:r>
          </w:p>
          <w:p w14:paraId="6CDDA6E2">
            <w:pPr>
              <w:bidi w:val="0"/>
              <w:rPr>
                <w:b/>
                <w:bCs/>
                <w:color w:val="auto"/>
                <w:highlight w:val="none"/>
              </w:rPr>
            </w:pPr>
            <w:r>
              <w:rPr>
                <w:rFonts w:hint="eastAsia"/>
                <w:b/>
                <w:bCs/>
                <w:color w:val="auto"/>
                <w:highlight w:val="none"/>
                <w:lang w:val="en-US" w:eastAsia="zh-CN"/>
              </w:rPr>
              <w:t>1、</w:t>
            </w:r>
            <w:r>
              <w:rPr>
                <w:b/>
                <w:bCs/>
                <w:color w:val="auto"/>
                <w:highlight w:val="none"/>
              </w:rPr>
              <w:t>废水污染物排放源</w:t>
            </w:r>
          </w:p>
          <w:p w14:paraId="1DD2A293">
            <w:pPr>
              <w:bidi w:val="0"/>
              <w:rPr>
                <w:rFonts w:hint="eastAsia"/>
                <w:b/>
                <w:bCs/>
                <w:color w:val="auto"/>
                <w:sz w:val="24"/>
                <w:szCs w:val="24"/>
                <w:lang w:val="en-US" w:eastAsia="zh-CN"/>
              </w:rPr>
            </w:pPr>
            <w:r>
              <w:rPr>
                <w:rFonts w:hint="eastAsia"/>
                <w:b/>
                <w:bCs/>
                <w:color w:val="auto"/>
                <w:sz w:val="24"/>
                <w:szCs w:val="24"/>
                <w:lang w:val="en-US" w:eastAsia="zh-CN"/>
              </w:rPr>
              <w:t>（一）液体空分：</w:t>
            </w:r>
          </w:p>
          <w:p w14:paraId="40B3D834">
            <w:pPr>
              <w:pStyle w:val="92"/>
              <w:spacing w:line="360" w:lineRule="auto"/>
              <w:rPr>
                <w:rFonts w:hint="eastAsia"/>
                <w:color w:val="auto"/>
                <w:sz w:val="24"/>
                <w:szCs w:val="24"/>
                <w:lang w:val="en-US" w:eastAsia="zh-CN"/>
              </w:rPr>
            </w:pPr>
            <w:r>
              <w:rPr>
                <w:rFonts w:hint="eastAsia"/>
                <w:color w:val="auto"/>
                <w:sz w:val="24"/>
                <w:lang w:val="en-US" w:eastAsia="zh-CN"/>
              </w:rPr>
              <w:t>根据项目水平衡分析，本项目设备冷却循环水量为2250m³/h，采用间接冷却，循环水利用冷却塔进行降温处理。</w:t>
            </w:r>
            <w:r>
              <w:rPr>
                <w:rFonts w:hint="eastAsia"/>
                <w:color w:val="auto"/>
                <w:sz w:val="24"/>
                <w:szCs w:val="24"/>
                <w:lang w:val="en-US"/>
              </w:rPr>
              <w:t>冷却水在循环使用过程中，由于不断蒸发，使水中含盐浓度和污垢逐渐增多，</w:t>
            </w:r>
            <w:r>
              <w:rPr>
                <w:rFonts w:hint="eastAsia"/>
                <w:color w:val="auto"/>
                <w:sz w:val="24"/>
                <w:szCs w:val="24"/>
                <w:lang w:val="en-US" w:eastAsia="zh-CN"/>
              </w:rPr>
              <w:t>为了保证水质的清洁卫生，延长设备和水管的使用寿命，提高循环水池的使用效率，需定期往循环水池中加入除菌剂和阻垢剂。</w:t>
            </w:r>
          </w:p>
          <w:p w14:paraId="2CEB839F">
            <w:pPr>
              <w:bidi w:val="0"/>
              <w:rPr>
                <w:rFonts w:hint="default"/>
                <w:color w:val="auto"/>
                <w:sz w:val="24"/>
                <w:szCs w:val="24"/>
                <w:lang w:val="en-US" w:eastAsia="zh-CN"/>
              </w:rPr>
            </w:pPr>
            <w:r>
              <w:rPr>
                <w:rFonts w:hint="eastAsia"/>
                <w:color w:val="auto"/>
                <w:sz w:val="24"/>
                <w:szCs w:val="24"/>
                <w:lang w:val="en-US" w:eastAsia="zh-CN"/>
              </w:rPr>
              <w:t>循环水利用冷却塔进行处理，同时定期对</w:t>
            </w:r>
            <w:r>
              <w:rPr>
                <w:rFonts w:hint="eastAsia"/>
                <w:color w:val="auto"/>
                <w:sz w:val="24"/>
                <w:szCs w:val="24"/>
                <w:lang w:val="en-US"/>
              </w:rPr>
              <w:t>循环水系统中</w:t>
            </w:r>
            <w:r>
              <w:rPr>
                <w:rFonts w:hint="eastAsia"/>
                <w:color w:val="auto"/>
                <w:sz w:val="24"/>
                <w:szCs w:val="24"/>
                <w:lang w:val="en-US" w:eastAsia="zh-CN"/>
              </w:rPr>
              <w:t>水质进行检测，水质中的电导率、总硬度、总碱度、pH、氯化物、铁离子、浊度、总磷、细菌数监测值不满足企业控制范围时，</w:t>
            </w:r>
            <w:r>
              <w:rPr>
                <w:rFonts w:hint="eastAsia"/>
                <w:color w:val="auto"/>
                <w:sz w:val="24"/>
                <w:szCs w:val="24"/>
                <w:lang w:val="en-US"/>
              </w:rPr>
              <w:t>需排放部分循环水，补充新鲜水。</w:t>
            </w:r>
            <w:r>
              <w:rPr>
                <w:rFonts w:hint="eastAsia"/>
                <w:color w:val="auto"/>
                <w:sz w:val="24"/>
                <w:szCs w:val="24"/>
                <w:lang w:val="en-US" w:eastAsia="zh-CN"/>
              </w:rPr>
              <w:t>根据项目水平衡分析，</w:t>
            </w:r>
            <w:r>
              <w:rPr>
                <w:rFonts w:hint="eastAsia"/>
                <w:color w:val="auto"/>
                <w:sz w:val="24"/>
                <w:lang w:val="en-US" w:eastAsia="zh-CN"/>
              </w:rPr>
              <w:t>补充新水量为23.4m³/h，排水量为0.9m</w:t>
            </w:r>
            <w:r>
              <w:rPr>
                <w:rFonts w:hint="eastAsia"/>
                <w:color w:val="auto"/>
                <w:sz w:val="24"/>
                <w:vertAlign w:val="superscript"/>
                <w:lang w:val="en-US" w:eastAsia="zh-CN"/>
              </w:rPr>
              <w:t>3</w:t>
            </w:r>
            <w:r>
              <w:rPr>
                <w:rFonts w:hint="eastAsia"/>
                <w:color w:val="auto"/>
                <w:sz w:val="24"/>
                <w:lang w:val="en-US" w:eastAsia="zh-CN"/>
              </w:rPr>
              <w:t>/h。主要污染因子为悬浮物、COD、BOD</w:t>
            </w:r>
            <w:r>
              <w:rPr>
                <w:rFonts w:hint="eastAsia"/>
                <w:color w:val="auto"/>
                <w:sz w:val="24"/>
                <w:vertAlign w:val="subscript"/>
                <w:lang w:val="en-US" w:eastAsia="zh-CN"/>
              </w:rPr>
              <w:t>5</w:t>
            </w:r>
            <w:r>
              <w:rPr>
                <w:rFonts w:hint="eastAsia"/>
                <w:color w:val="auto"/>
                <w:sz w:val="24"/>
                <w:lang w:val="en-US" w:eastAsia="zh-CN"/>
              </w:rPr>
              <w:t>、pH、氯化物、总铁、总磷、氨氮、总氮，冷却</w:t>
            </w:r>
            <w:r>
              <w:rPr>
                <w:rFonts w:hint="eastAsia"/>
                <w:color w:val="auto"/>
                <w:sz w:val="24"/>
                <w:szCs w:val="24"/>
                <w:lang w:val="en-US" w:eastAsia="zh-CN"/>
              </w:rPr>
              <w:t>循环水排水经园区污水管线进入长青工业园污水处理厂（宝鸡天龙污水处理有限公司）处理。</w:t>
            </w:r>
          </w:p>
          <w:p w14:paraId="335B909D">
            <w:pPr>
              <w:bidi w:val="0"/>
              <w:rPr>
                <w:rFonts w:hint="eastAsia"/>
                <w:color w:val="auto"/>
                <w:sz w:val="24"/>
                <w:szCs w:val="24"/>
                <w:lang w:val="en-US" w:eastAsia="zh-CN"/>
              </w:rPr>
            </w:pPr>
            <w:r>
              <w:rPr>
                <w:rFonts w:hint="eastAsia"/>
                <w:color w:val="auto"/>
                <w:sz w:val="24"/>
                <w:szCs w:val="24"/>
                <w:lang w:val="en-US" w:eastAsia="zh-CN"/>
              </w:rPr>
              <w:t>类比同类项目（玉得气体有限责任公司）设备冷却循环水排水监测数据，本项目废水排放情况详见表4-7。</w:t>
            </w:r>
          </w:p>
          <w:p w14:paraId="0D4F8DEB">
            <w:pPr>
              <w:keepNext w:val="0"/>
              <w:keepLines w:val="0"/>
              <w:pageBreakBefore w:val="0"/>
              <w:widowControl w:val="0"/>
              <w:kinsoku/>
              <w:wordWrap/>
              <w:overflowPunct/>
              <w:topLinePunct w:val="0"/>
              <w:autoSpaceDE/>
              <w:autoSpaceDN/>
              <w:bidi w:val="0"/>
              <w:adjustRightInd w:val="0"/>
              <w:snapToGrid/>
              <w:spacing w:line="240" w:lineRule="auto"/>
              <w:ind w:left="0" w:firstLine="422" w:firstLineChars="200"/>
              <w:contextualSpacing/>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表4-</w:t>
            </w:r>
            <w:r>
              <w:rPr>
                <w:rFonts w:hint="eastAsia" w:cs="Times New Roman"/>
                <w:b/>
                <w:bCs/>
                <w:color w:val="000000"/>
                <w:sz w:val="21"/>
                <w:szCs w:val="21"/>
                <w:vertAlign w:val="baseline"/>
                <w:lang w:val="en-US" w:eastAsia="zh-CN"/>
              </w:rPr>
              <w:t>7</w:t>
            </w:r>
            <w:r>
              <w:rPr>
                <w:rFonts w:hint="default" w:ascii="Times New Roman" w:hAnsi="Times New Roman" w:eastAsia="宋体" w:cs="Times New Roman"/>
                <w:b/>
                <w:bCs/>
                <w:color w:val="000000"/>
                <w:sz w:val="21"/>
                <w:szCs w:val="21"/>
                <w:vertAlign w:val="baseline"/>
                <w:lang w:val="en-US" w:eastAsia="zh-CN"/>
              </w:rPr>
              <w:t xml:space="preserve"> </w:t>
            </w:r>
            <w:r>
              <w:rPr>
                <w:rFonts w:hint="eastAsia" w:ascii="Times New Roman" w:hAnsi="Times New Roman" w:eastAsia="宋体" w:cs="Times New Roman"/>
                <w:b/>
                <w:bCs/>
                <w:color w:val="000000"/>
                <w:sz w:val="21"/>
                <w:szCs w:val="21"/>
                <w:vertAlign w:val="baseline"/>
                <w:lang w:val="en-US" w:eastAsia="zh-CN"/>
              </w:rPr>
              <w:t xml:space="preserve">  </w:t>
            </w:r>
            <w:r>
              <w:rPr>
                <w:rFonts w:hint="default" w:ascii="Times New Roman" w:hAnsi="Times New Roman" w:eastAsia="宋体" w:cs="Times New Roman"/>
                <w:b/>
                <w:bCs/>
                <w:color w:val="000000"/>
                <w:sz w:val="21"/>
                <w:szCs w:val="21"/>
                <w:vertAlign w:val="baseline"/>
                <w:lang w:val="en-US" w:eastAsia="zh-CN"/>
              </w:rPr>
              <w:t>同类型项目废气环境保护验收情况</w:t>
            </w:r>
          </w:p>
          <w:tbl>
            <w:tblPr>
              <w:tblStyle w:val="31"/>
              <w:tblW w:w="507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3327"/>
              <w:gridCol w:w="3200"/>
              <w:gridCol w:w="1076"/>
            </w:tblGrid>
            <w:tr w14:paraId="73083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8" w:type="pct"/>
                  <w:tcBorders>
                    <w:tl2br w:val="nil"/>
                    <w:tr2bl w:val="nil"/>
                  </w:tcBorders>
                  <w:noWrap w:val="0"/>
                  <w:vAlign w:val="center"/>
                </w:tcPr>
                <w:p w14:paraId="460A39C2">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eastAsia"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项目</w:t>
                  </w:r>
                </w:p>
                <w:p w14:paraId="269CB401">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名称</w:t>
                  </w:r>
                </w:p>
              </w:tc>
              <w:tc>
                <w:tcPr>
                  <w:tcW w:w="1987" w:type="pct"/>
                  <w:tcBorders>
                    <w:tl2br w:val="nil"/>
                    <w:tr2bl w:val="nil"/>
                  </w:tcBorders>
                  <w:noWrap w:val="0"/>
                  <w:vAlign w:val="center"/>
                </w:tcPr>
                <w:p w14:paraId="5A210D7A">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玉得气体有限责任公司</w:t>
                  </w:r>
                </w:p>
                <w:p w14:paraId="33DD6925">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2×21000m</w:t>
                  </w:r>
                  <w:r>
                    <w:rPr>
                      <w:rFonts w:hint="eastAsia" w:ascii="Times New Roman" w:hAnsi="Times New Roman" w:eastAsia="宋体" w:cs="Times New Roman"/>
                      <w:b w:val="0"/>
                      <w:bCs w:val="0"/>
                      <w:color w:val="000000"/>
                      <w:sz w:val="21"/>
                      <w:szCs w:val="21"/>
                      <w:vertAlign w:val="superscript"/>
                      <w:lang w:val="en-US" w:eastAsia="zh-CN"/>
                    </w:rPr>
                    <w:t>3</w:t>
                  </w:r>
                  <w:r>
                    <w:rPr>
                      <w:rFonts w:hint="default" w:ascii="Times New Roman" w:hAnsi="Times New Roman" w:eastAsia="宋体" w:cs="Times New Roman"/>
                      <w:b w:val="0"/>
                      <w:bCs w:val="0"/>
                      <w:color w:val="000000"/>
                      <w:sz w:val="21"/>
                      <w:szCs w:val="21"/>
                      <w:vertAlign w:val="baseline"/>
                      <w:lang w:val="en-US" w:eastAsia="zh-CN"/>
                    </w:rPr>
                    <w:t>/h</w:t>
                  </w:r>
                  <w:r>
                    <w:rPr>
                      <w:rFonts w:hint="eastAsia" w:ascii="Times New Roman" w:hAnsi="Times New Roman" w:eastAsia="宋体" w:cs="Times New Roman"/>
                      <w:b w:val="0"/>
                      <w:bCs w:val="0"/>
                      <w:color w:val="000000"/>
                      <w:sz w:val="21"/>
                      <w:szCs w:val="21"/>
                      <w:vertAlign w:val="baseline"/>
                      <w:lang w:val="en-US" w:eastAsia="zh-CN"/>
                    </w:rPr>
                    <w:t>（</w:t>
                  </w:r>
                  <w:r>
                    <w:rPr>
                      <w:rFonts w:hint="default" w:ascii="Times New Roman" w:hAnsi="Times New Roman" w:eastAsia="宋体" w:cs="Times New Roman"/>
                      <w:b w:val="0"/>
                      <w:bCs w:val="0"/>
                      <w:color w:val="000000"/>
                      <w:sz w:val="21"/>
                      <w:szCs w:val="21"/>
                      <w:vertAlign w:val="baseline"/>
                      <w:lang w:val="en-US" w:eastAsia="zh-CN"/>
                    </w:rPr>
                    <w:t>氧</w:t>
                  </w:r>
                  <w:r>
                    <w:rPr>
                      <w:rFonts w:hint="eastAsia" w:ascii="Times New Roman" w:hAnsi="Times New Roman" w:eastAsia="宋体" w:cs="Times New Roman"/>
                      <w:b w:val="0"/>
                      <w:bCs w:val="0"/>
                      <w:color w:val="000000"/>
                      <w:sz w:val="21"/>
                      <w:szCs w:val="21"/>
                      <w:vertAlign w:val="baseline"/>
                      <w:lang w:val="en-US" w:eastAsia="zh-CN"/>
                    </w:rPr>
                    <w:t>）</w:t>
                  </w:r>
                  <w:r>
                    <w:rPr>
                      <w:rFonts w:hint="default" w:ascii="Times New Roman" w:hAnsi="Times New Roman" w:eastAsia="宋体" w:cs="Times New Roman"/>
                      <w:b w:val="0"/>
                      <w:bCs w:val="0"/>
                      <w:color w:val="000000"/>
                      <w:sz w:val="21"/>
                      <w:szCs w:val="21"/>
                      <w:vertAlign w:val="baseline"/>
                      <w:lang w:val="en-US" w:eastAsia="zh-CN"/>
                    </w:rPr>
                    <w:t>成套</w:t>
                  </w:r>
                  <w:r>
                    <w:rPr>
                      <w:rFonts w:hint="eastAsia" w:ascii="Times New Roman" w:hAnsi="Times New Roman" w:eastAsia="宋体" w:cs="Times New Roman"/>
                      <w:b w:val="0"/>
                      <w:bCs w:val="0"/>
                      <w:color w:val="000000"/>
                      <w:sz w:val="21"/>
                      <w:szCs w:val="21"/>
                      <w:vertAlign w:val="baseline"/>
                      <w:lang w:val="en-US" w:eastAsia="zh-CN"/>
                    </w:rPr>
                    <w:t>全液化</w:t>
                  </w:r>
                  <w:r>
                    <w:rPr>
                      <w:rFonts w:hint="default" w:ascii="Times New Roman" w:hAnsi="Times New Roman" w:eastAsia="宋体" w:cs="Times New Roman"/>
                      <w:b w:val="0"/>
                      <w:bCs w:val="0"/>
                      <w:color w:val="000000"/>
                      <w:sz w:val="21"/>
                      <w:szCs w:val="21"/>
                      <w:vertAlign w:val="baseline"/>
                      <w:lang w:val="en-US" w:eastAsia="zh-CN"/>
                    </w:rPr>
                    <w:t>空分装置</w:t>
                  </w:r>
                  <w:r>
                    <w:rPr>
                      <w:rFonts w:hint="eastAsia" w:ascii="Times New Roman" w:hAnsi="Times New Roman" w:eastAsia="宋体" w:cs="Times New Roman"/>
                      <w:b w:val="0"/>
                      <w:bCs w:val="0"/>
                      <w:color w:val="000000"/>
                      <w:sz w:val="21"/>
                      <w:szCs w:val="21"/>
                      <w:vertAlign w:val="baseline"/>
                      <w:lang w:val="en-US" w:eastAsia="zh-CN"/>
                    </w:rPr>
                    <w:t>项目</w:t>
                  </w:r>
                </w:p>
              </w:tc>
              <w:tc>
                <w:tcPr>
                  <w:tcW w:w="1911" w:type="pct"/>
                  <w:tcBorders>
                    <w:tl2br w:val="nil"/>
                    <w:tr2bl w:val="nil"/>
                  </w:tcBorders>
                  <w:noWrap w:val="0"/>
                  <w:vAlign w:val="center"/>
                </w:tcPr>
                <w:p w14:paraId="6E3F5615">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本项目</w:t>
                  </w:r>
                </w:p>
              </w:tc>
              <w:tc>
                <w:tcPr>
                  <w:tcW w:w="642" w:type="pct"/>
                  <w:tcBorders>
                    <w:tl2br w:val="nil"/>
                    <w:tr2bl w:val="nil"/>
                  </w:tcBorders>
                  <w:noWrap w:val="0"/>
                  <w:vAlign w:val="center"/>
                </w:tcPr>
                <w:p w14:paraId="699155C0">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可类比性</w:t>
                  </w:r>
                </w:p>
              </w:tc>
            </w:tr>
            <w:tr w14:paraId="4E39F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8" w:type="pct"/>
                  <w:tcBorders>
                    <w:tl2br w:val="nil"/>
                    <w:tr2bl w:val="nil"/>
                  </w:tcBorders>
                  <w:noWrap w:val="0"/>
                  <w:vAlign w:val="center"/>
                </w:tcPr>
                <w:p w14:paraId="7446EF2D">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处理</w:t>
                  </w:r>
                </w:p>
                <w:p w14:paraId="739796CD">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规模</w:t>
                  </w:r>
                </w:p>
              </w:tc>
              <w:tc>
                <w:tcPr>
                  <w:tcW w:w="1987" w:type="pct"/>
                  <w:tcBorders>
                    <w:tl2br w:val="nil"/>
                    <w:tr2bl w:val="nil"/>
                  </w:tcBorders>
                  <w:noWrap w:val="0"/>
                  <w:vAlign w:val="center"/>
                </w:tcPr>
                <w:p w14:paraId="376FDED5">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2×21000m</w:t>
                  </w:r>
                  <w:r>
                    <w:rPr>
                      <w:rFonts w:hint="eastAsia" w:ascii="Times New Roman" w:hAnsi="Times New Roman" w:eastAsia="宋体" w:cs="Times New Roman"/>
                      <w:b w:val="0"/>
                      <w:bCs w:val="0"/>
                      <w:color w:val="000000"/>
                      <w:sz w:val="21"/>
                      <w:szCs w:val="21"/>
                      <w:vertAlign w:val="superscript"/>
                      <w:lang w:val="en-US" w:eastAsia="zh-CN"/>
                    </w:rPr>
                    <w:t>3</w:t>
                  </w:r>
                  <w:r>
                    <w:rPr>
                      <w:rFonts w:hint="default" w:ascii="Times New Roman" w:hAnsi="Times New Roman" w:eastAsia="宋体" w:cs="Times New Roman"/>
                      <w:b w:val="0"/>
                      <w:bCs w:val="0"/>
                      <w:color w:val="000000"/>
                      <w:sz w:val="21"/>
                      <w:szCs w:val="21"/>
                      <w:vertAlign w:val="baseline"/>
                      <w:lang w:val="en-US" w:eastAsia="zh-CN"/>
                    </w:rPr>
                    <w:t>/h</w:t>
                  </w:r>
                  <w:r>
                    <w:rPr>
                      <w:rFonts w:hint="eastAsia" w:ascii="Times New Roman" w:hAnsi="Times New Roman" w:eastAsia="宋体" w:cs="Times New Roman"/>
                      <w:b w:val="0"/>
                      <w:bCs w:val="0"/>
                      <w:color w:val="000000"/>
                      <w:sz w:val="21"/>
                      <w:szCs w:val="21"/>
                      <w:vertAlign w:val="baseline"/>
                      <w:lang w:val="en-US" w:eastAsia="zh-CN"/>
                    </w:rPr>
                    <w:t>（</w:t>
                  </w:r>
                  <w:r>
                    <w:rPr>
                      <w:rFonts w:hint="default" w:ascii="Times New Roman" w:hAnsi="Times New Roman" w:eastAsia="宋体" w:cs="Times New Roman"/>
                      <w:b w:val="0"/>
                      <w:bCs w:val="0"/>
                      <w:color w:val="000000"/>
                      <w:sz w:val="21"/>
                      <w:szCs w:val="21"/>
                      <w:vertAlign w:val="baseline"/>
                      <w:lang w:val="en-US" w:eastAsia="zh-CN"/>
                    </w:rPr>
                    <w:t>氧</w:t>
                  </w:r>
                  <w:r>
                    <w:rPr>
                      <w:rFonts w:hint="eastAsia" w:ascii="Times New Roman" w:hAnsi="Times New Roman" w:eastAsia="宋体" w:cs="Times New Roman"/>
                      <w:b w:val="0"/>
                      <w:bCs w:val="0"/>
                      <w:color w:val="000000"/>
                      <w:sz w:val="21"/>
                      <w:szCs w:val="21"/>
                      <w:vertAlign w:val="baseline"/>
                      <w:lang w:val="en-US" w:eastAsia="zh-CN"/>
                    </w:rPr>
                    <w:t>）</w:t>
                  </w:r>
                  <w:r>
                    <w:rPr>
                      <w:rFonts w:hint="default" w:ascii="Times New Roman" w:hAnsi="Times New Roman" w:eastAsia="宋体" w:cs="Times New Roman"/>
                      <w:b w:val="0"/>
                      <w:bCs w:val="0"/>
                      <w:color w:val="000000"/>
                      <w:sz w:val="21"/>
                      <w:szCs w:val="21"/>
                      <w:vertAlign w:val="baseline"/>
                      <w:lang w:val="en-US" w:eastAsia="zh-CN"/>
                    </w:rPr>
                    <w:t>成套</w:t>
                  </w:r>
                  <w:r>
                    <w:rPr>
                      <w:rFonts w:hint="eastAsia" w:ascii="Times New Roman" w:hAnsi="Times New Roman" w:eastAsia="宋体" w:cs="Times New Roman"/>
                      <w:b w:val="0"/>
                      <w:bCs w:val="0"/>
                      <w:color w:val="000000"/>
                      <w:sz w:val="21"/>
                      <w:szCs w:val="21"/>
                      <w:vertAlign w:val="baseline"/>
                      <w:lang w:val="en-US" w:eastAsia="zh-CN"/>
                    </w:rPr>
                    <w:t>全液化</w:t>
                  </w:r>
                  <w:r>
                    <w:rPr>
                      <w:rFonts w:hint="default" w:ascii="Times New Roman" w:hAnsi="Times New Roman" w:eastAsia="宋体" w:cs="Times New Roman"/>
                      <w:b w:val="0"/>
                      <w:bCs w:val="0"/>
                      <w:color w:val="000000"/>
                      <w:sz w:val="21"/>
                      <w:szCs w:val="21"/>
                      <w:vertAlign w:val="baseline"/>
                      <w:lang w:val="en-US" w:eastAsia="zh-CN"/>
                    </w:rPr>
                    <w:t>空分装置</w:t>
                  </w:r>
                  <w:r>
                    <w:rPr>
                      <w:rFonts w:hint="eastAsia" w:ascii="Times New Roman" w:hAnsi="Times New Roman" w:eastAsia="宋体" w:cs="Times New Roman"/>
                      <w:b w:val="0"/>
                      <w:bCs w:val="0"/>
                      <w:color w:val="000000"/>
                      <w:sz w:val="21"/>
                      <w:szCs w:val="21"/>
                      <w:vertAlign w:val="baseline"/>
                      <w:lang w:val="en-US" w:eastAsia="zh-CN"/>
                    </w:rPr>
                    <w:t>项目</w:t>
                  </w:r>
                </w:p>
              </w:tc>
              <w:tc>
                <w:tcPr>
                  <w:tcW w:w="1911" w:type="pct"/>
                  <w:tcBorders>
                    <w:tl2br w:val="nil"/>
                    <w:tr2bl w:val="nil"/>
                  </w:tcBorders>
                  <w:noWrap w:val="0"/>
                  <w:vAlign w:val="center"/>
                </w:tcPr>
                <w:p w14:paraId="421CEB71">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547D/d全液化</w:t>
                  </w:r>
                  <w:r>
                    <w:rPr>
                      <w:rFonts w:hint="default" w:ascii="Times New Roman" w:hAnsi="Times New Roman" w:eastAsia="宋体" w:cs="Times New Roman"/>
                      <w:b w:val="0"/>
                      <w:bCs w:val="0"/>
                      <w:color w:val="000000"/>
                      <w:sz w:val="21"/>
                      <w:szCs w:val="21"/>
                      <w:vertAlign w:val="baseline"/>
                      <w:lang w:val="en-US" w:eastAsia="zh-CN"/>
                    </w:rPr>
                    <w:t>空分装置</w:t>
                  </w:r>
                  <w:r>
                    <w:rPr>
                      <w:rFonts w:hint="eastAsia" w:ascii="Times New Roman" w:hAnsi="Times New Roman" w:eastAsia="宋体" w:cs="Times New Roman"/>
                      <w:b w:val="0"/>
                      <w:bCs w:val="0"/>
                      <w:color w:val="000000"/>
                      <w:sz w:val="21"/>
                      <w:szCs w:val="21"/>
                      <w:vertAlign w:val="baseline"/>
                      <w:lang w:val="en-US" w:eastAsia="zh-CN"/>
                    </w:rPr>
                    <w:t>项目</w:t>
                  </w:r>
                </w:p>
              </w:tc>
              <w:tc>
                <w:tcPr>
                  <w:tcW w:w="642" w:type="pct"/>
                  <w:tcBorders>
                    <w:tl2br w:val="nil"/>
                    <w:tr2bl w:val="nil"/>
                  </w:tcBorders>
                  <w:noWrap w:val="0"/>
                  <w:vAlign w:val="center"/>
                </w:tcPr>
                <w:p w14:paraId="15972843">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color w:val="000000"/>
                      <w:sz w:val="21"/>
                    </w:rPr>
                    <w:t>本项目总规模</w:t>
                  </w:r>
                  <w:r>
                    <w:rPr>
                      <w:rFonts w:hint="eastAsia" w:ascii="Times New Roman" w:hAnsi="Times New Roman" w:eastAsia="宋体" w:cs="Times New Roman"/>
                      <w:b w:val="0"/>
                      <w:bCs/>
                      <w:color w:val="000000"/>
                      <w:sz w:val="21"/>
                      <w:lang w:val="en-US" w:eastAsia="zh-CN"/>
                    </w:rPr>
                    <w:t>为类比项目的1/4</w:t>
                  </w:r>
                </w:p>
              </w:tc>
            </w:tr>
            <w:tr w14:paraId="4ED98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8" w:type="pct"/>
                  <w:tcBorders>
                    <w:tl2br w:val="nil"/>
                    <w:tr2bl w:val="nil"/>
                  </w:tcBorders>
                  <w:noWrap w:val="0"/>
                  <w:vAlign w:val="center"/>
                </w:tcPr>
                <w:p w14:paraId="511899F3">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工艺流程</w:t>
                  </w:r>
                </w:p>
              </w:tc>
              <w:tc>
                <w:tcPr>
                  <w:tcW w:w="1987" w:type="pct"/>
                  <w:tcBorders>
                    <w:tl2br w:val="nil"/>
                    <w:tr2bl w:val="nil"/>
                  </w:tcBorders>
                  <w:noWrap w:val="0"/>
                  <w:vAlign w:val="top"/>
                </w:tcPr>
                <w:p w14:paraId="5730E8D5">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 xml:space="preserve">基于空气中各组分的沸点差异，通过低温精馏的方式进行分离。空气首先被压缩、净化，然后冷却至液化温度，形成液态空气。接着，利用液态空气中各组分的沸点不同，通过多次蒸发和冷凝过程，逐步将氧气、氮气、氩气等组分进行分离。 </w:t>
                  </w:r>
                </w:p>
                <w:p w14:paraId="3336F74E">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项目由空分成套设备和后备贮存汽化系统组成，空分装置采用分子筛吸附净化、增压透平膨胀机制冷、规整填料塔流程。整套机组包括：自洁式空气过滤器、空气压缩系统、空气预冷系统、分子筛纯化系统、增压透平膨胀机系统、分馏塔系统、液体贮槽系统、仪控系统和电控系统等。</w:t>
                  </w:r>
                </w:p>
              </w:tc>
              <w:tc>
                <w:tcPr>
                  <w:tcW w:w="1911" w:type="pct"/>
                  <w:tcBorders>
                    <w:tl2br w:val="nil"/>
                    <w:tr2bl w:val="nil"/>
                  </w:tcBorders>
                  <w:noWrap w:val="0"/>
                  <w:vAlign w:val="top"/>
                </w:tcPr>
                <w:p w14:paraId="0B16A24A">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 xml:space="preserve">基于空气中各组分的沸点差异，通过低温精馏的方式进行分离。空气首先被压缩、净化，然后冷却至液化温度，形成液态空气。接着，利用液态空气中各组分的沸点不同，通过多次蒸发和冷凝过程，逐步将氧气、氮气、氩气等组分进行分离。 </w:t>
                  </w:r>
                </w:p>
                <w:p w14:paraId="0269D4C3">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项目由空分成套设备和后备贮存汽化系统组成，空分装置采用分子筛吸附净化、增压透平膨胀机制冷、规整填料塔流程。整套机组包括：自洁式空气过滤器、空气压缩系统、空气预冷系统、分子筛纯化系统、增压透平膨胀机系统、分馏塔系统、液体贮槽系统、仪控系统和电控系统等。</w:t>
                  </w:r>
                </w:p>
              </w:tc>
              <w:tc>
                <w:tcPr>
                  <w:tcW w:w="642" w:type="pct"/>
                  <w:tcBorders>
                    <w:tl2br w:val="nil"/>
                    <w:tr2bl w:val="nil"/>
                  </w:tcBorders>
                  <w:noWrap w:val="0"/>
                  <w:vAlign w:val="center"/>
                </w:tcPr>
                <w:p w14:paraId="31634708">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基本相同</w:t>
                  </w:r>
                </w:p>
              </w:tc>
            </w:tr>
            <w:tr w14:paraId="6565C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8" w:type="pct"/>
                  <w:tcBorders>
                    <w:tl2br w:val="nil"/>
                    <w:tr2bl w:val="nil"/>
                  </w:tcBorders>
                  <w:noWrap w:val="0"/>
                  <w:vAlign w:val="center"/>
                </w:tcPr>
                <w:p w14:paraId="59837134">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废水</w:t>
                  </w:r>
                  <w:r>
                    <w:rPr>
                      <w:rFonts w:hint="default" w:ascii="Times New Roman" w:hAnsi="Times New Roman" w:eastAsia="宋体" w:cs="Times New Roman"/>
                      <w:b w:val="0"/>
                      <w:bCs w:val="0"/>
                      <w:color w:val="000000"/>
                      <w:sz w:val="21"/>
                      <w:szCs w:val="21"/>
                      <w:vertAlign w:val="baseline"/>
                      <w:lang w:val="en-US" w:eastAsia="zh-CN"/>
                    </w:rPr>
                    <w:t>收集及</w:t>
                  </w:r>
                  <w:r>
                    <w:rPr>
                      <w:rFonts w:hint="eastAsia" w:ascii="Times New Roman" w:hAnsi="Times New Roman" w:eastAsia="宋体" w:cs="Times New Roman"/>
                      <w:b w:val="0"/>
                      <w:bCs w:val="0"/>
                      <w:color w:val="000000"/>
                      <w:sz w:val="21"/>
                      <w:szCs w:val="21"/>
                      <w:vertAlign w:val="baseline"/>
                      <w:lang w:val="en-US" w:eastAsia="zh-CN"/>
                    </w:rPr>
                    <w:t>水</w:t>
                  </w:r>
                  <w:r>
                    <w:rPr>
                      <w:rFonts w:hint="default" w:ascii="Times New Roman" w:hAnsi="Times New Roman" w:eastAsia="宋体" w:cs="Times New Roman"/>
                      <w:b w:val="0"/>
                      <w:bCs w:val="0"/>
                      <w:color w:val="000000"/>
                      <w:sz w:val="21"/>
                      <w:szCs w:val="21"/>
                      <w:vertAlign w:val="baseline"/>
                      <w:lang w:val="en-US" w:eastAsia="zh-CN"/>
                    </w:rPr>
                    <w:t>处理方案</w:t>
                  </w:r>
                </w:p>
              </w:tc>
              <w:tc>
                <w:tcPr>
                  <w:tcW w:w="1987" w:type="pct"/>
                  <w:tcBorders>
                    <w:tl2br w:val="nil"/>
                    <w:tr2bl w:val="nil"/>
                  </w:tcBorders>
                  <w:noWrap w:val="0"/>
                  <w:vAlign w:val="top"/>
                </w:tcPr>
                <w:p w14:paraId="729E1784">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textAlignment w:val="auto"/>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为了保证水质的清洁卫生，延长设备和水管的使用寿命，提高循环水池的使用效率，需定期往循环水池中加入除菌剂和阻垢剂。</w:t>
                  </w:r>
                  <w:r>
                    <w:rPr>
                      <w:rFonts w:hint="eastAsia"/>
                      <w:color w:val="auto"/>
                      <w:sz w:val="21"/>
                      <w:szCs w:val="21"/>
                      <w:lang w:val="en-US" w:eastAsia="zh-CN"/>
                    </w:rPr>
                    <w:t>项目设备冷却循环水量为10250m³/h，采用间接冷却，循环水利用冷却塔进行降温处理。水质中电导率、总硬度、总碱度、pH、氯化物、铁离子、浊度、总磷、细菌数监测值不满足企业控制范围时，需排放部分循环水，补充新鲜水。补充新水量为1023.4m³/h，排水量为9.5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1911" w:type="pct"/>
                  <w:tcBorders>
                    <w:tl2br w:val="nil"/>
                    <w:tr2bl w:val="nil"/>
                  </w:tcBorders>
                  <w:noWrap w:val="0"/>
                  <w:vAlign w:val="top"/>
                </w:tcPr>
                <w:p w14:paraId="3BE9B915">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color w:val="auto"/>
                      <w:sz w:val="21"/>
                      <w:szCs w:val="21"/>
                      <w:lang w:val="en-US" w:eastAsia="zh-CN"/>
                    </w:rPr>
                    <w:t>为了保证水质的清洁卫生，延长设备和水管的使用寿命，提高循环水池的使用效率，需定期往循环水池中加入除菌剂和阻垢剂。本项目设备冷却循环水量为2250m³/h，采用间接冷却，循环水利用冷却塔进行降温处理。水质中电导率、总硬度、总碱度、pH、氯化物、铁离子、浊度、总磷、细菌数监测值不满足企业控制范围时，需排放部分循环水，补充新鲜水。补充新水量为23.4m³/h，排水量为0.9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642" w:type="pct"/>
                  <w:tcBorders>
                    <w:tl2br w:val="nil"/>
                    <w:tr2bl w:val="nil"/>
                  </w:tcBorders>
                  <w:noWrap w:val="0"/>
                  <w:vAlign w:val="center"/>
                </w:tcPr>
                <w:p w14:paraId="42FB63EB">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val="0"/>
                      <w:bCs w:val="0"/>
                      <w:color w:val="000000"/>
                      <w:sz w:val="21"/>
                      <w:szCs w:val="21"/>
                      <w:vertAlign w:val="baseline"/>
                      <w:lang w:val="en-US" w:eastAsia="zh-CN" w:bidi="zh-CN"/>
                    </w:rPr>
                  </w:pPr>
                  <w:r>
                    <w:rPr>
                      <w:rFonts w:hint="eastAsia" w:ascii="Times New Roman" w:hAnsi="Times New Roman" w:eastAsia="宋体" w:cs="Times New Roman"/>
                      <w:b w:val="0"/>
                      <w:bCs w:val="0"/>
                      <w:color w:val="000000"/>
                      <w:sz w:val="21"/>
                      <w:szCs w:val="21"/>
                      <w:vertAlign w:val="baseline"/>
                      <w:lang w:val="en-US" w:eastAsia="zh-CN"/>
                    </w:rPr>
                    <w:t>废水产生工序相同，循环量、补水量及排放量均远大于本项目</w:t>
                  </w:r>
                </w:p>
              </w:tc>
            </w:tr>
          </w:tbl>
          <w:p w14:paraId="1A11F7A6">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SA"/>
              </w:rPr>
              <w:t>根据表</w:t>
            </w:r>
            <w:r>
              <w:rPr>
                <w:rFonts w:hint="eastAsia" w:ascii="Times New Roman" w:hAnsi="Times New Roman" w:eastAsia="宋体" w:cs="Times New Roman"/>
                <w:color w:val="000000"/>
                <w:kern w:val="0"/>
                <w:sz w:val="24"/>
                <w:szCs w:val="24"/>
                <w:lang w:val="en-US" w:eastAsia="zh-CN" w:bidi="ar-SA"/>
              </w:rPr>
              <w:t>4-4</w:t>
            </w:r>
            <w:r>
              <w:rPr>
                <w:rFonts w:hint="default" w:ascii="Times New Roman" w:hAnsi="Times New Roman" w:eastAsia="宋体" w:cs="Times New Roman"/>
                <w:color w:val="000000"/>
                <w:kern w:val="0"/>
                <w:sz w:val="24"/>
                <w:szCs w:val="24"/>
                <w:lang w:val="en-US" w:eastAsia="zh-CN" w:bidi="ar-SA"/>
              </w:rPr>
              <w:t>，类比项目处理规模比本项目大，类比项目</w:t>
            </w:r>
            <w:r>
              <w:rPr>
                <w:rFonts w:hint="eastAsia" w:ascii="Times New Roman" w:hAnsi="Times New Roman" w:eastAsia="宋体" w:cs="Times New Roman"/>
                <w:color w:val="000000"/>
                <w:kern w:val="0"/>
                <w:sz w:val="24"/>
                <w:szCs w:val="24"/>
                <w:lang w:val="en-US" w:eastAsia="zh-CN" w:bidi="ar-SA"/>
              </w:rPr>
              <w:t>生产</w:t>
            </w:r>
            <w:r>
              <w:rPr>
                <w:rFonts w:hint="default" w:ascii="Times New Roman" w:hAnsi="Times New Roman" w:eastAsia="宋体" w:cs="Times New Roman"/>
                <w:color w:val="000000"/>
                <w:kern w:val="0"/>
                <w:sz w:val="24"/>
                <w:szCs w:val="24"/>
                <w:lang w:val="en-US" w:eastAsia="zh-CN" w:bidi="ar-SA"/>
              </w:rPr>
              <w:t>工艺、</w:t>
            </w:r>
            <w:r>
              <w:rPr>
                <w:rFonts w:hint="eastAsia" w:ascii="Times New Roman" w:hAnsi="Times New Roman" w:eastAsia="宋体" w:cs="Times New Roman"/>
                <w:color w:val="000000"/>
                <w:kern w:val="0"/>
                <w:sz w:val="24"/>
                <w:szCs w:val="24"/>
                <w:lang w:val="en-US" w:eastAsia="zh-CN" w:bidi="ar-SA"/>
              </w:rPr>
              <w:t>废水产生工艺及水处理过程与</w:t>
            </w:r>
            <w:r>
              <w:rPr>
                <w:rFonts w:hint="default" w:ascii="Times New Roman" w:hAnsi="Times New Roman" w:eastAsia="宋体" w:cs="Times New Roman"/>
                <w:color w:val="000000"/>
                <w:kern w:val="0"/>
                <w:sz w:val="24"/>
                <w:szCs w:val="24"/>
                <w:lang w:val="en-US" w:eastAsia="zh-CN" w:bidi="ar-SA"/>
              </w:rPr>
              <w:t>本项目基本相同，</w:t>
            </w:r>
            <w:r>
              <w:rPr>
                <w:rFonts w:hint="eastAsia" w:ascii="Times New Roman" w:hAnsi="Times New Roman" w:eastAsia="宋体" w:cs="Times New Roman"/>
                <w:color w:val="000000"/>
                <w:kern w:val="0"/>
                <w:sz w:val="24"/>
                <w:szCs w:val="24"/>
                <w:lang w:val="en-US" w:eastAsia="zh-CN" w:bidi="ar-SA"/>
              </w:rPr>
              <w:t>故</w:t>
            </w:r>
            <w:r>
              <w:rPr>
                <w:rFonts w:hint="default" w:ascii="Times New Roman" w:hAnsi="Times New Roman" w:eastAsia="宋体" w:cs="Times New Roman"/>
                <w:color w:val="000000"/>
                <w:kern w:val="0"/>
                <w:sz w:val="24"/>
                <w:szCs w:val="24"/>
                <w:lang w:val="en-US" w:eastAsia="zh-CN" w:bidi="ar-SA"/>
              </w:rPr>
              <w:t>该项目的可满足本项目</w:t>
            </w:r>
            <w:r>
              <w:rPr>
                <w:rFonts w:hint="eastAsia" w:ascii="Times New Roman" w:hAnsi="Times New Roman" w:eastAsia="宋体" w:cs="Times New Roman"/>
                <w:color w:val="000000"/>
                <w:kern w:val="0"/>
                <w:sz w:val="24"/>
                <w:szCs w:val="24"/>
                <w:lang w:val="en-US" w:eastAsia="zh-CN" w:bidi="ar-SA"/>
              </w:rPr>
              <w:t>生产废水</w:t>
            </w:r>
            <w:r>
              <w:rPr>
                <w:rFonts w:hint="default" w:ascii="Times New Roman" w:hAnsi="Times New Roman" w:eastAsia="宋体" w:cs="Times New Roman"/>
                <w:color w:val="000000"/>
                <w:kern w:val="0"/>
                <w:sz w:val="24"/>
                <w:szCs w:val="24"/>
                <w:lang w:val="en-US" w:eastAsia="zh-CN" w:bidi="ar-SA"/>
              </w:rPr>
              <w:t>源强类比，本项目类比《</w:t>
            </w:r>
            <w:r>
              <w:rPr>
                <w:rFonts w:hint="default" w:ascii="Times New Roman" w:hAnsi="Times New Roman" w:eastAsia="宋体" w:cs="Times New Roman"/>
                <w:b w:val="0"/>
                <w:bCs w:val="0"/>
                <w:color w:val="000000"/>
                <w:sz w:val="24"/>
                <w:szCs w:val="24"/>
                <w:vertAlign w:val="baseline"/>
                <w:lang w:val="en-US" w:eastAsia="zh-CN"/>
              </w:rPr>
              <w:t>玉得气体有限责任公司2×21000m</w:t>
            </w:r>
            <w:r>
              <w:rPr>
                <w:rFonts w:hint="eastAsia" w:ascii="Times New Roman" w:hAnsi="Times New Roman" w:eastAsia="宋体" w:cs="Times New Roman"/>
                <w:b w:val="0"/>
                <w:bCs w:val="0"/>
                <w:color w:val="000000"/>
                <w:sz w:val="24"/>
                <w:szCs w:val="24"/>
                <w:vertAlign w:val="superscript"/>
                <w:lang w:val="en-US" w:eastAsia="zh-CN"/>
              </w:rPr>
              <w:t>3</w:t>
            </w:r>
            <w:r>
              <w:rPr>
                <w:rFonts w:hint="default" w:ascii="Times New Roman" w:hAnsi="Times New Roman" w:eastAsia="宋体" w:cs="Times New Roman"/>
                <w:b w:val="0"/>
                <w:bCs w:val="0"/>
                <w:color w:val="000000"/>
                <w:sz w:val="24"/>
                <w:szCs w:val="24"/>
                <w:vertAlign w:val="baseline"/>
                <w:lang w:val="en-US" w:eastAsia="zh-CN"/>
              </w:rPr>
              <w:t>/h</w:t>
            </w:r>
            <w:r>
              <w:rPr>
                <w:rFonts w:hint="eastAsia" w:ascii="Times New Roman" w:hAnsi="Times New Roman" w:eastAsia="宋体" w:cs="Times New Roman"/>
                <w:b w:val="0"/>
                <w:bCs w:val="0"/>
                <w:color w:val="000000"/>
                <w:sz w:val="24"/>
                <w:szCs w:val="24"/>
                <w:vertAlign w:val="baseline"/>
                <w:lang w:val="en-US" w:eastAsia="zh-CN"/>
              </w:rPr>
              <w:t>（</w:t>
            </w:r>
            <w:r>
              <w:rPr>
                <w:rFonts w:hint="default" w:ascii="Times New Roman" w:hAnsi="Times New Roman" w:eastAsia="宋体" w:cs="Times New Roman"/>
                <w:b w:val="0"/>
                <w:bCs w:val="0"/>
                <w:color w:val="000000"/>
                <w:sz w:val="24"/>
                <w:szCs w:val="24"/>
                <w:vertAlign w:val="baseline"/>
                <w:lang w:val="en-US" w:eastAsia="zh-CN"/>
              </w:rPr>
              <w:t>氧</w:t>
            </w:r>
            <w:r>
              <w:rPr>
                <w:rFonts w:hint="eastAsia" w:ascii="Times New Roman" w:hAnsi="Times New Roman" w:eastAsia="宋体" w:cs="Times New Roman"/>
                <w:b w:val="0"/>
                <w:bCs w:val="0"/>
                <w:color w:val="000000"/>
                <w:sz w:val="24"/>
                <w:szCs w:val="24"/>
                <w:vertAlign w:val="baseline"/>
                <w:lang w:val="en-US" w:eastAsia="zh-CN"/>
              </w:rPr>
              <w:t>）</w:t>
            </w:r>
            <w:r>
              <w:rPr>
                <w:rFonts w:hint="default" w:ascii="Times New Roman" w:hAnsi="Times New Roman" w:eastAsia="宋体" w:cs="Times New Roman"/>
                <w:b w:val="0"/>
                <w:bCs w:val="0"/>
                <w:color w:val="000000"/>
                <w:sz w:val="24"/>
                <w:szCs w:val="24"/>
                <w:vertAlign w:val="baseline"/>
                <w:lang w:val="en-US" w:eastAsia="zh-CN"/>
              </w:rPr>
              <w:t>成套</w:t>
            </w:r>
            <w:r>
              <w:rPr>
                <w:rFonts w:hint="eastAsia" w:ascii="Times New Roman" w:hAnsi="Times New Roman" w:eastAsia="宋体" w:cs="Times New Roman"/>
                <w:b w:val="0"/>
                <w:bCs w:val="0"/>
                <w:color w:val="000000"/>
                <w:sz w:val="24"/>
                <w:szCs w:val="24"/>
                <w:vertAlign w:val="baseline"/>
                <w:lang w:val="en-US" w:eastAsia="zh-CN"/>
              </w:rPr>
              <w:t>全液化</w:t>
            </w:r>
            <w:r>
              <w:rPr>
                <w:rFonts w:hint="default" w:ascii="Times New Roman" w:hAnsi="Times New Roman" w:eastAsia="宋体" w:cs="Times New Roman"/>
                <w:b w:val="0"/>
                <w:bCs w:val="0"/>
                <w:color w:val="000000"/>
                <w:sz w:val="24"/>
                <w:szCs w:val="24"/>
                <w:vertAlign w:val="baseline"/>
                <w:lang w:val="en-US" w:eastAsia="zh-CN"/>
              </w:rPr>
              <w:t>空分装置</w:t>
            </w:r>
            <w:r>
              <w:rPr>
                <w:rFonts w:hint="eastAsia" w:ascii="Times New Roman" w:hAnsi="Times New Roman" w:eastAsia="宋体" w:cs="Times New Roman"/>
                <w:b w:val="0"/>
                <w:bCs w:val="0"/>
                <w:color w:val="000000"/>
                <w:sz w:val="24"/>
                <w:szCs w:val="24"/>
                <w:vertAlign w:val="baseline"/>
                <w:lang w:val="en-US" w:eastAsia="zh-CN"/>
              </w:rPr>
              <w:t>项目</w:t>
            </w:r>
            <w:r>
              <w:rPr>
                <w:rFonts w:hint="default" w:ascii="Times New Roman" w:hAnsi="Times New Roman" w:eastAsia="宋体" w:cs="Times New Roman"/>
                <w:color w:val="000000"/>
                <w:kern w:val="0"/>
                <w:sz w:val="24"/>
                <w:szCs w:val="24"/>
                <w:lang w:val="en-US" w:eastAsia="zh-CN" w:bidi="ar-SA"/>
              </w:rPr>
              <w:t>》废气</w:t>
            </w:r>
            <w:r>
              <w:rPr>
                <w:rFonts w:hint="eastAsia" w:ascii="Times New Roman" w:hAnsi="Times New Roman" w:eastAsia="宋体" w:cs="Times New Roman"/>
                <w:color w:val="000000"/>
                <w:kern w:val="0"/>
                <w:sz w:val="24"/>
                <w:szCs w:val="24"/>
                <w:lang w:val="en-US" w:eastAsia="zh-CN" w:bidi="ar-SA"/>
              </w:rPr>
              <w:t>污染源源强</w:t>
            </w:r>
            <w:r>
              <w:rPr>
                <w:rFonts w:hint="default" w:ascii="Times New Roman" w:hAnsi="Times New Roman" w:eastAsia="宋体" w:cs="Times New Roman"/>
                <w:color w:val="000000"/>
                <w:kern w:val="0"/>
                <w:sz w:val="24"/>
                <w:szCs w:val="24"/>
                <w:lang w:val="en-US" w:eastAsia="zh-CN" w:bidi="ar-SA"/>
              </w:rPr>
              <w:t>，具有类比分析的基础。</w:t>
            </w:r>
          </w:p>
          <w:p w14:paraId="53EAC296">
            <w:pPr>
              <w:bidi w:val="0"/>
              <w:rPr>
                <w:rFonts w:hint="default"/>
                <w:color w:val="auto"/>
                <w:highlight w:val="none"/>
                <w:lang w:val="zh-TW" w:eastAsia="zh-TW"/>
              </w:rPr>
            </w:pPr>
            <w:r>
              <w:rPr>
                <w:rFonts w:hint="eastAsia" w:cs="Times New Roman"/>
                <w:color w:val="auto"/>
                <w:sz w:val="24"/>
                <w:lang w:val="en-US" w:eastAsia="zh-CN"/>
              </w:rPr>
              <w:t>项目</w:t>
            </w:r>
            <w:r>
              <w:rPr>
                <w:rFonts w:hint="eastAsia"/>
                <w:color w:val="auto"/>
                <w:highlight w:val="none"/>
                <w:lang w:val="en-US" w:eastAsia="zh-CN"/>
              </w:rPr>
              <w:t>废水产生及排放情况详见下表4-8</w:t>
            </w:r>
            <w:r>
              <w:rPr>
                <w:rFonts w:hint="default"/>
                <w:color w:val="auto"/>
                <w:highlight w:val="none"/>
                <w:lang w:eastAsia="zh-CN"/>
              </w:rPr>
              <w:t>。</w:t>
            </w:r>
          </w:p>
          <w:p w14:paraId="5A1B901F">
            <w:pPr>
              <w:pStyle w:val="85"/>
              <w:rPr>
                <w:rFonts w:hint="default" w:ascii="Times New Roman" w:hAnsi="Times New Roman" w:cs="Times New Roman"/>
                <w:color w:val="auto"/>
                <w:sz w:val="21"/>
                <w:szCs w:val="21"/>
                <w:highlight w:val="none"/>
                <w:lang w:val="zh-TW"/>
              </w:rPr>
            </w:pPr>
            <w:r>
              <w:rPr>
                <w:rFonts w:hint="eastAsia" w:ascii="Times New Roman" w:hAnsi="Times New Roman" w:cs="Times New Roman"/>
                <w:color w:val="auto"/>
                <w:sz w:val="21"/>
                <w:szCs w:val="21"/>
                <w:highlight w:val="none"/>
                <w:lang w:val="en-US" w:eastAsia="zh-CN"/>
              </w:rPr>
              <w:t>表4-</w:t>
            </w:r>
            <w:r>
              <w:rPr>
                <w:rFonts w:hint="eastAsia" w:cs="Times New Roman"/>
                <w:color w:val="auto"/>
                <w:sz w:val="21"/>
                <w:szCs w:val="21"/>
                <w:highlight w:val="none"/>
                <w:lang w:val="en-US" w:eastAsia="zh-CN"/>
              </w:rPr>
              <w:t>8</w:t>
            </w:r>
            <w:r>
              <w:rPr>
                <w:rFonts w:hint="eastAsia" w:ascii="Times New Roman" w:hAnsi="Times New Roman" w:cs="Times New Roman"/>
                <w:color w:val="auto"/>
                <w:sz w:val="21"/>
                <w:szCs w:val="21"/>
                <w:highlight w:val="none"/>
                <w:lang w:val="en-US" w:eastAsia="zh-CN"/>
              </w:rPr>
              <w:t xml:space="preserve">   废水</w:t>
            </w:r>
            <w:r>
              <w:rPr>
                <w:rFonts w:hint="default" w:ascii="Times New Roman" w:hAnsi="Times New Roman" w:cs="Times New Roman"/>
                <w:color w:val="auto"/>
                <w:sz w:val="21"/>
                <w:szCs w:val="21"/>
                <w:highlight w:val="none"/>
                <w:lang w:val="zh-TW"/>
              </w:rPr>
              <w:t>排放信息一览表</w:t>
            </w:r>
          </w:p>
          <w:tbl>
            <w:tblPr>
              <w:tblStyle w:val="30"/>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23"/>
              <w:gridCol w:w="1188"/>
              <w:gridCol w:w="1144"/>
              <w:gridCol w:w="788"/>
              <w:gridCol w:w="623"/>
              <w:gridCol w:w="1116"/>
              <w:gridCol w:w="2130"/>
            </w:tblGrid>
            <w:tr w14:paraId="1401C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8" w:type="pct"/>
                  <w:tcBorders>
                    <w:tl2br w:val="nil"/>
                    <w:tr2bl w:val="nil"/>
                  </w:tcBorders>
                  <w:noWrap w:val="0"/>
                  <w:vAlign w:val="center"/>
                </w:tcPr>
                <w:p w14:paraId="704C4511">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排放源</w:t>
                  </w:r>
                </w:p>
              </w:tc>
              <w:tc>
                <w:tcPr>
                  <w:tcW w:w="569" w:type="pct"/>
                  <w:tcBorders>
                    <w:tl2br w:val="nil"/>
                    <w:tr2bl w:val="nil"/>
                  </w:tcBorders>
                  <w:noWrap w:val="0"/>
                  <w:vAlign w:val="center"/>
                </w:tcPr>
                <w:p w14:paraId="357E082F">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水污染因子</w:t>
                  </w:r>
                </w:p>
              </w:tc>
              <w:tc>
                <w:tcPr>
                  <w:tcW w:w="774" w:type="pct"/>
                  <w:tcBorders>
                    <w:tl2br w:val="nil"/>
                    <w:tr2bl w:val="nil"/>
                  </w:tcBorders>
                  <w:noWrap w:val="0"/>
                  <w:vAlign w:val="center"/>
                </w:tcPr>
                <w:p w14:paraId="692D665B">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产生浓度及产生量</w:t>
                  </w:r>
                </w:p>
              </w:tc>
              <w:tc>
                <w:tcPr>
                  <w:tcW w:w="716" w:type="pct"/>
                  <w:tcBorders>
                    <w:tl2br w:val="nil"/>
                    <w:tr2bl w:val="nil"/>
                  </w:tcBorders>
                  <w:noWrap w:val="0"/>
                  <w:vAlign w:val="center"/>
                </w:tcPr>
                <w:p w14:paraId="272CD577">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排放浓度及排放量</w:t>
                  </w:r>
                </w:p>
              </w:tc>
              <w:tc>
                <w:tcPr>
                  <w:tcW w:w="558" w:type="pct"/>
                  <w:tcBorders>
                    <w:tl2br w:val="nil"/>
                    <w:tr2bl w:val="nil"/>
                  </w:tcBorders>
                  <w:noWrap w:val="0"/>
                  <w:vAlign w:val="center"/>
                </w:tcPr>
                <w:p w14:paraId="2D401A46">
                  <w:pPr>
                    <w:pStyle w:val="86"/>
                    <w:keepNext w:val="0"/>
                    <w:keepLines w:val="0"/>
                    <w:pageBreakBefore w:val="0"/>
                    <w:widowControl w:val="0"/>
                    <w:kinsoku/>
                    <w:wordWrap/>
                    <w:overflowPunct/>
                    <w:topLinePunct w:val="0"/>
                    <w:autoSpaceDE/>
                    <w:autoSpaceDN/>
                    <w:bidi w:val="0"/>
                    <w:adjustRightInd/>
                    <w:snapToGrid/>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排放</w:t>
                  </w:r>
                </w:p>
                <w:p w14:paraId="76626562">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去向</w:t>
                  </w:r>
                </w:p>
              </w:tc>
              <w:tc>
                <w:tcPr>
                  <w:tcW w:w="429" w:type="pct"/>
                  <w:tcBorders>
                    <w:tl2br w:val="nil"/>
                    <w:tr2bl w:val="nil"/>
                  </w:tcBorders>
                  <w:noWrap w:val="0"/>
                  <w:vAlign w:val="center"/>
                </w:tcPr>
                <w:p w14:paraId="1A764038">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排放规律</w:t>
                  </w:r>
                </w:p>
              </w:tc>
              <w:tc>
                <w:tcPr>
                  <w:tcW w:w="639" w:type="pct"/>
                  <w:tcBorders>
                    <w:tl2br w:val="nil"/>
                    <w:tr2bl w:val="nil"/>
                  </w:tcBorders>
                  <w:noWrap w:val="0"/>
                  <w:vAlign w:val="center"/>
                </w:tcPr>
                <w:p w14:paraId="71CD5C8C">
                  <w:pPr>
                    <w:pStyle w:val="86"/>
                    <w:keepNext w:val="0"/>
                    <w:keepLines w:val="0"/>
                    <w:pageBreakBefore w:val="0"/>
                    <w:widowControl w:val="0"/>
                    <w:kinsoku/>
                    <w:wordWrap/>
                    <w:overflowPunct/>
                    <w:topLinePunct w:val="0"/>
                    <w:autoSpaceDE/>
                    <w:autoSpaceDN/>
                    <w:bidi w:val="0"/>
                    <w:adjustRightInd/>
                    <w:snapToGrid/>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排放</w:t>
                  </w:r>
                </w:p>
                <w:p w14:paraId="2833F0FF">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限值（mg/L）</w:t>
                  </w:r>
                </w:p>
              </w:tc>
              <w:tc>
                <w:tcPr>
                  <w:tcW w:w="1022" w:type="pct"/>
                  <w:tcBorders>
                    <w:tl2br w:val="nil"/>
                    <w:tr2bl w:val="nil"/>
                  </w:tcBorders>
                  <w:noWrap w:val="0"/>
                  <w:vAlign w:val="center"/>
                </w:tcPr>
                <w:p w14:paraId="6AECFB83">
                  <w:pPr>
                    <w:pStyle w:val="86"/>
                    <w:keepNext w:val="0"/>
                    <w:keepLines w:val="0"/>
                    <w:pageBreakBefore w:val="0"/>
                    <w:widowControl w:val="0"/>
                    <w:kinsoku/>
                    <w:wordWrap/>
                    <w:overflowPunct/>
                    <w:topLinePunct w:val="0"/>
                    <w:autoSpaceDE/>
                    <w:autoSpaceDN/>
                    <w:bidi w:val="0"/>
                    <w:adjustRightInd/>
                    <w:snapToGrid/>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排放标准</w:t>
                  </w:r>
                </w:p>
              </w:tc>
            </w:tr>
            <w:tr w14:paraId="19FBF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8" w:type="pct"/>
                  <w:vMerge w:val="restart"/>
                  <w:tcBorders>
                    <w:tl2br w:val="nil"/>
                    <w:tr2bl w:val="nil"/>
                  </w:tcBorders>
                  <w:noWrap w:val="0"/>
                  <w:vAlign w:val="center"/>
                </w:tcPr>
                <w:p w14:paraId="4202C273">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设备冷却循环水量</w:t>
                  </w:r>
                </w:p>
              </w:tc>
              <w:tc>
                <w:tcPr>
                  <w:tcW w:w="569" w:type="pct"/>
                  <w:tcBorders>
                    <w:tl2br w:val="nil"/>
                    <w:tr2bl w:val="nil"/>
                  </w:tcBorders>
                  <w:noWrap w:val="0"/>
                  <w:vAlign w:val="center"/>
                </w:tcPr>
                <w:p w14:paraId="154E2B1B">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悬浮物</w:t>
                  </w:r>
                </w:p>
              </w:tc>
              <w:tc>
                <w:tcPr>
                  <w:tcW w:w="774" w:type="pct"/>
                  <w:tcBorders>
                    <w:tl2br w:val="nil"/>
                    <w:tr2bl w:val="nil"/>
                  </w:tcBorders>
                  <w:noWrap w:val="0"/>
                  <w:vAlign w:val="center"/>
                </w:tcPr>
                <w:p w14:paraId="2E7B1EE4">
                  <w:pPr>
                    <w:pStyle w:val="86"/>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7mg/L</w:t>
                  </w:r>
                </w:p>
                <w:p w14:paraId="3EBA8AFB">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0.05t/a</w:t>
                  </w:r>
                </w:p>
              </w:tc>
              <w:tc>
                <w:tcPr>
                  <w:tcW w:w="716" w:type="pct"/>
                  <w:tcBorders>
                    <w:tl2br w:val="nil"/>
                    <w:tr2bl w:val="nil"/>
                  </w:tcBorders>
                  <w:shd w:val="clear" w:color="auto" w:fill="auto"/>
                  <w:noWrap w:val="0"/>
                  <w:vAlign w:val="center"/>
                </w:tcPr>
                <w:p w14:paraId="74D59D36">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7mg/L</w:t>
                  </w:r>
                </w:p>
                <w:p w14:paraId="26681090">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color w:val="auto"/>
                      <w:sz w:val="21"/>
                      <w:szCs w:val="21"/>
                      <w:highlight w:val="none"/>
                      <w:lang w:val="en-US" w:eastAsia="zh-CN"/>
                    </w:rPr>
                    <w:t>0.05t/a</w:t>
                  </w:r>
                </w:p>
              </w:tc>
              <w:tc>
                <w:tcPr>
                  <w:tcW w:w="558" w:type="pct"/>
                  <w:vMerge w:val="restart"/>
                  <w:tcBorders>
                    <w:tl2br w:val="nil"/>
                    <w:tr2bl w:val="nil"/>
                  </w:tcBorders>
                  <w:noWrap w:val="0"/>
                  <w:vAlign w:val="center"/>
                </w:tcPr>
                <w:p w14:paraId="5E00185B">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冷却循环水排水经园区污水管线进入长青工业园污水处理厂（宝鸡天龙污水处理有限公司）处理</w:t>
                  </w:r>
                </w:p>
              </w:tc>
              <w:tc>
                <w:tcPr>
                  <w:tcW w:w="429" w:type="pct"/>
                  <w:vMerge w:val="restart"/>
                  <w:tcBorders>
                    <w:tl2br w:val="nil"/>
                    <w:tr2bl w:val="nil"/>
                  </w:tcBorders>
                  <w:noWrap w:val="0"/>
                  <w:vAlign w:val="center"/>
                </w:tcPr>
                <w:p w14:paraId="11879551">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间歇</w:t>
                  </w:r>
                </w:p>
              </w:tc>
              <w:tc>
                <w:tcPr>
                  <w:tcW w:w="639" w:type="pct"/>
                  <w:tcBorders>
                    <w:tl2br w:val="nil"/>
                    <w:tr2bl w:val="nil"/>
                  </w:tcBorders>
                  <w:noWrap w:val="0"/>
                  <w:vAlign w:val="center"/>
                </w:tcPr>
                <w:p w14:paraId="308E0096">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022" w:type="pct"/>
                  <w:vMerge w:val="restart"/>
                  <w:tcBorders>
                    <w:tl2br w:val="nil"/>
                    <w:tr2bl w:val="nil"/>
                  </w:tcBorders>
                  <w:noWrap w:val="0"/>
                  <w:vAlign w:val="center"/>
                </w:tcPr>
                <w:p w14:paraId="537B8779">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《污水综合排放标准》（GB8978-1996）表4三级标准</w:t>
                  </w:r>
                </w:p>
              </w:tc>
            </w:tr>
            <w:tr w14:paraId="4291D1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8" w:type="pct"/>
                  <w:vMerge w:val="continue"/>
                  <w:tcBorders>
                    <w:tl2br w:val="nil"/>
                    <w:tr2bl w:val="nil"/>
                  </w:tcBorders>
                  <w:noWrap w:val="0"/>
                  <w:vAlign w:val="center"/>
                </w:tcPr>
                <w:p w14:paraId="77774DFD">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310B641F">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pH</w:t>
                  </w:r>
                </w:p>
              </w:tc>
              <w:tc>
                <w:tcPr>
                  <w:tcW w:w="774" w:type="pct"/>
                  <w:tcBorders>
                    <w:tl2br w:val="nil"/>
                    <w:tr2bl w:val="nil"/>
                  </w:tcBorders>
                  <w:noWrap w:val="0"/>
                  <w:vAlign w:val="center"/>
                </w:tcPr>
                <w:p w14:paraId="26683F62">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8.3</w:t>
                  </w:r>
                </w:p>
              </w:tc>
              <w:tc>
                <w:tcPr>
                  <w:tcW w:w="716" w:type="pct"/>
                  <w:tcBorders>
                    <w:tl2br w:val="nil"/>
                    <w:tr2bl w:val="nil"/>
                  </w:tcBorders>
                  <w:shd w:val="clear" w:color="auto" w:fill="auto"/>
                  <w:noWrap w:val="0"/>
                  <w:vAlign w:val="center"/>
                </w:tcPr>
                <w:p w14:paraId="6380A00F">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color w:val="auto"/>
                      <w:sz w:val="21"/>
                      <w:szCs w:val="21"/>
                      <w:highlight w:val="none"/>
                      <w:lang w:val="en-US" w:eastAsia="zh-CN"/>
                    </w:rPr>
                    <w:t>8.3</w:t>
                  </w:r>
                </w:p>
              </w:tc>
              <w:tc>
                <w:tcPr>
                  <w:tcW w:w="558" w:type="pct"/>
                  <w:vMerge w:val="continue"/>
                  <w:tcBorders>
                    <w:tl2br w:val="nil"/>
                    <w:tr2bl w:val="nil"/>
                  </w:tcBorders>
                  <w:noWrap w:val="0"/>
                  <w:vAlign w:val="center"/>
                </w:tcPr>
                <w:p w14:paraId="58060E94">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p>
              </w:tc>
              <w:tc>
                <w:tcPr>
                  <w:tcW w:w="429" w:type="pct"/>
                  <w:vMerge w:val="continue"/>
                  <w:tcBorders>
                    <w:tl2br w:val="nil"/>
                    <w:tr2bl w:val="nil"/>
                  </w:tcBorders>
                  <w:noWrap w:val="0"/>
                  <w:vAlign w:val="center"/>
                </w:tcPr>
                <w:p w14:paraId="4ACA7BC8">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p>
              </w:tc>
              <w:tc>
                <w:tcPr>
                  <w:tcW w:w="639" w:type="pct"/>
                  <w:tcBorders>
                    <w:tl2br w:val="nil"/>
                    <w:tr2bl w:val="nil"/>
                  </w:tcBorders>
                  <w:noWrap w:val="0"/>
                  <w:vAlign w:val="center"/>
                </w:tcPr>
                <w:p w14:paraId="38745CB2">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6~9</w:t>
                  </w:r>
                </w:p>
              </w:tc>
              <w:tc>
                <w:tcPr>
                  <w:tcW w:w="1022" w:type="pct"/>
                  <w:vMerge w:val="continue"/>
                  <w:tcBorders>
                    <w:tl2br w:val="nil"/>
                    <w:tr2bl w:val="nil"/>
                  </w:tcBorders>
                  <w:noWrap w:val="0"/>
                  <w:vAlign w:val="center"/>
                </w:tcPr>
                <w:p w14:paraId="7946D3DC">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p>
              </w:tc>
            </w:tr>
            <w:tr w14:paraId="472F9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blHeader/>
                <w:jc w:val="center"/>
              </w:trPr>
              <w:tc>
                <w:tcPr>
                  <w:tcW w:w="288" w:type="pct"/>
                  <w:vMerge w:val="continue"/>
                  <w:tcBorders>
                    <w:tl2br w:val="nil"/>
                    <w:tr2bl w:val="nil"/>
                  </w:tcBorders>
                  <w:noWrap w:val="0"/>
                  <w:vAlign w:val="center"/>
                </w:tcPr>
                <w:p w14:paraId="4B50F9AD">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60E28153">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COD</w:t>
                  </w:r>
                  <w:r>
                    <w:rPr>
                      <w:rFonts w:hint="eastAsia" w:ascii="Times New Roman" w:hAnsi="Times New Roman" w:cs="Times New Roman"/>
                      <w:color w:val="auto"/>
                      <w:sz w:val="21"/>
                      <w:szCs w:val="21"/>
                      <w:highlight w:val="none"/>
                      <w:lang w:val="en-US" w:eastAsia="zh-CN"/>
                    </w:rPr>
                    <w:t>cr</w:t>
                  </w:r>
                </w:p>
              </w:tc>
              <w:tc>
                <w:tcPr>
                  <w:tcW w:w="774" w:type="pct"/>
                  <w:tcBorders>
                    <w:tl2br w:val="nil"/>
                    <w:tr2bl w:val="nil"/>
                  </w:tcBorders>
                  <w:noWrap w:val="0"/>
                  <w:vAlign w:val="center"/>
                </w:tcPr>
                <w:p w14:paraId="5E5206B3">
                  <w:pPr>
                    <w:pStyle w:val="86"/>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28mg/L</w:t>
                  </w:r>
                </w:p>
                <w:p w14:paraId="79F4A734">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0.20t/a</w:t>
                  </w:r>
                </w:p>
              </w:tc>
              <w:tc>
                <w:tcPr>
                  <w:tcW w:w="716" w:type="pct"/>
                  <w:tcBorders>
                    <w:tl2br w:val="nil"/>
                    <w:tr2bl w:val="nil"/>
                  </w:tcBorders>
                  <w:shd w:val="clear" w:color="auto" w:fill="auto"/>
                  <w:noWrap w:val="0"/>
                  <w:vAlign w:val="center"/>
                </w:tcPr>
                <w:p w14:paraId="44686D50">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28mg/L</w:t>
                  </w:r>
                </w:p>
                <w:p w14:paraId="3F4533FA">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color w:val="auto"/>
                      <w:sz w:val="21"/>
                      <w:szCs w:val="21"/>
                      <w:highlight w:val="none"/>
                      <w:lang w:val="en-US" w:eastAsia="zh-CN"/>
                    </w:rPr>
                    <w:t>0.20t/a</w:t>
                  </w:r>
                </w:p>
              </w:tc>
              <w:tc>
                <w:tcPr>
                  <w:tcW w:w="558" w:type="pct"/>
                  <w:vMerge w:val="continue"/>
                  <w:tcBorders>
                    <w:tl2br w:val="nil"/>
                    <w:tr2bl w:val="nil"/>
                  </w:tcBorders>
                  <w:noWrap w:val="0"/>
                  <w:vAlign w:val="center"/>
                </w:tcPr>
                <w:p w14:paraId="38FC06C7">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p>
              </w:tc>
              <w:tc>
                <w:tcPr>
                  <w:tcW w:w="429" w:type="pct"/>
                  <w:vMerge w:val="continue"/>
                  <w:tcBorders>
                    <w:tl2br w:val="nil"/>
                    <w:tr2bl w:val="nil"/>
                  </w:tcBorders>
                  <w:noWrap w:val="0"/>
                  <w:vAlign w:val="center"/>
                </w:tcPr>
                <w:p w14:paraId="4C9828F6">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p>
              </w:tc>
              <w:tc>
                <w:tcPr>
                  <w:tcW w:w="639" w:type="pct"/>
                  <w:tcBorders>
                    <w:tl2br w:val="nil"/>
                    <w:tr2bl w:val="nil"/>
                  </w:tcBorders>
                  <w:noWrap w:val="0"/>
                  <w:vAlign w:val="center"/>
                </w:tcPr>
                <w:p w14:paraId="3AE31F7D">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022" w:type="pct"/>
                  <w:vMerge w:val="continue"/>
                  <w:tcBorders>
                    <w:tl2br w:val="nil"/>
                    <w:tr2bl w:val="nil"/>
                  </w:tcBorders>
                  <w:noWrap w:val="0"/>
                  <w:vAlign w:val="center"/>
                </w:tcPr>
                <w:p w14:paraId="35EDE10D">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p>
              </w:tc>
            </w:tr>
            <w:tr w14:paraId="22663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8" w:type="pct"/>
                  <w:vMerge w:val="continue"/>
                  <w:tcBorders>
                    <w:tl2br w:val="nil"/>
                    <w:tr2bl w:val="nil"/>
                  </w:tcBorders>
                  <w:noWrap w:val="0"/>
                  <w:vAlign w:val="center"/>
                </w:tcPr>
                <w:p w14:paraId="08EE9BDA">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04994055">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p>
              </w:tc>
              <w:tc>
                <w:tcPr>
                  <w:tcW w:w="774" w:type="pct"/>
                  <w:tcBorders>
                    <w:tl2br w:val="nil"/>
                    <w:tr2bl w:val="nil"/>
                  </w:tcBorders>
                  <w:noWrap w:val="0"/>
                  <w:vAlign w:val="center"/>
                </w:tcPr>
                <w:p w14:paraId="785384B8">
                  <w:pPr>
                    <w:pStyle w:val="86"/>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13.3mg/L</w:t>
                  </w:r>
                </w:p>
                <w:p w14:paraId="12378FF4">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0.095t/a</w:t>
                  </w:r>
                </w:p>
              </w:tc>
              <w:tc>
                <w:tcPr>
                  <w:tcW w:w="716" w:type="pct"/>
                  <w:tcBorders>
                    <w:tl2br w:val="nil"/>
                    <w:tr2bl w:val="nil"/>
                  </w:tcBorders>
                  <w:shd w:val="clear" w:color="auto" w:fill="auto"/>
                  <w:noWrap w:val="0"/>
                  <w:vAlign w:val="center"/>
                </w:tcPr>
                <w:p w14:paraId="0D8851D3">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13.3mg/L</w:t>
                  </w:r>
                </w:p>
                <w:p w14:paraId="4CA903DE">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cs="Times New Roman"/>
                      <w:color w:val="auto"/>
                      <w:sz w:val="21"/>
                      <w:szCs w:val="21"/>
                      <w:highlight w:val="none"/>
                      <w:lang w:val="en-US" w:eastAsia="zh-CN"/>
                    </w:rPr>
                    <w:t>0.095t/a</w:t>
                  </w:r>
                </w:p>
              </w:tc>
              <w:tc>
                <w:tcPr>
                  <w:tcW w:w="558" w:type="pct"/>
                  <w:vMerge w:val="continue"/>
                  <w:tcBorders>
                    <w:tl2br w:val="nil"/>
                    <w:tr2bl w:val="nil"/>
                  </w:tcBorders>
                  <w:noWrap w:val="0"/>
                  <w:vAlign w:val="center"/>
                </w:tcPr>
                <w:p w14:paraId="0BC9DB28">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c>
                <w:tcPr>
                  <w:tcW w:w="429" w:type="pct"/>
                  <w:vMerge w:val="continue"/>
                  <w:tcBorders>
                    <w:tl2br w:val="nil"/>
                    <w:tr2bl w:val="nil"/>
                  </w:tcBorders>
                  <w:noWrap w:val="0"/>
                  <w:vAlign w:val="center"/>
                </w:tcPr>
                <w:p w14:paraId="5E5E191F">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c>
                <w:tcPr>
                  <w:tcW w:w="639" w:type="pct"/>
                  <w:tcBorders>
                    <w:tl2br w:val="nil"/>
                    <w:tr2bl w:val="nil"/>
                  </w:tcBorders>
                  <w:noWrap w:val="0"/>
                  <w:vAlign w:val="center"/>
                </w:tcPr>
                <w:p w14:paraId="7BBA909D">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300</w:t>
                  </w:r>
                </w:p>
              </w:tc>
              <w:tc>
                <w:tcPr>
                  <w:tcW w:w="1022" w:type="pct"/>
                  <w:vMerge w:val="continue"/>
                  <w:tcBorders>
                    <w:tl2br w:val="nil"/>
                    <w:tr2bl w:val="nil"/>
                  </w:tcBorders>
                  <w:noWrap w:val="0"/>
                  <w:vAlign w:val="center"/>
                </w:tcPr>
                <w:p w14:paraId="701AF2BA">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r>
            <w:tr w14:paraId="3092A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blHeader/>
                <w:jc w:val="center"/>
              </w:trPr>
              <w:tc>
                <w:tcPr>
                  <w:tcW w:w="288" w:type="pct"/>
                  <w:vMerge w:val="continue"/>
                  <w:tcBorders>
                    <w:tl2br w:val="nil"/>
                    <w:tr2bl w:val="nil"/>
                  </w:tcBorders>
                  <w:noWrap w:val="0"/>
                  <w:vAlign w:val="center"/>
                </w:tcPr>
                <w:p w14:paraId="74B83AE0">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38CC1698">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氯化物</w:t>
                  </w:r>
                </w:p>
              </w:tc>
              <w:tc>
                <w:tcPr>
                  <w:tcW w:w="774" w:type="pct"/>
                  <w:tcBorders>
                    <w:tl2br w:val="nil"/>
                    <w:tr2bl w:val="nil"/>
                  </w:tcBorders>
                  <w:noWrap w:val="0"/>
                  <w:vAlign w:val="center"/>
                </w:tcPr>
                <w:p w14:paraId="74DE4F4B">
                  <w:pPr>
                    <w:pStyle w:val="86"/>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108mg/L</w:t>
                  </w:r>
                </w:p>
                <w:p w14:paraId="2FDDC9EC">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0.77t/a</w:t>
                  </w:r>
                </w:p>
              </w:tc>
              <w:tc>
                <w:tcPr>
                  <w:tcW w:w="716" w:type="pct"/>
                  <w:tcBorders>
                    <w:tl2br w:val="nil"/>
                    <w:tr2bl w:val="nil"/>
                  </w:tcBorders>
                  <w:shd w:val="clear" w:color="auto" w:fill="auto"/>
                  <w:noWrap w:val="0"/>
                  <w:vAlign w:val="center"/>
                </w:tcPr>
                <w:p w14:paraId="224809BA">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108mg/L</w:t>
                  </w:r>
                </w:p>
                <w:p w14:paraId="0C5CE1FE">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cs="Times New Roman"/>
                      <w:color w:val="auto"/>
                      <w:sz w:val="21"/>
                      <w:szCs w:val="21"/>
                      <w:highlight w:val="none"/>
                      <w:lang w:val="en-US" w:eastAsia="zh-CN"/>
                    </w:rPr>
                    <w:t>0.77t/a</w:t>
                  </w:r>
                </w:p>
              </w:tc>
              <w:tc>
                <w:tcPr>
                  <w:tcW w:w="558" w:type="pct"/>
                  <w:vMerge w:val="continue"/>
                  <w:tcBorders>
                    <w:tl2br w:val="nil"/>
                    <w:tr2bl w:val="nil"/>
                  </w:tcBorders>
                  <w:noWrap w:val="0"/>
                  <w:vAlign w:val="center"/>
                </w:tcPr>
                <w:p w14:paraId="011F8F3A">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c>
                <w:tcPr>
                  <w:tcW w:w="429" w:type="pct"/>
                  <w:vMerge w:val="continue"/>
                  <w:tcBorders>
                    <w:tl2br w:val="nil"/>
                    <w:tr2bl w:val="nil"/>
                  </w:tcBorders>
                  <w:noWrap w:val="0"/>
                  <w:vAlign w:val="center"/>
                </w:tcPr>
                <w:p w14:paraId="644B9EA5">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c>
                <w:tcPr>
                  <w:tcW w:w="639" w:type="pct"/>
                  <w:tcBorders>
                    <w:tl2br w:val="nil"/>
                    <w:tr2bl w:val="nil"/>
                  </w:tcBorders>
                  <w:noWrap w:val="0"/>
                  <w:vAlign w:val="center"/>
                </w:tcPr>
                <w:p w14:paraId="25C94F86">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800</w:t>
                  </w:r>
                </w:p>
              </w:tc>
              <w:tc>
                <w:tcPr>
                  <w:tcW w:w="1022" w:type="pct"/>
                  <w:vMerge w:val="restart"/>
                  <w:tcBorders>
                    <w:tl2br w:val="nil"/>
                    <w:tr2bl w:val="nil"/>
                  </w:tcBorders>
                  <w:noWrap w:val="0"/>
                  <w:vAlign w:val="center"/>
                </w:tcPr>
                <w:p w14:paraId="6F636E79">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《污水排入城镇下水道水质标准》（GB/T31962-2015）表1中B级排放标准</w:t>
                  </w:r>
                </w:p>
              </w:tc>
            </w:tr>
            <w:tr w14:paraId="08BB4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8" w:type="pct"/>
                  <w:vMerge w:val="continue"/>
                  <w:tcBorders>
                    <w:tl2br w:val="nil"/>
                    <w:tr2bl w:val="nil"/>
                  </w:tcBorders>
                  <w:noWrap w:val="0"/>
                  <w:vAlign w:val="center"/>
                </w:tcPr>
                <w:p w14:paraId="1A3C43EC">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02AD361E">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总铁</w:t>
                  </w:r>
                </w:p>
              </w:tc>
              <w:tc>
                <w:tcPr>
                  <w:tcW w:w="774" w:type="pct"/>
                  <w:tcBorders>
                    <w:tl2br w:val="nil"/>
                    <w:tr2bl w:val="nil"/>
                  </w:tcBorders>
                  <w:noWrap w:val="0"/>
                  <w:vAlign w:val="center"/>
                </w:tcPr>
                <w:p w14:paraId="6626CA7B">
                  <w:pPr>
                    <w:pStyle w:val="86"/>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0.04mg/L</w:t>
                  </w:r>
                </w:p>
                <w:p w14:paraId="66EA4356">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0.0003t/a</w:t>
                  </w:r>
                </w:p>
              </w:tc>
              <w:tc>
                <w:tcPr>
                  <w:tcW w:w="716" w:type="pct"/>
                  <w:tcBorders>
                    <w:tl2br w:val="nil"/>
                    <w:tr2bl w:val="nil"/>
                  </w:tcBorders>
                  <w:shd w:val="clear" w:color="auto" w:fill="auto"/>
                  <w:noWrap w:val="0"/>
                  <w:vAlign w:val="center"/>
                </w:tcPr>
                <w:p w14:paraId="6401AD9C">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0.04mg/L</w:t>
                  </w:r>
                </w:p>
                <w:p w14:paraId="247A14B7">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cs="Times New Roman"/>
                      <w:color w:val="auto"/>
                      <w:sz w:val="21"/>
                      <w:szCs w:val="21"/>
                      <w:highlight w:val="none"/>
                      <w:lang w:val="en-US" w:eastAsia="zh-CN"/>
                    </w:rPr>
                    <w:t>0.0003t/a</w:t>
                  </w:r>
                </w:p>
              </w:tc>
              <w:tc>
                <w:tcPr>
                  <w:tcW w:w="558" w:type="pct"/>
                  <w:vMerge w:val="continue"/>
                  <w:tcBorders>
                    <w:tl2br w:val="nil"/>
                    <w:tr2bl w:val="nil"/>
                  </w:tcBorders>
                  <w:noWrap w:val="0"/>
                  <w:vAlign w:val="center"/>
                </w:tcPr>
                <w:p w14:paraId="7300A18A">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c>
                <w:tcPr>
                  <w:tcW w:w="429" w:type="pct"/>
                  <w:vMerge w:val="continue"/>
                  <w:tcBorders>
                    <w:tl2br w:val="nil"/>
                    <w:tr2bl w:val="nil"/>
                  </w:tcBorders>
                  <w:noWrap w:val="0"/>
                  <w:vAlign w:val="center"/>
                </w:tcPr>
                <w:p w14:paraId="230E7FC6">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c>
                <w:tcPr>
                  <w:tcW w:w="639" w:type="pct"/>
                  <w:tcBorders>
                    <w:tl2br w:val="nil"/>
                    <w:tr2bl w:val="nil"/>
                  </w:tcBorders>
                  <w:noWrap w:val="0"/>
                  <w:vAlign w:val="center"/>
                </w:tcPr>
                <w:p w14:paraId="60950B5B">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022" w:type="pct"/>
                  <w:vMerge w:val="continue"/>
                  <w:tcBorders>
                    <w:tl2br w:val="nil"/>
                    <w:tr2bl w:val="nil"/>
                  </w:tcBorders>
                  <w:noWrap w:val="0"/>
                  <w:vAlign w:val="center"/>
                </w:tcPr>
                <w:p w14:paraId="4916BE78">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r>
            <w:tr w14:paraId="2577C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8" w:type="pct"/>
                  <w:vMerge w:val="continue"/>
                  <w:tcBorders>
                    <w:tl2br w:val="nil"/>
                    <w:tr2bl w:val="nil"/>
                  </w:tcBorders>
                  <w:noWrap w:val="0"/>
                  <w:vAlign w:val="center"/>
                </w:tcPr>
                <w:p w14:paraId="121910E0">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1BD67D22">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总磷</w:t>
                  </w:r>
                </w:p>
              </w:tc>
              <w:tc>
                <w:tcPr>
                  <w:tcW w:w="774" w:type="pct"/>
                  <w:tcBorders>
                    <w:tl2br w:val="nil"/>
                    <w:tr2bl w:val="nil"/>
                  </w:tcBorders>
                  <w:noWrap w:val="0"/>
                  <w:vAlign w:val="center"/>
                </w:tcPr>
                <w:p w14:paraId="150651BB">
                  <w:pPr>
                    <w:pStyle w:val="86"/>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0.16mg/L</w:t>
                  </w:r>
                </w:p>
                <w:p w14:paraId="6325B9F3">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0.001t/a</w:t>
                  </w:r>
                </w:p>
              </w:tc>
              <w:tc>
                <w:tcPr>
                  <w:tcW w:w="716" w:type="pct"/>
                  <w:tcBorders>
                    <w:tl2br w:val="nil"/>
                    <w:tr2bl w:val="nil"/>
                  </w:tcBorders>
                  <w:shd w:val="clear" w:color="auto" w:fill="auto"/>
                  <w:noWrap w:val="0"/>
                  <w:vAlign w:val="center"/>
                </w:tcPr>
                <w:p w14:paraId="0A466791">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0.16mg/L</w:t>
                  </w:r>
                </w:p>
                <w:p w14:paraId="727D5EFB">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cs="Times New Roman"/>
                      <w:color w:val="auto"/>
                      <w:sz w:val="21"/>
                      <w:szCs w:val="21"/>
                      <w:highlight w:val="none"/>
                      <w:lang w:val="en-US" w:eastAsia="zh-CN"/>
                    </w:rPr>
                    <w:t>0.001t/a</w:t>
                  </w:r>
                </w:p>
              </w:tc>
              <w:tc>
                <w:tcPr>
                  <w:tcW w:w="558" w:type="pct"/>
                  <w:vMerge w:val="continue"/>
                  <w:tcBorders>
                    <w:tl2br w:val="nil"/>
                    <w:tr2bl w:val="nil"/>
                  </w:tcBorders>
                  <w:noWrap w:val="0"/>
                  <w:vAlign w:val="center"/>
                </w:tcPr>
                <w:p w14:paraId="66769E58">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c>
                <w:tcPr>
                  <w:tcW w:w="429" w:type="pct"/>
                  <w:vMerge w:val="continue"/>
                  <w:tcBorders>
                    <w:tl2br w:val="nil"/>
                    <w:tr2bl w:val="nil"/>
                  </w:tcBorders>
                  <w:noWrap w:val="0"/>
                  <w:vAlign w:val="center"/>
                </w:tcPr>
                <w:p w14:paraId="71036806">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c>
                <w:tcPr>
                  <w:tcW w:w="639" w:type="pct"/>
                  <w:tcBorders>
                    <w:tl2br w:val="nil"/>
                    <w:tr2bl w:val="nil"/>
                  </w:tcBorders>
                  <w:noWrap w:val="0"/>
                  <w:vAlign w:val="center"/>
                </w:tcPr>
                <w:p w14:paraId="3061E24C">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022" w:type="pct"/>
                  <w:vMerge w:val="continue"/>
                  <w:tcBorders>
                    <w:tl2br w:val="nil"/>
                    <w:tr2bl w:val="nil"/>
                  </w:tcBorders>
                  <w:noWrap w:val="0"/>
                  <w:vAlign w:val="center"/>
                </w:tcPr>
                <w:p w14:paraId="3E0EC802">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r>
            <w:tr w14:paraId="09867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8" w:type="pct"/>
                  <w:vMerge w:val="continue"/>
                  <w:tcBorders>
                    <w:tl2br w:val="nil"/>
                    <w:tr2bl w:val="nil"/>
                  </w:tcBorders>
                  <w:noWrap w:val="0"/>
                  <w:vAlign w:val="center"/>
                </w:tcPr>
                <w:p w14:paraId="49A2343A">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4E5FD0C3">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氨氮</w:t>
                  </w:r>
                </w:p>
              </w:tc>
              <w:tc>
                <w:tcPr>
                  <w:tcW w:w="774" w:type="pct"/>
                  <w:tcBorders>
                    <w:tl2br w:val="nil"/>
                    <w:tr2bl w:val="nil"/>
                  </w:tcBorders>
                  <w:noWrap w:val="0"/>
                  <w:vAlign w:val="center"/>
                </w:tcPr>
                <w:p w14:paraId="3FF118D4">
                  <w:pPr>
                    <w:pStyle w:val="86"/>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0.081mg/L</w:t>
                  </w:r>
                </w:p>
                <w:p w14:paraId="76239BC9">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0.0006t/a</w:t>
                  </w:r>
                </w:p>
              </w:tc>
              <w:tc>
                <w:tcPr>
                  <w:tcW w:w="716" w:type="pct"/>
                  <w:tcBorders>
                    <w:tl2br w:val="nil"/>
                    <w:tr2bl w:val="nil"/>
                  </w:tcBorders>
                  <w:shd w:val="clear" w:color="auto" w:fill="auto"/>
                  <w:noWrap w:val="0"/>
                  <w:vAlign w:val="center"/>
                </w:tcPr>
                <w:p w14:paraId="1D9CF011">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0.081mg/L</w:t>
                  </w:r>
                </w:p>
                <w:p w14:paraId="042F4D59">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cs="Times New Roman"/>
                      <w:color w:val="auto"/>
                      <w:sz w:val="21"/>
                      <w:szCs w:val="21"/>
                      <w:highlight w:val="none"/>
                      <w:lang w:val="en-US" w:eastAsia="zh-CN"/>
                    </w:rPr>
                    <w:t>0.0006t/a</w:t>
                  </w:r>
                </w:p>
              </w:tc>
              <w:tc>
                <w:tcPr>
                  <w:tcW w:w="558" w:type="pct"/>
                  <w:vMerge w:val="continue"/>
                  <w:tcBorders>
                    <w:tl2br w:val="nil"/>
                    <w:tr2bl w:val="nil"/>
                  </w:tcBorders>
                  <w:noWrap w:val="0"/>
                  <w:vAlign w:val="center"/>
                </w:tcPr>
                <w:p w14:paraId="7DC11AAF">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c>
                <w:tcPr>
                  <w:tcW w:w="429" w:type="pct"/>
                  <w:vMerge w:val="continue"/>
                  <w:tcBorders>
                    <w:tl2br w:val="nil"/>
                    <w:tr2bl w:val="nil"/>
                  </w:tcBorders>
                  <w:noWrap w:val="0"/>
                  <w:vAlign w:val="center"/>
                </w:tcPr>
                <w:p w14:paraId="074F8A28">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c>
                <w:tcPr>
                  <w:tcW w:w="639" w:type="pct"/>
                  <w:tcBorders>
                    <w:tl2br w:val="nil"/>
                    <w:tr2bl w:val="nil"/>
                  </w:tcBorders>
                  <w:noWrap w:val="0"/>
                  <w:vAlign w:val="center"/>
                </w:tcPr>
                <w:p w14:paraId="47628FB9">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022" w:type="pct"/>
                  <w:vMerge w:val="continue"/>
                  <w:tcBorders>
                    <w:tl2br w:val="nil"/>
                    <w:tr2bl w:val="nil"/>
                  </w:tcBorders>
                  <w:noWrap w:val="0"/>
                  <w:vAlign w:val="center"/>
                </w:tcPr>
                <w:p w14:paraId="753A7B2F">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r>
            <w:tr w14:paraId="3AA89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8" w:type="pct"/>
                  <w:vMerge w:val="continue"/>
                  <w:tcBorders>
                    <w:tl2br w:val="nil"/>
                    <w:tr2bl w:val="nil"/>
                  </w:tcBorders>
                  <w:noWrap w:val="0"/>
                  <w:vAlign w:val="center"/>
                </w:tcPr>
                <w:p w14:paraId="50307F87">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rPr>
                  </w:pPr>
                </w:p>
              </w:tc>
              <w:tc>
                <w:tcPr>
                  <w:tcW w:w="569" w:type="pct"/>
                  <w:tcBorders>
                    <w:tl2br w:val="nil"/>
                    <w:tr2bl w:val="nil"/>
                  </w:tcBorders>
                  <w:noWrap w:val="0"/>
                  <w:vAlign w:val="center"/>
                </w:tcPr>
                <w:p w14:paraId="7DBB8DF2">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总氮</w:t>
                  </w:r>
                </w:p>
              </w:tc>
              <w:tc>
                <w:tcPr>
                  <w:tcW w:w="774" w:type="pct"/>
                  <w:tcBorders>
                    <w:tl2br w:val="nil"/>
                    <w:tr2bl w:val="nil"/>
                  </w:tcBorders>
                  <w:noWrap w:val="0"/>
                  <w:vAlign w:val="center"/>
                </w:tcPr>
                <w:p w14:paraId="7738C382">
                  <w:pPr>
                    <w:pStyle w:val="86"/>
                    <w:keepNext w:val="0"/>
                    <w:keepLines w:val="0"/>
                    <w:pageBreakBefore w:val="0"/>
                    <w:widowControl w:val="0"/>
                    <w:kinsoku/>
                    <w:wordWrap/>
                    <w:overflowPunct/>
                    <w:topLinePunct w:val="0"/>
                    <w:autoSpaceDE/>
                    <w:autoSpaceDN/>
                    <w:bidi w:val="0"/>
                    <w:adjustRightInd/>
                    <w:snapToGrid/>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5.32mg/L</w:t>
                  </w:r>
                </w:p>
                <w:p w14:paraId="3D325846">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0.038t/a</w:t>
                  </w:r>
                </w:p>
              </w:tc>
              <w:tc>
                <w:tcPr>
                  <w:tcW w:w="716" w:type="pct"/>
                  <w:tcBorders>
                    <w:tl2br w:val="nil"/>
                    <w:tr2bl w:val="nil"/>
                  </w:tcBorders>
                  <w:shd w:val="clear" w:color="auto" w:fill="auto"/>
                  <w:noWrap w:val="0"/>
                  <w:vAlign w:val="center"/>
                </w:tcPr>
                <w:p w14:paraId="3C03DC2E">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5.32mg/L</w:t>
                  </w:r>
                </w:p>
                <w:p w14:paraId="75C33DD1">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cs="Times New Roman"/>
                      <w:color w:val="auto"/>
                      <w:sz w:val="21"/>
                      <w:szCs w:val="21"/>
                      <w:highlight w:val="none"/>
                      <w:lang w:val="en-US" w:eastAsia="zh-CN"/>
                    </w:rPr>
                    <w:t>0.038t/a</w:t>
                  </w:r>
                </w:p>
              </w:tc>
              <w:tc>
                <w:tcPr>
                  <w:tcW w:w="558" w:type="pct"/>
                  <w:vMerge w:val="continue"/>
                  <w:tcBorders>
                    <w:tl2br w:val="nil"/>
                    <w:tr2bl w:val="nil"/>
                  </w:tcBorders>
                  <w:noWrap w:val="0"/>
                  <w:vAlign w:val="center"/>
                </w:tcPr>
                <w:p w14:paraId="7A2E0272">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c>
                <w:tcPr>
                  <w:tcW w:w="429" w:type="pct"/>
                  <w:vMerge w:val="continue"/>
                  <w:tcBorders>
                    <w:tl2br w:val="nil"/>
                    <w:tr2bl w:val="nil"/>
                  </w:tcBorders>
                  <w:noWrap w:val="0"/>
                  <w:vAlign w:val="center"/>
                </w:tcPr>
                <w:p w14:paraId="0CC9855B">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c>
                <w:tcPr>
                  <w:tcW w:w="639" w:type="pct"/>
                  <w:tcBorders>
                    <w:tl2br w:val="nil"/>
                    <w:tr2bl w:val="nil"/>
                  </w:tcBorders>
                  <w:noWrap w:val="0"/>
                  <w:vAlign w:val="center"/>
                </w:tcPr>
                <w:p w14:paraId="7B805E36">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1022" w:type="pct"/>
                  <w:vMerge w:val="continue"/>
                  <w:tcBorders>
                    <w:tl2br w:val="nil"/>
                    <w:tr2bl w:val="nil"/>
                  </w:tcBorders>
                  <w:noWrap w:val="0"/>
                  <w:vAlign w:val="center"/>
                </w:tcPr>
                <w:p w14:paraId="3675B47F">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highlight w:val="none"/>
                      <w:lang w:val="en-US" w:eastAsia="zh-CN"/>
                    </w:rPr>
                  </w:pPr>
                </w:p>
              </w:tc>
            </w:tr>
          </w:tbl>
          <w:p w14:paraId="512E260B">
            <w:pPr>
              <w:bidi w:val="0"/>
              <w:rPr>
                <w:rFonts w:hint="eastAsia"/>
                <w:b/>
                <w:bCs/>
                <w:color w:val="auto"/>
                <w:sz w:val="24"/>
                <w:szCs w:val="24"/>
                <w:lang w:val="en-US" w:eastAsia="zh-CN"/>
              </w:rPr>
            </w:pPr>
            <w:r>
              <w:rPr>
                <w:rFonts w:hint="eastAsia"/>
                <w:b/>
                <w:bCs/>
                <w:color w:val="auto"/>
                <w:sz w:val="24"/>
                <w:szCs w:val="24"/>
                <w:lang w:val="en-US" w:eastAsia="zh-CN"/>
              </w:rPr>
              <w:t>（二）气体充装：</w:t>
            </w:r>
          </w:p>
          <w:p w14:paraId="34437EBA">
            <w:pPr>
              <w:bidi w:val="0"/>
              <w:rPr>
                <w:rFonts w:hint="eastAsia"/>
                <w:color w:val="auto"/>
                <w:lang w:val="en-US" w:eastAsia="zh-CN"/>
              </w:rPr>
            </w:pPr>
            <w:r>
              <w:rPr>
                <w:rFonts w:hint="eastAsia"/>
                <w:color w:val="auto"/>
                <w:lang w:val="en-US" w:eastAsia="zh-CN"/>
              </w:rPr>
              <w:t>本项目偶尔会对气瓶、储罐的外壁进行清洗，根据建设单位提供资料，项目钢瓶周转量约</w:t>
            </w:r>
            <w:r>
              <w:rPr>
                <w:rFonts w:hint="eastAsia"/>
                <w:color w:val="000000" w:themeColor="text1"/>
                <w:lang w:val="en-US" w:eastAsia="zh-CN"/>
                <w14:textFill>
                  <w14:solidFill>
                    <w14:schemeClr w14:val="tx1"/>
                  </w14:solidFill>
                </w14:textFill>
              </w:rPr>
              <w:t>5000个</w:t>
            </w:r>
            <w:r>
              <w:rPr>
                <w:rFonts w:hint="eastAsia"/>
                <w:color w:val="auto"/>
                <w:lang w:val="en-US" w:eastAsia="zh-CN"/>
              </w:rPr>
              <w:t>，这些钢瓶以一年清洗一次计算，每瓶每次用水量约4L，项目所需洗瓶用水量为20m</w:t>
            </w:r>
            <w:r>
              <w:rPr>
                <w:rFonts w:hint="eastAsia"/>
                <w:color w:val="auto"/>
                <w:vertAlign w:val="superscript"/>
                <w:lang w:val="en-US" w:eastAsia="zh-CN"/>
              </w:rPr>
              <w:t>3</w:t>
            </w:r>
            <w:r>
              <w:rPr>
                <w:rFonts w:hint="eastAsia"/>
                <w:color w:val="auto"/>
                <w:lang w:val="en-US" w:eastAsia="zh-CN"/>
              </w:rPr>
              <w:t>/a，清洗过程中蒸发量按用水量的1%计，则洗瓶废水产生量约19.8m</w:t>
            </w:r>
            <w:r>
              <w:rPr>
                <w:rFonts w:hint="eastAsia"/>
                <w:color w:val="auto"/>
                <w:vertAlign w:val="superscript"/>
                <w:lang w:val="en-US" w:eastAsia="zh-CN"/>
              </w:rPr>
              <w:t>3</w:t>
            </w:r>
            <w:r>
              <w:rPr>
                <w:rFonts w:hint="eastAsia"/>
                <w:color w:val="auto"/>
                <w:lang w:val="en-US" w:eastAsia="zh-CN"/>
              </w:rPr>
              <w:t>/a，这部分水主要污染因子为悬浮物，洗瓶废水用于厂区洒扫。</w:t>
            </w:r>
          </w:p>
          <w:p w14:paraId="6E9BA4EC">
            <w:pPr>
              <w:bidi w:val="0"/>
              <w:rPr>
                <w:rFonts w:hint="eastAsia"/>
                <w:color w:val="auto"/>
                <w:lang w:val="en-US" w:eastAsia="zh-CN"/>
              </w:rPr>
            </w:pPr>
            <w:r>
              <w:rPr>
                <w:rFonts w:hint="eastAsia"/>
                <w:color w:val="auto"/>
                <w:lang w:val="en-US" w:eastAsia="zh-CN"/>
              </w:rPr>
              <w:t>本项目储罐不需用水冷却，无冷却水产生。本项目厂区内原料及产品储存区域均为密闭储罐，生产区内不会发生雨水冲刷的废水污染事件，因此，本项目只对露天罐区的区域初期雨水进行分析。</w:t>
            </w:r>
          </w:p>
          <w:p w14:paraId="64DEB10E">
            <w:pPr>
              <w:numPr>
                <w:ilvl w:val="0"/>
                <w:numId w:val="8"/>
              </w:numPr>
              <w:bidi w:val="0"/>
              <w:rPr>
                <w:rFonts w:hint="eastAsia"/>
                <w:color w:val="auto"/>
                <w:lang w:val="en-US" w:eastAsia="zh-CN"/>
              </w:rPr>
            </w:pPr>
            <w:r>
              <w:rPr>
                <w:rFonts w:hint="eastAsia"/>
                <w:color w:val="auto"/>
                <w:lang w:val="en-US" w:eastAsia="zh-CN"/>
              </w:rPr>
              <w:t>初期雨水</w:t>
            </w:r>
          </w:p>
          <w:p w14:paraId="0D6050D1">
            <w:pPr>
              <w:numPr>
                <w:ilvl w:val="0"/>
                <w:numId w:val="0"/>
              </w:numPr>
              <w:bidi w:val="0"/>
              <w:ind w:firstLine="480" w:firstLineChars="200"/>
              <w:rPr>
                <w:rFonts w:hint="eastAsia"/>
                <w:color w:val="auto"/>
                <w:lang w:val="en-US" w:eastAsia="zh-CN"/>
              </w:rPr>
            </w:pPr>
            <w:r>
              <w:rPr>
                <w:rFonts w:hint="eastAsia"/>
                <w:color w:val="auto"/>
                <w:lang w:val="en-US" w:eastAsia="zh-CN"/>
              </w:rPr>
              <w:t>①污染源强分析</w:t>
            </w:r>
          </w:p>
          <w:p w14:paraId="08EE9D8A">
            <w:pPr>
              <w:bidi w:val="0"/>
              <w:rPr>
                <w:rFonts w:hint="eastAsia"/>
                <w:color w:val="auto"/>
                <w:lang w:val="en-US" w:eastAsia="zh-CN"/>
              </w:rPr>
            </w:pPr>
            <w:r>
              <w:rPr>
                <w:rFonts w:hint="eastAsia"/>
                <w:color w:val="auto"/>
                <w:lang w:val="en-US" w:eastAsia="zh-CN"/>
              </w:rPr>
              <w:t>项目建成后，如遇暴雨天气会产生较大的地表径流，厂区办公区域收集的雨水均为屋面水，屋面无污染物，其冲刷雨水无污染性，经屋檐雨水管网收集后直接排至厂区外的道路雨水沟。项目在露天低温罐区设置围堰，厂区修建雨水沟，收集的雨水进入到初雨水收集池内。根据项目水平衡章节计算得厂区初期雨水量约为354m³/次。本项目建设应急事故池兼初期雨水池一座，用于储存事故状态下的废水及初期雨水，水池总有效容积为1400m³。</w:t>
            </w:r>
          </w:p>
          <w:p w14:paraId="32EB9BF7">
            <w:pPr>
              <w:numPr>
                <w:ilvl w:val="0"/>
                <w:numId w:val="0"/>
              </w:numPr>
              <w:bidi w:val="0"/>
              <w:ind w:firstLine="480" w:firstLineChars="200"/>
              <w:rPr>
                <w:rFonts w:hint="eastAsia"/>
                <w:color w:val="auto"/>
                <w:lang w:val="en-US" w:eastAsia="zh-CN"/>
              </w:rPr>
            </w:pPr>
            <w:r>
              <w:rPr>
                <w:rFonts w:hint="eastAsia"/>
                <w:color w:val="auto"/>
                <w:lang w:val="en-US" w:eastAsia="zh-CN"/>
              </w:rPr>
              <w:t>本项目主要为工业气体项目，雨水中主要污染物为SS，由罐区围堰拦截收集的初期雨水经收集池收集沉淀后排入园区雨水管网。</w:t>
            </w:r>
          </w:p>
          <w:p w14:paraId="13AB00D6">
            <w:pPr>
              <w:numPr>
                <w:ilvl w:val="0"/>
                <w:numId w:val="0"/>
              </w:numPr>
              <w:bidi w:val="0"/>
              <w:ind w:firstLine="480" w:firstLineChars="200"/>
              <w:rPr>
                <w:rFonts w:hint="eastAsia"/>
                <w:color w:val="auto"/>
                <w:lang w:val="en-US" w:eastAsia="zh-CN"/>
              </w:rPr>
            </w:pPr>
            <w:r>
              <w:rPr>
                <w:rFonts w:hint="eastAsia"/>
                <w:color w:val="auto"/>
                <w:lang w:val="en-US" w:eastAsia="zh-CN"/>
              </w:rPr>
              <w:t>本项目初期雨水流量为约354m³/次，项目拟在露天罐区设置围堰，初期雨水收集池总有效容积为1400m³，足以容纳露天罐区的雨水。本项目在初期雨水收集池上方设置栅板及临时小挡坝，在降雨初期手动开启污水阀门，将初期雨水导入收集池，约15分钟后手动切换至雨水管线排放后期清净雨水。</w:t>
            </w:r>
          </w:p>
          <w:p w14:paraId="11A0A46F">
            <w:pPr>
              <w:numPr>
                <w:ilvl w:val="0"/>
                <w:numId w:val="0"/>
              </w:numPr>
              <w:bidi w:val="0"/>
              <w:ind w:firstLine="480" w:firstLineChars="200"/>
              <w:rPr>
                <w:rFonts w:hint="eastAsia"/>
                <w:color w:val="auto"/>
                <w:lang w:val="en-US" w:eastAsia="zh-CN"/>
              </w:rPr>
            </w:pPr>
            <w:r>
              <w:rPr>
                <w:rFonts w:hint="eastAsia"/>
                <w:color w:val="auto"/>
                <w:lang w:val="en-US" w:eastAsia="zh-CN"/>
              </w:rPr>
              <w:t>本项目属于危险化学品仓储的工业气体项目，原料均为气体，无液态原料洒落地面，且露天罐区已做好硬底化，初期雨水较为清净，雨水收集池可利用自然沉降作用，将夹杂在水中的砂粒沉降在水池底部，澄清液位于池子上层，上层澄清水排入园区雨水管网。此措施具有可行性。</w:t>
            </w:r>
          </w:p>
          <w:p w14:paraId="49F5428A">
            <w:pPr>
              <w:numPr>
                <w:ilvl w:val="0"/>
                <w:numId w:val="8"/>
              </w:numPr>
              <w:bidi w:val="0"/>
              <w:ind w:left="0" w:leftChars="0" w:firstLine="480" w:firstLineChars="200"/>
              <w:rPr>
                <w:rFonts w:hint="eastAsia"/>
                <w:color w:val="auto"/>
                <w:lang w:val="en-US" w:eastAsia="zh-CN"/>
              </w:rPr>
            </w:pPr>
            <w:r>
              <w:rPr>
                <w:rFonts w:hint="eastAsia"/>
                <w:color w:val="auto"/>
                <w:lang w:val="en-US" w:eastAsia="zh-CN"/>
              </w:rPr>
              <w:t>生活污水</w:t>
            </w:r>
          </w:p>
          <w:p w14:paraId="0CF0C908">
            <w:pPr>
              <w:numPr>
                <w:ilvl w:val="0"/>
                <w:numId w:val="0"/>
              </w:numPr>
              <w:bidi w:val="0"/>
              <w:ind w:firstLine="480" w:firstLineChars="200"/>
              <w:rPr>
                <w:rFonts w:hint="eastAsia"/>
                <w:color w:val="auto"/>
                <w:lang w:val="en-US" w:eastAsia="zh-CN"/>
              </w:rPr>
            </w:pPr>
            <w:r>
              <w:rPr>
                <w:rFonts w:hint="eastAsia"/>
                <w:color w:val="auto"/>
                <w:lang w:val="en-US" w:eastAsia="zh-CN"/>
              </w:rPr>
              <w:t>根据给排水章节分析，项目产生的生活污水总量为</w:t>
            </w:r>
            <w:r>
              <w:rPr>
                <w:rFonts w:hint="eastAsia"/>
                <w:color w:val="auto"/>
                <w:sz w:val="24"/>
                <w:lang w:val="en-US" w:eastAsia="zh-CN"/>
              </w:rPr>
              <w:t>1386</w:t>
            </w:r>
            <w:r>
              <w:rPr>
                <w:color w:val="auto"/>
                <w:sz w:val="24"/>
              </w:rPr>
              <w:t>m</w:t>
            </w:r>
            <w:r>
              <w:rPr>
                <w:color w:val="auto"/>
                <w:sz w:val="24"/>
                <w:vertAlign w:val="superscript"/>
              </w:rPr>
              <w:t>3</w:t>
            </w:r>
            <w:r>
              <w:rPr>
                <w:color w:val="auto"/>
                <w:sz w:val="24"/>
              </w:rPr>
              <w:t>/a</w:t>
            </w:r>
            <w:r>
              <w:rPr>
                <w:rFonts w:hint="eastAsia"/>
                <w:color w:val="auto"/>
                <w:lang w:val="en-US" w:eastAsia="zh-CN"/>
              </w:rPr>
              <w:t>，本项目生活污水的污染物主要有CODcr、BOD</w:t>
            </w:r>
            <w:r>
              <w:rPr>
                <w:rFonts w:hint="eastAsia"/>
                <w:color w:val="auto"/>
                <w:vertAlign w:val="subscript"/>
                <w:lang w:val="en-US" w:eastAsia="zh-CN"/>
              </w:rPr>
              <w:t>5</w:t>
            </w:r>
            <w:r>
              <w:rPr>
                <w:rFonts w:hint="eastAsia"/>
                <w:color w:val="auto"/>
                <w:lang w:val="en-US" w:eastAsia="zh-CN"/>
              </w:rPr>
              <w:t>、SS、氨氮。</w:t>
            </w:r>
          </w:p>
          <w:p w14:paraId="74500474">
            <w:pPr>
              <w:bidi w:val="0"/>
              <w:rPr>
                <w:rFonts w:hint="eastAsia"/>
                <w:color w:val="auto"/>
                <w:lang w:val="en-US" w:eastAsia="zh-CN"/>
              </w:rPr>
            </w:pPr>
            <w:r>
              <w:rPr>
                <w:rFonts w:hint="eastAsia"/>
                <w:color w:val="auto"/>
                <w:lang w:val="en-US" w:eastAsia="zh-CN"/>
              </w:rPr>
              <w:t>（1）生活污水源强</w:t>
            </w:r>
          </w:p>
          <w:p w14:paraId="32257970">
            <w:pPr>
              <w:bidi w:val="0"/>
              <w:rPr>
                <w:rFonts w:hint="eastAsia"/>
                <w:color w:val="auto"/>
                <w:lang w:val="en-US" w:eastAsia="zh-CN"/>
              </w:rPr>
            </w:pPr>
            <w:r>
              <w:rPr>
                <w:rFonts w:hint="eastAsia"/>
                <w:color w:val="auto"/>
                <w:lang w:val="en-US" w:eastAsia="zh-CN"/>
              </w:rPr>
              <w:t>生活污水产生浓度根据《排放源统计调查产排污核算方法和系数手册》“生</w:t>
            </w:r>
          </w:p>
          <w:p w14:paraId="1B670CAD">
            <w:pPr>
              <w:bidi w:val="0"/>
              <w:ind w:left="0" w:leftChars="0" w:firstLine="0" w:firstLineChars="0"/>
              <w:rPr>
                <w:rFonts w:hint="eastAsia"/>
                <w:color w:val="auto"/>
                <w:lang w:val="en-US" w:eastAsia="zh-CN"/>
              </w:rPr>
            </w:pPr>
            <w:r>
              <w:rPr>
                <w:rFonts w:hint="eastAsia"/>
                <w:color w:val="auto"/>
                <w:lang w:val="en-US" w:eastAsia="zh-CN"/>
              </w:rPr>
              <w:t>活污染源产排污系数手册”表1-1五区水污染物产生系数和类比同类项目，则本项目生活污水主要污染物浓度为CODcr：460mg/L、BOD</w:t>
            </w:r>
            <w:r>
              <w:rPr>
                <w:rFonts w:hint="eastAsia"/>
                <w:color w:val="auto"/>
                <w:vertAlign w:val="subscript"/>
                <w:lang w:val="en-US" w:eastAsia="zh-CN"/>
              </w:rPr>
              <w:t>5</w:t>
            </w:r>
            <w:r>
              <w:rPr>
                <w:rFonts w:hint="eastAsia"/>
                <w:color w:val="auto"/>
                <w:lang w:val="en-US" w:eastAsia="zh-CN"/>
              </w:rPr>
              <w:t>：180mg/L、SS：250mg/L、氨氮：52.2mg/L、动植物油：75mg/L。</w:t>
            </w:r>
          </w:p>
          <w:p w14:paraId="3700F150">
            <w:pPr>
              <w:bidi w:val="0"/>
              <w:rPr>
                <w:rFonts w:hint="eastAsia"/>
                <w:color w:val="auto"/>
                <w:lang w:val="en-US" w:eastAsia="zh-CN"/>
              </w:rPr>
            </w:pPr>
            <w:r>
              <w:rPr>
                <w:rFonts w:hint="eastAsia"/>
                <w:color w:val="auto"/>
                <w:lang w:val="en-US" w:eastAsia="zh-CN"/>
              </w:rPr>
              <w:t>本项目生活污水经化粪池收集处理后达到《污水综合排放标准》（GB8978-1996）表4三级标准和《污水排入城镇下水道水质标准》（GB/T31962-2015）表1中B级排放标准后</w:t>
            </w:r>
            <w:r>
              <w:rPr>
                <w:rFonts w:hint="eastAsia"/>
                <w:color w:val="auto"/>
                <w:sz w:val="24"/>
                <w:szCs w:val="24"/>
                <w:lang w:val="en-US" w:eastAsia="zh-CN"/>
              </w:rPr>
              <w:t>经园区污水管线进入长青工业园污水处理厂（宝鸡天龙污水处理有限公司）处理。</w:t>
            </w:r>
            <w:r>
              <w:rPr>
                <w:rFonts w:hint="eastAsia"/>
                <w:color w:val="auto"/>
                <w:lang w:val="en-US" w:eastAsia="zh-CN"/>
              </w:rPr>
              <w:t>参照《村镇生活污染防治最佳可行技术指南（试行）》（HJ-BAT-9）“4.1.3.1 三格式化粪池法”中给出的三级化粪池对污染物的去除效率（COD：40%～50%，SS：60%～70%，动植物油：80%～90%，致病菌寄生虫卵：不小于95%，TN：不大于20%，TP：不大于20%），BOD</w:t>
            </w:r>
            <w:r>
              <w:rPr>
                <w:rFonts w:hint="eastAsia"/>
                <w:color w:val="auto"/>
                <w:vertAlign w:val="subscript"/>
                <w:lang w:val="en-US" w:eastAsia="zh-CN"/>
              </w:rPr>
              <w:t>5</w:t>
            </w:r>
            <w:r>
              <w:rPr>
                <w:rFonts w:hint="eastAsia"/>
                <w:color w:val="auto"/>
                <w:lang w:val="en-US" w:eastAsia="zh-CN"/>
              </w:rPr>
              <w:t>的去除率参照CODcr的去除率。本评价化粪池对污染物的去除效率取值为CODcr：40%，BOD</w:t>
            </w:r>
            <w:r>
              <w:rPr>
                <w:rFonts w:hint="eastAsia"/>
                <w:color w:val="auto"/>
                <w:vertAlign w:val="subscript"/>
                <w:lang w:val="en-US" w:eastAsia="zh-CN"/>
              </w:rPr>
              <w:t>5</w:t>
            </w:r>
            <w:r>
              <w:rPr>
                <w:rFonts w:hint="eastAsia"/>
                <w:color w:val="auto"/>
                <w:lang w:val="en-US" w:eastAsia="zh-CN"/>
              </w:rPr>
              <w:t>：40%，SS：60%，氨氮：20%、动植物油：80%。则生活污水的产排情况详见下表4-9：</w:t>
            </w:r>
          </w:p>
          <w:p w14:paraId="4B0CE2CB">
            <w:pPr>
              <w:bidi w:val="0"/>
              <w:spacing w:line="240" w:lineRule="auto"/>
              <w:ind w:left="0" w:leftChars="0" w:firstLine="0" w:firstLineChars="0"/>
              <w:jc w:val="center"/>
              <w:rPr>
                <w:rFonts w:hint="eastAsia"/>
                <w:color w:val="auto"/>
                <w:lang w:val="en-US" w:eastAsia="zh-CN"/>
              </w:rPr>
            </w:pPr>
            <w:r>
              <w:rPr>
                <w:rFonts w:hint="eastAsia"/>
                <w:b/>
                <w:bCs/>
                <w:color w:val="auto"/>
                <w:sz w:val="21"/>
                <w:szCs w:val="21"/>
                <w:lang w:val="en-US" w:eastAsia="zh-CN"/>
              </w:rPr>
              <w:t>表4-9   营运期生活污水污染物产排情况一览表</w:t>
            </w:r>
          </w:p>
          <w:tbl>
            <w:tblPr>
              <w:tblStyle w:val="30"/>
              <w:tblW w:w="81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1641"/>
              <w:gridCol w:w="1059"/>
              <w:gridCol w:w="1005"/>
              <w:gridCol w:w="1181"/>
              <w:gridCol w:w="1075"/>
              <w:gridCol w:w="1122"/>
            </w:tblGrid>
            <w:tr w14:paraId="3AD90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7" w:type="pct"/>
                  <w:tcBorders>
                    <w:tl2br w:val="nil"/>
                    <w:tr2bl w:val="nil"/>
                  </w:tcBorders>
                  <w:noWrap w:val="0"/>
                  <w:vAlign w:val="center"/>
                </w:tcPr>
                <w:p w14:paraId="34D084D7">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种类</w:t>
                  </w:r>
                </w:p>
              </w:tc>
              <w:tc>
                <w:tcPr>
                  <w:tcW w:w="1006" w:type="pct"/>
                  <w:tcBorders>
                    <w:tl2br w:val="nil"/>
                    <w:tr2bl w:val="nil"/>
                  </w:tcBorders>
                  <w:noWrap w:val="0"/>
                  <w:vAlign w:val="center"/>
                </w:tcPr>
                <w:p w14:paraId="1189A0E1">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指标</w:t>
                  </w:r>
                </w:p>
              </w:tc>
              <w:tc>
                <w:tcPr>
                  <w:tcW w:w="649" w:type="pct"/>
                  <w:tcBorders>
                    <w:tl2br w:val="nil"/>
                    <w:tr2bl w:val="nil"/>
                  </w:tcBorders>
                  <w:noWrap w:val="0"/>
                  <w:vAlign w:val="center"/>
                </w:tcPr>
                <w:p w14:paraId="70BA8CBE">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COD</w:t>
                  </w:r>
                  <w:r>
                    <w:rPr>
                      <w:rFonts w:hint="eastAsia" w:ascii="Times New Roman" w:hAnsi="Times New Roman" w:cs="Times New Roman"/>
                      <w:color w:val="auto"/>
                      <w:highlight w:val="none"/>
                      <w:lang w:val="en-US" w:eastAsia="zh-CN"/>
                    </w:rPr>
                    <w:t>cr</w:t>
                  </w:r>
                </w:p>
              </w:tc>
              <w:tc>
                <w:tcPr>
                  <w:tcW w:w="616" w:type="pct"/>
                  <w:tcBorders>
                    <w:tl2br w:val="nil"/>
                    <w:tr2bl w:val="nil"/>
                  </w:tcBorders>
                  <w:noWrap w:val="0"/>
                  <w:vAlign w:val="center"/>
                </w:tcPr>
                <w:p w14:paraId="6B9B2DDB">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BOD</w:t>
                  </w:r>
                  <w:r>
                    <w:rPr>
                      <w:rFonts w:hint="default" w:ascii="Times New Roman" w:hAnsi="Times New Roman" w:cs="Times New Roman"/>
                      <w:color w:val="auto"/>
                      <w:highlight w:val="none"/>
                      <w:vertAlign w:val="subscript"/>
                      <w:lang w:val="en-US" w:eastAsia="zh-CN"/>
                    </w:rPr>
                    <w:t>5</w:t>
                  </w:r>
                </w:p>
              </w:tc>
              <w:tc>
                <w:tcPr>
                  <w:tcW w:w="724" w:type="pct"/>
                  <w:tcBorders>
                    <w:tl2br w:val="nil"/>
                    <w:tr2bl w:val="nil"/>
                  </w:tcBorders>
                  <w:noWrap w:val="0"/>
                  <w:vAlign w:val="center"/>
                </w:tcPr>
                <w:p w14:paraId="79945B6B">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氨氮</w:t>
                  </w:r>
                </w:p>
              </w:tc>
              <w:tc>
                <w:tcPr>
                  <w:tcW w:w="659" w:type="pct"/>
                  <w:tcBorders>
                    <w:tl2br w:val="nil"/>
                    <w:tr2bl w:val="nil"/>
                  </w:tcBorders>
                  <w:noWrap w:val="0"/>
                  <w:vAlign w:val="center"/>
                </w:tcPr>
                <w:p w14:paraId="25CD42F1">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SS</w:t>
                  </w:r>
                </w:p>
              </w:tc>
              <w:tc>
                <w:tcPr>
                  <w:tcW w:w="685" w:type="pct"/>
                  <w:tcBorders>
                    <w:tl2br w:val="nil"/>
                    <w:tr2bl w:val="nil"/>
                  </w:tcBorders>
                  <w:noWrap w:val="0"/>
                  <w:vAlign w:val="center"/>
                </w:tcPr>
                <w:p w14:paraId="224B931B">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rPr>
                  </w:pPr>
                  <w:r>
                    <w:rPr>
                      <w:rFonts w:hint="eastAsia"/>
                      <w:color w:val="auto"/>
                      <w:lang w:val="en-US" w:eastAsia="zh-CN"/>
                    </w:rPr>
                    <w:t>动植物油</w:t>
                  </w:r>
                </w:p>
              </w:tc>
            </w:tr>
            <w:tr w14:paraId="755D1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7" w:type="pct"/>
                  <w:vMerge w:val="restart"/>
                  <w:tcBorders>
                    <w:tl2br w:val="nil"/>
                    <w:tr2bl w:val="nil"/>
                  </w:tcBorders>
                  <w:noWrap w:val="0"/>
                  <w:vAlign w:val="center"/>
                </w:tcPr>
                <w:p w14:paraId="04CDCCE3">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生活污水</w:t>
                  </w:r>
                </w:p>
                <w:p w14:paraId="387113AC">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1386m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/a</w:t>
                  </w:r>
                </w:p>
              </w:tc>
              <w:tc>
                <w:tcPr>
                  <w:tcW w:w="1006" w:type="pct"/>
                  <w:tcBorders>
                    <w:tl2br w:val="nil"/>
                    <w:tr2bl w:val="nil"/>
                  </w:tcBorders>
                  <w:noWrap w:val="0"/>
                  <w:vAlign w:val="center"/>
                </w:tcPr>
                <w:p w14:paraId="251A3CF5">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处理前产生浓度</w:t>
                  </w:r>
                  <w:r>
                    <w:rPr>
                      <w:rFonts w:hint="eastAsia" w:ascii="Times New Roman" w:hAnsi="Times New Roman" w:eastAsia="宋体" w:cs="Times New Roman"/>
                      <w:b w:val="0"/>
                      <w:color w:val="auto"/>
                      <w:kern w:val="2"/>
                      <w:sz w:val="21"/>
                      <w:szCs w:val="24"/>
                      <w:highlight w:val="none"/>
                      <w:lang w:val="en-US" w:eastAsia="zh-CN" w:bidi="ar-SA"/>
                    </w:rPr>
                    <w:t>（mg/L）</w:t>
                  </w:r>
                </w:p>
              </w:tc>
              <w:tc>
                <w:tcPr>
                  <w:tcW w:w="649" w:type="pct"/>
                  <w:tcBorders>
                    <w:tl2br w:val="nil"/>
                    <w:tr2bl w:val="nil"/>
                  </w:tcBorders>
                  <w:noWrap w:val="0"/>
                  <w:vAlign w:val="center"/>
                </w:tcPr>
                <w:p w14:paraId="5A658F90">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b w:val="0"/>
                      <w:color w:val="auto"/>
                      <w:kern w:val="2"/>
                      <w:sz w:val="21"/>
                      <w:szCs w:val="24"/>
                      <w:highlight w:val="none"/>
                      <w:lang w:val="en-US" w:eastAsia="zh-CN" w:bidi="ar-SA"/>
                    </w:rPr>
                  </w:pPr>
                  <w:r>
                    <w:rPr>
                      <w:rFonts w:hint="eastAsia" w:ascii="Times New Roman" w:hAnsi="Times New Roman" w:cs="Times New Roman"/>
                      <w:b w:val="0"/>
                      <w:color w:val="auto"/>
                      <w:kern w:val="2"/>
                      <w:sz w:val="21"/>
                      <w:szCs w:val="24"/>
                      <w:highlight w:val="none"/>
                      <w:lang w:val="en-US" w:eastAsia="zh-CN" w:bidi="ar-SA"/>
                    </w:rPr>
                    <w:t>460</w:t>
                  </w:r>
                </w:p>
              </w:tc>
              <w:tc>
                <w:tcPr>
                  <w:tcW w:w="616" w:type="pct"/>
                  <w:tcBorders>
                    <w:tl2br w:val="nil"/>
                    <w:tr2bl w:val="nil"/>
                  </w:tcBorders>
                  <w:noWrap w:val="0"/>
                  <w:vAlign w:val="center"/>
                </w:tcPr>
                <w:p w14:paraId="69400154">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cs="Times New Roman"/>
                      <w:b w:val="0"/>
                      <w:color w:val="auto"/>
                      <w:kern w:val="2"/>
                      <w:sz w:val="21"/>
                      <w:szCs w:val="24"/>
                      <w:highlight w:val="none"/>
                      <w:lang w:val="en-US" w:eastAsia="zh-CN" w:bidi="ar-SA"/>
                    </w:rPr>
                    <w:t>180</w:t>
                  </w:r>
                </w:p>
              </w:tc>
              <w:tc>
                <w:tcPr>
                  <w:tcW w:w="724" w:type="pct"/>
                  <w:tcBorders>
                    <w:tl2br w:val="nil"/>
                    <w:tr2bl w:val="nil"/>
                  </w:tcBorders>
                  <w:noWrap w:val="0"/>
                  <w:vAlign w:val="center"/>
                </w:tcPr>
                <w:p w14:paraId="69D353F8">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cs="Times New Roman"/>
                      <w:b w:val="0"/>
                      <w:color w:val="auto"/>
                      <w:kern w:val="2"/>
                      <w:sz w:val="21"/>
                      <w:szCs w:val="24"/>
                      <w:highlight w:val="none"/>
                      <w:lang w:val="en-US" w:eastAsia="zh-CN" w:bidi="ar-SA"/>
                    </w:rPr>
                    <w:t>52.2</w:t>
                  </w:r>
                </w:p>
              </w:tc>
              <w:tc>
                <w:tcPr>
                  <w:tcW w:w="659" w:type="pct"/>
                  <w:tcBorders>
                    <w:tl2br w:val="nil"/>
                    <w:tr2bl w:val="nil"/>
                  </w:tcBorders>
                  <w:noWrap w:val="0"/>
                  <w:vAlign w:val="center"/>
                </w:tcPr>
                <w:p w14:paraId="1BE984FB">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250</w:t>
                  </w:r>
                </w:p>
              </w:tc>
              <w:tc>
                <w:tcPr>
                  <w:tcW w:w="685" w:type="pct"/>
                  <w:tcBorders>
                    <w:tl2br w:val="nil"/>
                    <w:tr2bl w:val="nil"/>
                  </w:tcBorders>
                  <w:noWrap w:val="0"/>
                  <w:vAlign w:val="center"/>
                </w:tcPr>
                <w:p w14:paraId="3100E1AF">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75</w:t>
                  </w:r>
                </w:p>
              </w:tc>
            </w:tr>
            <w:tr w14:paraId="26226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7" w:type="pct"/>
                  <w:vMerge w:val="continue"/>
                  <w:tcBorders>
                    <w:tl2br w:val="nil"/>
                    <w:tr2bl w:val="nil"/>
                  </w:tcBorders>
                  <w:noWrap w:val="0"/>
                  <w:vAlign w:val="center"/>
                </w:tcPr>
                <w:p w14:paraId="022DB867">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rPr>
                  </w:pPr>
                </w:p>
              </w:tc>
              <w:tc>
                <w:tcPr>
                  <w:tcW w:w="1006" w:type="pct"/>
                  <w:tcBorders>
                    <w:tl2br w:val="nil"/>
                    <w:tr2bl w:val="nil"/>
                  </w:tcBorders>
                  <w:noWrap w:val="0"/>
                  <w:vAlign w:val="center"/>
                </w:tcPr>
                <w:p w14:paraId="66200F5E">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产生量</w:t>
                  </w:r>
                </w:p>
              </w:tc>
              <w:tc>
                <w:tcPr>
                  <w:tcW w:w="649" w:type="pct"/>
                  <w:tcBorders>
                    <w:tl2br w:val="nil"/>
                    <w:tr2bl w:val="nil"/>
                  </w:tcBorders>
                  <w:noWrap w:val="0"/>
                  <w:vAlign w:val="center"/>
                </w:tcPr>
                <w:p w14:paraId="6F8CC75F">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0.64</w:t>
                  </w:r>
                </w:p>
              </w:tc>
              <w:tc>
                <w:tcPr>
                  <w:tcW w:w="616" w:type="pct"/>
                  <w:tcBorders>
                    <w:tl2br w:val="nil"/>
                    <w:tr2bl w:val="nil"/>
                  </w:tcBorders>
                  <w:noWrap w:val="0"/>
                  <w:vAlign w:val="center"/>
                </w:tcPr>
                <w:p w14:paraId="72380DA3">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0.25</w:t>
                  </w:r>
                </w:p>
              </w:tc>
              <w:tc>
                <w:tcPr>
                  <w:tcW w:w="724" w:type="pct"/>
                  <w:tcBorders>
                    <w:tl2br w:val="nil"/>
                    <w:tr2bl w:val="nil"/>
                  </w:tcBorders>
                  <w:noWrap w:val="0"/>
                  <w:vAlign w:val="center"/>
                </w:tcPr>
                <w:p w14:paraId="2D007A1A">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0.07</w:t>
                  </w:r>
                </w:p>
              </w:tc>
              <w:tc>
                <w:tcPr>
                  <w:tcW w:w="659" w:type="pct"/>
                  <w:tcBorders>
                    <w:tl2br w:val="nil"/>
                    <w:tr2bl w:val="nil"/>
                  </w:tcBorders>
                  <w:noWrap w:val="0"/>
                  <w:vAlign w:val="center"/>
                </w:tcPr>
                <w:p w14:paraId="7AA7793E">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0.35</w:t>
                  </w:r>
                </w:p>
              </w:tc>
              <w:tc>
                <w:tcPr>
                  <w:tcW w:w="685" w:type="pct"/>
                  <w:tcBorders>
                    <w:tl2br w:val="nil"/>
                    <w:tr2bl w:val="nil"/>
                  </w:tcBorders>
                  <w:noWrap w:val="0"/>
                  <w:vAlign w:val="center"/>
                </w:tcPr>
                <w:p w14:paraId="4467B9DE">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0.104</w:t>
                  </w:r>
                </w:p>
              </w:tc>
            </w:tr>
            <w:tr w14:paraId="14227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7" w:type="pct"/>
                  <w:vMerge w:val="continue"/>
                  <w:tcBorders>
                    <w:tl2br w:val="nil"/>
                    <w:tr2bl w:val="nil"/>
                  </w:tcBorders>
                  <w:noWrap w:val="0"/>
                  <w:vAlign w:val="center"/>
                </w:tcPr>
                <w:p w14:paraId="4EEC5F96">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rPr>
                  </w:pPr>
                </w:p>
              </w:tc>
              <w:tc>
                <w:tcPr>
                  <w:tcW w:w="1006" w:type="pct"/>
                  <w:tcBorders>
                    <w:tl2br w:val="nil"/>
                    <w:tr2bl w:val="nil"/>
                  </w:tcBorders>
                  <w:noWrap w:val="0"/>
                  <w:vAlign w:val="center"/>
                </w:tcPr>
                <w:p w14:paraId="711DE687">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处理效率</w:t>
                  </w:r>
                </w:p>
              </w:tc>
              <w:tc>
                <w:tcPr>
                  <w:tcW w:w="649" w:type="pct"/>
                  <w:tcBorders>
                    <w:tl2br w:val="nil"/>
                    <w:tr2bl w:val="nil"/>
                  </w:tcBorders>
                  <w:noWrap w:val="0"/>
                  <w:vAlign w:val="center"/>
                </w:tcPr>
                <w:p w14:paraId="34F779ED">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40%</w:t>
                  </w:r>
                </w:p>
              </w:tc>
              <w:tc>
                <w:tcPr>
                  <w:tcW w:w="616" w:type="pct"/>
                  <w:tcBorders>
                    <w:tl2br w:val="nil"/>
                    <w:tr2bl w:val="nil"/>
                  </w:tcBorders>
                  <w:noWrap w:val="0"/>
                  <w:vAlign w:val="center"/>
                </w:tcPr>
                <w:p w14:paraId="7D96C94B">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40%</w:t>
                  </w:r>
                </w:p>
              </w:tc>
              <w:tc>
                <w:tcPr>
                  <w:tcW w:w="724" w:type="pct"/>
                  <w:tcBorders>
                    <w:tl2br w:val="nil"/>
                    <w:tr2bl w:val="nil"/>
                  </w:tcBorders>
                  <w:noWrap w:val="0"/>
                  <w:vAlign w:val="center"/>
                </w:tcPr>
                <w:p w14:paraId="343BB241">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20%</w:t>
                  </w:r>
                </w:p>
              </w:tc>
              <w:tc>
                <w:tcPr>
                  <w:tcW w:w="659" w:type="pct"/>
                  <w:tcBorders>
                    <w:tl2br w:val="nil"/>
                    <w:tr2bl w:val="nil"/>
                  </w:tcBorders>
                  <w:noWrap w:val="0"/>
                  <w:vAlign w:val="center"/>
                </w:tcPr>
                <w:p w14:paraId="526A53B8">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60%</w:t>
                  </w:r>
                </w:p>
              </w:tc>
              <w:tc>
                <w:tcPr>
                  <w:tcW w:w="685" w:type="pct"/>
                  <w:tcBorders>
                    <w:tl2br w:val="nil"/>
                    <w:tr2bl w:val="nil"/>
                  </w:tcBorders>
                  <w:noWrap w:val="0"/>
                  <w:vAlign w:val="center"/>
                </w:tcPr>
                <w:p w14:paraId="2AB6B262">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80%</w:t>
                  </w:r>
                </w:p>
              </w:tc>
            </w:tr>
            <w:tr w14:paraId="5E0E9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7" w:type="pct"/>
                  <w:vMerge w:val="continue"/>
                  <w:tcBorders>
                    <w:tl2br w:val="nil"/>
                    <w:tr2bl w:val="nil"/>
                  </w:tcBorders>
                  <w:noWrap w:val="0"/>
                  <w:vAlign w:val="center"/>
                </w:tcPr>
                <w:p w14:paraId="2354C755">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rPr>
                  </w:pPr>
                </w:p>
              </w:tc>
              <w:tc>
                <w:tcPr>
                  <w:tcW w:w="1006" w:type="pct"/>
                  <w:tcBorders>
                    <w:tl2br w:val="nil"/>
                    <w:tr2bl w:val="nil"/>
                  </w:tcBorders>
                  <w:noWrap w:val="0"/>
                  <w:vAlign w:val="center"/>
                </w:tcPr>
                <w:p w14:paraId="6FD5489E">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处理后排放浓度</w:t>
                  </w:r>
                  <w:r>
                    <w:rPr>
                      <w:rFonts w:hint="eastAsia" w:ascii="Times New Roman" w:hAnsi="Times New Roman" w:eastAsia="宋体" w:cs="Times New Roman"/>
                      <w:b w:val="0"/>
                      <w:color w:val="auto"/>
                      <w:kern w:val="2"/>
                      <w:sz w:val="21"/>
                      <w:szCs w:val="24"/>
                      <w:highlight w:val="none"/>
                      <w:lang w:val="en-US" w:eastAsia="zh-CN" w:bidi="ar-SA"/>
                    </w:rPr>
                    <w:t>（mg/L）</w:t>
                  </w:r>
                </w:p>
              </w:tc>
              <w:tc>
                <w:tcPr>
                  <w:tcW w:w="649" w:type="pct"/>
                  <w:tcBorders>
                    <w:tl2br w:val="nil"/>
                    <w:tr2bl w:val="nil"/>
                  </w:tcBorders>
                  <w:noWrap w:val="0"/>
                  <w:vAlign w:val="center"/>
                </w:tcPr>
                <w:p w14:paraId="58A5F3E5">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276</w:t>
                  </w:r>
                </w:p>
              </w:tc>
              <w:tc>
                <w:tcPr>
                  <w:tcW w:w="616" w:type="pct"/>
                  <w:tcBorders>
                    <w:tl2br w:val="nil"/>
                    <w:tr2bl w:val="nil"/>
                  </w:tcBorders>
                  <w:noWrap w:val="0"/>
                  <w:vAlign w:val="center"/>
                </w:tcPr>
                <w:p w14:paraId="1CBFEC49">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108</w:t>
                  </w:r>
                </w:p>
              </w:tc>
              <w:tc>
                <w:tcPr>
                  <w:tcW w:w="724" w:type="pct"/>
                  <w:tcBorders>
                    <w:tl2br w:val="nil"/>
                    <w:tr2bl w:val="nil"/>
                  </w:tcBorders>
                  <w:noWrap w:val="0"/>
                  <w:vAlign w:val="center"/>
                </w:tcPr>
                <w:p w14:paraId="7884397B">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41.76</w:t>
                  </w:r>
                </w:p>
              </w:tc>
              <w:tc>
                <w:tcPr>
                  <w:tcW w:w="659" w:type="pct"/>
                  <w:tcBorders>
                    <w:tl2br w:val="nil"/>
                    <w:tr2bl w:val="nil"/>
                  </w:tcBorders>
                  <w:noWrap w:val="0"/>
                  <w:vAlign w:val="center"/>
                </w:tcPr>
                <w:p w14:paraId="4AFEE590">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100</w:t>
                  </w:r>
                </w:p>
              </w:tc>
              <w:tc>
                <w:tcPr>
                  <w:tcW w:w="685" w:type="pct"/>
                  <w:tcBorders>
                    <w:tl2br w:val="nil"/>
                    <w:tr2bl w:val="nil"/>
                  </w:tcBorders>
                  <w:noWrap w:val="0"/>
                  <w:vAlign w:val="center"/>
                </w:tcPr>
                <w:p w14:paraId="3FFB9B97">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w:t>
                  </w:r>
                </w:p>
              </w:tc>
            </w:tr>
            <w:tr w14:paraId="7DA10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7" w:type="pct"/>
                  <w:vMerge w:val="continue"/>
                  <w:tcBorders>
                    <w:tl2br w:val="nil"/>
                    <w:tr2bl w:val="nil"/>
                  </w:tcBorders>
                  <w:noWrap w:val="0"/>
                  <w:vAlign w:val="center"/>
                </w:tcPr>
                <w:p w14:paraId="2232D4F2">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rPr>
                  </w:pPr>
                </w:p>
              </w:tc>
              <w:tc>
                <w:tcPr>
                  <w:tcW w:w="1006" w:type="pct"/>
                  <w:tcBorders>
                    <w:tl2br w:val="nil"/>
                    <w:tr2bl w:val="nil"/>
                  </w:tcBorders>
                  <w:noWrap w:val="0"/>
                  <w:vAlign w:val="center"/>
                </w:tcPr>
                <w:p w14:paraId="5357CF51">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排放量</w:t>
                  </w:r>
                </w:p>
              </w:tc>
              <w:tc>
                <w:tcPr>
                  <w:tcW w:w="649" w:type="pct"/>
                  <w:tcBorders>
                    <w:tl2br w:val="nil"/>
                    <w:tr2bl w:val="nil"/>
                  </w:tcBorders>
                  <w:noWrap w:val="0"/>
                  <w:vAlign w:val="center"/>
                </w:tcPr>
                <w:p w14:paraId="21444DE8">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0.384</w:t>
                  </w:r>
                </w:p>
              </w:tc>
              <w:tc>
                <w:tcPr>
                  <w:tcW w:w="616" w:type="pct"/>
                  <w:tcBorders>
                    <w:tl2br w:val="nil"/>
                    <w:tr2bl w:val="nil"/>
                  </w:tcBorders>
                  <w:noWrap w:val="0"/>
                  <w:vAlign w:val="center"/>
                </w:tcPr>
                <w:p w14:paraId="4538B426">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0.15</w:t>
                  </w:r>
                </w:p>
              </w:tc>
              <w:tc>
                <w:tcPr>
                  <w:tcW w:w="724" w:type="pct"/>
                  <w:tcBorders>
                    <w:tl2br w:val="nil"/>
                    <w:tr2bl w:val="nil"/>
                  </w:tcBorders>
                  <w:noWrap w:val="0"/>
                  <w:vAlign w:val="center"/>
                </w:tcPr>
                <w:p w14:paraId="52D18B73">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0.056</w:t>
                  </w:r>
                </w:p>
              </w:tc>
              <w:tc>
                <w:tcPr>
                  <w:tcW w:w="659" w:type="pct"/>
                  <w:tcBorders>
                    <w:tl2br w:val="nil"/>
                    <w:tr2bl w:val="nil"/>
                  </w:tcBorders>
                  <w:noWrap w:val="0"/>
                  <w:vAlign w:val="center"/>
                </w:tcPr>
                <w:p w14:paraId="6C408BF8">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0.14</w:t>
                  </w:r>
                </w:p>
              </w:tc>
              <w:tc>
                <w:tcPr>
                  <w:tcW w:w="685" w:type="pct"/>
                  <w:tcBorders>
                    <w:tl2br w:val="nil"/>
                    <w:tr2bl w:val="nil"/>
                  </w:tcBorders>
                  <w:noWrap w:val="0"/>
                  <w:vAlign w:val="center"/>
                </w:tcPr>
                <w:p w14:paraId="2D64A8C9">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0.021</w:t>
                  </w:r>
                </w:p>
              </w:tc>
            </w:tr>
            <w:tr w14:paraId="5F56B6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7" w:type="pct"/>
                  <w:vMerge w:val="continue"/>
                  <w:tcBorders>
                    <w:tl2br w:val="nil"/>
                    <w:tr2bl w:val="nil"/>
                  </w:tcBorders>
                  <w:noWrap w:val="0"/>
                  <w:vAlign w:val="center"/>
                </w:tcPr>
                <w:p w14:paraId="344522D9">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rPr>
                  </w:pPr>
                </w:p>
              </w:tc>
              <w:tc>
                <w:tcPr>
                  <w:tcW w:w="1006" w:type="pct"/>
                  <w:tcBorders>
                    <w:tl2br w:val="nil"/>
                    <w:tr2bl w:val="nil"/>
                  </w:tcBorders>
                  <w:noWrap w:val="0"/>
                  <w:vAlign w:val="center"/>
                </w:tcPr>
                <w:p w14:paraId="170A2E3B">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排放限值</w:t>
                  </w:r>
                </w:p>
              </w:tc>
              <w:tc>
                <w:tcPr>
                  <w:tcW w:w="649" w:type="pct"/>
                  <w:tcBorders>
                    <w:tl2br w:val="nil"/>
                    <w:tr2bl w:val="nil"/>
                  </w:tcBorders>
                  <w:noWrap w:val="0"/>
                  <w:vAlign w:val="center"/>
                </w:tcPr>
                <w:p w14:paraId="2297E900">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500</w:t>
                  </w:r>
                </w:p>
              </w:tc>
              <w:tc>
                <w:tcPr>
                  <w:tcW w:w="616" w:type="pct"/>
                  <w:tcBorders>
                    <w:tl2br w:val="nil"/>
                    <w:tr2bl w:val="nil"/>
                  </w:tcBorders>
                  <w:noWrap w:val="0"/>
                  <w:vAlign w:val="center"/>
                </w:tcPr>
                <w:p w14:paraId="5A1CCF83">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300</w:t>
                  </w:r>
                </w:p>
              </w:tc>
              <w:tc>
                <w:tcPr>
                  <w:tcW w:w="724" w:type="pct"/>
                  <w:tcBorders>
                    <w:tl2br w:val="nil"/>
                    <w:tr2bl w:val="nil"/>
                  </w:tcBorders>
                  <w:noWrap w:val="0"/>
                  <w:vAlign w:val="center"/>
                </w:tcPr>
                <w:p w14:paraId="6CB5E31D">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45</w:t>
                  </w:r>
                </w:p>
              </w:tc>
              <w:tc>
                <w:tcPr>
                  <w:tcW w:w="659" w:type="pct"/>
                  <w:tcBorders>
                    <w:tl2br w:val="nil"/>
                    <w:tr2bl w:val="nil"/>
                  </w:tcBorders>
                  <w:noWrap w:val="0"/>
                  <w:vAlign w:val="center"/>
                </w:tcPr>
                <w:p w14:paraId="4862D640">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300</w:t>
                  </w:r>
                </w:p>
              </w:tc>
              <w:tc>
                <w:tcPr>
                  <w:tcW w:w="685" w:type="pct"/>
                  <w:tcBorders>
                    <w:tl2br w:val="nil"/>
                    <w:tr2bl w:val="nil"/>
                  </w:tcBorders>
                  <w:noWrap w:val="0"/>
                  <w:vAlign w:val="center"/>
                </w:tcPr>
                <w:p w14:paraId="13F7BD44">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100</w:t>
                  </w:r>
                </w:p>
              </w:tc>
            </w:tr>
            <w:tr w14:paraId="124FB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blHeader/>
                <w:jc w:val="center"/>
              </w:trPr>
              <w:tc>
                <w:tcPr>
                  <w:tcW w:w="657" w:type="pct"/>
                  <w:vMerge w:val="continue"/>
                  <w:tcBorders>
                    <w:tl2br w:val="nil"/>
                    <w:tr2bl w:val="nil"/>
                  </w:tcBorders>
                  <w:noWrap w:val="0"/>
                  <w:vAlign w:val="center"/>
                </w:tcPr>
                <w:p w14:paraId="01ECCDB3">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rPr>
                  </w:pPr>
                </w:p>
              </w:tc>
              <w:tc>
                <w:tcPr>
                  <w:tcW w:w="1006" w:type="pct"/>
                  <w:tcBorders>
                    <w:tl2br w:val="nil"/>
                    <w:tr2bl w:val="nil"/>
                  </w:tcBorders>
                  <w:noWrap w:val="0"/>
                  <w:vAlign w:val="center"/>
                </w:tcPr>
                <w:p w14:paraId="072ECC29">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执行标准</w:t>
                  </w:r>
                </w:p>
              </w:tc>
              <w:tc>
                <w:tcPr>
                  <w:tcW w:w="3336" w:type="pct"/>
                  <w:gridSpan w:val="5"/>
                  <w:tcBorders>
                    <w:tl2br w:val="nil"/>
                    <w:tr2bl w:val="nil"/>
                  </w:tcBorders>
                  <w:noWrap w:val="0"/>
                  <w:vAlign w:val="center"/>
                </w:tcPr>
                <w:p w14:paraId="36B38709">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《污水综合排放标准》（GB8978-1996）表4三级标准和《污水排入城镇下水道水质标准》（GB/T31962-2015）表1中B级排放标准</w:t>
                  </w:r>
                </w:p>
              </w:tc>
            </w:tr>
          </w:tbl>
          <w:p w14:paraId="7BEC1104">
            <w:pPr>
              <w:pStyle w:val="29"/>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宋体" w:hAnsi="宋体" w:eastAsia="宋体" w:cs="宋体"/>
                <w:color w:val="auto"/>
                <w:lang w:val="en-US" w:eastAsia="zh-CN"/>
              </w:rPr>
            </w:pPr>
            <w:r>
              <w:rPr>
                <w:rFonts w:hint="default" w:ascii="Times New Roman" w:hAnsi="Times New Roman" w:eastAsia="宋体" w:cs="Times New Roman"/>
                <w:color w:val="auto"/>
                <w:lang w:val="en-US" w:eastAsia="zh-CN"/>
              </w:rPr>
              <w:t>（2）废水治理措施及可行性分析</w:t>
            </w:r>
          </w:p>
          <w:p w14:paraId="486637EF">
            <w:pPr>
              <w:pStyle w:val="29"/>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本项目生活污水经化粪池处理后达到《污水综合排放标准》（GB8978-1996）表4三级标准和《污水排入城镇下水道水质标准》（GB/T31962-2015）表1中B级排放标准后</w:t>
            </w:r>
            <w:r>
              <w:rPr>
                <w:rFonts w:hint="eastAsia" w:eastAsia="宋体" w:cs="Times New Roman"/>
                <w:color w:val="auto"/>
                <w:lang w:val="en-US" w:eastAsia="zh-CN"/>
              </w:rPr>
              <w:t>排入园区污水管线后进入长青工业园</w:t>
            </w:r>
            <w:r>
              <w:rPr>
                <w:rFonts w:hint="default" w:ascii="Times New Roman" w:hAnsi="Times New Roman" w:eastAsia="宋体" w:cs="Times New Roman"/>
                <w:color w:val="auto"/>
                <w:sz w:val="24"/>
                <w:szCs w:val="24"/>
                <w:lang w:val="en-US" w:eastAsia="zh-CN"/>
              </w:rPr>
              <w:t>污水处理厂（宝鸡天龙污水处理有限公司）处理。</w:t>
            </w:r>
          </w:p>
          <w:p w14:paraId="5E4C6814">
            <w:pPr>
              <w:pStyle w:val="29"/>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三级化粪池工作原理：利用沉淀和厌氧发酵原理去除废水中悬浮物质的处理设备。大致来讲，分为四步：过滤沉淀—厌氧发酵—固体物分解—废水排放。</w:t>
            </w:r>
          </w:p>
          <w:p w14:paraId="3A7AF087">
            <w:pPr>
              <w:pStyle w:val="29"/>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污水首先由进水口排到第一格，在第一格里比重较大的固体物及寄生虫卵等物沉淀下来，开始初步的发酵分解，经第一格处理过的污水可分为三层：糊状粪皮、比较澄清的粪液、和固体状的固体残渣。经过初步分解的粪液流入第二格，而漂浮在上面的粪皮和沉积在下面的固体残渣则留在第一格继续发酵。在第二格中，粪液继续发酵分解，虫卵继续下沉，病原体逐渐死亡，粪液得到进一步无害化处理，产生的粪皮和粪渣厚度比第一格显著减少。流入第三格的粪液一般已经腐熟，其中病菌和寄生虫</w:t>
            </w:r>
            <w:r>
              <w:rPr>
                <w:rFonts w:hint="default" w:ascii="Times New Roman" w:hAnsi="Times New Roman" w:eastAsia="宋体" w:cs="Times New Roman"/>
                <w:color w:val="auto"/>
                <w:lang w:val="en-US" w:eastAsia="zh-CN"/>
              </w:rPr>
              <w:t>卵已基本杀灭。第三格功能主要起暂时储存已基本无害的粪液作用。本项目设置的三级化粪池容积为8m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，项目</w:t>
            </w:r>
            <w:r>
              <w:rPr>
                <w:rFonts w:hint="eastAsia" w:ascii="宋体" w:hAnsi="宋体" w:eastAsia="宋体" w:cs="宋体"/>
                <w:color w:val="auto"/>
                <w:lang w:val="en-US" w:eastAsia="zh-CN"/>
              </w:rPr>
              <w:t>生活污水经三级化粪池预处理后排入</w:t>
            </w:r>
            <w:r>
              <w:rPr>
                <w:rFonts w:hint="default" w:ascii="Times New Roman" w:hAnsi="Times New Roman" w:eastAsia="宋体" w:cs="Times New Roman"/>
                <w:color w:val="auto"/>
                <w:sz w:val="24"/>
                <w:szCs w:val="24"/>
                <w:lang w:val="en-US" w:eastAsia="zh-CN"/>
              </w:rPr>
              <w:t>长青工业园污水处理厂</w:t>
            </w:r>
            <w:r>
              <w:rPr>
                <w:rFonts w:hint="eastAsia" w:ascii="宋体" w:hAnsi="宋体" w:eastAsia="宋体" w:cs="宋体"/>
                <w:color w:val="auto"/>
                <w:lang w:val="en-US" w:eastAsia="zh-CN"/>
              </w:rPr>
              <w:t>处理是可行的，项目产生的废水不会对周边水环境产生明显影响。</w:t>
            </w:r>
          </w:p>
          <w:p w14:paraId="707D5109">
            <w:pPr>
              <w:ind w:firstLine="480"/>
              <w:rPr>
                <w:rFonts w:hint="eastAsia" w:ascii="宋体" w:hAnsi="宋体" w:eastAsia="宋体" w:cs="宋体"/>
                <w:color w:val="auto"/>
                <w:lang w:val="en-US" w:eastAsia="zh-CN"/>
              </w:rPr>
            </w:pPr>
            <w:r>
              <w:rPr>
                <w:rFonts w:hint="eastAsia" w:ascii="宋体" w:hAnsi="宋体" w:eastAsia="宋体" w:cs="宋体"/>
                <w:color w:val="auto"/>
                <w:lang w:val="en-US" w:eastAsia="zh-CN"/>
              </w:rPr>
              <w:t>因此，本项目生活污水经三级化粪池处理是可行的。</w:t>
            </w:r>
          </w:p>
          <w:p w14:paraId="4370D9CA">
            <w:pPr>
              <w:ind w:firstLine="480"/>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lang w:val="en-US" w:eastAsia="zh-CN"/>
              </w:rPr>
              <w:t>（</w:t>
            </w:r>
            <w:r>
              <w:rPr>
                <w:rFonts w:hint="eastAsia" w:eastAsia="宋体" w:cs="Times New Roman"/>
                <w:color w:val="000000"/>
                <w:highlight w:val="none"/>
                <w:lang w:val="en-US" w:eastAsia="zh-CN"/>
              </w:rPr>
              <w:t>五</w:t>
            </w:r>
            <w:r>
              <w:rPr>
                <w:rFonts w:hint="default" w:ascii="Times New Roman" w:hAnsi="Times New Roman" w:eastAsia="宋体" w:cs="Times New Roman"/>
                <w:color w:val="000000"/>
                <w:highlight w:val="none"/>
                <w:lang w:val="en-US" w:eastAsia="zh-CN"/>
              </w:rPr>
              <w:t>）依托长青工业园污水处理厂</w:t>
            </w:r>
            <w:r>
              <w:rPr>
                <w:rFonts w:hint="default" w:ascii="Times New Roman" w:hAnsi="Times New Roman" w:eastAsia="宋体" w:cs="Times New Roman"/>
                <w:color w:val="000000"/>
                <w:highlight w:val="none"/>
              </w:rPr>
              <w:t>处理可行性分析</w:t>
            </w:r>
          </w:p>
          <w:p w14:paraId="7D04E7ED">
            <w:pPr>
              <w:pStyle w:val="15"/>
              <w:spacing w:line="360" w:lineRule="auto"/>
              <w:ind w:firstLine="480" w:firstLineChars="200"/>
              <w:rPr>
                <w:rFonts w:hint="default" w:ascii="Times New Roman" w:hAnsi="Times New Roman" w:cs="Times New Roman"/>
                <w:color w:val="000000"/>
                <w:lang w:val="en-US" w:eastAsia="zh-CN"/>
              </w:rPr>
            </w:pPr>
            <w:r>
              <w:rPr>
                <w:rFonts w:hint="default" w:ascii="Times New Roman" w:hAnsi="Times New Roman" w:cs="Times New Roman"/>
                <w:color w:val="000000"/>
                <w:lang w:val="en-US" w:eastAsia="zh-CN"/>
              </w:rPr>
              <w:t>根据长青工业园污水处理厂资料</w:t>
            </w:r>
            <w:r>
              <w:rPr>
                <w:rFonts w:hint="eastAsia" w:ascii="Times New Roman" w:cs="Times New Roman"/>
                <w:color w:val="000000"/>
                <w:lang w:val="en-US" w:eastAsia="zh-CN"/>
              </w:rPr>
              <w:t>，</w:t>
            </w:r>
            <w:r>
              <w:rPr>
                <w:rFonts w:hint="default" w:ascii="Times New Roman" w:hAnsi="Times New Roman" w:cs="Times New Roman"/>
                <w:color w:val="000000"/>
                <w:lang w:val="en-US" w:eastAsia="zh-CN"/>
              </w:rPr>
              <w:t>长青工业园污水处理厂位于凤翔县长青镇和高新区产西村交界处。主要服务范围为长青工业园；</w:t>
            </w:r>
            <w:r>
              <w:rPr>
                <w:rFonts w:hint="eastAsia" w:ascii="Times New Roman" w:cs="Times New Roman"/>
                <w:color w:val="000000"/>
                <w:lang w:val="en-US" w:eastAsia="zh-CN"/>
              </w:rPr>
              <w:t>设计</w:t>
            </w:r>
            <w:r>
              <w:rPr>
                <w:rFonts w:hint="default" w:ascii="Times New Roman" w:hAnsi="Times New Roman" w:cs="Times New Roman"/>
                <w:color w:val="auto"/>
                <w:highlight w:val="none"/>
              </w:rPr>
              <w:t>污水处理规模为</w:t>
            </w:r>
            <w:r>
              <w:rPr>
                <w:rFonts w:hint="eastAsia" w:ascii="Times New Roman" w:cs="Times New Roman"/>
                <w:color w:val="auto"/>
                <w:highlight w:val="none"/>
                <w:lang w:val="en-US" w:eastAsia="zh-CN"/>
              </w:rPr>
              <w:t>1.35万</w:t>
            </w:r>
            <w:r>
              <w:rPr>
                <w:rFonts w:hint="default" w:ascii="Times New Roman" w:hAnsi="Times New Roman" w:cs="Times New Roman"/>
                <w:color w:val="000000"/>
                <w:lang w:val="en-US" w:eastAsia="zh-CN"/>
              </w:rPr>
              <w:t>m</w:t>
            </w:r>
            <w:r>
              <w:rPr>
                <w:rFonts w:hint="default" w:ascii="Times New Roman" w:hAnsi="Times New Roman" w:cs="Times New Roman"/>
                <w:color w:val="000000"/>
                <w:vertAlign w:val="superscript"/>
                <w:lang w:val="en-US" w:eastAsia="zh-CN"/>
              </w:rPr>
              <w:t>3</w:t>
            </w:r>
            <w:r>
              <w:rPr>
                <w:rFonts w:hint="default" w:ascii="Times New Roman" w:hAnsi="Times New Roman" w:cs="Times New Roman"/>
                <w:color w:val="000000"/>
                <w:lang w:val="en-US" w:eastAsia="zh-CN"/>
              </w:rPr>
              <w:t>/d，处理工艺为：</w:t>
            </w:r>
            <w:r>
              <w:rPr>
                <w:rFonts w:hint="default" w:ascii="Times New Roman" w:hAnsi="Times New Roman" w:cs="Times New Roman"/>
                <w:color w:val="auto"/>
                <w:highlight w:val="none"/>
                <w:shd w:val="clear"/>
                <w:lang w:eastAsia="zh-CN"/>
              </w:rPr>
              <w:t>粗、细格栅</w:t>
            </w:r>
            <w:r>
              <w:rPr>
                <w:rFonts w:hint="default" w:ascii="Times New Roman" w:hAnsi="Times New Roman" w:cs="Times New Roman"/>
                <w:color w:val="auto"/>
                <w:highlight w:val="none"/>
                <w:shd w:val="clear"/>
                <w:lang w:val="en-US" w:eastAsia="zh-CN"/>
              </w:rPr>
              <w:t>+</w:t>
            </w:r>
            <w:r>
              <w:rPr>
                <w:rFonts w:hint="default" w:ascii="Times New Roman" w:hAnsi="Times New Roman" w:cs="Times New Roman"/>
                <w:color w:val="auto"/>
                <w:highlight w:val="none"/>
                <w:shd w:val="clear"/>
                <w:lang w:eastAsia="zh-CN"/>
              </w:rPr>
              <w:t>曝气沉砂池</w:t>
            </w:r>
            <w:r>
              <w:rPr>
                <w:rFonts w:hint="default" w:ascii="Times New Roman" w:hAnsi="Times New Roman" w:cs="Times New Roman"/>
                <w:color w:val="auto"/>
                <w:highlight w:val="none"/>
                <w:shd w:val="clear"/>
                <w:lang w:val="en-US" w:eastAsia="zh-CN"/>
              </w:rPr>
              <w:t>+</w:t>
            </w:r>
            <w:r>
              <w:rPr>
                <w:rFonts w:hint="default" w:ascii="Times New Roman" w:hAnsi="Times New Roman" w:cs="Times New Roman"/>
                <w:color w:val="auto"/>
                <w:highlight w:val="none"/>
                <w:shd w:val="clear"/>
                <w:lang w:eastAsia="zh-CN"/>
              </w:rPr>
              <w:t>初沉池</w:t>
            </w:r>
            <w:r>
              <w:rPr>
                <w:rFonts w:hint="default" w:ascii="Times New Roman" w:hAnsi="Times New Roman" w:cs="Times New Roman"/>
                <w:color w:val="auto"/>
                <w:highlight w:val="none"/>
                <w:shd w:val="clear"/>
                <w:lang w:val="en-US" w:eastAsia="zh-CN"/>
              </w:rPr>
              <w:t>+</w:t>
            </w:r>
            <w:r>
              <w:rPr>
                <w:rFonts w:hint="eastAsia" w:ascii="Times New Roman" w:cs="Times New Roman"/>
                <w:color w:val="auto"/>
                <w:highlight w:val="none"/>
                <w:shd w:val="clear"/>
                <w:lang w:val="en-US" w:eastAsia="zh-CN"/>
              </w:rPr>
              <w:t>接触氧化</w:t>
            </w:r>
            <w:r>
              <w:rPr>
                <w:rFonts w:hint="default" w:ascii="Times New Roman" w:hAnsi="Times New Roman" w:cs="Times New Roman"/>
                <w:color w:val="auto"/>
                <w:highlight w:val="none"/>
                <w:shd w:val="clear"/>
                <w:lang w:val="en-US" w:eastAsia="zh-CN"/>
              </w:rPr>
              <w:t>+</w:t>
            </w:r>
            <w:r>
              <w:rPr>
                <w:rFonts w:hint="default" w:ascii="Times New Roman" w:hAnsi="Times New Roman" w:cs="Times New Roman"/>
                <w:color w:val="auto"/>
                <w:highlight w:val="none"/>
                <w:shd w:val="clear"/>
                <w:lang w:eastAsia="zh-CN"/>
              </w:rPr>
              <w:t>高效沉淀池</w:t>
            </w:r>
            <w:r>
              <w:rPr>
                <w:rFonts w:hint="default" w:ascii="Times New Roman" w:hAnsi="Times New Roman" w:cs="Times New Roman"/>
                <w:color w:val="auto"/>
                <w:highlight w:val="none"/>
                <w:shd w:val="clear"/>
                <w:lang w:val="en-US" w:eastAsia="zh-CN"/>
              </w:rPr>
              <w:t>+</w:t>
            </w:r>
            <w:r>
              <w:rPr>
                <w:rFonts w:hint="default" w:ascii="Times New Roman" w:hAnsi="Times New Roman" w:cs="Times New Roman"/>
                <w:color w:val="auto"/>
                <w:highlight w:val="none"/>
                <w:shd w:val="clear"/>
                <w:lang w:eastAsia="zh-CN"/>
              </w:rPr>
              <w:t>砂滤池</w:t>
            </w:r>
            <w:r>
              <w:rPr>
                <w:rFonts w:hint="default" w:ascii="Times New Roman" w:hAnsi="Times New Roman" w:cs="Times New Roman"/>
                <w:color w:val="auto"/>
                <w:highlight w:val="none"/>
                <w:shd w:val="clear"/>
                <w:lang w:val="en-US" w:eastAsia="zh-CN"/>
              </w:rPr>
              <w:t>+</w:t>
            </w:r>
            <w:r>
              <w:rPr>
                <w:rFonts w:hint="default" w:ascii="Times New Roman" w:hAnsi="Times New Roman" w:cs="Times New Roman"/>
                <w:color w:val="000000"/>
                <w:highlight w:val="none"/>
                <w:shd w:val="clear"/>
                <w:lang w:val="en-US" w:eastAsia="zh-CN"/>
              </w:rPr>
              <w:t>液氯消毒</w:t>
            </w:r>
            <w:r>
              <w:rPr>
                <w:rFonts w:hint="default" w:ascii="Times New Roman" w:hAnsi="Times New Roman" w:cs="Times New Roman"/>
                <w:color w:val="auto"/>
                <w:highlight w:val="none"/>
                <w:shd w:val="clear"/>
                <w:lang w:eastAsia="zh-CN"/>
              </w:rPr>
              <w:t>，</w:t>
            </w:r>
            <w:r>
              <w:rPr>
                <w:rFonts w:hint="default" w:ascii="Times New Roman" w:hAnsi="Times New Roman" w:cs="Times New Roman"/>
                <w:color w:val="000000"/>
                <w:lang w:val="en-US" w:eastAsia="zh-CN"/>
              </w:rPr>
              <w:t>出水水质可满足《陕西省黄河流域污水综合排放标准》（DB61/224-2018）中A标准。目前，长青工业园污水处理厂处理容量目前尚有剩余负荷。</w:t>
            </w:r>
          </w:p>
          <w:p w14:paraId="5432AE1C">
            <w:pPr>
              <w:pStyle w:val="15"/>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rPr>
              <w:t>项目位于</w:t>
            </w:r>
            <w:r>
              <w:rPr>
                <w:rFonts w:hint="default" w:ascii="Times New Roman" w:hAnsi="Times New Roman" w:cs="Times New Roman"/>
                <w:color w:val="auto"/>
                <w:sz w:val="24"/>
                <w:szCs w:val="24"/>
                <w:highlight w:val="none"/>
                <w:u w:val="none"/>
                <w:lang w:eastAsia="zh-CN"/>
              </w:rPr>
              <w:t>陕西省宝鸡市凤翔高新区长青工业园</w:t>
            </w:r>
            <w:r>
              <w:rPr>
                <w:rFonts w:hint="default" w:ascii="Times New Roman" w:hAnsi="Times New Roman" w:cs="Times New Roman"/>
                <w:color w:val="auto"/>
                <w:highlight w:val="none"/>
              </w:rPr>
              <w:t>，属于</w:t>
            </w:r>
            <w:r>
              <w:rPr>
                <w:rFonts w:hint="default" w:ascii="Times New Roman" w:hAnsi="Times New Roman" w:cs="Times New Roman"/>
                <w:color w:val="auto"/>
                <w:highlight w:val="none"/>
                <w:lang w:val="en-US" w:eastAsia="zh-CN"/>
              </w:rPr>
              <w:t>长青工业园污水处理厂</w:t>
            </w:r>
            <w:r>
              <w:rPr>
                <w:rFonts w:hint="default" w:ascii="Times New Roman" w:hAnsi="Times New Roman" w:cs="Times New Roman"/>
                <w:color w:val="auto"/>
                <w:highlight w:val="none"/>
              </w:rPr>
              <w:t>纳水范围内</w:t>
            </w:r>
            <w:r>
              <w:rPr>
                <w:rFonts w:hint="default" w:ascii="Times New Roman" w:hAnsi="Times New Roman" w:cs="Times New Roman"/>
                <w:color w:val="000000"/>
                <w:lang w:val="en-US" w:eastAsia="zh-CN"/>
              </w:rPr>
              <w:t>。</w:t>
            </w:r>
            <w:r>
              <w:rPr>
                <w:rFonts w:hint="default" w:ascii="Times New Roman" w:hAnsi="Times New Roman" w:eastAsia="宋体" w:cs="Times New Roman"/>
                <w:color w:val="auto"/>
                <w:sz w:val="24"/>
                <w:szCs w:val="24"/>
                <w:lang w:val="en-US" w:eastAsia="zh-CN"/>
              </w:rPr>
              <w:t>本项目</w:t>
            </w:r>
            <w:r>
              <w:rPr>
                <w:rFonts w:hint="default" w:ascii="Times New Roman" w:hAnsi="Times New Roman" w:cs="Times New Roman"/>
                <w:bCs/>
                <w:color w:val="auto"/>
                <w:kern w:val="0"/>
                <w:szCs w:val="21"/>
              </w:rPr>
              <w:t>设备冷却循环水排污水</w:t>
            </w:r>
            <w:r>
              <w:rPr>
                <w:rFonts w:hint="eastAsia" w:ascii="Times New Roman" w:cs="Times New Roman"/>
                <w:bCs/>
                <w:color w:val="auto"/>
                <w:kern w:val="0"/>
                <w:szCs w:val="21"/>
                <w:lang w:val="en-US" w:eastAsia="zh-CN"/>
              </w:rPr>
              <w:t>和生活污水中</w:t>
            </w:r>
            <w:r>
              <w:rPr>
                <w:rFonts w:hint="default" w:ascii="Times New Roman" w:hAnsi="Times New Roman" w:cs="Times New Roman"/>
                <w:color w:val="000000"/>
                <w:spacing w:val="-4"/>
                <w:sz w:val="24"/>
                <w:lang w:val="en-US" w:eastAsia="zh-CN"/>
              </w:rPr>
              <w:t>主要污染因子为CODcr</w:t>
            </w:r>
            <w:r>
              <w:rPr>
                <w:rFonts w:hint="eastAsia" w:ascii="Times New Roman" w:cs="Times New Roman"/>
                <w:color w:val="000000"/>
                <w:spacing w:val="-4"/>
                <w:sz w:val="24"/>
                <w:lang w:val="en-US" w:eastAsia="zh-CN"/>
              </w:rPr>
              <w:t>、</w:t>
            </w:r>
            <w:r>
              <w:rPr>
                <w:rFonts w:hint="default" w:ascii="Times New Roman" w:hAnsi="Times New Roman" w:cs="Times New Roman"/>
                <w:color w:val="000000"/>
                <w:spacing w:val="-4"/>
                <w:sz w:val="24"/>
                <w:lang w:val="en-US" w:eastAsia="zh-CN"/>
              </w:rPr>
              <w:t>BOD</w:t>
            </w:r>
            <w:r>
              <w:rPr>
                <w:rFonts w:hint="default" w:ascii="Times New Roman" w:hAnsi="Times New Roman" w:cs="Times New Roman"/>
                <w:color w:val="000000"/>
                <w:spacing w:val="-4"/>
                <w:sz w:val="24"/>
                <w:vertAlign w:val="subscript"/>
                <w:lang w:val="en-US" w:eastAsia="zh-CN"/>
              </w:rPr>
              <w:t>5</w:t>
            </w:r>
            <w:r>
              <w:rPr>
                <w:rFonts w:hint="eastAsia" w:ascii="Times New Roman" w:cs="Times New Roman"/>
                <w:color w:val="000000"/>
                <w:spacing w:val="-4"/>
                <w:sz w:val="24"/>
                <w:lang w:val="en-US" w:eastAsia="zh-CN"/>
              </w:rPr>
              <w:t>、</w:t>
            </w:r>
            <w:r>
              <w:rPr>
                <w:rFonts w:hint="default" w:ascii="Times New Roman" w:hAnsi="Times New Roman" w:cs="Times New Roman"/>
                <w:color w:val="000000"/>
                <w:spacing w:val="-4"/>
                <w:sz w:val="24"/>
                <w:lang w:val="en-US" w:eastAsia="zh-CN"/>
              </w:rPr>
              <w:t>氨氮</w:t>
            </w:r>
            <w:r>
              <w:rPr>
                <w:rFonts w:hint="eastAsia" w:ascii="Times New Roman" w:cs="Times New Roman"/>
                <w:color w:val="000000"/>
                <w:spacing w:val="-4"/>
                <w:sz w:val="24"/>
                <w:lang w:val="en-US" w:eastAsia="zh-CN"/>
              </w:rPr>
              <w:t>、</w:t>
            </w:r>
            <w:r>
              <w:rPr>
                <w:rFonts w:hint="default" w:ascii="Times New Roman" w:hAnsi="Times New Roman" w:cs="Times New Roman"/>
                <w:color w:val="000000"/>
                <w:spacing w:val="-4"/>
                <w:sz w:val="24"/>
                <w:lang w:val="en-US" w:eastAsia="zh-CN"/>
              </w:rPr>
              <w:t>SS</w:t>
            </w:r>
            <w:r>
              <w:rPr>
                <w:rFonts w:hint="eastAsia" w:ascii="Times New Roman" w:cs="Times New Roman"/>
                <w:color w:val="000000"/>
                <w:spacing w:val="-4"/>
                <w:sz w:val="24"/>
                <w:lang w:val="en-US" w:eastAsia="zh-CN"/>
              </w:rPr>
              <w:t>、</w:t>
            </w:r>
            <w:r>
              <w:rPr>
                <w:rFonts w:hint="default" w:ascii="Times New Roman" w:hAnsi="Times New Roman" w:cs="Times New Roman"/>
                <w:color w:val="000000"/>
                <w:spacing w:val="-4"/>
                <w:sz w:val="24"/>
                <w:lang w:val="en-US" w:eastAsia="zh-CN"/>
              </w:rPr>
              <w:t>动植物油，</w:t>
            </w:r>
            <w:r>
              <w:rPr>
                <w:rFonts w:hint="default" w:ascii="Times New Roman" w:hAnsi="Times New Roman" w:cs="Times New Roman"/>
                <w:color w:val="000000"/>
                <w:lang w:val="en-US" w:eastAsia="zh-CN"/>
              </w:rPr>
              <w:t>水质相对简单，污染物排放浓度可满足《污水综合排放标准》（GB8978-1996 ）中三级标准及《污水排入城镇下水道水质标准》（GB/T31962-2015）中B级排放标准</w:t>
            </w:r>
            <w:r>
              <w:rPr>
                <w:rFonts w:hint="eastAsia" w:ascii="Times New Roman" w:hAnsi="Times New Roman" w:cs="Times New Roman"/>
                <w:color w:val="000000"/>
                <w:lang w:val="en-US" w:eastAsia="zh-CN"/>
              </w:rPr>
              <w:t>，</w:t>
            </w:r>
            <w:r>
              <w:rPr>
                <w:rFonts w:hint="default" w:ascii="Times New Roman" w:hAnsi="Times New Roman" w:eastAsia="宋体" w:cs="Times New Roman"/>
                <w:color w:val="auto"/>
                <w:kern w:val="0"/>
                <w:sz w:val="24"/>
                <w:szCs w:val="24"/>
                <w:highlight w:val="none"/>
                <w:lang w:val="en-US" w:eastAsia="zh-CN" w:bidi="ar"/>
              </w:rPr>
              <w:t>符合</w:t>
            </w:r>
            <w:r>
              <w:rPr>
                <w:rFonts w:hint="default" w:ascii="Times New Roman" w:hAnsi="Times New Roman" w:cs="Times New Roman"/>
                <w:color w:val="000000"/>
                <w:lang w:val="en-US" w:eastAsia="zh-CN"/>
              </w:rPr>
              <w:t>长青工业园污水处理厂</w:t>
            </w:r>
            <w:r>
              <w:rPr>
                <w:rFonts w:hint="default" w:ascii="Times New Roman" w:hAnsi="Times New Roman" w:eastAsia="宋体" w:cs="Times New Roman"/>
                <w:color w:val="auto"/>
                <w:kern w:val="0"/>
                <w:sz w:val="24"/>
                <w:szCs w:val="24"/>
                <w:highlight w:val="none"/>
                <w:lang w:val="en-US" w:eastAsia="zh-CN" w:bidi="ar"/>
              </w:rPr>
              <w:t>进水水质要求。</w:t>
            </w:r>
            <w:r>
              <w:rPr>
                <w:rFonts w:hint="default" w:ascii="Times New Roman" w:hAnsi="Times New Roman" w:cs="Times New Roman"/>
                <w:color w:val="000000"/>
                <w:lang w:val="en-US" w:eastAsia="zh-CN"/>
              </w:rPr>
              <w:t>本</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废水</w:t>
            </w:r>
            <w:r>
              <w:rPr>
                <w:rFonts w:hint="default" w:ascii="Times New Roman" w:hAnsi="Times New Roman" w:cs="Times New Roman"/>
                <w:color w:val="auto"/>
                <w:highlight w:val="none"/>
              </w:rPr>
              <w:t>产生量</w:t>
            </w:r>
            <w:r>
              <w:rPr>
                <w:rFonts w:hint="eastAsia" w:ascii="Times New Roman" w:cs="Times New Roman"/>
                <w:color w:val="auto"/>
                <w:highlight w:val="none"/>
                <w:lang w:val="en-US" w:eastAsia="zh-CN"/>
              </w:rPr>
              <w:t>约</w:t>
            </w:r>
            <w:r>
              <w:rPr>
                <w:rFonts w:hint="eastAsia" w:ascii="Times New Roman" w:cs="Times New Roman"/>
                <w:snapToGrid w:val="0"/>
                <w:color w:val="auto"/>
                <w:kern w:val="0"/>
                <w:sz w:val="24"/>
                <w:szCs w:val="24"/>
                <w:lang w:val="en-US" w:eastAsia="zh-CN"/>
              </w:rPr>
              <w:t>25.8</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不会对污水处理厂造成水量冲击，</w:t>
            </w:r>
            <w:r>
              <w:rPr>
                <w:rFonts w:hint="default" w:ascii="Times New Roman" w:hAnsi="Times New Roman" w:cs="Times New Roman"/>
                <w:color w:val="000000"/>
                <w:lang w:val="en-US" w:eastAsia="zh-CN"/>
              </w:rPr>
              <w:t>本项目所在区域市政污水管网已覆盖</w:t>
            </w:r>
            <w:r>
              <w:rPr>
                <w:rFonts w:hint="eastAsia" w:ascii="Times New Roman" w:hAnsi="Times New Roman" w:cs="Times New Roman"/>
                <w:color w:val="000000"/>
                <w:lang w:val="en-US" w:eastAsia="zh-CN"/>
              </w:rPr>
              <w:t>。因此，</w:t>
            </w:r>
            <w:r>
              <w:rPr>
                <w:rFonts w:hint="default" w:ascii="Times New Roman" w:hAnsi="Times New Roman" w:cs="Times New Roman"/>
                <w:color w:val="auto"/>
                <w:highlight w:val="none"/>
              </w:rPr>
              <w:t>项目</w:t>
            </w:r>
            <w:r>
              <w:rPr>
                <w:rFonts w:hint="default" w:ascii="Times New Roman" w:hAnsi="Times New Roman" w:cs="Times New Roman"/>
                <w:bCs/>
                <w:color w:val="auto"/>
                <w:kern w:val="0"/>
                <w:szCs w:val="21"/>
              </w:rPr>
              <w:t>废水</w:t>
            </w:r>
            <w:r>
              <w:rPr>
                <w:rFonts w:hint="default" w:ascii="Times New Roman" w:hAnsi="Times New Roman" w:cs="Times New Roman"/>
                <w:color w:val="auto"/>
                <w:highlight w:val="none"/>
              </w:rPr>
              <w:t>依托</w:t>
            </w:r>
            <w:r>
              <w:rPr>
                <w:rFonts w:hint="default" w:ascii="Times New Roman" w:hAnsi="Times New Roman" w:cs="Times New Roman"/>
                <w:color w:val="000000"/>
                <w:lang w:val="en-US" w:eastAsia="zh-CN"/>
              </w:rPr>
              <w:t>长青工业园污水处理厂</w:t>
            </w:r>
            <w:r>
              <w:rPr>
                <w:rFonts w:hint="eastAsia" w:ascii="Times New Roman" w:hAnsi="Times New Roman" w:cs="Times New Roman"/>
                <w:color w:val="000000"/>
                <w:lang w:val="en-US" w:eastAsia="zh-CN"/>
              </w:rPr>
              <w:t>处理</w:t>
            </w:r>
            <w:r>
              <w:rPr>
                <w:rFonts w:hint="default" w:ascii="Times New Roman" w:hAnsi="Times New Roman" w:cs="Times New Roman"/>
                <w:color w:val="auto"/>
                <w:highlight w:val="none"/>
              </w:rPr>
              <w:t>可行。</w:t>
            </w:r>
          </w:p>
          <w:p w14:paraId="14A812E1">
            <w:pPr>
              <w:pStyle w:val="15"/>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cs="Times New Roman"/>
                <w:color w:val="auto"/>
                <w:highlight w:val="none"/>
                <w:lang w:val="en-US" w:eastAsia="zh-CN"/>
              </w:rPr>
              <w:t>六</w:t>
            </w:r>
            <w:r>
              <w:rPr>
                <w:rFonts w:hint="default" w:ascii="Times New Roman" w:hAnsi="Times New Roman" w:cs="Times New Roman"/>
                <w:color w:val="auto"/>
                <w:highlight w:val="none"/>
              </w:rPr>
              <w:t>）项目废水排放情况</w:t>
            </w:r>
          </w:p>
          <w:p w14:paraId="3CFFC2A9">
            <w:pPr>
              <w:pStyle w:val="15"/>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本项目水污染物排放情况如下表</w:t>
            </w:r>
            <w:r>
              <w:rPr>
                <w:rFonts w:hint="eastAsia" w:ascii="Times New Roman" w:cs="Times New Roman"/>
                <w:color w:val="auto"/>
                <w:highlight w:val="none"/>
                <w:lang w:val="en-US" w:eastAsia="zh-CN"/>
              </w:rPr>
              <w:t>4-10</w:t>
            </w:r>
            <w:r>
              <w:rPr>
                <w:rFonts w:hint="default" w:ascii="Times New Roman" w:hAnsi="Times New Roman" w:cs="Times New Roman"/>
                <w:color w:val="auto"/>
                <w:highlight w:val="none"/>
              </w:rPr>
              <w:t>所示。</w:t>
            </w:r>
          </w:p>
          <w:p w14:paraId="13327C6B">
            <w:pPr>
              <w:pStyle w:val="15"/>
              <w:spacing w:line="240" w:lineRule="auto"/>
              <w:ind w:left="0" w:leftChars="0" w:firstLine="0" w:firstLineChars="0"/>
              <w:jc w:val="center"/>
              <w:rPr>
                <w:rFonts w:hint="eastAsia"/>
                <w:b/>
                <w:bCs/>
                <w:color w:val="auto"/>
                <w:sz w:val="21"/>
                <w:szCs w:val="21"/>
                <w:lang w:val="en-US" w:eastAsia="zh-CN"/>
              </w:rPr>
            </w:pPr>
            <w:r>
              <w:rPr>
                <w:rFonts w:hint="default" w:ascii="Times New Roman" w:hAnsi="Times New Roman" w:cs="Times New Roman"/>
                <w:b/>
                <w:bCs/>
                <w:color w:val="auto"/>
                <w:sz w:val="21"/>
                <w:szCs w:val="21"/>
                <w:highlight w:val="none"/>
              </w:rPr>
              <w:t>表4-</w:t>
            </w:r>
            <w:r>
              <w:rPr>
                <w:rFonts w:hint="eastAsia" w:ascii="Times New Roman" w:cs="Times New Roman"/>
                <w:b/>
                <w:bCs/>
                <w:color w:val="auto"/>
                <w:sz w:val="21"/>
                <w:szCs w:val="21"/>
                <w:highlight w:val="none"/>
                <w:lang w:val="en-US" w:eastAsia="zh-CN"/>
              </w:rPr>
              <w:t xml:space="preserve">10  </w:t>
            </w:r>
            <w:r>
              <w:rPr>
                <w:rFonts w:hint="default" w:ascii="Times New Roman" w:hAnsi="Times New Roman" w:cs="Times New Roman"/>
                <w:b/>
                <w:bCs/>
                <w:color w:val="auto"/>
                <w:sz w:val="21"/>
                <w:szCs w:val="21"/>
                <w:highlight w:val="none"/>
              </w:rPr>
              <w:t xml:space="preserve"> 废水类别、污染物及污染治理设施信息表</w:t>
            </w:r>
          </w:p>
          <w:tbl>
            <w:tblPr>
              <w:tblStyle w:val="30"/>
              <w:tblW w:w="500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1033"/>
              <w:gridCol w:w="2130"/>
              <w:gridCol w:w="636"/>
              <w:gridCol w:w="426"/>
              <w:gridCol w:w="947"/>
              <w:gridCol w:w="695"/>
              <w:gridCol w:w="881"/>
              <w:gridCol w:w="667"/>
            </w:tblGrid>
            <w:tr w14:paraId="0F386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24" w:type="pct"/>
                  <w:vMerge w:val="restart"/>
                  <w:tcBorders>
                    <w:tl2br w:val="nil"/>
                    <w:tr2bl w:val="nil"/>
                  </w:tcBorders>
                  <w:noWrap w:val="0"/>
                  <w:vAlign w:val="center"/>
                </w:tcPr>
                <w:p w14:paraId="76347DE8">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序号</w:t>
                  </w:r>
                </w:p>
              </w:tc>
              <w:tc>
                <w:tcPr>
                  <w:tcW w:w="263" w:type="pct"/>
                  <w:vMerge w:val="restart"/>
                  <w:tcBorders>
                    <w:tl2br w:val="nil"/>
                    <w:tr2bl w:val="nil"/>
                  </w:tcBorders>
                  <w:noWrap w:val="0"/>
                  <w:vAlign w:val="center"/>
                </w:tcPr>
                <w:p w14:paraId="0671DE47">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废水类别</w:t>
                  </w:r>
                </w:p>
              </w:tc>
              <w:tc>
                <w:tcPr>
                  <w:tcW w:w="410" w:type="pct"/>
                  <w:vMerge w:val="restart"/>
                  <w:tcBorders>
                    <w:tl2br w:val="nil"/>
                    <w:tr2bl w:val="nil"/>
                  </w:tcBorders>
                  <w:noWrap w:val="0"/>
                  <w:vAlign w:val="center"/>
                </w:tcPr>
                <w:p w14:paraId="7AD3D491">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污染物种类</w:t>
                  </w:r>
                </w:p>
              </w:tc>
              <w:tc>
                <w:tcPr>
                  <w:tcW w:w="710" w:type="pct"/>
                  <w:vMerge w:val="restart"/>
                  <w:tcBorders>
                    <w:tl2br w:val="nil"/>
                    <w:tr2bl w:val="nil"/>
                  </w:tcBorders>
                  <w:noWrap w:val="0"/>
                  <w:vAlign w:val="center"/>
                </w:tcPr>
                <w:p w14:paraId="50D7C6BF">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排放去向</w:t>
                  </w:r>
                </w:p>
              </w:tc>
              <w:tc>
                <w:tcPr>
                  <w:tcW w:w="441" w:type="pct"/>
                  <w:vMerge w:val="restart"/>
                  <w:tcBorders>
                    <w:tl2br w:val="nil"/>
                    <w:tr2bl w:val="nil"/>
                  </w:tcBorders>
                  <w:noWrap w:val="0"/>
                  <w:vAlign w:val="center"/>
                </w:tcPr>
                <w:p w14:paraId="4B046407">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排放规律</w:t>
                  </w:r>
                </w:p>
              </w:tc>
              <w:tc>
                <w:tcPr>
                  <w:tcW w:w="1973" w:type="pct"/>
                  <w:gridSpan w:val="3"/>
                  <w:tcBorders>
                    <w:tl2br w:val="nil"/>
                    <w:tr2bl w:val="nil"/>
                  </w:tcBorders>
                  <w:noWrap w:val="0"/>
                  <w:vAlign w:val="center"/>
                </w:tcPr>
                <w:p w14:paraId="22CA427F">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rPr>
                  </w:pPr>
                  <w:r>
                    <w:rPr>
                      <w:rFonts w:hint="eastAsia" w:ascii="Times New Roman" w:hAnsi="Times New Roman" w:eastAsia="宋体" w:cs="Times New Roman"/>
                      <w:color w:val="auto"/>
                      <w:highlight w:val="none"/>
                      <w:lang w:val="en-US" w:eastAsia="zh-CN"/>
                    </w:rPr>
                    <w:t>污染治理设施</w:t>
                  </w:r>
                </w:p>
              </w:tc>
              <w:tc>
                <w:tcPr>
                  <w:tcW w:w="976" w:type="pct"/>
                  <w:gridSpan w:val="2"/>
                  <w:tcBorders>
                    <w:tl2br w:val="nil"/>
                    <w:tr2bl w:val="nil"/>
                  </w:tcBorders>
                  <w:noWrap w:val="0"/>
                  <w:vAlign w:val="center"/>
                </w:tcPr>
                <w:p w14:paraId="2FD0FDE3">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排放口情况</w:t>
                  </w:r>
                </w:p>
              </w:tc>
            </w:tr>
            <w:tr w14:paraId="765CD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tblHeader/>
                <w:jc w:val="center"/>
              </w:trPr>
              <w:tc>
                <w:tcPr>
                  <w:tcW w:w="224" w:type="pct"/>
                  <w:vMerge w:val="continue"/>
                  <w:tcBorders>
                    <w:tl2br w:val="nil"/>
                    <w:tr2bl w:val="nil"/>
                  </w:tcBorders>
                  <w:noWrap w:val="0"/>
                  <w:vAlign w:val="center"/>
                </w:tcPr>
                <w:p w14:paraId="34D106EA">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p>
              </w:tc>
              <w:tc>
                <w:tcPr>
                  <w:tcW w:w="263" w:type="pct"/>
                  <w:vMerge w:val="continue"/>
                  <w:tcBorders>
                    <w:tl2br w:val="nil"/>
                    <w:tr2bl w:val="nil"/>
                  </w:tcBorders>
                  <w:noWrap w:val="0"/>
                  <w:vAlign w:val="center"/>
                </w:tcPr>
                <w:p w14:paraId="47EBF39F">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p>
              </w:tc>
              <w:tc>
                <w:tcPr>
                  <w:tcW w:w="410" w:type="pct"/>
                  <w:vMerge w:val="continue"/>
                  <w:tcBorders>
                    <w:tl2br w:val="nil"/>
                    <w:tr2bl w:val="nil"/>
                  </w:tcBorders>
                  <w:noWrap w:val="0"/>
                  <w:vAlign w:val="center"/>
                </w:tcPr>
                <w:p w14:paraId="760AEA91">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b w:val="0"/>
                      <w:color w:val="auto"/>
                      <w:kern w:val="2"/>
                      <w:sz w:val="21"/>
                      <w:szCs w:val="24"/>
                      <w:highlight w:val="none"/>
                      <w:lang w:val="en-US" w:eastAsia="zh-CN" w:bidi="ar-SA"/>
                    </w:rPr>
                  </w:pPr>
                </w:p>
              </w:tc>
              <w:tc>
                <w:tcPr>
                  <w:tcW w:w="710" w:type="pct"/>
                  <w:vMerge w:val="continue"/>
                  <w:tcBorders>
                    <w:tl2br w:val="nil"/>
                    <w:tr2bl w:val="nil"/>
                  </w:tcBorders>
                  <w:noWrap w:val="0"/>
                  <w:vAlign w:val="center"/>
                </w:tcPr>
                <w:p w14:paraId="6AA1E799">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p>
              </w:tc>
              <w:tc>
                <w:tcPr>
                  <w:tcW w:w="441" w:type="pct"/>
                  <w:vMerge w:val="continue"/>
                  <w:tcBorders>
                    <w:tl2br w:val="nil"/>
                    <w:tr2bl w:val="nil"/>
                  </w:tcBorders>
                  <w:noWrap w:val="0"/>
                  <w:vAlign w:val="center"/>
                </w:tcPr>
                <w:p w14:paraId="5569C78D">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p>
              </w:tc>
              <w:tc>
                <w:tcPr>
                  <w:tcW w:w="655" w:type="pct"/>
                  <w:tcBorders>
                    <w:tl2br w:val="nil"/>
                    <w:tr2bl w:val="nil"/>
                  </w:tcBorders>
                  <w:noWrap w:val="0"/>
                  <w:vAlign w:val="center"/>
                </w:tcPr>
                <w:p w14:paraId="63D76089">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污染治理</w:t>
                  </w:r>
                </w:p>
                <w:p w14:paraId="22D31135">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设施编号</w:t>
                  </w:r>
                </w:p>
              </w:tc>
              <w:tc>
                <w:tcPr>
                  <w:tcW w:w="741" w:type="pct"/>
                  <w:tcBorders>
                    <w:tl2br w:val="nil"/>
                    <w:tr2bl w:val="nil"/>
                  </w:tcBorders>
                  <w:noWrap w:val="0"/>
                  <w:vAlign w:val="center"/>
                </w:tcPr>
                <w:p w14:paraId="3F4F3549">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污染治理</w:t>
                  </w:r>
                </w:p>
                <w:p w14:paraId="7E7CEEC6">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设施名称</w:t>
                  </w:r>
                </w:p>
              </w:tc>
              <w:tc>
                <w:tcPr>
                  <w:tcW w:w="575" w:type="pct"/>
                  <w:tcBorders>
                    <w:tl2br w:val="nil"/>
                    <w:tr2bl w:val="nil"/>
                  </w:tcBorders>
                  <w:noWrap w:val="0"/>
                  <w:vAlign w:val="center"/>
                </w:tcPr>
                <w:p w14:paraId="2C0FF245">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污染</w:t>
                  </w:r>
                  <w:r>
                    <w:rPr>
                      <w:rFonts w:hint="eastAsia" w:cs="Times New Roman"/>
                      <w:b w:val="0"/>
                      <w:color w:val="auto"/>
                      <w:kern w:val="2"/>
                      <w:sz w:val="21"/>
                      <w:szCs w:val="24"/>
                      <w:highlight w:val="none"/>
                      <w:lang w:val="en-US" w:eastAsia="zh-CN" w:bidi="ar-SA"/>
                    </w:rPr>
                    <w:t>治理</w:t>
                  </w:r>
                  <w:r>
                    <w:rPr>
                      <w:rFonts w:hint="default" w:ascii="Times New Roman" w:hAnsi="Times New Roman" w:eastAsia="宋体" w:cs="Times New Roman"/>
                      <w:b w:val="0"/>
                      <w:color w:val="auto"/>
                      <w:kern w:val="2"/>
                      <w:sz w:val="21"/>
                      <w:szCs w:val="24"/>
                      <w:highlight w:val="none"/>
                      <w:lang w:val="en-US" w:eastAsia="zh-CN" w:bidi="ar-SA"/>
                    </w:rPr>
                    <w:t>设施工艺</w:t>
                  </w:r>
                </w:p>
              </w:tc>
              <w:tc>
                <w:tcPr>
                  <w:tcW w:w="416" w:type="pct"/>
                  <w:tcBorders>
                    <w:tl2br w:val="nil"/>
                    <w:tr2bl w:val="nil"/>
                  </w:tcBorders>
                  <w:noWrap w:val="0"/>
                  <w:vAlign w:val="center"/>
                </w:tcPr>
                <w:p w14:paraId="5D9B4385">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排放口编号</w:t>
                  </w:r>
                </w:p>
              </w:tc>
              <w:tc>
                <w:tcPr>
                  <w:tcW w:w="560" w:type="pct"/>
                  <w:tcBorders>
                    <w:tl2br w:val="nil"/>
                    <w:tr2bl w:val="nil"/>
                  </w:tcBorders>
                  <w:noWrap w:val="0"/>
                  <w:vAlign w:val="center"/>
                </w:tcPr>
                <w:p w14:paraId="0442AE29">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排放口设置是否符合要求</w:t>
                  </w:r>
                </w:p>
              </w:tc>
            </w:tr>
            <w:tr w14:paraId="04CA5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24" w:type="pct"/>
                  <w:tcBorders>
                    <w:tl2br w:val="nil"/>
                    <w:tr2bl w:val="nil"/>
                  </w:tcBorders>
                  <w:noWrap w:val="0"/>
                  <w:vAlign w:val="center"/>
                </w:tcPr>
                <w:p w14:paraId="79949388">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263" w:type="pct"/>
                  <w:tcBorders>
                    <w:tl2br w:val="nil"/>
                    <w:tr2bl w:val="nil"/>
                  </w:tcBorders>
                  <w:noWrap w:val="0"/>
                  <w:vAlign w:val="center"/>
                </w:tcPr>
                <w:p w14:paraId="6147E349">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设备冷却循环水排水</w:t>
                  </w:r>
                </w:p>
              </w:tc>
              <w:tc>
                <w:tcPr>
                  <w:tcW w:w="410" w:type="pct"/>
                  <w:tcBorders>
                    <w:tl2br w:val="nil"/>
                    <w:tr2bl w:val="nil"/>
                  </w:tcBorders>
                  <w:noWrap w:val="0"/>
                  <w:vAlign w:val="center"/>
                </w:tcPr>
                <w:p w14:paraId="624E29BB">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SS、</w:t>
                  </w:r>
                </w:p>
                <w:p w14:paraId="413028E8">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pH</w:t>
                  </w:r>
                  <w:r>
                    <w:rPr>
                      <w:rFonts w:hint="eastAsia" w:ascii="Times New Roman" w:hAnsi="Times New Roman" w:eastAsia="宋体" w:cs="Times New Roman"/>
                      <w:b w:val="0"/>
                      <w:color w:val="auto"/>
                      <w:kern w:val="2"/>
                      <w:sz w:val="21"/>
                      <w:szCs w:val="24"/>
                      <w:highlight w:val="none"/>
                      <w:lang w:val="en-US" w:eastAsia="zh-CN" w:bidi="ar-SA"/>
                    </w:rPr>
                    <w:t>、</w:t>
                  </w:r>
                </w:p>
                <w:p w14:paraId="5754D1DC">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CODcr</w:t>
                  </w:r>
                  <w:r>
                    <w:rPr>
                      <w:rFonts w:hint="eastAsia" w:ascii="Times New Roman" w:hAnsi="Times New Roman" w:eastAsia="宋体" w:cs="Times New Roman"/>
                      <w:b w:val="0"/>
                      <w:color w:val="auto"/>
                      <w:kern w:val="2"/>
                      <w:sz w:val="21"/>
                      <w:szCs w:val="24"/>
                      <w:highlight w:val="none"/>
                      <w:lang w:val="en-US" w:eastAsia="zh-CN" w:bidi="ar-SA"/>
                    </w:rPr>
                    <w:t>、</w:t>
                  </w:r>
                </w:p>
                <w:p w14:paraId="50FE31E5">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BOD5</w:t>
                  </w:r>
                  <w:r>
                    <w:rPr>
                      <w:rFonts w:hint="eastAsia" w:ascii="Times New Roman" w:hAnsi="Times New Roman" w:eastAsia="宋体" w:cs="Times New Roman"/>
                      <w:b w:val="0"/>
                      <w:color w:val="auto"/>
                      <w:kern w:val="2"/>
                      <w:sz w:val="21"/>
                      <w:szCs w:val="24"/>
                      <w:highlight w:val="none"/>
                      <w:lang w:val="en-US" w:eastAsia="zh-CN" w:bidi="ar-SA"/>
                    </w:rPr>
                    <w:t>、</w:t>
                  </w:r>
                </w:p>
                <w:p w14:paraId="32CD3ADC">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氯化物</w:t>
                  </w:r>
                  <w:r>
                    <w:rPr>
                      <w:rFonts w:hint="eastAsia" w:ascii="Times New Roman" w:hAnsi="Times New Roman" w:eastAsia="宋体" w:cs="Times New Roman"/>
                      <w:b w:val="0"/>
                      <w:color w:val="auto"/>
                      <w:kern w:val="2"/>
                      <w:sz w:val="21"/>
                      <w:szCs w:val="24"/>
                      <w:highlight w:val="none"/>
                      <w:lang w:val="en-US" w:eastAsia="zh-CN" w:bidi="ar-SA"/>
                    </w:rPr>
                    <w:t>、</w:t>
                  </w:r>
                </w:p>
                <w:p w14:paraId="1FD6402D">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总铁</w:t>
                  </w:r>
                  <w:r>
                    <w:rPr>
                      <w:rFonts w:hint="eastAsia" w:ascii="Times New Roman" w:hAnsi="Times New Roman" w:eastAsia="宋体" w:cs="Times New Roman"/>
                      <w:b w:val="0"/>
                      <w:color w:val="auto"/>
                      <w:kern w:val="2"/>
                      <w:sz w:val="21"/>
                      <w:szCs w:val="24"/>
                      <w:highlight w:val="none"/>
                      <w:lang w:val="en-US" w:eastAsia="zh-CN" w:bidi="ar-SA"/>
                    </w:rPr>
                    <w:t>、</w:t>
                  </w:r>
                </w:p>
                <w:p w14:paraId="744C0CB2">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总磷</w:t>
                  </w:r>
                  <w:r>
                    <w:rPr>
                      <w:rFonts w:hint="eastAsia" w:ascii="Times New Roman" w:hAnsi="Times New Roman" w:eastAsia="宋体" w:cs="Times New Roman"/>
                      <w:b w:val="0"/>
                      <w:color w:val="auto"/>
                      <w:kern w:val="2"/>
                      <w:sz w:val="21"/>
                      <w:szCs w:val="24"/>
                      <w:highlight w:val="none"/>
                      <w:lang w:val="en-US" w:eastAsia="zh-CN" w:bidi="ar-SA"/>
                    </w:rPr>
                    <w:t>、</w:t>
                  </w:r>
                </w:p>
                <w:p w14:paraId="710A1E51">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氨氮</w:t>
                  </w:r>
                  <w:r>
                    <w:rPr>
                      <w:rFonts w:hint="eastAsia" w:ascii="Times New Roman" w:hAnsi="Times New Roman" w:eastAsia="宋体" w:cs="Times New Roman"/>
                      <w:b w:val="0"/>
                      <w:color w:val="auto"/>
                      <w:kern w:val="2"/>
                      <w:sz w:val="21"/>
                      <w:szCs w:val="24"/>
                      <w:highlight w:val="none"/>
                      <w:lang w:val="en-US" w:eastAsia="zh-CN" w:bidi="ar-SA"/>
                    </w:rPr>
                    <w:t>、</w:t>
                  </w:r>
                </w:p>
                <w:p w14:paraId="5DBF7D62">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总氮</w:t>
                  </w:r>
                </w:p>
              </w:tc>
              <w:tc>
                <w:tcPr>
                  <w:tcW w:w="710" w:type="pct"/>
                  <w:vMerge w:val="restart"/>
                  <w:tcBorders>
                    <w:tl2br w:val="nil"/>
                    <w:tr2bl w:val="nil"/>
                  </w:tcBorders>
                  <w:noWrap w:val="0"/>
                  <w:vAlign w:val="center"/>
                </w:tcPr>
                <w:p w14:paraId="0AF2250E">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达到</w:t>
                  </w:r>
                  <w:r>
                    <w:rPr>
                      <w:rFonts w:hint="default" w:ascii="Times New Roman" w:hAnsi="Times New Roman" w:eastAsia="宋体" w:cs="Times New Roman"/>
                      <w:b w:val="0"/>
                      <w:color w:val="auto"/>
                      <w:kern w:val="2"/>
                      <w:sz w:val="21"/>
                      <w:szCs w:val="24"/>
                      <w:highlight w:val="none"/>
                      <w:lang w:val="en-US" w:eastAsia="zh-CN" w:bidi="ar-SA"/>
                    </w:rPr>
                    <w:t>《污水综合排放标准》（GB8978-1996 ）中三级标准及《污水排入城镇下水道水质标准》（GB/T31962-2015）中B级排放标准</w:t>
                  </w:r>
                  <w:r>
                    <w:rPr>
                      <w:rFonts w:hint="eastAsia" w:ascii="Times New Roman" w:hAnsi="Times New Roman" w:eastAsia="宋体" w:cs="Times New Roman"/>
                      <w:b w:val="0"/>
                      <w:color w:val="auto"/>
                      <w:kern w:val="2"/>
                      <w:sz w:val="21"/>
                      <w:szCs w:val="24"/>
                      <w:highlight w:val="none"/>
                      <w:lang w:val="en-US" w:eastAsia="zh-CN" w:bidi="ar-SA"/>
                    </w:rPr>
                    <w:t>后经园区污水管网进入</w:t>
                  </w:r>
                  <w:r>
                    <w:rPr>
                      <w:rFonts w:hint="default" w:ascii="Times New Roman" w:hAnsi="Times New Roman" w:eastAsia="宋体" w:cs="Times New Roman"/>
                      <w:b w:val="0"/>
                      <w:color w:val="auto"/>
                      <w:kern w:val="2"/>
                      <w:sz w:val="21"/>
                      <w:szCs w:val="24"/>
                      <w:highlight w:val="none"/>
                      <w:lang w:val="en-US" w:eastAsia="zh-CN" w:bidi="ar-SA"/>
                    </w:rPr>
                    <w:t>长青工业园污水处理厂处理</w:t>
                  </w:r>
                </w:p>
              </w:tc>
              <w:tc>
                <w:tcPr>
                  <w:tcW w:w="441" w:type="pct"/>
                  <w:vMerge w:val="restart"/>
                  <w:tcBorders>
                    <w:tl2br w:val="nil"/>
                    <w:tr2bl w:val="nil"/>
                  </w:tcBorders>
                  <w:noWrap w:val="0"/>
                  <w:vAlign w:val="center"/>
                </w:tcPr>
                <w:p w14:paraId="560E3488">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间断</w:t>
                  </w:r>
                </w:p>
                <w:p w14:paraId="66453290">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排放，</w:t>
                  </w:r>
                </w:p>
                <w:p w14:paraId="36C83984">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排放</w:t>
                  </w:r>
                </w:p>
                <w:p w14:paraId="4CA27DAA">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期间</w:t>
                  </w:r>
                </w:p>
                <w:p w14:paraId="298F3DD5">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流量</w:t>
                  </w:r>
                </w:p>
                <w:p w14:paraId="50304088">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不稳</w:t>
                  </w:r>
                </w:p>
                <w:p w14:paraId="00CD7164">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定且</w:t>
                  </w:r>
                </w:p>
                <w:p w14:paraId="3A35DA8F">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无规</w:t>
                  </w:r>
                </w:p>
                <w:p w14:paraId="2A39A001">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律，</w:t>
                  </w:r>
                </w:p>
                <w:p w14:paraId="103A520F">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但不</w:t>
                  </w:r>
                </w:p>
                <w:p w14:paraId="7C05BDA6">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属于</w:t>
                  </w:r>
                </w:p>
                <w:p w14:paraId="76D1BB93">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冲击</w:t>
                  </w:r>
                </w:p>
                <w:p w14:paraId="3A02BC2B">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型排</w:t>
                  </w:r>
                </w:p>
                <w:p w14:paraId="6C31BAB0">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放</w:t>
                  </w:r>
                </w:p>
              </w:tc>
              <w:tc>
                <w:tcPr>
                  <w:tcW w:w="655" w:type="pct"/>
                  <w:tcBorders>
                    <w:tl2br w:val="nil"/>
                    <w:tr2bl w:val="nil"/>
                  </w:tcBorders>
                  <w:noWrap w:val="0"/>
                  <w:vAlign w:val="center"/>
                </w:tcPr>
                <w:p w14:paraId="20DE70CA">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w:t>
                  </w:r>
                </w:p>
              </w:tc>
              <w:tc>
                <w:tcPr>
                  <w:tcW w:w="741" w:type="pct"/>
                  <w:tcBorders>
                    <w:tl2br w:val="nil"/>
                    <w:tr2bl w:val="nil"/>
                  </w:tcBorders>
                  <w:noWrap w:val="0"/>
                  <w:vAlign w:val="center"/>
                </w:tcPr>
                <w:p w14:paraId="0548B37D">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w:t>
                  </w:r>
                </w:p>
              </w:tc>
              <w:tc>
                <w:tcPr>
                  <w:tcW w:w="575" w:type="pct"/>
                  <w:tcBorders>
                    <w:tl2br w:val="nil"/>
                    <w:tr2bl w:val="nil"/>
                  </w:tcBorders>
                  <w:noWrap w:val="0"/>
                  <w:vAlign w:val="center"/>
                </w:tcPr>
                <w:p w14:paraId="55D4B027">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w:t>
                  </w:r>
                </w:p>
              </w:tc>
              <w:tc>
                <w:tcPr>
                  <w:tcW w:w="416" w:type="pct"/>
                  <w:tcBorders>
                    <w:tl2br w:val="nil"/>
                    <w:tr2bl w:val="nil"/>
                  </w:tcBorders>
                  <w:shd w:val="clear" w:color="auto" w:fill="auto"/>
                  <w:noWrap w:val="0"/>
                  <w:vAlign w:val="center"/>
                </w:tcPr>
                <w:p w14:paraId="795A7481">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DW001</w:t>
                  </w:r>
                </w:p>
              </w:tc>
              <w:tc>
                <w:tcPr>
                  <w:tcW w:w="560" w:type="pct"/>
                  <w:tcBorders>
                    <w:tl2br w:val="nil"/>
                    <w:tr2bl w:val="nil"/>
                  </w:tcBorders>
                  <w:shd w:val="clear" w:color="auto" w:fill="auto"/>
                  <w:noWrap w:val="0"/>
                  <w:vAlign w:val="center"/>
                </w:tcPr>
                <w:p w14:paraId="2663D733">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cs="Times New Roman"/>
                      <w:color w:val="auto"/>
                      <w:highlight w:val="none"/>
                      <w:lang w:val="en-US" w:eastAsia="zh-CN"/>
                    </w:rPr>
                    <w:t>是</w:t>
                  </w:r>
                </w:p>
              </w:tc>
            </w:tr>
            <w:tr w14:paraId="0758F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24" w:type="pct"/>
                  <w:tcBorders>
                    <w:tl2br w:val="nil"/>
                    <w:tr2bl w:val="nil"/>
                  </w:tcBorders>
                  <w:noWrap w:val="0"/>
                  <w:vAlign w:val="center"/>
                </w:tcPr>
                <w:p w14:paraId="190898C4">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w:t>
                  </w:r>
                </w:p>
              </w:tc>
              <w:tc>
                <w:tcPr>
                  <w:tcW w:w="263" w:type="pct"/>
                  <w:tcBorders>
                    <w:tl2br w:val="nil"/>
                    <w:tr2bl w:val="nil"/>
                  </w:tcBorders>
                  <w:noWrap w:val="0"/>
                  <w:vAlign w:val="center"/>
                </w:tcPr>
                <w:p w14:paraId="1EC303C0">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初期雨水</w:t>
                  </w:r>
                </w:p>
              </w:tc>
              <w:tc>
                <w:tcPr>
                  <w:tcW w:w="410" w:type="pct"/>
                  <w:tcBorders>
                    <w:tl2br w:val="nil"/>
                    <w:tr2bl w:val="nil"/>
                  </w:tcBorders>
                  <w:noWrap w:val="0"/>
                  <w:vAlign w:val="center"/>
                </w:tcPr>
                <w:p w14:paraId="3BA0F949">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CODcr</w:t>
                  </w:r>
                  <w:r>
                    <w:rPr>
                      <w:rFonts w:hint="eastAsia" w:ascii="Times New Roman" w:hAnsi="Times New Roman" w:eastAsia="宋体" w:cs="Times New Roman"/>
                      <w:b w:val="0"/>
                      <w:color w:val="auto"/>
                      <w:kern w:val="2"/>
                      <w:sz w:val="21"/>
                      <w:szCs w:val="24"/>
                      <w:highlight w:val="none"/>
                      <w:lang w:val="en-US" w:eastAsia="zh-CN" w:bidi="ar-SA"/>
                    </w:rPr>
                    <w:t>、SS</w:t>
                  </w:r>
                </w:p>
                <w:p w14:paraId="1298503A">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p>
              </w:tc>
              <w:tc>
                <w:tcPr>
                  <w:tcW w:w="710" w:type="pct"/>
                  <w:vMerge w:val="continue"/>
                  <w:tcBorders>
                    <w:tl2br w:val="nil"/>
                    <w:tr2bl w:val="nil"/>
                  </w:tcBorders>
                  <w:noWrap w:val="0"/>
                  <w:vAlign w:val="center"/>
                </w:tcPr>
                <w:p w14:paraId="0F509B7B">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p>
              </w:tc>
              <w:tc>
                <w:tcPr>
                  <w:tcW w:w="441" w:type="pct"/>
                  <w:vMerge w:val="continue"/>
                  <w:tcBorders>
                    <w:tl2br w:val="nil"/>
                    <w:tr2bl w:val="nil"/>
                  </w:tcBorders>
                  <w:noWrap w:val="0"/>
                  <w:vAlign w:val="center"/>
                </w:tcPr>
                <w:p w14:paraId="4741AFCA">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p>
              </w:tc>
              <w:tc>
                <w:tcPr>
                  <w:tcW w:w="655" w:type="pct"/>
                  <w:tcBorders>
                    <w:tl2br w:val="nil"/>
                    <w:tr2bl w:val="nil"/>
                  </w:tcBorders>
                  <w:noWrap w:val="0"/>
                  <w:vAlign w:val="center"/>
                </w:tcPr>
                <w:p w14:paraId="573C5C92">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p>
              </w:tc>
              <w:tc>
                <w:tcPr>
                  <w:tcW w:w="741" w:type="pct"/>
                  <w:tcBorders>
                    <w:tl2br w:val="nil"/>
                    <w:tr2bl w:val="nil"/>
                  </w:tcBorders>
                  <w:noWrap w:val="0"/>
                  <w:vAlign w:val="center"/>
                </w:tcPr>
                <w:p w14:paraId="43767034">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雨水收集池</w:t>
                  </w:r>
                </w:p>
              </w:tc>
              <w:tc>
                <w:tcPr>
                  <w:tcW w:w="575" w:type="pct"/>
                  <w:tcBorders>
                    <w:tl2br w:val="nil"/>
                    <w:tr2bl w:val="nil"/>
                  </w:tcBorders>
                  <w:noWrap w:val="0"/>
                  <w:vAlign w:val="center"/>
                </w:tcPr>
                <w:p w14:paraId="4505E9E3">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沉淀</w:t>
                  </w:r>
                </w:p>
              </w:tc>
              <w:tc>
                <w:tcPr>
                  <w:tcW w:w="416" w:type="pct"/>
                  <w:tcBorders>
                    <w:tl2br w:val="nil"/>
                    <w:tr2bl w:val="nil"/>
                  </w:tcBorders>
                  <w:noWrap w:val="0"/>
                  <w:vAlign w:val="center"/>
                </w:tcPr>
                <w:p w14:paraId="00FE3E04">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560" w:type="pct"/>
                  <w:tcBorders>
                    <w:tl2br w:val="nil"/>
                    <w:tr2bl w:val="nil"/>
                  </w:tcBorders>
                  <w:noWrap w:val="0"/>
                  <w:vAlign w:val="center"/>
                </w:tcPr>
                <w:p w14:paraId="7F9607DC">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是</w:t>
                  </w:r>
                </w:p>
              </w:tc>
            </w:tr>
            <w:tr w14:paraId="61DC8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24" w:type="pct"/>
                  <w:tcBorders>
                    <w:tl2br w:val="nil"/>
                    <w:tr2bl w:val="nil"/>
                  </w:tcBorders>
                  <w:noWrap w:val="0"/>
                  <w:vAlign w:val="center"/>
                </w:tcPr>
                <w:p w14:paraId="09DE8E9C">
                  <w:pPr>
                    <w:pStyle w:val="8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w:t>
                  </w:r>
                </w:p>
              </w:tc>
              <w:tc>
                <w:tcPr>
                  <w:tcW w:w="263" w:type="pct"/>
                  <w:tcBorders>
                    <w:tl2br w:val="nil"/>
                    <w:tr2bl w:val="nil"/>
                  </w:tcBorders>
                  <w:shd w:val="clear" w:color="auto" w:fill="auto"/>
                  <w:noWrap w:val="0"/>
                  <w:vAlign w:val="center"/>
                </w:tcPr>
                <w:p w14:paraId="5DE97B29">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 w:val="0"/>
                      <w:color w:val="auto"/>
                      <w:kern w:val="2"/>
                      <w:sz w:val="21"/>
                      <w:szCs w:val="24"/>
                      <w:highlight w:val="none"/>
                      <w:lang w:val="en-US" w:eastAsia="zh-CN" w:bidi="ar-SA"/>
                    </w:rPr>
                  </w:pPr>
                  <w:r>
                    <w:rPr>
                      <w:rFonts w:hint="eastAsia" w:ascii="Times New Roman" w:hAnsi="Times New Roman" w:eastAsia="宋体" w:cs="Times New Roman"/>
                      <w:b w:val="0"/>
                      <w:color w:val="auto"/>
                      <w:kern w:val="2"/>
                      <w:sz w:val="21"/>
                      <w:szCs w:val="24"/>
                      <w:highlight w:val="none"/>
                      <w:lang w:val="en-US" w:eastAsia="zh-CN" w:bidi="ar-SA"/>
                    </w:rPr>
                    <w:t>生活污水</w:t>
                  </w:r>
                </w:p>
              </w:tc>
              <w:tc>
                <w:tcPr>
                  <w:tcW w:w="410" w:type="pct"/>
                  <w:tcBorders>
                    <w:tl2br w:val="nil"/>
                    <w:tr2bl w:val="nil"/>
                  </w:tcBorders>
                  <w:shd w:val="clear" w:color="auto" w:fill="auto"/>
                  <w:noWrap w:val="0"/>
                  <w:vAlign w:val="center"/>
                </w:tcPr>
                <w:p w14:paraId="4A898A35">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cs="Times New Roman"/>
                      <w:color w:val="000000"/>
                      <w:spacing w:val="-4"/>
                      <w:sz w:val="21"/>
                      <w:szCs w:val="21"/>
                      <w:lang w:val="en-US" w:eastAsia="zh-CN"/>
                    </w:rPr>
                    <w:t>CODcr、BOD</w:t>
                  </w:r>
                  <w:r>
                    <w:rPr>
                      <w:rFonts w:hint="default" w:ascii="Times New Roman" w:hAnsi="Times New Roman" w:cs="Times New Roman"/>
                      <w:color w:val="000000"/>
                      <w:spacing w:val="-4"/>
                      <w:sz w:val="21"/>
                      <w:szCs w:val="21"/>
                      <w:vertAlign w:val="subscript"/>
                      <w:lang w:val="en-US" w:eastAsia="zh-CN"/>
                    </w:rPr>
                    <w:t>5</w:t>
                  </w:r>
                  <w:r>
                    <w:rPr>
                      <w:rFonts w:hint="default" w:ascii="Times New Roman" w:hAnsi="Times New Roman" w:cs="Times New Roman"/>
                      <w:color w:val="000000"/>
                      <w:spacing w:val="-4"/>
                      <w:sz w:val="21"/>
                      <w:szCs w:val="21"/>
                      <w:lang w:val="en-US" w:eastAsia="zh-CN"/>
                    </w:rPr>
                    <w:t>、氨氮、SS、动植物油</w:t>
                  </w:r>
                </w:p>
              </w:tc>
              <w:tc>
                <w:tcPr>
                  <w:tcW w:w="710" w:type="pct"/>
                  <w:vMerge w:val="continue"/>
                  <w:tcBorders>
                    <w:tl2br w:val="nil"/>
                    <w:tr2bl w:val="nil"/>
                  </w:tcBorders>
                  <w:shd w:val="clear" w:color="auto" w:fill="auto"/>
                  <w:noWrap w:val="0"/>
                  <w:vAlign w:val="center"/>
                </w:tcPr>
                <w:p w14:paraId="7806BF57">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p>
              </w:tc>
              <w:tc>
                <w:tcPr>
                  <w:tcW w:w="441" w:type="pct"/>
                  <w:vMerge w:val="continue"/>
                  <w:tcBorders>
                    <w:tl2br w:val="nil"/>
                    <w:tr2bl w:val="nil"/>
                  </w:tcBorders>
                  <w:shd w:val="clear" w:color="auto" w:fill="auto"/>
                  <w:noWrap w:val="0"/>
                  <w:vAlign w:val="center"/>
                </w:tcPr>
                <w:p w14:paraId="3472B2F4">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4"/>
                      <w:highlight w:val="none"/>
                      <w:lang w:val="en-US" w:eastAsia="zh-CN" w:bidi="ar-SA"/>
                    </w:rPr>
                  </w:pPr>
                </w:p>
              </w:tc>
              <w:tc>
                <w:tcPr>
                  <w:tcW w:w="655" w:type="pct"/>
                  <w:tcBorders>
                    <w:tl2br w:val="nil"/>
                    <w:tr2bl w:val="nil"/>
                  </w:tcBorders>
                  <w:noWrap w:val="0"/>
                  <w:vAlign w:val="center"/>
                </w:tcPr>
                <w:p w14:paraId="2497B052">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741" w:type="pct"/>
                  <w:tcBorders>
                    <w:tl2br w:val="nil"/>
                    <w:tr2bl w:val="nil"/>
                  </w:tcBorders>
                  <w:noWrap w:val="0"/>
                  <w:vAlign w:val="center"/>
                </w:tcPr>
                <w:p w14:paraId="1D3D6AF2">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化粪池</w:t>
                  </w:r>
                </w:p>
              </w:tc>
              <w:tc>
                <w:tcPr>
                  <w:tcW w:w="575" w:type="pct"/>
                  <w:tcBorders>
                    <w:tl2br w:val="nil"/>
                    <w:tr2bl w:val="nil"/>
                  </w:tcBorders>
                  <w:noWrap w:val="0"/>
                  <w:vAlign w:val="center"/>
                </w:tcPr>
                <w:p w14:paraId="5683AE99">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沉淀、</w:t>
                  </w:r>
                </w:p>
                <w:p w14:paraId="073D679E">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厌氧</w:t>
                  </w:r>
                </w:p>
              </w:tc>
              <w:tc>
                <w:tcPr>
                  <w:tcW w:w="416" w:type="pct"/>
                  <w:tcBorders>
                    <w:tl2br w:val="nil"/>
                    <w:tr2bl w:val="nil"/>
                  </w:tcBorders>
                  <w:noWrap w:val="0"/>
                  <w:vAlign w:val="center"/>
                </w:tcPr>
                <w:p w14:paraId="29BE8FD3">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DW001</w:t>
                  </w:r>
                </w:p>
              </w:tc>
              <w:tc>
                <w:tcPr>
                  <w:tcW w:w="560" w:type="pct"/>
                  <w:tcBorders>
                    <w:tl2br w:val="nil"/>
                    <w:tr2bl w:val="nil"/>
                  </w:tcBorders>
                  <w:noWrap w:val="0"/>
                  <w:vAlign w:val="center"/>
                </w:tcPr>
                <w:p w14:paraId="314CF6CD">
                  <w:pPr>
                    <w:pStyle w:val="8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是</w:t>
                  </w:r>
                </w:p>
              </w:tc>
            </w:tr>
          </w:tbl>
          <w:p w14:paraId="23A7B90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七</w:t>
            </w:r>
            <w:r>
              <w:rPr>
                <w:rFonts w:hint="eastAsia" w:ascii="Times New Roman" w:hAnsi="Times New Roman" w:eastAsia="宋体" w:cs="Times New Roman"/>
                <w:b/>
                <w:bCs/>
                <w:color w:val="auto"/>
                <w:sz w:val="24"/>
                <w:szCs w:val="24"/>
                <w:highlight w:val="none"/>
                <w:lang w:val="en-US" w:eastAsia="zh-CN"/>
              </w:rPr>
              <w:t>） 废水监测计划</w:t>
            </w:r>
          </w:p>
          <w:p w14:paraId="73E709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根据《排污单位自行监测技术指南</w:t>
            </w:r>
            <w:r>
              <w:rPr>
                <w:rFonts w:hint="eastAsia" w:cs="Times New Roman"/>
                <w:b w:val="0"/>
                <w:bCs w:val="0"/>
                <w:color w:val="auto"/>
                <w:sz w:val="24"/>
                <w:szCs w:val="24"/>
                <w:highlight w:val="none"/>
                <w:lang w:val="en-US" w:eastAsia="zh-CN"/>
              </w:rPr>
              <w:t xml:space="preserve"> </w:t>
            </w:r>
            <w:r>
              <w:rPr>
                <w:rFonts w:hint="eastAsia" w:ascii="Times New Roman" w:hAnsi="Times New Roman" w:eastAsia="宋体" w:cs="Times New Roman"/>
                <w:b w:val="0"/>
                <w:bCs w:val="0"/>
                <w:color w:val="auto"/>
                <w:sz w:val="24"/>
                <w:szCs w:val="24"/>
                <w:highlight w:val="none"/>
                <w:lang w:val="en-US" w:eastAsia="zh-CN"/>
              </w:rPr>
              <w:t>总则》（HJ819-2017）表2规定，本项目废水监测计划见表。</w:t>
            </w:r>
          </w:p>
          <w:p w14:paraId="20D382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表4-11</w:t>
            </w:r>
            <w:r>
              <w:rPr>
                <w:rFonts w:hint="eastAsia"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 xml:space="preserve"> </w:t>
            </w:r>
            <w:r>
              <w:rPr>
                <w:rFonts w:hint="eastAsia" w:cs="Times New Roman"/>
                <w:b/>
                <w:bCs/>
                <w:color w:val="auto"/>
                <w:sz w:val="21"/>
                <w:szCs w:val="21"/>
                <w:highlight w:val="none"/>
                <w:lang w:val="en-US" w:eastAsia="zh-CN"/>
              </w:rPr>
              <w:t>项目运营期</w:t>
            </w:r>
            <w:r>
              <w:rPr>
                <w:rFonts w:hint="eastAsia" w:ascii="Times New Roman" w:hAnsi="Times New Roman" w:eastAsia="宋体" w:cs="Times New Roman"/>
                <w:b/>
                <w:bCs/>
                <w:color w:val="auto"/>
                <w:sz w:val="21"/>
                <w:szCs w:val="21"/>
                <w:highlight w:val="none"/>
                <w:lang w:val="en-US" w:eastAsia="zh-CN"/>
              </w:rPr>
              <w:t>废水监测计划表</w:t>
            </w:r>
          </w:p>
          <w:tbl>
            <w:tblPr>
              <w:tblStyle w:val="31"/>
              <w:tblW w:w="4973"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106"/>
              <w:gridCol w:w="1290"/>
              <w:gridCol w:w="1906"/>
              <w:gridCol w:w="1050"/>
              <w:gridCol w:w="2857"/>
            </w:tblGrid>
            <w:tr w14:paraId="148A1D1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3" w:hRule="atLeast"/>
                <w:jc w:val="center"/>
              </w:trPr>
              <w:tc>
                <w:tcPr>
                  <w:tcW w:w="674" w:type="pct"/>
                  <w:tcBorders>
                    <w:tl2br w:val="nil"/>
                    <w:tr2bl w:val="nil"/>
                  </w:tcBorders>
                  <w:noWrap w:val="0"/>
                  <w:vAlign w:val="center"/>
                </w:tcPr>
                <w:p w14:paraId="6439AF05">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eastAsia="宋体" w:cs="Times New Roman"/>
                      <w:b/>
                      <w:bCs/>
                      <w:color w:val="auto"/>
                      <w:kern w:val="2"/>
                      <w:sz w:val="21"/>
                      <w:szCs w:val="21"/>
                      <w:highlight w:val="none"/>
                      <w:vertAlign w:val="baseline"/>
                      <w:lang w:val="en-US" w:eastAsia="zh-CN" w:bidi="ar-SA"/>
                    </w:rPr>
                    <w:t>监测点位</w:t>
                  </w:r>
                </w:p>
              </w:tc>
              <w:tc>
                <w:tcPr>
                  <w:tcW w:w="785" w:type="pct"/>
                  <w:tcBorders>
                    <w:tl2br w:val="nil"/>
                    <w:tr2bl w:val="nil"/>
                  </w:tcBorders>
                  <w:noWrap w:val="0"/>
                  <w:vAlign w:val="center"/>
                </w:tcPr>
                <w:p w14:paraId="15641F8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监测因子</w:t>
                  </w:r>
                </w:p>
              </w:tc>
              <w:tc>
                <w:tcPr>
                  <w:tcW w:w="1160" w:type="pct"/>
                  <w:tcBorders>
                    <w:tl2br w:val="nil"/>
                    <w:tr2bl w:val="nil"/>
                  </w:tcBorders>
                  <w:noWrap w:val="0"/>
                  <w:vAlign w:val="center"/>
                </w:tcPr>
                <w:p w14:paraId="0F297EE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spacing w:val="8"/>
                      <w:kern w:val="2"/>
                      <w:sz w:val="21"/>
                      <w:szCs w:val="21"/>
                      <w:highlight w:val="none"/>
                      <w:lang w:val="en-US" w:eastAsia="en-US" w:bidi="ar-SA"/>
                    </w:rPr>
                    <w:t>标准限值</w:t>
                  </w:r>
                  <w:r>
                    <w:rPr>
                      <w:rFonts w:hint="eastAsia" w:ascii="Times New Roman" w:hAnsi="Times New Roman" w:eastAsia="宋体" w:cs="Times New Roman"/>
                      <w:b/>
                      <w:bCs/>
                      <w:color w:val="auto"/>
                      <w:spacing w:val="8"/>
                      <w:kern w:val="2"/>
                      <w:sz w:val="21"/>
                      <w:szCs w:val="21"/>
                      <w:highlight w:val="none"/>
                      <w:lang w:val="en-US" w:eastAsia="zh-CN" w:bidi="ar-SA"/>
                    </w:rPr>
                    <w:t>（mg/L）</w:t>
                  </w:r>
                </w:p>
              </w:tc>
              <w:tc>
                <w:tcPr>
                  <w:tcW w:w="639" w:type="pct"/>
                  <w:tcBorders>
                    <w:tl2br w:val="nil"/>
                    <w:tr2bl w:val="nil"/>
                  </w:tcBorders>
                  <w:noWrap w:val="0"/>
                  <w:vAlign w:val="center"/>
                </w:tcPr>
                <w:p w14:paraId="285FF5D6">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eastAsia="宋体" w:cs="Times New Roman"/>
                      <w:b/>
                      <w:bCs/>
                      <w:color w:val="auto"/>
                      <w:kern w:val="2"/>
                      <w:sz w:val="21"/>
                      <w:szCs w:val="21"/>
                      <w:highlight w:val="none"/>
                      <w:lang w:val="en-US" w:eastAsia="zh-CN" w:bidi="ar-SA"/>
                    </w:rPr>
                    <w:t>监测频次</w:t>
                  </w:r>
                </w:p>
              </w:tc>
              <w:tc>
                <w:tcPr>
                  <w:tcW w:w="1739" w:type="pct"/>
                  <w:tcBorders>
                    <w:tl2br w:val="nil"/>
                    <w:tr2bl w:val="nil"/>
                  </w:tcBorders>
                  <w:noWrap w:val="0"/>
                  <w:vAlign w:val="center"/>
                </w:tcPr>
                <w:p w14:paraId="63779280">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执行标准</w:t>
                  </w:r>
                </w:p>
              </w:tc>
            </w:tr>
            <w:tr w14:paraId="336278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8" w:hRule="atLeast"/>
                <w:jc w:val="center"/>
              </w:trPr>
              <w:tc>
                <w:tcPr>
                  <w:tcW w:w="674" w:type="pct"/>
                  <w:vMerge w:val="restart"/>
                  <w:tcBorders>
                    <w:tl2br w:val="nil"/>
                    <w:tr2bl w:val="nil"/>
                  </w:tcBorders>
                  <w:noWrap w:val="0"/>
                  <w:vAlign w:val="center"/>
                </w:tcPr>
                <w:p w14:paraId="5220EA3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b w:val="0"/>
                      <w:bCs w:val="0"/>
                      <w:color w:val="auto"/>
                      <w:kern w:val="2"/>
                      <w:sz w:val="21"/>
                      <w:szCs w:val="21"/>
                      <w:highlight w:val="none"/>
                      <w:lang w:val="en-US" w:eastAsia="zh-CN" w:bidi="ar-SA"/>
                    </w:rPr>
                    <w:t>污水排放口DW001</w:t>
                  </w:r>
                </w:p>
              </w:tc>
              <w:tc>
                <w:tcPr>
                  <w:tcW w:w="785" w:type="pct"/>
                  <w:tcBorders>
                    <w:tl2br w:val="nil"/>
                    <w:tr2bl w:val="nil"/>
                  </w:tcBorders>
                  <w:noWrap w:val="0"/>
                  <w:vAlign w:val="center"/>
                </w:tcPr>
                <w:p w14:paraId="316B1EC4">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default" w:ascii="Times New Roman" w:hAnsi="Times New Roman" w:eastAsia="宋体" w:cs="Times New Roman"/>
                      <w:b w:val="0"/>
                      <w:bCs w:val="0"/>
                      <w:color w:val="auto"/>
                      <w:spacing w:val="8"/>
                      <w:kern w:val="2"/>
                      <w:sz w:val="21"/>
                      <w:szCs w:val="21"/>
                      <w:highlight w:val="none"/>
                      <w:lang w:val="en-US" w:eastAsia="zh-CN" w:bidi="ar-SA"/>
                    </w:rPr>
                    <w:t>流量</w:t>
                  </w:r>
                </w:p>
              </w:tc>
              <w:tc>
                <w:tcPr>
                  <w:tcW w:w="1160" w:type="pct"/>
                  <w:tcBorders>
                    <w:tl2br w:val="nil"/>
                    <w:tr2bl w:val="nil"/>
                  </w:tcBorders>
                  <w:noWrap w:val="0"/>
                  <w:vAlign w:val="center"/>
                </w:tcPr>
                <w:p w14:paraId="79F4E74B">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b w:val="0"/>
                      <w:bCs w:val="0"/>
                      <w:color w:val="auto"/>
                      <w:kern w:val="2"/>
                      <w:sz w:val="21"/>
                      <w:szCs w:val="21"/>
                      <w:highlight w:val="none"/>
                      <w:vertAlign w:val="baseline"/>
                      <w:lang w:val="en-US" w:eastAsia="zh-CN" w:bidi="ar-SA"/>
                    </w:rPr>
                    <w:t>/</w:t>
                  </w:r>
                </w:p>
              </w:tc>
              <w:tc>
                <w:tcPr>
                  <w:tcW w:w="639" w:type="pct"/>
                  <w:vMerge w:val="restart"/>
                  <w:tcBorders>
                    <w:tl2br w:val="nil"/>
                    <w:tr2bl w:val="nil"/>
                  </w:tcBorders>
                  <w:noWrap w:val="0"/>
                  <w:vAlign w:val="center"/>
                </w:tcPr>
                <w:p w14:paraId="0F1DE905">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1次/年</w:t>
                  </w:r>
                </w:p>
              </w:tc>
              <w:tc>
                <w:tcPr>
                  <w:tcW w:w="1739" w:type="pct"/>
                  <w:vMerge w:val="restart"/>
                  <w:tcBorders>
                    <w:tl2br w:val="nil"/>
                    <w:tr2bl w:val="nil"/>
                  </w:tcBorders>
                  <w:noWrap w:val="0"/>
                  <w:vAlign w:val="center"/>
                </w:tcPr>
                <w:p w14:paraId="49985871">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color w:val="auto"/>
                      <w:sz w:val="21"/>
                      <w:szCs w:val="21"/>
                      <w:highlight w:val="none"/>
                      <w:lang w:val="en-US" w:eastAsia="zh-CN"/>
                    </w:rPr>
                    <w:t>《污水综合排放标准》（GB8978-1996）表4三级标准和《污水排入城镇下水道水质标准》（GB/T31962-2015）表1中B级排放标准</w:t>
                  </w:r>
                </w:p>
              </w:tc>
            </w:tr>
            <w:tr w14:paraId="4BED4D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8" w:hRule="atLeast"/>
                <w:jc w:val="center"/>
              </w:trPr>
              <w:tc>
                <w:tcPr>
                  <w:tcW w:w="674" w:type="pct"/>
                  <w:vMerge w:val="continue"/>
                  <w:tcBorders>
                    <w:tl2br w:val="nil"/>
                    <w:tr2bl w:val="nil"/>
                  </w:tcBorders>
                  <w:noWrap w:val="0"/>
                  <w:vAlign w:val="center"/>
                </w:tcPr>
                <w:p w14:paraId="2348F48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center"/>
                    <w:textAlignment w:val="auto"/>
                    <w:rPr>
                      <w:rFonts w:hint="eastAsia" w:eastAsia="宋体" w:cs="Times New Roman"/>
                      <w:b w:val="0"/>
                      <w:bCs w:val="0"/>
                      <w:color w:val="auto"/>
                      <w:kern w:val="2"/>
                      <w:sz w:val="21"/>
                      <w:szCs w:val="21"/>
                      <w:highlight w:val="none"/>
                      <w:lang w:val="en-US" w:eastAsia="zh-CN" w:bidi="ar-SA"/>
                    </w:rPr>
                  </w:pPr>
                </w:p>
              </w:tc>
              <w:tc>
                <w:tcPr>
                  <w:tcW w:w="785" w:type="pct"/>
                  <w:tcBorders>
                    <w:tl2br w:val="nil"/>
                    <w:tr2bl w:val="nil"/>
                  </w:tcBorders>
                  <w:noWrap w:val="0"/>
                  <w:vAlign w:val="center"/>
                </w:tcPr>
                <w:p w14:paraId="526D0F51">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ascii="Times New Roman" w:hAnsi="Times New Roman" w:eastAsia="宋体" w:cs="Times New Roman"/>
                      <w:b w:val="0"/>
                      <w:bCs w:val="0"/>
                      <w:color w:val="auto"/>
                      <w:spacing w:val="8"/>
                      <w:kern w:val="2"/>
                      <w:sz w:val="21"/>
                      <w:szCs w:val="21"/>
                      <w:highlight w:val="none"/>
                      <w:lang w:val="en-US" w:eastAsia="zh-CN" w:bidi="ar-SA"/>
                    </w:rPr>
                    <w:t>水温</w:t>
                  </w:r>
                </w:p>
              </w:tc>
              <w:tc>
                <w:tcPr>
                  <w:tcW w:w="1160" w:type="pct"/>
                  <w:tcBorders>
                    <w:tl2br w:val="nil"/>
                    <w:tr2bl w:val="nil"/>
                  </w:tcBorders>
                  <w:noWrap w:val="0"/>
                  <w:vAlign w:val="center"/>
                </w:tcPr>
                <w:p w14:paraId="37EAC0B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eastAsia="宋体" w:cs="Times New Roman"/>
                      <w:b w:val="0"/>
                      <w:bCs w:val="0"/>
                      <w:color w:val="auto"/>
                      <w:kern w:val="2"/>
                      <w:sz w:val="21"/>
                      <w:szCs w:val="21"/>
                      <w:highlight w:val="none"/>
                      <w:vertAlign w:val="baseline"/>
                      <w:lang w:val="en-US" w:eastAsia="zh-CN" w:bidi="ar-SA"/>
                    </w:rPr>
                    <w:t>40℃</w:t>
                  </w:r>
                </w:p>
              </w:tc>
              <w:tc>
                <w:tcPr>
                  <w:tcW w:w="639" w:type="pct"/>
                  <w:vMerge w:val="continue"/>
                  <w:tcBorders>
                    <w:tl2br w:val="nil"/>
                    <w:tr2bl w:val="nil"/>
                  </w:tcBorders>
                  <w:noWrap w:val="0"/>
                  <w:vAlign w:val="center"/>
                </w:tcPr>
                <w:p w14:paraId="051BA3F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p>
              </w:tc>
              <w:tc>
                <w:tcPr>
                  <w:tcW w:w="1739" w:type="pct"/>
                  <w:vMerge w:val="continue"/>
                  <w:tcBorders>
                    <w:tl2br w:val="nil"/>
                    <w:tr2bl w:val="nil"/>
                  </w:tcBorders>
                  <w:noWrap w:val="0"/>
                  <w:vAlign w:val="center"/>
                </w:tcPr>
                <w:p w14:paraId="6544733D">
                  <w:pPr>
                    <w:keepNext w:val="0"/>
                    <w:keepLines w:val="0"/>
                    <w:pageBreakBefore w:val="0"/>
                    <w:widowControl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p>
              </w:tc>
            </w:tr>
            <w:tr w14:paraId="13C222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8" w:hRule="atLeast"/>
                <w:jc w:val="center"/>
              </w:trPr>
              <w:tc>
                <w:tcPr>
                  <w:tcW w:w="674" w:type="pct"/>
                  <w:vMerge w:val="continue"/>
                  <w:tcBorders>
                    <w:tl2br w:val="nil"/>
                    <w:tr2bl w:val="nil"/>
                  </w:tcBorders>
                  <w:noWrap w:val="0"/>
                  <w:vAlign w:val="center"/>
                </w:tcPr>
                <w:p w14:paraId="0DBCF14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pPr>
                </w:p>
              </w:tc>
              <w:tc>
                <w:tcPr>
                  <w:tcW w:w="785" w:type="pct"/>
                  <w:tcBorders>
                    <w:tl2br w:val="nil"/>
                    <w:tr2bl w:val="nil"/>
                  </w:tcBorders>
                  <w:shd w:val="clear" w:color="auto" w:fill="auto"/>
                  <w:noWrap w:val="0"/>
                  <w:vAlign w:val="center"/>
                </w:tcPr>
                <w:p w14:paraId="181486CF">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悬浮物</w:t>
                  </w:r>
                </w:p>
              </w:tc>
              <w:tc>
                <w:tcPr>
                  <w:tcW w:w="1160" w:type="pct"/>
                  <w:tcBorders>
                    <w:tl2br w:val="nil"/>
                    <w:tr2bl w:val="nil"/>
                  </w:tcBorders>
                  <w:noWrap w:val="0"/>
                  <w:vAlign w:val="center"/>
                </w:tcPr>
                <w:p w14:paraId="546AD64D">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cs="Times New Roman"/>
                      <w:color w:val="auto"/>
                      <w:sz w:val="21"/>
                      <w:szCs w:val="21"/>
                      <w:highlight w:val="none"/>
                      <w:lang w:val="en-US" w:eastAsia="zh-CN"/>
                    </w:rPr>
                    <w:t>400</w:t>
                  </w:r>
                </w:p>
              </w:tc>
              <w:tc>
                <w:tcPr>
                  <w:tcW w:w="639" w:type="pct"/>
                  <w:vMerge w:val="continue"/>
                  <w:tcBorders>
                    <w:tl2br w:val="nil"/>
                    <w:tr2bl w:val="nil"/>
                  </w:tcBorders>
                  <w:noWrap w:val="0"/>
                  <w:vAlign w:val="center"/>
                </w:tcPr>
                <w:p w14:paraId="5FADFFA1">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1739" w:type="pct"/>
                  <w:vMerge w:val="continue"/>
                  <w:tcBorders>
                    <w:tl2br w:val="nil"/>
                    <w:tr2bl w:val="nil"/>
                  </w:tcBorders>
                  <w:noWrap w:val="0"/>
                  <w:vAlign w:val="center"/>
                </w:tcPr>
                <w:p w14:paraId="462BB64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r>
            <w:tr w14:paraId="094FEA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8" w:hRule="atLeast"/>
                <w:jc w:val="center"/>
              </w:trPr>
              <w:tc>
                <w:tcPr>
                  <w:tcW w:w="674" w:type="pct"/>
                  <w:vMerge w:val="continue"/>
                  <w:tcBorders>
                    <w:tl2br w:val="nil"/>
                    <w:tr2bl w:val="nil"/>
                  </w:tcBorders>
                  <w:noWrap w:val="0"/>
                  <w:vAlign w:val="center"/>
                </w:tcPr>
                <w:p w14:paraId="5F9DDD3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785" w:type="pct"/>
                  <w:tcBorders>
                    <w:tl2br w:val="nil"/>
                    <w:tr2bl w:val="nil"/>
                  </w:tcBorders>
                  <w:shd w:val="clear" w:color="auto" w:fill="auto"/>
                  <w:noWrap w:val="0"/>
                  <w:vAlign w:val="center"/>
                </w:tcPr>
                <w:p w14:paraId="0F4FED0E">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pH</w:t>
                  </w:r>
                </w:p>
              </w:tc>
              <w:tc>
                <w:tcPr>
                  <w:tcW w:w="1160" w:type="pct"/>
                  <w:tcBorders>
                    <w:tl2br w:val="nil"/>
                    <w:tr2bl w:val="nil"/>
                  </w:tcBorders>
                  <w:noWrap w:val="0"/>
                  <w:vAlign w:val="center"/>
                </w:tcPr>
                <w:p w14:paraId="0029EB84">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cs="Times New Roman"/>
                      <w:color w:val="auto"/>
                      <w:sz w:val="21"/>
                      <w:szCs w:val="21"/>
                      <w:highlight w:val="none"/>
                      <w:lang w:val="en-US" w:eastAsia="zh-CN"/>
                    </w:rPr>
                    <w:t>6~9</w:t>
                  </w:r>
                </w:p>
              </w:tc>
              <w:tc>
                <w:tcPr>
                  <w:tcW w:w="639" w:type="pct"/>
                  <w:vMerge w:val="continue"/>
                  <w:tcBorders>
                    <w:tl2br w:val="nil"/>
                    <w:tr2bl w:val="nil"/>
                  </w:tcBorders>
                  <w:noWrap w:val="0"/>
                  <w:vAlign w:val="center"/>
                </w:tcPr>
                <w:p w14:paraId="22249FC0">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1739" w:type="pct"/>
                  <w:vMerge w:val="continue"/>
                  <w:tcBorders>
                    <w:tl2br w:val="nil"/>
                    <w:tr2bl w:val="nil"/>
                  </w:tcBorders>
                  <w:noWrap w:val="0"/>
                  <w:vAlign w:val="center"/>
                </w:tcPr>
                <w:p w14:paraId="25D66138">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r>
            <w:tr w14:paraId="04B4C6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8" w:hRule="atLeast"/>
                <w:jc w:val="center"/>
              </w:trPr>
              <w:tc>
                <w:tcPr>
                  <w:tcW w:w="674" w:type="pct"/>
                  <w:vMerge w:val="continue"/>
                  <w:tcBorders>
                    <w:tl2br w:val="nil"/>
                    <w:tr2bl w:val="nil"/>
                  </w:tcBorders>
                  <w:noWrap w:val="0"/>
                  <w:vAlign w:val="center"/>
                </w:tcPr>
                <w:p w14:paraId="3B094ACF">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785" w:type="pct"/>
                  <w:tcBorders>
                    <w:tl2br w:val="nil"/>
                    <w:tr2bl w:val="nil"/>
                  </w:tcBorders>
                  <w:shd w:val="clear" w:color="auto" w:fill="auto"/>
                  <w:noWrap w:val="0"/>
                  <w:vAlign w:val="center"/>
                </w:tcPr>
                <w:p w14:paraId="7AFD5217">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COD</w:t>
                  </w:r>
                  <w:r>
                    <w:rPr>
                      <w:rFonts w:hint="eastAsia" w:ascii="Times New Roman" w:hAnsi="Times New Roman" w:cs="Times New Roman"/>
                      <w:color w:val="auto"/>
                      <w:sz w:val="21"/>
                      <w:szCs w:val="21"/>
                      <w:highlight w:val="none"/>
                      <w:lang w:val="en-US" w:eastAsia="zh-CN"/>
                    </w:rPr>
                    <w:t>cr</w:t>
                  </w:r>
                </w:p>
              </w:tc>
              <w:tc>
                <w:tcPr>
                  <w:tcW w:w="1160" w:type="pct"/>
                  <w:tcBorders>
                    <w:tl2br w:val="nil"/>
                    <w:tr2bl w:val="nil"/>
                  </w:tcBorders>
                  <w:noWrap w:val="0"/>
                  <w:vAlign w:val="center"/>
                </w:tcPr>
                <w:p w14:paraId="69369D6F">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cs="Times New Roman"/>
                      <w:color w:val="auto"/>
                      <w:sz w:val="21"/>
                      <w:szCs w:val="21"/>
                      <w:highlight w:val="none"/>
                      <w:lang w:val="en-US" w:eastAsia="zh-CN"/>
                    </w:rPr>
                    <w:t>500</w:t>
                  </w:r>
                </w:p>
              </w:tc>
              <w:tc>
                <w:tcPr>
                  <w:tcW w:w="639" w:type="pct"/>
                  <w:vMerge w:val="continue"/>
                  <w:tcBorders>
                    <w:tl2br w:val="nil"/>
                    <w:tr2bl w:val="nil"/>
                  </w:tcBorders>
                  <w:noWrap w:val="0"/>
                  <w:vAlign w:val="center"/>
                </w:tcPr>
                <w:p w14:paraId="461D44A5">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1739" w:type="pct"/>
                  <w:vMerge w:val="continue"/>
                  <w:tcBorders>
                    <w:tl2br w:val="nil"/>
                    <w:tr2bl w:val="nil"/>
                  </w:tcBorders>
                  <w:noWrap w:val="0"/>
                  <w:vAlign w:val="center"/>
                </w:tcPr>
                <w:p w14:paraId="37D3F9F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r>
            <w:tr w14:paraId="039D2B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8" w:hRule="atLeast"/>
                <w:jc w:val="center"/>
              </w:trPr>
              <w:tc>
                <w:tcPr>
                  <w:tcW w:w="674" w:type="pct"/>
                  <w:vMerge w:val="continue"/>
                  <w:tcBorders>
                    <w:tl2br w:val="nil"/>
                    <w:tr2bl w:val="nil"/>
                  </w:tcBorders>
                  <w:noWrap w:val="0"/>
                  <w:vAlign w:val="center"/>
                </w:tcPr>
                <w:p w14:paraId="45BA507F">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785" w:type="pct"/>
                  <w:tcBorders>
                    <w:tl2br w:val="nil"/>
                    <w:tr2bl w:val="nil"/>
                  </w:tcBorders>
                  <w:shd w:val="clear" w:color="auto" w:fill="auto"/>
                  <w:noWrap w:val="0"/>
                  <w:vAlign w:val="center"/>
                </w:tcPr>
                <w:p w14:paraId="0CFC7F81">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BOD</w:t>
                  </w:r>
                  <w:r>
                    <w:rPr>
                      <w:rFonts w:hint="default" w:ascii="Times New Roman" w:hAnsi="Times New Roman" w:cs="Times New Roman"/>
                      <w:color w:val="auto"/>
                      <w:sz w:val="21"/>
                      <w:szCs w:val="21"/>
                      <w:highlight w:val="none"/>
                      <w:vertAlign w:val="subscript"/>
                      <w:lang w:val="en-US" w:eastAsia="zh-CN"/>
                    </w:rPr>
                    <w:t>5</w:t>
                  </w:r>
                </w:p>
              </w:tc>
              <w:tc>
                <w:tcPr>
                  <w:tcW w:w="1160" w:type="pct"/>
                  <w:tcBorders>
                    <w:tl2br w:val="nil"/>
                    <w:tr2bl w:val="nil"/>
                  </w:tcBorders>
                  <w:noWrap w:val="0"/>
                  <w:vAlign w:val="center"/>
                </w:tcPr>
                <w:p w14:paraId="49F20F35">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cs="Times New Roman"/>
                      <w:color w:val="auto"/>
                      <w:sz w:val="21"/>
                      <w:szCs w:val="21"/>
                      <w:highlight w:val="none"/>
                      <w:lang w:val="en-US" w:eastAsia="zh-CN"/>
                    </w:rPr>
                    <w:t>300</w:t>
                  </w:r>
                </w:p>
              </w:tc>
              <w:tc>
                <w:tcPr>
                  <w:tcW w:w="639" w:type="pct"/>
                  <w:vMerge w:val="continue"/>
                  <w:tcBorders>
                    <w:tl2br w:val="nil"/>
                    <w:tr2bl w:val="nil"/>
                  </w:tcBorders>
                  <w:noWrap w:val="0"/>
                  <w:vAlign w:val="center"/>
                </w:tcPr>
                <w:p w14:paraId="124353C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1739" w:type="pct"/>
                  <w:vMerge w:val="continue"/>
                  <w:tcBorders>
                    <w:tl2br w:val="nil"/>
                    <w:tr2bl w:val="nil"/>
                  </w:tcBorders>
                  <w:noWrap w:val="0"/>
                  <w:vAlign w:val="center"/>
                </w:tcPr>
                <w:p w14:paraId="4756435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r>
            <w:tr w14:paraId="3AEE67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8" w:hRule="atLeast"/>
                <w:jc w:val="center"/>
              </w:trPr>
              <w:tc>
                <w:tcPr>
                  <w:tcW w:w="674" w:type="pct"/>
                  <w:vMerge w:val="continue"/>
                  <w:tcBorders>
                    <w:tl2br w:val="nil"/>
                    <w:tr2bl w:val="nil"/>
                  </w:tcBorders>
                  <w:noWrap w:val="0"/>
                  <w:vAlign w:val="center"/>
                </w:tcPr>
                <w:p w14:paraId="01F785E2">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785" w:type="pct"/>
                  <w:tcBorders>
                    <w:tl2br w:val="nil"/>
                    <w:tr2bl w:val="nil"/>
                  </w:tcBorders>
                  <w:shd w:val="clear" w:color="auto" w:fill="auto"/>
                  <w:noWrap w:val="0"/>
                  <w:vAlign w:val="center"/>
                </w:tcPr>
                <w:p w14:paraId="5A8C7222">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氯化物</w:t>
                  </w:r>
                </w:p>
              </w:tc>
              <w:tc>
                <w:tcPr>
                  <w:tcW w:w="1160" w:type="pct"/>
                  <w:tcBorders>
                    <w:tl2br w:val="nil"/>
                    <w:tr2bl w:val="nil"/>
                  </w:tcBorders>
                  <w:noWrap w:val="0"/>
                  <w:vAlign w:val="center"/>
                </w:tcPr>
                <w:p w14:paraId="323217CC">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cs="Times New Roman"/>
                      <w:color w:val="auto"/>
                      <w:sz w:val="21"/>
                      <w:szCs w:val="21"/>
                      <w:highlight w:val="none"/>
                      <w:lang w:val="en-US" w:eastAsia="zh-CN"/>
                    </w:rPr>
                    <w:t>800</w:t>
                  </w:r>
                </w:p>
              </w:tc>
              <w:tc>
                <w:tcPr>
                  <w:tcW w:w="639" w:type="pct"/>
                  <w:vMerge w:val="continue"/>
                  <w:tcBorders>
                    <w:tl2br w:val="nil"/>
                    <w:tr2bl w:val="nil"/>
                  </w:tcBorders>
                  <w:noWrap w:val="0"/>
                  <w:vAlign w:val="center"/>
                </w:tcPr>
                <w:p w14:paraId="2312023A">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1739" w:type="pct"/>
                  <w:vMerge w:val="continue"/>
                  <w:tcBorders>
                    <w:tl2br w:val="nil"/>
                    <w:tr2bl w:val="nil"/>
                  </w:tcBorders>
                  <w:noWrap w:val="0"/>
                  <w:vAlign w:val="center"/>
                </w:tcPr>
                <w:p w14:paraId="4DE878C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r>
            <w:tr w14:paraId="067FDA2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8" w:hRule="atLeast"/>
                <w:jc w:val="center"/>
              </w:trPr>
              <w:tc>
                <w:tcPr>
                  <w:tcW w:w="674" w:type="pct"/>
                  <w:vMerge w:val="continue"/>
                  <w:tcBorders>
                    <w:tl2br w:val="nil"/>
                    <w:tr2bl w:val="nil"/>
                  </w:tcBorders>
                  <w:noWrap w:val="0"/>
                  <w:vAlign w:val="center"/>
                </w:tcPr>
                <w:p w14:paraId="755B9D10">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785" w:type="pct"/>
                  <w:tcBorders>
                    <w:tl2br w:val="nil"/>
                    <w:tr2bl w:val="nil"/>
                  </w:tcBorders>
                  <w:shd w:val="clear" w:color="auto" w:fill="auto"/>
                  <w:noWrap w:val="0"/>
                  <w:vAlign w:val="center"/>
                </w:tcPr>
                <w:p w14:paraId="41653E9A">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总铁</w:t>
                  </w:r>
                </w:p>
              </w:tc>
              <w:tc>
                <w:tcPr>
                  <w:tcW w:w="1160" w:type="pct"/>
                  <w:tcBorders>
                    <w:tl2br w:val="nil"/>
                    <w:tr2bl w:val="nil"/>
                  </w:tcBorders>
                  <w:noWrap w:val="0"/>
                  <w:vAlign w:val="center"/>
                </w:tcPr>
                <w:p w14:paraId="1215F152">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cs="Times New Roman"/>
                      <w:color w:val="auto"/>
                      <w:sz w:val="21"/>
                      <w:szCs w:val="21"/>
                      <w:highlight w:val="none"/>
                      <w:lang w:val="en-US" w:eastAsia="zh-CN"/>
                    </w:rPr>
                    <w:t>10</w:t>
                  </w:r>
                </w:p>
              </w:tc>
              <w:tc>
                <w:tcPr>
                  <w:tcW w:w="639" w:type="pct"/>
                  <w:vMerge w:val="continue"/>
                  <w:tcBorders>
                    <w:tl2br w:val="nil"/>
                    <w:tr2bl w:val="nil"/>
                  </w:tcBorders>
                  <w:noWrap w:val="0"/>
                  <w:vAlign w:val="center"/>
                </w:tcPr>
                <w:p w14:paraId="22653993">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1739" w:type="pct"/>
                  <w:vMerge w:val="continue"/>
                  <w:tcBorders>
                    <w:tl2br w:val="nil"/>
                    <w:tr2bl w:val="nil"/>
                  </w:tcBorders>
                  <w:noWrap w:val="0"/>
                  <w:vAlign w:val="center"/>
                </w:tcPr>
                <w:p w14:paraId="43FE9318">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r>
            <w:tr w14:paraId="2C1F979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8" w:hRule="atLeast"/>
                <w:jc w:val="center"/>
              </w:trPr>
              <w:tc>
                <w:tcPr>
                  <w:tcW w:w="674" w:type="pct"/>
                  <w:vMerge w:val="continue"/>
                  <w:tcBorders>
                    <w:tl2br w:val="nil"/>
                    <w:tr2bl w:val="nil"/>
                  </w:tcBorders>
                  <w:noWrap w:val="0"/>
                  <w:vAlign w:val="center"/>
                </w:tcPr>
                <w:p w14:paraId="5AF51FE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785" w:type="pct"/>
                  <w:tcBorders>
                    <w:tl2br w:val="nil"/>
                    <w:tr2bl w:val="nil"/>
                  </w:tcBorders>
                  <w:shd w:val="clear" w:color="auto" w:fill="auto"/>
                  <w:noWrap w:val="0"/>
                  <w:vAlign w:val="center"/>
                </w:tcPr>
                <w:p w14:paraId="572B0D72">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总磷</w:t>
                  </w:r>
                </w:p>
              </w:tc>
              <w:tc>
                <w:tcPr>
                  <w:tcW w:w="1160" w:type="pct"/>
                  <w:tcBorders>
                    <w:tl2br w:val="nil"/>
                    <w:tr2bl w:val="nil"/>
                  </w:tcBorders>
                  <w:noWrap w:val="0"/>
                  <w:vAlign w:val="center"/>
                </w:tcPr>
                <w:p w14:paraId="59FDDD44">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cs="Times New Roman"/>
                      <w:color w:val="auto"/>
                      <w:sz w:val="21"/>
                      <w:szCs w:val="21"/>
                      <w:highlight w:val="none"/>
                      <w:lang w:val="en-US" w:eastAsia="zh-CN"/>
                    </w:rPr>
                    <w:t>8</w:t>
                  </w:r>
                </w:p>
              </w:tc>
              <w:tc>
                <w:tcPr>
                  <w:tcW w:w="639" w:type="pct"/>
                  <w:vMerge w:val="continue"/>
                  <w:tcBorders>
                    <w:tl2br w:val="nil"/>
                    <w:tr2bl w:val="nil"/>
                  </w:tcBorders>
                  <w:noWrap w:val="0"/>
                  <w:vAlign w:val="center"/>
                </w:tcPr>
                <w:p w14:paraId="744FAFD1">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1739" w:type="pct"/>
                  <w:vMerge w:val="continue"/>
                  <w:tcBorders>
                    <w:tl2br w:val="nil"/>
                    <w:tr2bl w:val="nil"/>
                  </w:tcBorders>
                  <w:noWrap w:val="0"/>
                  <w:vAlign w:val="center"/>
                </w:tcPr>
                <w:p w14:paraId="5F54DEA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r>
            <w:tr w14:paraId="0201F2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8" w:hRule="atLeast"/>
                <w:jc w:val="center"/>
              </w:trPr>
              <w:tc>
                <w:tcPr>
                  <w:tcW w:w="674" w:type="pct"/>
                  <w:vMerge w:val="continue"/>
                  <w:tcBorders>
                    <w:tl2br w:val="nil"/>
                    <w:tr2bl w:val="nil"/>
                  </w:tcBorders>
                  <w:noWrap w:val="0"/>
                  <w:vAlign w:val="center"/>
                </w:tcPr>
                <w:p w14:paraId="354CB9F7">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785" w:type="pct"/>
                  <w:tcBorders>
                    <w:tl2br w:val="nil"/>
                    <w:tr2bl w:val="nil"/>
                  </w:tcBorders>
                  <w:shd w:val="clear" w:color="auto" w:fill="auto"/>
                  <w:noWrap w:val="0"/>
                  <w:vAlign w:val="center"/>
                </w:tcPr>
                <w:p w14:paraId="7BECD729">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氨氮</w:t>
                  </w:r>
                </w:p>
              </w:tc>
              <w:tc>
                <w:tcPr>
                  <w:tcW w:w="1160" w:type="pct"/>
                  <w:tcBorders>
                    <w:tl2br w:val="nil"/>
                    <w:tr2bl w:val="nil"/>
                  </w:tcBorders>
                  <w:noWrap w:val="0"/>
                  <w:vAlign w:val="center"/>
                </w:tcPr>
                <w:p w14:paraId="64655C95">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cs="Times New Roman"/>
                      <w:color w:val="auto"/>
                      <w:sz w:val="21"/>
                      <w:szCs w:val="21"/>
                      <w:highlight w:val="none"/>
                      <w:lang w:val="en-US" w:eastAsia="zh-CN"/>
                    </w:rPr>
                    <w:t>45</w:t>
                  </w:r>
                </w:p>
              </w:tc>
              <w:tc>
                <w:tcPr>
                  <w:tcW w:w="639" w:type="pct"/>
                  <w:vMerge w:val="continue"/>
                  <w:tcBorders>
                    <w:tl2br w:val="nil"/>
                    <w:tr2bl w:val="nil"/>
                  </w:tcBorders>
                  <w:noWrap w:val="0"/>
                  <w:vAlign w:val="center"/>
                </w:tcPr>
                <w:p w14:paraId="1A89C877">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1739" w:type="pct"/>
                  <w:vMerge w:val="continue"/>
                  <w:tcBorders>
                    <w:tl2br w:val="nil"/>
                    <w:tr2bl w:val="nil"/>
                  </w:tcBorders>
                  <w:noWrap w:val="0"/>
                  <w:vAlign w:val="center"/>
                </w:tcPr>
                <w:p w14:paraId="02AF85F8">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r>
            <w:tr w14:paraId="2A34C8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8" w:hRule="atLeast"/>
                <w:jc w:val="center"/>
              </w:trPr>
              <w:tc>
                <w:tcPr>
                  <w:tcW w:w="674" w:type="pct"/>
                  <w:vMerge w:val="continue"/>
                  <w:tcBorders>
                    <w:tl2br w:val="nil"/>
                    <w:tr2bl w:val="nil"/>
                  </w:tcBorders>
                  <w:noWrap w:val="0"/>
                  <w:vAlign w:val="center"/>
                </w:tcPr>
                <w:p w14:paraId="1A235C6D">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785" w:type="pct"/>
                  <w:tcBorders>
                    <w:tl2br w:val="nil"/>
                    <w:tr2bl w:val="nil"/>
                  </w:tcBorders>
                  <w:shd w:val="clear" w:color="auto" w:fill="auto"/>
                  <w:noWrap w:val="0"/>
                  <w:vAlign w:val="center"/>
                </w:tcPr>
                <w:p w14:paraId="02A18B87">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总氮</w:t>
                  </w:r>
                </w:p>
              </w:tc>
              <w:tc>
                <w:tcPr>
                  <w:tcW w:w="1160" w:type="pct"/>
                  <w:tcBorders>
                    <w:tl2br w:val="nil"/>
                    <w:tr2bl w:val="nil"/>
                  </w:tcBorders>
                  <w:shd w:val="clear" w:color="auto" w:fill="auto"/>
                  <w:noWrap w:val="0"/>
                  <w:vAlign w:val="center"/>
                </w:tcPr>
                <w:p w14:paraId="688E184D">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 w:val="0"/>
                      <w:bCs w:val="0"/>
                      <w:color w:val="auto"/>
                      <w:spacing w:val="8"/>
                      <w:kern w:val="2"/>
                      <w:sz w:val="21"/>
                      <w:szCs w:val="21"/>
                      <w:highlight w:val="none"/>
                      <w:lang w:val="en-US" w:eastAsia="zh-CN" w:bidi="ar-SA"/>
                    </w:rPr>
                  </w:pPr>
                  <w:r>
                    <w:rPr>
                      <w:rFonts w:hint="eastAsia" w:cs="Times New Roman"/>
                      <w:color w:val="auto"/>
                      <w:sz w:val="21"/>
                      <w:szCs w:val="21"/>
                      <w:highlight w:val="none"/>
                      <w:lang w:val="en-US" w:eastAsia="zh-CN"/>
                    </w:rPr>
                    <w:t>70</w:t>
                  </w:r>
                </w:p>
              </w:tc>
              <w:tc>
                <w:tcPr>
                  <w:tcW w:w="639" w:type="pct"/>
                  <w:vMerge w:val="continue"/>
                  <w:tcBorders>
                    <w:tl2br w:val="nil"/>
                    <w:tr2bl w:val="nil"/>
                  </w:tcBorders>
                  <w:noWrap w:val="0"/>
                  <w:vAlign w:val="center"/>
                </w:tcPr>
                <w:p w14:paraId="3C8BE7F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1739" w:type="pct"/>
                  <w:vMerge w:val="continue"/>
                  <w:tcBorders>
                    <w:tl2br w:val="nil"/>
                    <w:tr2bl w:val="nil"/>
                  </w:tcBorders>
                  <w:noWrap w:val="0"/>
                  <w:vAlign w:val="center"/>
                </w:tcPr>
                <w:p w14:paraId="5FCECD91">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r>
            <w:tr w14:paraId="25270FC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8" w:hRule="atLeast"/>
                <w:jc w:val="center"/>
              </w:trPr>
              <w:tc>
                <w:tcPr>
                  <w:tcW w:w="674" w:type="pct"/>
                  <w:vMerge w:val="continue"/>
                  <w:tcBorders>
                    <w:tl2br w:val="nil"/>
                    <w:tr2bl w:val="nil"/>
                  </w:tcBorders>
                  <w:noWrap w:val="0"/>
                  <w:vAlign w:val="center"/>
                </w:tcPr>
                <w:p w14:paraId="4324280B">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785" w:type="pct"/>
                  <w:tcBorders>
                    <w:tl2br w:val="nil"/>
                    <w:tr2bl w:val="nil"/>
                  </w:tcBorders>
                  <w:shd w:val="clear" w:color="auto" w:fill="auto"/>
                  <w:noWrap w:val="0"/>
                  <w:vAlign w:val="center"/>
                </w:tcPr>
                <w:p w14:paraId="3AA0DB52">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eastAsia" w:cs="Times New Roman"/>
                      <w:b w:val="0"/>
                      <w:color w:val="auto"/>
                      <w:kern w:val="2"/>
                      <w:sz w:val="21"/>
                      <w:szCs w:val="21"/>
                      <w:highlight w:val="none"/>
                      <w:lang w:val="en-US" w:eastAsia="zh-CN" w:bidi="ar-SA"/>
                    </w:rPr>
                    <w:t>动植物油</w:t>
                  </w:r>
                </w:p>
              </w:tc>
              <w:tc>
                <w:tcPr>
                  <w:tcW w:w="1160" w:type="pct"/>
                  <w:tcBorders>
                    <w:tl2br w:val="nil"/>
                    <w:tr2bl w:val="nil"/>
                  </w:tcBorders>
                  <w:noWrap w:val="0"/>
                  <w:vAlign w:val="center"/>
                </w:tcPr>
                <w:p w14:paraId="3FEC13E3">
                  <w:pPr>
                    <w:pStyle w:val="8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cs="Times New Roman"/>
                      <w:b w:val="0"/>
                      <w:bCs w:val="0"/>
                      <w:color w:val="auto"/>
                      <w:spacing w:val="8"/>
                      <w:kern w:val="2"/>
                      <w:sz w:val="21"/>
                      <w:szCs w:val="21"/>
                      <w:highlight w:val="none"/>
                      <w:lang w:val="en-US" w:eastAsia="zh-CN" w:bidi="ar-SA"/>
                    </w:rPr>
                    <w:t>100</w:t>
                  </w:r>
                </w:p>
              </w:tc>
              <w:tc>
                <w:tcPr>
                  <w:tcW w:w="639" w:type="pct"/>
                  <w:vMerge w:val="continue"/>
                  <w:tcBorders>
                    <w:tl2br w:val="nil"/>
                    <w:tr2bl w:val="nil"/>
                  </w:tcBorders>
                  <w:noWrap w:val="0"/>
                  <w:vAlign w:val="center"/>
                </w:tcPr>
                <w:p w14:paraId="00E9D3DC">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c>
                <w:tcPr>
                  <w:tcW w:w="1739" w:type="pct"/>
                  <w:vMerge w:val="continue"/>
                  <w:tcBorders>
                    <w:tl2br w:val="nil"/>
                    <w:tr2bl w:val="nil"/>
                  </w:tcBorders>
                  <w:noWrap w:val="0"/>
                  <w:vAlign w:val="center"/>
                </w:tcPr>
                <w:p w14:paraId="32996CBF">
                  <w:pPr>
                    <w:keepNext w:val="0"/>
                    <w:keepLines w:val="0"/>
                    <w:pageBreakBefore w:val="0"/>
                    <w:widowControl w:val="0"/>
                    <w:kinsoku/>
                    <w:wordWrap/>
                    <w:overflowPunct/>
                    <w:topLinePunct w:val="0"/>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val="0"/>
                      <w:color w:val="auto"/>
                      <w:spacing w:val="8"/>
                      <w:kern w:val="2"/>
                      <w:sz w:val="21"/>
                      <w:szCs w:val="21"/>
                      <w:highlight w:val="none"/>
                      <w:lang w:val="en-US" w:eastAsia="zh-CN" w:bidi="ar-SA"/>
                    </w:rPr>
                  </w:pPr>
                </w:p>
              </w:tc>
            </w:tr>
          </w:tbl>
          <w:p w14:paraId="1AEDE7B4">
            <w:pPr>
              <w:pStyle w:val="29"/>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八</w:t>
            </w:r>
            <w:r>
              <w:rPr>
                <w:rFonts w:hint="default" w:ascii="Times New Roman" w:hAnsi="Times New Roman" w:eastAsia="宋体" w:cs="Times New Roman"/>
                <w:lang w:val="en-US" w:eastAsia="zh-CN"/>
              </w:rPr>
              <w:t>）水环境影响评价结论</w:t>
            </w:r>
          </w:p>
          <w:p w14:paraId="465E9F5E">
            <w:pPr>
              <w:pStyle w:val="29"/>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本项目生活污水经三级化粪池处理、初期雨水经</w:t>
            </w:r>
            <w:r>
              <w:rPr>
                <w:rFonts w:hint="eastAsia" w:ascii="Times New Roman" w:hAnsi="Times New Roman" w:eastAsia="宋体" w:cs="Times New Roman"/>
                <w:lang w:val="en-US" w:eastAsia="zh-CN"/>
              </w:rPr>
              <w:t>雨水收集池沉淀</w:t>
            </w:r>
            <w:r>
              <w:rPr>
                <w:rFonts w:hint="default" w:ascii="Times New Roman" w:hAnsi="Times New Roman" w:eastAsia="宋体" w:cs="Times New Roman"/>
                <w:lang w:val="en-US" w:eastAsia="zh-CN"/>
              </w:rPr>
              <w:t>处理后</w:t>
            </w:r>
            <w:r>
              <w:rPr>
                <w:rFonts w:hint="eastAsia" w:ascii="Times New Roman" w:hAnsi="Times New Roman" w:eastAsia="宋体" w:cs="Times New Roman"/>
                <w:lang w:val="en-US" w:eastAsia="zh-CN"/>
              </w:rPr>
              <w:t>、设备循环冷却水均</w:t>
            </w:r>
            <w:r>
              <w:rPr>
                <w:rFonts w:hint="default" w:ascii="Times New Roman" w:hAnsi="Times New Roman" w:eastAsia="宋体" w:cs="Times New Roman"/>
                <w:lang w:val="en-US" w:eastAsia="zh-CN"/>
              </w:rPr>
              <w:t>达到《污水综合排放标准》（GB8978-1996）表4三级标准和《污水排入城镇下水道水质标准》（GB/T31962-2015）表1中B级排放标准排入长青工业园污水处理厂，所采用的污染治理措施为可行技术。综上所述，本项目的水污染物控制和水环境影响减缓措施具有有效性和环境可行性，本项目</w:t>
            </w:r>
            <w:r>
              <w:rPr>
                <w:rFonts w:hint="eastAsia" w:eastAsia="宋体" w:cs="Times New Roman"/>
                <w:lang w:val="en-US" w:eastAsia="zh-CN"/>
              </w:rPr>
              <w:t>对</w:t>
            </w:r>
            <w:r>
              <w:rPr>
                <w:rFonts w:hint="default" w:ascii="Times New Roman" w:hAnsi="Times New Roman" w:eastAsia="宋体" w:cs="Times New Roman"/>
                <w:lang w:val="en-US" w:eastAsia="zh-CN"/>
              </w:rPr>
              <w:t>地表水环境</w:t>
            </w:r>
            <w:r>
              <w:rPr>
                <w:rFonts w:hint="eastAsia" w:eastAsia="宋体" w:cs="Times New Roman"/>
                <w:lang w:val="en-US" w:eastAsia="zh-CN"/>
              </w:rPr>
              <w:t>的</w:t>
            </w:r>
            <w:r>
              <w:rPr>
                <w:rFonts w:hint="default" w:ascii="Times New Roman" w:hAnsi="Times New Roman" w:eastAsia="宋体" w:cs="Times New Roman"/>
                <w:lang w:val="en-US" w:eastAsia="zh-CN"/>
              </w:rPr>
              <w:t>影响是可以接受的。</w:t>
            </w:r>
          </w:p>
          <w:p w14:paraId="24985201">
            <w:pPr>
              <w:keepNext w:val="0"/>
              <w:keepLines w:val="0"/>
              <w:pageBreakBefore w:val="0"/>
              <w:widowControl w:val="0"/>
              <w:tabs>
                <w:tab w:val="left" w:pos="3645"/>
              </w:tabs>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三</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噪声</w:t>
            </w:r>
            <w:r>
              <w:rPr>
                <w:rFonts w:ascii="Times New Roman" w:hAnsi="Times New Roman" w:eastAsia="宋体" w:cs="Times New Roman"/>
                <w:b/>
                <w:bCs/>
                <w:color w:val="auto"/>
                <w:sz w:val="24"/>
                <w:szCs w:val="24"/>
                <w:highlight w:val="none"/>
              </w:rPr>
              <w:t>治理措施</w:t>
            </w:r>
            <w:r>
              <w:rPr>
                <w:rFonts w:hint="eastAsia" w:ascii="Times New Roman" w:hAnsi="Times New Roman" w:eastAsia="宋体" w:cs="Times New Roman"/>
                <w:b/>
                <w:bCs/>
                <w:color w:val="auto"/>
                <w:sz w:val="24"/>
                <w:szCs w:val="24"/>
                <w:highlight w:val="none"/>
                <w:lang w:val="en-US" w:eastAsia="zh-CN"/>
              </w:rPr>
              <w:t>及影响分析</w:t>
            </w:r>
          </w:p>
          <w:p w14:paraId="488921B1">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eastAsia"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1、</w:t>
            </w:r>
            <w:r>
              <w:rPr>
                <w:rFonts w:hint="eastAsia" w:ascii="Times New Roman" w:hAnsi="Times New Roman" w:eastAsia="宋体" w:cs="Times New Roman"/>
                <w:b/>
                <w:bCs/>
                <w:color w:val="auto"/>
                <w:kern w:val="0"/>
                <w:sz w:val="24"/>
                <w:szCs w:val="24"/>
                <w:highlight w:val="none"/>
                <w:lang w:val="en-US" w:eastAsia="zh-CN"/>
              </w:rPr>
              <w:t>噪声源强及治理措施</w:t>
            </w:r>
          </w:p>
          <w:p w14:paraId="02E3427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本项目噪声主要产生于空气压缩机、膨胀机、泵、风机、冷却塔等设备运行，类比同类型企业噪声实测结果，设备噪声强度在70~10</w:t>
            </w:r>
            <w:r>
              <w:rPr>
                <w:rFonts w:hint="eastAsia" w:cs="Times New Roman"/>
                <w:color w:val="auto"/>
                <w:kern w:val="0"/>
                <w:sz w:val="24"/>
                <w:szCs w:val="24"/>
                <w:highlight w:val="none"/>
                <w:lang w:val="en-US" w:eastAsia="zh-CN"/>
              </w:rPr>
              <w:t>0</w:t>
            </w:r>
            <w:r>
              <w:rPr>
                <w:rFonts w:hint="eastAsia" w:ascii="Times New Roman" w:hAnsi="Times New Roman" w:eastAsia="宋体" w:cs="Times New Roman"/>
                <w:color w:val="auto"/>
                <w:kern w:val="0"/>
                <w:sz w:val="24"/>
                <w:szCs w:val="24"/>
                <w:highlight w:val="none"/>
                <w:lang w:val="en-US" w:eastAsia="zh-CN"/>
              </w:rPr>
              <w:t>dB（A）之间，本项目选取低噪声设备，对高噪声设备采取隔声、减震、安装消声器等降噪措施。项目产生噪声的噪声源强及治理措施具体情况见下表</w:t>
            </w:r>
            <w:r>
              <w:rPr>
                <w:rFonts w:hint="eastAsia" w:cs="Times New Roman"/>
                <w:color w:val="auto"/>
                <w:kern w:val="0"/>
                <w:sz w:val="24"/>
                <w:szCs w:val="24"/>
                <w:highlight w:val="none"/>
                <w:lang w:val="en-US" w:eastAsia="zh-CN"/>
              </w:rPr>
              <w:t>4-12</w:t>
            </w:r>
            <w:r>
              <w:rPr>
                <w:rFonts w:hint="eastAsia" w:ascii="Times New Roman" w:hAnsi="Times New Roman" w:eastAsia="宋体" w:cs="Times New Roman"/>
                <w:color w:val="auto"/>
                <w:kern w:val="0"/>
                <w:sz w:val="24"/>
                <w:szCs w:val="24"/>
                <w:highlight w:val="none"/>
                <w:lang w:val="en-US" w:eastAsia="zh-CN"/>
              </w:rPr>
              <w:t>。</w:t>
            </w:r>
          </w:p>
          <w:p w14:paraId="35A1D414">
            <w:pPr>
              <w:adjustRightInd w:val="0"/>
              <w:snapToGrid w:val="0"/>
              <w:spacing w:line="240" w:lineRule="auto"/>
              <w:ind w:firstLine="0" w:firstLineChars="0"/>
              <w:jc w:val="center"/>
              <w:rPr>
                <w:rFonts w:hint="eastAsia" w:ascii="Times New Roman" w:hAnsi="Times New Roman" w:eastAsia="宋体" w:cs="Times New Roman"/>
                <w:b/>
                <w:snapToGrid w:val="0"/>
                <w:color w:val="auto"/>
                <w:kern w:val="0"/>
                <w:sz w:val="21"/>
                <w:szCs w:val="21"/>
              </w:rPr>
            </w:pPr>
            <w:r>
              <w:rPr>
                <w:rFonts w:hint="eastAsia" w:ascii="Times New Roman" w:hAnsi="Times New Roman" w:eastAsia="宋体" w:cs="Times New Roman"/>
                <w:b/>
                <w:snapToGrid w:val="0"/>
                <w:color w:val="auto"/>
                <w:kern w:val="0"/>
                <w:sz w:val="21"/>
                <w:szCs w:val="21"/>
              </w:rPr>
              <w:t>表4-</w:t>
            </w:r>
            <w:r>
              <w:rPr>
                <w:rFonts w:hint="eastAsia" w:cs="Times New Roman"/>
                <w:b/>
                <w:snapToGrid w:val="0"/>
                <w:color w:val="auto"/>
                <w:kern w:val="0"/>
                <w:sz w:val="21"/>
                <w:szCs w:val="21"/>
                <w:lang w:val="en-US" w:eastAsia="zh-CN"/>
              </w:rPr>
              <w:t>12</w:t>
            </w:r>
            <w:r>
              <w:rPr>
                <w:rFonts w:hint="eastAsia" w:ascii="Times New Roman" w:hAnsi="Times New Roman" w:eastAsia="宋体" w:cs="Times New Roman"/>
                <w:b/>
                <w:snapToGrid w:val="0"/>
                <w:color w:val="auto"/>
                <w:kern w:val="0"/>
                <w:sz w:val="21"/>
                <w:szCs w:val="21"/>
              </w:rPr>
              <w:t xml:space="preserve">  </w:t>
            </w:r>
            <w:r>
              <w:rPr>
                <w:rFonts w:hint="eastAsia" w:cs="Times New Roman"/>
                <w:b/>
                <w:snapToGrid w:val="0"/>
                <w:color w:val="auto"/>
                <w:kern w:val="0"/>
                <w:sz w:val="21"/>
                <w:szCs w:val="21"/>
                <w:lang w:val="en-US" w:eastAsia="zh-CN"/>
              </w:rPr>
              <w:t xml:space="preserve">   </w:t>
            </w:r>
            <w:r>
              <w:rPr>
                <w:rFonts w:hint="eastAsia" w:ascii="Times New Roman" w:hAnsi="Times New Roman" w:eastAsia="宋体" w:cs="Times New Roman"/>
                <w:b/>
                <w:snapToGrid w:val="0"/>
                <w:color w:val="auto"/>
                <w:kern w:val="0"/>
                <w:sz w:val="21"/>
                <w:szCs w:val="21"/>
                <w:lang w:val="en-US" w:eastAsia="zh-CN"/>
              </w:rPr>
              <w:t>本项目</w:t>
            </w:r>
            <w:r>
              <w:rPr>
                <w:rFonts w:hint="eastAsia" w:ascii="Times New Roman" w:hAnsi="Times New Roman" w:eastAsia="宋体" w:cs="Times New Roman"/>
                <w:b/>
                <w:snapToGrid w:val="0"/>
                <w:color w:val="auto"/>
                <w:kern w:val="0"/>
                <w:sz w:val="21"/>
                <w:szCs w:val="21"/>
              </w:rPr>
              <w:t>主要产噪设备噪声源及防治措施表    单位：dB（A）</w:t>
            </w:r>
          </w:p>
          <w:tbl>
            <w:tblPr>
              <w:tblStyle w:val="30"/>
              <w:tblW w:w="825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7"/>
              <w:gridCol w:w="1151"/>
              <w:gridCol w:w="920"/>
              <w:gridCol w:w="801"/>
              <w:gridCol w:w="1710"/>
              <w:gridCol w:w="905"/>
              <w:gridCol w:w="1300"/>
            </w:tblGrid>
            <w:tr w14:paraId="4B96B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8" w:type="pct"/>
                  <w:tcBorders>
                    <w:tl2br w:val="nil"/>
                    <w:tr2bl w:val="nil"/>
                  </w:tcBorders>
                  <w:noWrap w:val="0"/>
                  <w:vAlign w:val="center"/>
                </w:tcPr>
                <w:p w14:paraId="0042113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宋体" w:eastAsia="宋体" w:cs="Times New Roman"/>
                      <w:b/>
                      <w:color w:val="auto"/>
                      <w:sz w:val="21"/>
                      <w:szCs w:val="21"/>
                      <w:lang w:val="en-US" w:eastAsia="zh-CN"/>
                    </w:rPr>
                  </w:pPr>
                  <w:r>
                    <w:rPr>
                      <w:rFonts w:hint="eastAsia" w:ascii="Times New Roman" w:hAnsi="宋体" w:eastAsia="宋体" w:cs="Times New Roman"/>
                      <w:b/>
                      <w:color w:val="auto"/>
                      <w:sz w:val="21"/>
                      <w:szCs w:val="21"/>
                      <w:lang w:val="en-US" w:eastAsia="zh-CN"/>
                    </w:rPr>
                    <w:t>装置</w:t>
                  </w:r>
                </w:p>
              </w:tc>
              <w:tc>
                <w:tcPr>
                  <w:tcW w:w="697" w:type="pct"/>
                  <w:tcBorders>
                    <w:tl2br w:val="nil"/>
                    <w:tr2bl w:val="nil"/>
                  </w:tcBorders>
                  <w:noWrap w:val="0"/>
                  <w:vAlign w:val="center"/>
                </w:tcPr>
                <w:p w14:paraId="2A65C7A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ascii="Times New Roman" w:hAnsi="Times New Roman" w:eastAsia="宋体" w:cs="Times New Roman"/>
                      <w:b/>
                      <w:color w:val="auto"/>
                      <w:sz w:val="21"/>
                      <w:szCs w:val="21"/>
                    </w:rPr>
                  </w:pPr>
                  <w:r>
                    <w:rPr>
                      <w:rFonts w:ascii="Times New Roman" w:hAnsi="宋体" w:eastAsia="宋体" w:cs="Times New Roman"/>
                      <w:b/>
                      <w:color w:val="auto"/>
                      <w:sz w:val="21"/>
                      <w:szCs w:val="21"/>
                    </w:rPr>
                    <w:t>噪声源</w:t>
                  </w:r>
                </w:p>
              </w:tc>
              <w:tc>
                <w:tcPr>
                  <w:tcW w:w="557" w:type="pct"/>
                  <w:tcBorders>
                    <w:tl2br w:val="nil"/>
                    <w:tr2bl w:val="nil"/>
                  </w:tcBorders>
                  <w:noWrap w:val="0"/>
                  <w:vAlign w:val="center"/>
                </w:tcPr>
                <w:p w14:paraId="0AF1357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宋体" w:eastAsia="宋体" w:cs="Times New Roman"/>
                      <w:b/>
                      <w:color w:val="auto"/>
                      <w:sz w:val="21"/>
                      <w:szCs w:val="21"/>
                    </w:rPr>
                  </w:pPr>
                  <w:r>
                    <w:rPr>
                      <w:rFonts w:hint="eastAsia" w:ascii="Times New Roman" w:hAnsi="宋体" w:eastAsia="宋体" w:cs="Times New Roman"/>
                      <w:b/>
                      <w:color w:val="auto"/>
                      <w:sz w:val="21"/>
                      <w:szCs w:val="21"/>
                    </w:rPr>
                    <w:t>数量</w:t>
                  </w:r>
                </w:p>
                <w:p w14:paraId="55D62E4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ascii="Times New Roman" w:hAnsi="宋体" w:eastAsia="宋体" w:cs="Times New Roman"/>
                      <w:b/>
                      <w:color w:val="auto"/>
                      <w:sz w:val="21"/>
                      <w:szCs w:val="21"/>
                    </w:rPr>
                  </w:pPr>
                  <w:r>
                    <w:rPr>
                      <w:rFonts w:hint="eastAsia" w:ascii="Times New Roman" w:hAnsi="宋体" w:eastAsia="宋体" w:cs="Times New Roman"/>
                      <w:b/>
                      <w:color w:val="auto"/>
                      <w:sz w:val="21"/>
                      <w:szCs w:val="21"/>
                    </w:rPr>
                    <w:t>（台/套）</w:t>
                  </w:r>
                </w:p>
              </w:tc>
              <w:tc>
                <w:tcPr>
                  <w:tcW w:w="485" w:type="pct"/>
                  <w:tcBorders>
                    <w:tl2br w:val="nil"/>
                    <w:tr2bl w:val="nil"/>
                  </w:tcBorders>
                  <w:noWrap w:val="0"/>
                  <w:vAlign w:val="center"/>
                </w:tcPr>
                <w:p w14:paraId="55E23C9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b/>
                      <w:color w:val="auto"/>
                      <w:sz w:val="21"/>
                      <w:szCs w:val="21"/>
                      <w:lang w:eastAsia="zh-CN"/>
                    </w:rPr>
                  </w:pPr>
                  <w:r>
                    <w:rPr>
                      <w:rFonts w:ascii="Times New Roman" w:hAnsi="宋体" w:eastAsia="宋体" w:cs="Times New Roman"/>
                      <w:b/>
                      <w:color w:val="auto"/>
                      <w:sz w:val="21"/>
                      <w:szCs w:val="21"/>
                    </w:rPr>
                    <w:t>初始源强</w:t>
                  </w:r>
                  <w:r>
                    <w:rPr>
                      <w:rFonts w:ascii="Times New Roman" w:hAnsi="Times New Roman" w:eastAsia="宋体" w:cs="Times New Roman"/>
                      <w:b/>
                      <w:color w:val="auto"/>
                      <w:sz w:val="21"/>
                      <w:szCs w:val="21"/>
                    </w:rPr>
                    <w:t>dB</w:t>
                  </w:r>
                  <w:r>
                    <w:rPr>
                      <w:rFonts w:hint="eastAsia" w:cs="Times New Roman"/>
                      <w:b/>
                      <w:color w:val="auto"/>
                      <w:sz w:val="21"/>
                      <w:szCs w:val="21"/>
                      <w:lang w:eastAsia="zh-CN"/>
                    </w:rPr>
                    <w:t>（</w:t>
                  </w:r>
                  <w:r>
                    <w:rPr>
                      <w:rFonts w:ascii="Times New Roman" w:hAnsi="Times New Roman" w:eastAsia="宋体" w:cs="Times New Roman"/>
                      <w:b/>
                      <w:color w:val="auto"/>
                      <w:sz w:val="21"/>
                      <w:szCs w:val="21"/>
                    </w:rPr>
                    <w:t>A</w:t>
                  </w:r>
                  <w:r>
                    <w:rPr>
                      <w:rFonts w:hint="eastAsia" w:cs="Times New Roman"/>
                      <w:b/>
                      <w:color w:val="auto"/>
                      <w:sz w:val="21"/>
                      <w:szCs w:val="21"/>
                      <w:lang w:eastAsia="zh-CN"/>
                    </w:rPr>
                    <w:t>）</w:t>
                  </w:r>
                </w:p>
              </w:tc>
              <w:tc>
                <w:tcPr>
                  <w:tcW w:w="1035" w:type="pct"/>
                  <w:tcBorders>
                    <w:tl2br w:val="nil"/>
                    <w:tr2bl w:val="nil"/>
                  </w:tcBorders>
                  <w:noWrap w:val="0"/>
                  <w:vAlign w:val="center"/>
                </w:tcPr>
                <w:p w14:paraId="525F6CD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ascii="Times New Roman" w:hAnsi="Times New Roman" w:eastAsia="宋体" w:cs="Times New Roman"/>
                      <w:b/>
                      <w:color w:val="auto"/>
                      <w:sz w:val="21"/>
                      <w:szCs w:val="21"/>
                    </w:rPr>
                  </w:pPr>
                  <w:r>
                    <w:rPr>
                      <w:rFonts w:ascii="Times New Roman" w:hAnsi="宋体" w:eastAsia="宋体" w:cs="Times New Roman"/>
                      <w:b/>
                      <w:color w:val="auto"/>
                      <w:sz w:val="21"/>
                      <w:szCs w:val="21"/>
                    </w:rPr>
                    <w:t>声源治理措施</w:t>
                  </w:r>
                </w:p>
              </w:tc>
              <w:tc>
                <w:tcPr>
                  <w:tcW w:w="548" w:type="pct"/>
                  <w:tcBorders>
                    <w:tl2br w:val="nil"/>
                    <w:tr2bl w:val="nil"/>
                  </w:tcBorders>
                  <w:noWrap w:val="0"/>
                  <w:vAlign w:val="center"/>
                </w:tcPr>
                <w:p w14:paraId="3421AC5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b/>
                      <w:color w:val="auto"/>
                      <w:sz w:val="21"/>
                      <w:szCs w:val="21"/>
                      <w:lang w:eastAsia="zh-CN"/>
                    </w:rPr>
                  </w:pPr>
                  <w:r>
                    <w:rPr>
                      <w:rFonts w:ascii="Times New Roman" w:hAnsi="宋体" w:eastAsia="宋体" w:cs="Times New Roman"/>
                      <w:b/>
                      <w:color w:val="auto"/>
                      <w:sz w:val="21"/>
                      <w:szCs w:val="21"/>
                    </w:rPr>
                    <w:t>治理后声级</w:t>
                  </w:r>
                  <w:r>
                    <w:rPr>
                      <w:rFonts w:ascii="Times New Roman" w:hAnsi="Times New Roman" w:eastAsia="宋体" w:cs="Times New Roman"/>
                      <w:b/>
                      <w:color w:val="auto"/>
                      <w:sz w:val="21"/>
                      <w:szCs w:val="21"/>
                    </w:rPr>
                    <w:t>dB</w:t>
                  </w:r>
                  <w:r>
                    <w:rPr>
                      <w:rFonts w:hint="eastAsia" w:cs="Times New Roman"/>
                      <w:b/>
                      <w:color w:val="auto"/>
                      <w:sz w:val="21"/>
                      <w:szCs w:val="21"/>
                      <w:lang w:eastAsia="zh-CN"/>
                    </w:rPr>
                    <w:t>（</w:t>
                  </w:r>
                  <w:r>
                    <w:rPr>
                      <w:rFonts w:ascii="Times New Roman" w:hAnsi="Times New Roman" w:eastAsia="宋体" w:cs="Times New Roman"/>
                      <w:b/>
                      <w:color w:val="auto"/>
                      <w:sz w:val="21"/>
                      <w:szCs w:val="21"/>
                    </w:rPr>
                    <w:t>A</w:t>
                  </w:r>
                  <w:r>
                    <w:rPr>
                      <w:rFonts w:hint="eastAsia" w:cs="Times New Roman"/>
                      <w:b/>
                      <w:color w:val="auto"/>
                      <w:sz w:val="21"/>
                      <w:szCs w:val="21"/>
                      <w:lang w:eastAsia="zh-CN"/>
                    </w:rPr>
                    <w:t>）</w:t>
                  </w:r>
                </w:p>
              </w:tc>
              <w:tc>
                <w:tcPr>
                  <w:tcW w:w="787" w:type="pct"/>
                  <w:tcBorders>
                    <w:tl2br w:val="nil"/>
                    <w:tr2bl w:val="nil"/>
                  </w:tcBorders>
                  <w:noWrap w:val="0"/>
                  <w:vAlign w:val="center"/>
                </w:tcPr>
                <w:p w14:paraId="4D80DC1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ascii="Times New Roman" w:hAnsi="Times New Roman" w:eastAsia="宋体" w:cs="Times New Roman"/>
                      <w:b/>
                      <w:color w:val="auto"/>
                      <w:sz w:val="21"/>
                      <w:szCs w:val="21"/>
                    </w:rPr>
                  </w:pPr>
                  <w:r>
                    <w:rPr>
                      <w:rFonts w:ascii="Times New Roman" w:hAnsi="宋体" w:eastAsia="宋体" w:cs="Times New Roman"/>
                      <w:b/>
                      <w:color w:val="auto"/>
                      <w:sz w:val="21"/>
                      <w:szCs w:val="21"/>
                    </w:rPr>
                    <w:t>传播过程中的治理措施</w:t>
                  </w:r>
                </w:p>
              </w:tc>
            </w:tr>
            <w:tr w14:paraId="24BEE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8" w:type="pct"/>
                  <w:tcBorders>
                    <w:tl2br w:val="nil"/>
                    <w:tr2bl w:val="nil"/>
                  </w:tcBorders>
                  <w:noWrap w:val="0"/>
                  <w:vAlign w:val="center"/>
                </w:tcPr>
                <w:p w14:paraId="7B64740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空气过滤器</w:t>
                  </w:r>
                </w:p>
              </w:tc>
              <w:tc>
                <w:tcPr>
                  <w:tcW w:w="697" w:type="pct"/>
                  <w:tcBorders>
                    <w:tl2br w:val="nil"/>
                    <w:tr2bl w:val="nil"/>
                  </w:tcBorders>
                  <w:noWrap w:val="0"/>
                  <w:vAlign w:val="center"/>
                </w:tcPr>
                <w:p w14:paraId="7B11B93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自洁式空气过滤器</w:t>
                  </w:r>
                </w:p>
              </w:tc>
              <w:tc>
                <w:tcPr>
                  <w:tcW w:w="557" w:type="pct"/>
                  <w:tcBorders>
                    <w:tl2br w:val="nil"/>
                    <w:tr2bl w:val="nil"/>
                  </w:tcBorders>
                  <w:noWrap w:val="0"/>
                  <w:vAlign w:val="center"/>
                </w:tcPr>
                <w:p w14:paraId="389F11C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2</w:t>
                  </w:r>
                </w:p>
              </w:tc>
              <w:tc>
                <w:tcPr>
                  <w:tcW w:w="485" w:type="pct"/>
                  <w:tcBorders>
                    <w:tl2br w:val="nil"/>
                    <w:tr2bl w:val="nil"/>
                  </w:tcBorders>
                  <w:noWrap w:val="0"/>
                  <w:vAlign w:val="center"/>
                </w:tcPr>
                <w:p w14:paraId="4CCF5D7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82</w:t>
                  </w:r>
                </w:p>
              </w:tc>
              <w:tc>
                <w:tcPr>
                  <w:tcW w:w="1035" w:type="pct"/>
                  <w:tcBorders>
                    <w:tl2br w:val="nil"/>
                    <w:tr2bl w:val="nil"/>
                  </w:tcBorders>
                  <w:noWrap w:val="0"/>
                  <w:vAlign w:val="center"/>
                </w:tcPr>
                <w:p w14:paraId="6C0B47D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基础减震，润滑保养</w:t>
                  </w:r>
                </w:p>
              </w:tc>
              <w:tc>
                <w:tcPr>
                  <w:tcW w:w="548" w:type="pct"/>
                  <w:tcBorders>
                    <w:tl2br w:val="nil"/>
                    <w:tr2bl w:val="nil"/>
                  </w:tcBorders>
                  <w:noWrap w:val="0"/>
                  <w:vAlign w:val="center"/>
                </w:tcPr>
                <w:p w14:paraId="171544F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80</w:t>
                  </w:r>
                </w:p>
              </w:tc>
              <w:tc>
                <w:tcPr>
                  <w:tcW w:w="787" w:type="pct"/>
                  <w:tcBorders>
                    <w:tl2br w:val="nil"/>
                    <w:tr2bl w:val="nil"/>
                  </w:tcBorders>
                  <w:noWrap w:val="0"/>
                  <w:vAlign w:val="center"/>
                </w:tcPr>
                <w:p w14:paraId="7F89478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u w:val="single"/>
                      <w:lang w:val="en-US" w:eastAsia="zh-CN"/>
                    </w:rPr>
                  </w:pPr>
                  <w:r>
                    <w:rPr>
                      <w:rFonts w:hint="eastAsia" w:ascii="Times New Roman" w:hAnsi="宋体" w:eastAsia="宋体" w:cs="Times New Roman"/>
                      <w:color w:val="auto"/>
                      <w:sz w:val="21"/>
                      <w:szCs w:val="21"/>
                      <w:lang w:val="en-US" w:eastAsia="zh-CN"/>
                    </w:rPr>
                    <w:t>双层夹芯板材墙体隔声间</w:t>
                  </w:r>
                </w:p>
              </w:tc>
            </w:tr>
            <w:tr w14:paraId="7CAE5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pct"/>
                  <w:tcBorders>
                    <w:tl2br w:val="nil"/>
                    <w:tr2bl w:val="nil"/>
                  </w:tcBorders>
                  <w:noWrap w:val="0"/>
                  <w:vAlign w:val="center"/>
                </w:tcPr>
                <w:p w14:paraId="07D4847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空气透平压缩机</w:t>
                  </w:r>
                </w:p>
              </w:tc>
              <w:tc>
                <w:tcPr>
                  <w:tcW w:w="697" w:type="pct"/>
                  <w:tcBorders>
                    <w:tl2br w:val="nil"/>
                    <w:tr2bl w:val="nil"/>
                  </w:tcBorders>
                  <w:noWrap w:val="0"/>
                  <w:vAlign w:val="center"/>
                </w:tcPr>
                <w:p w14:paraId="70690FC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原料空</w:t>
                  </w:r>
                  <w:r>
                    <w:rPr>
                      <w:rFonts w:hint="eastAsia" w:ascii="Times New Roman" w:hAnsi="Times New Roman" w:eastAsia="宋体" w:cs="Times New Roman"/>
                      <w:color w:val="auto"/>
                      <w:kern w:val="0"/>
                      <w:sz w:val="21"/>
                      <w:szCs w:val="21"/>
                      <w:lang w:val="en-US" w:eastAsia="zh-CN"/>
                    </w:rPr>
                    <w:t>压机</w:t>
                  </w:r>
                </w:p>
              </w:tc>
              <w:tc>
                <w:tcPr>
                  <w:tcW w:w="557" w:type="pct"/>
                  <w:tcBorders>
                    <w:tl2br w:val="nil"/>
                    <w:tr2bl w:val="nil"/>
                  </w:tcBorders>
                  <w:noWrap w:val="0"/>
                  <w:vAlign w:val="center"/>
                </w:tcPr>
                <w:p w14:paraId="0191A9B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2</w:t>
                  </w:r>
                </w:p>
              </w:tc>
              <w:tc>
                <w:tcPr>
                  <w:tcW w:w="485" w:type="pct"/>
                  <w:tcBorders>
                    <w:tl2br w:val="nil"/>
                    <w:tr2bl w:val="nil"/>
                  </w:tcBorders>
                  <w:noWrap w:val="0"/>
                  <w:vAlign w:val="center"/>
                </w:tcPr>
                <w:p w14:paraId="62EA154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10</w:t>
                  </w:r>
                  <w:r>
                    <w:rPr>
                      <w:rFonts w:hint="eastAsia" w:cs="Times New Roman"/>
                      <w:color w:val="auto"/>
                      <w:kern w:val="0"/>
                      <w:sz w:val="21"/>
                      <w:szCs w:val="21"/>
                      <w:lang w:val="en-US" w:eastAsia="zh-CN"/>
                    </w:rPr>
                    <w:t>0</w:t>
                  </w:r>
                </w:p>
              </w:tc>
              <w:tc>
                <w:tcPr>
                  <w:tcW w:w="1035" w:type="pct"/>
                  <w:tcBorders>
                    <w:tl2br w:val="nil"/>
                    <w:tr2bl w:val="nil"/>
                  </w:tcBorders>
                  <w:noWrap w:val="0"/>
                  <w:vAlign w:val="center"/>
                </w:tcPr>
                <w:p w14:paraId="4B10644A">
                  <w:pPr>
                    <w:keepNext w:val="0"/>
                    <w:keepLines w:val="0"/>
                    <w:widowControl/>
                    <w:suppressLineNumbers w:val="0"/>
                    <w:spacing w:line="240" w:lineRule="auto"/>
                    <w:ind w:firstLine="0" w:firstLineChars="0"/>
                    <w:jc w:val="center"/>
                    <w:rPr>
                      <w:rFonts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基础减震，润滑保养，</w:t>
                  </w:r>
                  <w:r>
                    <w:rPr>
                      <w:rFonts w:hint="eastAsia" w:ascii="宋体" w:hAnsi="宋体" w:eastAsia="宋体" w:cs="宋体"/>
                      <w:color w:val="auto"/>
                      <w:kern w:val="0"/>
                      <w:sz w:val="21"/>
                      <w:szCs w:val="21"/>
                      <w:lang w:val="en-US" w:eastAsia="zh-CN" w:bidi="ar"/>
                    </w:rPr>
                    <w:t>管道包扎</w:t>
                  </w:r>
                  <w:r>
                    <w:rPr>
                      <w:rFonts w:hint="eastAsia" w:ascii="宋体" w:hAnsi="宋体" w:cs="宋体"/>
                      <w:color w:val="auto"/>
                      <w:kern w:val="0"/>
                      <w:sz w:val="21"/>
                      <w:szCs w:val="21"/>
                      <w:lang w:val="en-US" w:eastAsia="zh-CN" w:bidi="ar"/>
                    </w:rPr>
                    <w:t>隔声</w:t>
                  </w:r>
                  <w:r>
                    <w:rPr>
                      <w:rFonts w:hint="eastAsia" w:ascii="宋体" w:hAnsi="宋体" w:eastAsia="宋体" w:cs="宋体"/>
                      <w:color w:val="auto"/>
                      <w:kern w:val="0"/>
                      <w:sz w:val="21"/>
                      <w:szCs w:val="21"/>
                      <w:lang w:val="en-US" w:eastAsia="zh-CN" w:bidi="ar"/>
                    </w:rPr>
                    <w:t>材料，放空口设消声器</w:t>
                  </w:r>
                </w:p>
              </w:tc>
              <w:tc>
                <w:tcPr>
                  <w:tcW w:w="548" w:type="pct"/>
                  <w:tcBorders>
                    <w:tl2br w:val="nil"/>
                    <w:tr2bl w:val="nil"/>
                  </w:tcBorders>
                  <w:noWrap w:val="0"/>
                  <w:vAlign w:val="center"/>
                </w:tcPr>
                <w:p w14:paraId="5A7DBAE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w:t>
                  </w:r>
                  <w:r>
                    <w:rPr>
                      <w:rFonts w:hint="eastAsia" w:cs="Times New Roman"/>
                      <w:color w:val="auto"/>
                      <w:kern w:val="0"/>
                      <w:sz w:val="21"/>
                      <w:szCs w:val="21"/>
                      <w:lang w:val="en-US" w:eastAsia="zh-CN"/>
                    </w:rPr>
                    <w:t>0</w:t>
                  </w:r>
                </w:p>
              </w:tc>
              <w:tc>
                <w:tcPr>
                  <w:tcW w:w="787" w:type="pct"/>
                  <w:tcBorders>
                    <w:tl2br w:val="nil"/>
                    <w:tr2bl w:val="nil"/>
                  </w:tcBorders>
                  <w:noWrap w:val="0"/>
                  <w:vAlign w:val="center"/>
                </w:tcPr>
                <w:p w14:paraId="3BDE088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宋体" w:eastAsia="宋体" w:cs="Times New Roman"/>
                      <w:color w:val="auto"/>
                      <w:sz w:val="21"/>
                      <w:szCs w:val="21"/>
                      <w:lang w:val="en-US"/>
                    </w:rPr>
                  </w:pPr>
                  <w:r>
                    <w:rPr>
                      <w:rFonts w:hint="eastAsia" w:ascii="Times New Roman" w:hAnsi="宋体" w:eastAsia="宋体" w:cs="Times New Roman"/>
                      <w:color w:val="auto"/>
                      <w:sz w:val="21"/>
                      <w:szCs w:val="21"/>
                      <w:lang w:val="en-US" w:eastAsia="zh-CN"/>
                    </w:rPr>
                    <w:t>双层夹心墙体隔声间，内衬多孔吸声材料</w:t>
                  </w:r>
                </w:p>
              </w:tc>
            </w:tr>
            <w:tr w14:paraId="4A8BC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pct"/>
                  <w:tcBorders>
                    <w:tl2br w:val="nil"/>
                    <w:tr2bl w:val="nil"/>
                  </w:tcBorders>
                  <w:noWrap w:val="0"/>
                  <w:vAlign w:val="center"/>
                </w:tcPr>
                <w:p w14:paraId="6FEC797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循环氮压机</w:t>
                  </w:r>
                </w:p>
              </w:tc>
              <w:tc>
                <w:tcPr>
                  <w:tcW w:w="697" w:type="pct"/>
                  <w:tcBorders>
                    <w:tl2br w:val="nil"/>
                    <w:tr2bl w:val="nil"/>
                  </w:tcBorders>
                  <w:noWrap w:val="0"/>
                  <w:vAlign w:val="center"/>
                </w:tcPr>
                <w:p w14:paraId="1969C6A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循环氮压机</w:t>
                  </w:r>
                </w:p>
              </w:tc>
              <w:tc>
                <w:tcPr>
                  <w:tcW w:w="557" w:type="pct"/>
                  <w:tcBorders>
                    <w:tl2br w:val="nil"/>
                    <w:tr2bl w:val="nil"/>
                  </w:tcBorders>
                  <w:noWrap w:val="0"/>
                  <w:vAlign w:val="center"/>
                </w:tcPr>
                <w:p w14:paraId="5C3E1F8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w:t>
                  </w:r>
                </w:p>
              </w:tc>
              <w:tc>
                <w:tcPr>
                  <w:tcW w:w="485" w:type="pct"/>
                  <w:tcBorders>
                    <w:tl2br w:val="nil"/>
                    <w:tr2bl w:val="nil"/>
                  </w:tcBorders>
                  <w:noWrap w:val="0"/>
                  <w:vAlign w:val="center"/>
                </w:tcPr>
                <w:p w14:paraId="1776572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100</w:t>
                  </w:r>
                </w:p>
              </w:tc>
              <w:tc>
                <w:tcPr>
                  <w:tcW w:w="1035" w:type="pct"/>
                  <w:tcBorders>
                    <w:tl2br w:val="nil"/>
                    <w:tr2bl w:val="nil"/>
                  </w:tcBorders>
                  <w:noWrap w:val="0"/>
                  <w:vAlign w:val="center"/>
                </w:tcPr>
                <w:p w14:paraId="207C572B">
                  <w:pPr>
                    <w:keepNext w:val="0"/>
                    <w:keepLines w:val="0"/>
                    <w:widowControl/>
                    <w:suppressLineNumbers w:val="0"/>
                    <w:spacing w:line="240" w:lineRule="auto"/>
                    <w:ind w:firstLine="0" w:firstLineChars="0"/>
                    <w:jc w:val="right"/>
                    <w:rPr>
                      <w:rFonts w:hint="eastAsia" w:ascii="宋体" w:hAnsi="宋体" w:eastAsia="宋体" w:cs="宋体"/>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基础减震，润滑保养，</w:t>
                  </w:r>
                  <w:r>
                    <w:rPr>
                      <w:rFonts w:hint="eastAsia" w:ascii="宋体" w:hAnsi="宋体" w:eastAsia="宋体" w:cs="宋体"/>
                      <w:color w:val="auto"/>
                      <w:kern w:val="0"/>
                      <w:sz w:val="21"/>
                      <w:szCs w:val="21"/>
                      <w:lang w:val="en-US" w:eastAsia="zh-CN" w:bidi="ar"/>
                    </w:rPr>
                    <w:t>管道包扎</w:t>
                  </w:r>
                  <w:r>
                    <w:rPr>
                      <w:rFonts w:hint="eastAsia" w:ascii="宋体" w:hAnsi="宋体" w:cs="宋体"/>
                      <w:color w:val="auto"/>
                      <w:kern w:val="0"/>
                      <w:sz w:val="21"/>
                      <w:szCs w:val="21"/>
                      <w:lang w:val="en-US" w:eastAsia="zh-CN" w:bidi="ar"/>
                    </w:rPr>
                    <w:t>隔声</w:t>
                  </w:r>
                  <w:r>
                    <w:rPr>
                      <w:rFonts w:hint="eastAsia" w:ascii="宋体" w:hAnsi="宋体" w:eastAsia="宋体" w:cs="宋体"/>
                      <w:color w:val="auto"/>
                      <w:kern w:val="0"/>
                      <w:sz w:val="21"/>
                      <w:szCs w:val="21"/>
                      <w:lang w:val="en-US" w:eastAsia="zh-CN" w:bidi="ar"/>
                    </w:rPr>
                    <w:t>材料，放空</w:t>
                  </w:r>
                </w:p>
                <w:p w14:paraId="2535DDFF">
                  <w:pPr>
                    <w:keepNext w:val="0"/>
                    <w:keepLines w:val="0"/>
                    <w:widowControl/>
                    <w:suppressLineNumbers w:val="0"/>
                    <w:spacing w:line="240" w:lineRule="auto"/>
                    <w:ind w:firstLine="0" w:firstLineChars="0"/>
                    <w:jc w:val="center"/>
                    <w:rPr>
                      <w:rFonts w:hint="eastAsia" w:ascii="Times New Roman" w:hAnsi="Times New Roman" w:eastAsia="宋体" w:cs="Times New Roman"/>
                      <w:color w:val="auto"/>
                      <w:kern w:val="0"/>
                      <w:sz w:val="21"/>
                      <w:szCs w:val="21"/>
                      <w:lang w:val="en-US" w:eastAsia="zh-CN" w:bidi="ar"/>
                    </w:rPr>
                  </w:pPr>
                  <w:r>
                    <w:rPr>
                      <w:rFonts w:hint="eastAsia" w:ascii="宋体" w:hAnsi="宋体" w:eastAsia="宋体" w:cs="宋体"/>
                      <w:color w:val="auto"/>
                      <w:kern w:val="0"/>
                      <w:sz w:val="21"/>
                      <w:szCs w:val="21"/>
                      <w:lang w:val="en-US" w:eastAsia="zh-CN" w:bidi="ar"/>
                    </w:rPr>
                    <w:t>口设消声器</w:t>
                  </w:r>
                </w:p>
              </w:tc>
              <w:tc>
                <w:tcPr>
                  <w:tcW w:w="548" w:type="pct"/>
                  <w:tcBorders>
                    <w:tl2br w:val="nil"/>
                    <w:tr2bl w:val="nil"/>
                  </w:tcBorders>
                  <w:shd w:val="clear" w:color="auto" w:fill="auto"/>
                  <w:noWrap w:val="0"/>
                  <w:vAlign w:val="center"/>
                </w:tcPr>
                <w:p w14:paraId="5D0ADD2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8</w:t>
                  </w:r>
                  <w:r>
                    <w:rPr>
                      <w:rFonts w:hint="eastAsia" w:cs="Times New Roman"/>
                      <w:color w:val="auto"/>
                      <w:kern w:val="0"/>
                      <w:sz w:val="21"/>
                      <w:szCs w:val="21"/>
                      <w:lang w:val="en-US" w:eastAsia="zh-CN"/>
                    </w:rPr>
                    <w:t>0</w:t>
                  </w:r>
                </w:p>
              </w:tc>
              <w:tc>
                <w:tcPr>
                  <w:tcW w:w="787" w:type="pct"/>
                  <w:tcBorders>
                    <w:tl2br w:val="nil"/>
                    <w:tr2bl w:val="nil"/>
                  </w:tcBorders>
                  <w:shd w:val="clear" w:color="auto" w:fill="auto"/>
                  <w:noWrap w:val="0"/>
                  <w:vAlign w:val="center"/>
                </w:tcPr>
                <w:p w14:paraId="5B3ACD6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宋体" w:eastAsia="宋体" w:cs="Times New Roman"/>
                      <w:color w:val="auto"/>
                      <w:kern w:val="2"/>
                      <w:sz w:val="21"/>
                      <w:szCs w:val="21"/>
                      <w:lang w:val="en-US" w:eastAsia="zh-CN" w:bidi="ar-SA"/>
                    </w:rPr>
                  </w:pPr>
                  <w:r>
                    <w:rPr>
                      <w:rFonts w:hint="eastAsia" w:ascii="Times New Roman" w:hAnsi="宋体" w:eastAsia="宋体" w:cs="Times New Roman"/>
                      <w:color w:val="auto"/>
                      <w:sz w:val="21"/>
                      <w:szCs w:val="21"/>
                      <w:lang w:val="en-US" w:eastAsia="zh-CN"/>
                    </w:rPr>
                    <w:t>双层夹心墙体隔声间，内衬多孔吸声材料</w:t>
                  </w:r>
                </w:p>
              </w:tc>
            </w:tr>
            <w:tr w14:paraId="77B2C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888" w:type="pct"/>
                  <w:vMerge w:val="restart"/>
                  <w:tcBorders>
                    <w:tl2br w:val="nil"/>
                    <w:tr2bl w:val="nil"/>
                  </w:tcBorders>
                  <w:noWrap w:val="0"/>
                  <w:vAlign w:val="center"/>
                </w:tcPr>
                <w:p w14:paraId="7E1FAE7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宋体" w:eastAsia="宋体" w:cs="Times New Roman"/>
                      <w:color w:val="auto"/>
                      <w:kern w:val="0"/>
                      <w:sz w:val="21"/>
                      <w:szCs w:val="21"/>
                      <w:lang w:val="en-US" w:eastAsia="zh-CN"/>
                    </w:rPr>
                  </w:pPr>
                  <w:r>
                    <w:rPr>
                      <w:rFonts w:hint="eastAsia" w:ascii="Times New Roman" w:hAnsi="宋体" w:eastAsia="宋体" w:cs="Times New Roman"/>
                      <w:color w:val="auto"/>
                      <w:kern w:val="0"/>
                      <w:sz w:val="21"/>
                      <w:szCs w:val="21"/>
                      <w:lang w:val="en-US" w:eastAsia="zh-CN"/>
                    </w:rPr>
                    <w:t>空气预冷系统</w:t>
                  </w:r>
                </w:p>
              </w:tc>
              <w:tc>
                <w:tcPr>
                  <w:tcW w:w="697" w:type="pct"/>
                  <w:tcBorders>
                    <w:tl2br w:val="nil"/>
                    <w:tr2bl w:val="nil"/>
                  </w:tcBorders>
                  <w:noWrap w:val="0"/>
                  <w:vAlign w:val="center"/>
                </w:tcPr>
                <w:p w14:paraId="619C9D4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宋体" w:eastAsia="宋体" w:cs="Times New Roman"/>
                      <w:color w:val="auto"/>
                      <w:kern w:val="0"/>
                      <w:sz w:val="21"/>
                      <w:szCs w:val="21"/>
                      <w:lang w:eastAsia="zh-CN"/>
                    </w:rPr>
                  </w:pPr>
                  <w:r>
                    <w:rPr>
                      <w:rFonts w:hint="eastAsia" w:ascii="Times New Roman" w:hAnsi="宋体" w:eastAsia="宋体" w:cs="Times New Roman"/>
                      <w:color w:val="auto"/>
                      <w:kern w:val="0"/>
                      <w:sz w:val="21"/>
                      <w:szCs w:val="21"/>
                      <w:lang w:val="en-US" w:eastAsia="zh-CN"/>
                    </w:rPr>
                    <w:t>空冷塔</w:t>
                  </w:r>
                </w:p>
              </w:tc>
              <w:tc>
                <w:tcPr>
                  <w:tcW w:w="557" w:type="pct"/>
                  <w:tcBorders>
                    <w:tl2br w:val="nil"/>
                    <w:tr2bl w:val="nil"/>
                  </w:tcBorders>
                  <w:noWrap w:val="0"/>
                  <w:vAlign w:val="center"/>
                </w:tcPr>
                <w:p w14:paraId="2FE66FC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1</w:t>
                  </w:r>
                </w:p>
              </w:tc>
              <w:tc>
                <w:tcPr>
                  <w:tcW w:w="485" w:type="pct"/>
                  <w:tcBorders>
                    <w:tl2br w:val="nil"/>
                    <w:tr2bl w:val="nil"/>
                  </w:tcBorders>
                  <w:noWrap w:val="0"/>
                  <w:vAlign w:val="center"/>
                </w:tcPr>
                <w:p w14:paraId="6C73B7C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77</w:t>
                  </w:r>
                </w:p>
              </w:tc>
              <w:tc>
                <w:tcPr>
                  <w:tcW w:w="1035" w:type="pct"/>
                  <w:tcBorders>
                    <w:tl2br w:val="nil"/>
                    <w:tr2bl w:val="nil"/>
                  </w:tcBorders>
                  <w:noWrap w:val="0"/>
                  <w:vAlign w:val="center"/>
                </w:tcPr>
                <w:p w14:paraId="6BD39C7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基础减震</w:t>
                  </w:r>
                </w:p>
              </w:tc>
              <w:tc>
                <w:tcPr>
                  <w:tcW w:w="548" w:type="pct"/>
                  <w:tcBorders>
                    <w:tl2br w:val="nil"/>
                    <w:tr2bl w:val="nil"/>
                  </w:tcBorders>
                  <w:noWrap w:val="0"/>
                  <w:vAlign w:val="center"/>
                </w:tcPr>
                <w:p w14:paraId="4F7068D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7</w:t>
                  </w:r>
                  <w:r>
                    <w:rPr>
                      <w:rFonts w:hint="eastAsia" w:ascii="Times New Roman" w:hAnsi="Times New Roman" w:eastAsia="宋体" w:cs="Times New Roman"/>
                      <w:color w:val="auto"/>
                      <w:kern w:val="0"/>
                      <w:sz w:val="21"/>
                      <w:szCs w:val="21"/>
                    </w:rPr>
                    <w:t>5</w:t>
                  </w:r>
                </w:p>
              </w:tc>
              <w:tc>
                <w:tcPr>
                  <w:tcW w:w="787" w:type="pct"/>
                  <w:tcBorders>
                    <w:tl2br w:val="nil"/>
                    <w:tr2bl w:val="nil"/>
                  </w:tcBorders>
                  <w:noWrap w:val="0"/>
                  <w:vAlign w:val="center"/>
                </w:tcPr>
                <w:p w14:paraId="52B5C73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2A6C7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8" w:type="pct"/>
                  <w:vMerge w:val="continue"/>
                  <w:tcBorders>
                    <w:tl2br w:val="nil"/>
                    <w:tr2bl w:val="nil"/>
                  </w:tcBorders>
                  <w:noWrap w:val="0"/>
                  <w:vAlign w:val="center"/>
                </w:tcPr>
                <w:p w14:paraId="435AC49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宋体" w:eastAsia="宋体" w:cs="Times New Roman"/>
                      <w:color w:val="auto"/>
                      <w:kern w:val="0"/>
                      <w:sz w:val="21"/>
                      <w:szCs w:val="21"/>
                      <w:lang w:val="en-US" w:eastAsia="zh-CN"/>
                    </w:rPr>
                  </w:pPr>
                </w:p>
              </w:tc>
              <w:tc>
                <w:tcPr>
                  <w:tcW w:w="697" w:type="pct"/>
                  <w:tcBorders>
                    <w:tl2br w:val="nil"/>
                    <w:tr2bl w:val="nil"/>
                  </w:tcBorders>
                  <w:noWrap w:val="0"/>
                  <w:vAlign w:val="center"/>
                </w:tcPr>
                <w:p w14:paraId="074AA4D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宋体" w:eastAsia="宋体" w:cs="Times New Roman"/>
                      <w:color w:val="auto"/>
                      <w:kern w:val="0"/>
                      <w:sz w:val="21"/>
                      <w:szCs w:val="21"/>
                      <w:lang w:val="en-US" w:eastAsia="zh-CN"/>
                    </w:rPr>
                  </w:pPr>
                  <w:r>
                    <w:rPr>
                      <w:rFonts w:hint="eastAsia" w:ascii="Times New Roman" w:hAnsi="宋体" w:eastAsia="宋体" w:cs="Times New Roman"/>
                      <w:color w:val="auto"/>
                      <w:kern w:val="0"/>
                      <w:sz w:val="21"/>
                      <w:szCs w:val="21"/>
                      <w:lang w:val="en-US" w:eastAsia="zh-CN"/>
                    </w:rPr>
                    <w:t>水冷塔</w:t>
                  </w:r>
                </w:p>
              </w:tc>
              <w:tc>
                <w:tcPr>
                  <w:tcW w:w="557" w:type="pct"/>
                  <w:tcBorders>
                    <w:tl2br w:val="nil"/>
                    <w:tr2bl w:val="nil"/>
                  </w:tcBorders>
                  <w:noWrap w:val="0"/>
                  <w:vAlign w:val="center"/>
                </w:tcPr>
                <w:p w14:paraId="4FBEEA7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w:t>
                  </w:r>
                </w:p>
              </w:tc>
              <w:tc>
                <w:tcPr>
                  <w:tcW w:w="485" w:type="pct"/>
                  <w:tcBorders>
                    <w:tl2br w:val="nil"/>
                    <w:tr2bl w:val="nil"/>
                  </w:tcBorders>
                  <w:noWrap w:val="0"/>
                  <w:vAlign w:val="center"/>
                </w:tcPr>
                <w:p w14:paraId="25F2973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77</w:t>
                  </w:r>
                </w:p>
              </w:tc>
              <w:tc>
                <w:tcPr>
                  <w:tcW w:w="1035" w:type="pct"/>
                  <w:tcBorders>
                    <w:tl2br w:val="nil"/>
                    <w:tr2bl w:val="nil"/>
                  </w:tcBorders>
                  <w:noWrap w:val="0"/>
                  <w:vAlign w:val="center"/>
                </w:tcPr>
                <w:p w14:paraId="49A89DBC">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基础减震</w:t>
                  </w:r>
                </w:p>
              </w:tc>
              <w:tc>
                <w:tcPr>
                  <w:tcW w:w="548" w:type="pct"/>
                  <w:tcBorders>
                    <w:tl2br w:val="nil"/>
                    <w:tr2bl w:val="nil"/>
                  </w:tcBorders>
                  <w:noWrap w:val="0"/>
                  <w:vAlign w:val="center"/>
                </w:tcPr>
                <w:p w14:paraId="39A9933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75</w:t>
                  </w:r>
                </w:p>
              </w:tc>
              <w:tc>
                <w:tcPr>
                  <w:tcW w:w="787" w:type="pct"/>
                  <w:tcBorders>
                    <w:tl2br w:val="nil"/>
                    <w:tr2bl w:val="nil"/>
                  </w:tcBorders>
                  <w:noWrap w:val="0"/>
                  <w:vAlign w:val="center"/>
                </w:tcPr>
                <w:p w14:paraId="60F840F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26B48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8" w:type="pct"/>
                  <w:vMerge w:val="continue"/>
                  <w:tcBorders>
                    <w:tl2br w:val="nil"/>
                    <w:tr2bl w:val="nil"/>
                  </w:tcBorders>
                  <w:noWrap w:val="0"/>
                  <w:vAlign w:val="center"/>
                </w:tcPr>
                <w:p w14:paraId="40D9455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宋体" w:eastAsia="宋体" w:cs="Times New Roman"/>
                      <w:color w:val="auto"/>
                      <w:kern w:val="0"/>
                      <w:sz w:val="21"/>
                      <w:szCs w:val="21"/>
                      <w:lang w:val="en-US" w:eastAsia="zh-CN"/>
                    </w:rPr>
                  </w:pPr>
                </w:p>
              </w:tc>
              <w:tc>
                <w:tcPr>
                  <w:tcW w:w="697" w:type="pct"/>
                  <w:tcBorders>
                    <w:tl2br w:val="nil"/>
                    <w:tr2bl w:val="nil"/>
                  </w:tcBorders>
                  <w:noWrap w:val="0"/>
                  <w:vAlign w:val="center"/>
                </w:tcPr>
                <w:p w14:paraId="27AC05B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宋体" w:eastAsia="宋体" w:cs="Times New Roman"/>
                      <w:color w:val="auto"/>
                      <w:kern w:val="0"/>
                      <w:sz w:val="21"/>
                      <w:szCs w:val="21"/>
                      <w:lang w:val="en-US" w:eastAsia="zh-CN"/>
                    </w:rPr>
                  </w:pPr>
                  <w:r>
                    <w:rPr>
                      <w:rFonts w:hint="eastAsia" w:ascii="Times New Roman" w:hAnsi="宋体" w:eastAsia="宋体" w:cs="Times New Roman"/>
                      <w:color w:val="auto"/>
                      <w:kern w:val="0"/>
                      <w:sz w:val="21"/>
                      <w:szCs w:val="21"/>
                      <w:lang w:val="en-US" w:eastAsia="zh-CN"/>
                    </w:rPr>
                    <w:t>冷却水泵</w:t>
                  </w:r>
                </w:p>
              </w:tc>
              <w:tc>
                <w:tcPr>
                  <w:tcW w:w="557" w:type="pct"/>
                  <w:tcBorders>
                    <w:tl2br w:val="nil"/>
                    <w:tr2bl w:val="nil"/>
                  </w:tcBorders>
                  <w:noWrap w:val="0"/>
                  <w:vAlign w:val="center"/>
                </w:tcPr>
                <w:p w14:paraId="0888B11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1</w:t>
                  </w:r>
                </w:p>
              </w:tc>
              <w:tc>
                <w:tcPr>
                  <w:tcW w:w="485" w:type="pct"/>
                  <w:tcBorders>
                    <w:tl2br w:val="nil"/>
                    <w:tr2bl w:val="nil"/>
                  </w:tcBorders>
                  <w:noWrap w:val="0"/>
                  <w:vAlign w:val="center"/>
                </w:tcPr>
                <w:p w14:paraId="037ACA3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85</w:t>
                  </w:r>
                </w:p>
              </w:tc>
              <w:tc>
                <w:tcPr>
                  <w:tcW w:w="1035" w:type="pct"/>
                  <w:tcBorders>
                    <w:tl2br w:val="nil"/>
                    <w:tr2bl w:val="nil"/>
                  </w:tcBorders>
                  <w:noWrap w:val="0"/>
                  <w:vAlign w:val="center"/>
                </w:tcPr>
                <w:p w14:paraId="682877EA">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基础减震、</w:t>
                  </w:r>
                  <w:r>
                    <w:rPr>
                      <w:rFonts w:hint="eastAsia" w:cs="Times New Roman"/>
                      <w:color w:val="auto"/>
                      <w:kern w:val="2"/>
                      <w:sz w:val="21"/>
                      <w:szCs w:val="21"/>
                      <w:lang w:val="en-US" w:eastAsia="zh-CN" w:bidi="ar-SA"/>
                    </w:rPr>
                    <w:t>润滑保养</w:t>
                  </w:r>
                </w:p>
              </w:tc>
              <w:tc>
                <w:tcPr>
                  <w:tcW w:w="548" w:type="pct"/>
                  <w:tcBorders>
                    <w:tl2br w:val="nil"/>
                    <w:tr2bl w:val="nil"/>
                  </w:tcBorders>
                  <w:noWrap w:val="0"/>
                  <w:vAlign w:val="center"/>
                </w:tcPr>
                <w:p w14:paraId="7EC1C5B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7</w:t>
                  </w:r>
                  <w:r>
                    <w:rPr>
                      <w:rFonts w:hint="eastAsia" w:ascii="Times New Roman" w:hAnsi="Times New Roman" w:eastAsia="宋体" w:cs="Times New Roman"/>
                      <w:color w:val="auto"/>
                      <w:kern w:val="0"/>
                      <w:sz w:val="21"/>
                      <w:szCs w:val="21"/>
                      <w:lang w:val="en-US" w:eastAsia="zh-CN"/>
                    </w:rPr>
                    <w:t>0</w:t>
                  </w:r>
                </w:p>
              </w:tc>
              <w:tc>
                <w:tcPr>
                  <w:tcW w:w="787" w:type="pct"/>
                  <w:tcBorders>
                    <w:tl2br w:val="nil"/>
                    <w:tr2bl w:val="nil"/>
                  </w:tcBorders>
                  <w:noWrap w:val="0"/>
                  <w:vAlign w:val="center"/>
                </w:tcPr>
                <w:p w14:paraId="39CA33A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631FC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8" w:type="pct"/>
                  <w:vMerge w:val="continue"/>
                  <w:tcBorders>
                    <w:tl2br w:val="nil"/>
                    <w:tr2bl w:val="nil"/>
                  </w:tcBorders>
                  <w:noWrap w:val="0"/>
                  <w:vAlign w:val="center"/>
                </w:tcPr>
                <w:p w14:paraId="0487223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p>
              </w:tc>
              <w:tc>
                <w:tcPr>
                  <w:tcW w:w="697" w:type="pct"/>
                  <w:tcBorders>
                    <w:tl2br w:val="nil"/>
                    <w:tr2bl w:val="nil"/>
                  </w:tcBorders>
                  <w:noWrap w:val="0"/>
                  <w:vAlign w:val="center"/>
                </w:tcPr>
                <w:p w14:paraId="2BFB3F0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ascii="Times New Roman" w:hAnsi="宋体" w:eastAsia="宋体" w:cs="Times New Roman"/>
                      <w:color w:val="auto"/>
                      <w:kern w:val="0"/>
                      <w:sz w:val="21"/>
                      <w:szCs w:val="21"/>
                    </w:rPr>
                  </w:pPr>
                  <w:r>
                    <w:rPr>
                      <w:rFonts w:ascii="Times New Roman" w:hAnsi="Times New Roman" w:eastAsiaTheme="minorEastAsia"/>
                      <w:sz w:val="21"/>
                      <w:szCs w:val="21"/>
                      <w:lang w:eastAsia="zh-CN"/>
                    </w:rPr>
                    <w:t>冷</w:t>
                  </w:r>
                  <w:r>
                    <w:rPr>
                      <w:rFonts w:hint="eastAsia" w:ascii="Times New Roman" w:hAnsi="Times New Roman" w:eastAsiaTheme="minorEastAsia"/>
                      <w:sz w:val="21"/>
                      <w:szCs w:val="21"/>
                      <w:lang w:val="en-US" w:eastAsia="zh-CN"/>
                    </w:rPr>
                    <w:t>冻</w:t>
                  </w:r>
                  <w:r>
                    <w:rPr>
                      <w:rFonts w:ascii="Times New Roman" w:hAnsi="Times New Roman" w:eastAsiaTheme="minorEastAsia"/>
                      <w:sz w:val="21"/>
                      <w:szCs w:val="21"/>
                      <w:lang w:eastAsia="zh-CN"/>
                    </w:rPr>
                    <w:t>水泵</w:t>
                  </w:r>
                </w:p>
              </w:tc>
              <w:tc>
                <w:tcPr>
                  <w:tcW w:w="557" w:type="pct"/>
                  <w:tcBorders>
                    <w:tl2br w:val="nil"/>
                    <w:tr2bl w:val="nil"/>
                  </w:tcBorders>
                  <w:noWrap w:val="0"/>
                  <w:vAlign w:val="center"/>
                </w:tcPr>
                <w:p w14:paraId="02F67F5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485" w:type="pct"/>
                  <w:tcBorders>
                    <w:tl2br w:val="nil"/>
                    <w:tr2bl w:val="nil"/>
                  </w:tcBorders>
                  <w:noWrap w:val="0"/>
                  <w:vAlign w:val="center"/>
                </w:tcPr>
                <w:p w14:paraId="32A912B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rPr>
                  </w:pPr>
                  <w:r>
                    <w:rPr>
                      <w:rFonts w:hint="eastAsia" w:ascii="Times New Roman" w:hAnsi="Times New Roman" w:eastAsia="宋体" w:cs="Times New Roman"/>
                      <w:color w:val="auto"/>
                      <w:kern w:val="0"/>
                      <w:sz w:val="21"/>
                      <w:szCs w:val="21"/>
                      <w:lang w:val="en-US" w:eastAsia="zh-CN"/>
                    </w:rPr>
                    <w:t>85</w:t>
                  </w:r>
                </w:p>
              </w:tc>
              <w:tc>
                <w:tcPr>
                  <w:tcW w:w="1035" w:type="pct"/>
                  <w:tcBorders>
                    <w:tl2br w:val="nil"/>
                    <w:tr2bl w:val="nil"/>
                  </w:tcBorders>
                  <w:noWrap w:val="0"/>
                  <w:vAlign w:val="center"/>
                </w:tcPr>
                <w:p w14:paraId="7E098C0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基础减震、</w:t>
                  </w:r>
                  <w:r>
                    <w:rPr>
                      <w:rFonts w:hint="eastAsia" w:cs="Times New Roman"/>
                      <w:color w:val="auto"/>
                      <w:kern w:val="2"/>
                      <w:sz w:val="21"/>
                      <w:szCs w:val="21"/>
                      <w:lang w:val="en-US" w:eastAsia="zh-CN" w:bidi="ar-SA"/>
                    </w:rPr>
                    <w:t>润滑保养</w:t>
                  </w:r>
                </w:p>
              </w:tc>
              <w:tc>
                <w:tcPr>
                  <w:tcW w:w="548" w:type="pct"/>
                  <w:tcBorders>
                    <w:tl2br w:val="nil"/>
                    <w:tr2bl w:val="nil"/>
                  </w:tcBorders>
                  <w:noWrap w:val="0"/>
                  <w:vAlign w:val="center"/>
                </w:tcPr>
                <w:p w14:paraId="1A8F673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rPr>
                    <w:t>7</w:t>
                  </w:r>
                  <w:r>
                    <w:rPr>
                      <w:rFonts w:hint="eastAsia" w:ascii="Times New Roman" w:hAnsi="Times New Roman" w:eastAsia="宋体" w:cs="Times New Roman"/>
                      <w:color w:val="auto"/>
                      <w:kern w:val="0"/>
                      <w:sz w:val="21"/>
                      <w:szCs w:val="21"/>
                      <w:lang w:val="en-US" w:eastAsia="zh-CN"/>
                    </w:rPr>
                    <w:t>0</w:t>
                  </w:r>
                </w:p>
              </w:tc>
              <w:tc>
                <w:tcPr>
                  <w:tcW w:w="787" w:type="pct"/>
                  <w:tcBorders>
                    <w:tl2br w:val="nil"/>
                    <w:tr2bl w:val="nil"/>
                  </w:tcBorders>
                  <w:noWrap w:val="0"/>
                  <w:vAlign w:val="center"/>
                </w:tcPr>
                <w:p w14:paraId="1AC4290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21817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88" w:type="pct"/>
                  <w:tcBorders>
                    <w:tl2br w:val="nil"/>
                    <w:tr2bl w:val="nil"/>
                  </w:tcBorders>
                  <w:noWrap w:val="0"/>
                  <w:vAlign w:val="center"/>
                </w:tcPr>
                <w:p w14:paraId="2536EDA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rPr>
                    <w:t>分子筛纯化系统</w:t>
                  </w:r>
                </w:p>
              </w:tc>
              <w:tc>
                <w:tcPr>
                  <w:tcW w:w="697" w:type="pct"/>
                  <w:tcBorders>
                    <w:tl2br w:val="nil"/>
                    <w:tr2bl w:val="nil"/>
                  </w:tcBorders>
                  <w:shd w:val="clear" w:color="auto" w:fill="auto"/>
                  <w:noWrap w:val="0"/>
                  <w:vAlign w:val="center"/>
                </w:tcPr>
                <w:p w14:paraId="07FB3CD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电加热器</w:t>
                  </w:r>
                </w:p>
              </w:tc>
              <w:tc>
                <w:tcPr>
                  <w:tcW w:w="557" w:type="pct"/>
                  <w:tcBorders>
                    <w:tl2br w:val="nil"/>
                    <w:tr2bl w:val="nil"/>
                  </w:tcBorders>
                  <w:shd w:val="clear" w:color="auto" w:fill="auto"/>
                  <w:noWrap w:val="0"/>
                  <w:vAlign w:val="center"/>
                </w:tcPr>
                <w:p w14:paraId="51EA516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w:t>
                  </w:r>
                </w:p>
              </w:tc>
              <w:tc>
                <w:tcPr>
                  <w:tcW w:w="485" w:type="pct"/>
                  <w:tcBorders>
                    <w:tl2br w:val="nil"/>
                    <w:tr2bl w:val="nil"/>
                  </w:tcBorders>
                  <w:shd w:val="clear" w:color="auto" w:fill="auto"/>
                  <w:noWrap w:val="0"/>
                  <w:vAlign w:val="center"/>
                </w:tcPr>
                <w:p w14:paraId="635099E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72</w:t>
                  </w:r>
                </w:p>
              </w:tc>
              <w:tc>
                <w:tcPr>
                  <w:tcW w:w="1035" w:type="pct"/>
                  <w:tcBorders>
                    <w:tl2br w:val="nil"/>
                    <w:tr2bl w:val="nil"/>
                  </w:tcBorders>
                  <w:shd w:val="clear" w:color="auto" w:fill="auto"/>
                  <w:noWrap w:val="0"/>
                  <w:vAlign w:val="center"/>
                </w:tcPr>
                <w:p w14:paraId="267DADA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隔</w:t>
                  </w:r>
                  <w:r>
                    <w:rPr>
                      <w:rFonts w:hint="eastAsia" w:ascii="宋体" w:hAnsi="宋体" w:cs="宋体"/>
                      <w:color w:val="auto"/>
                      <w:kern w:val="0"/>
                      <w:sz w:val="21"/>
                      <w:szCs w:val="21"/>
                      <w:lang w:val="en-US" w:eastAsia="zh-CN" w:bidi="ar"/>
                    </w:rPr>
                    <w:t>声</w:t>
                  </w:r>
                  <w:r>
                    <w:rPr>
                      <w:rFonts w:hint="eastAsia" w:ascii="宋体" w:hAnsi="宋体" w:eastAsia="宋体" w:cs="宋体"/>
                      <w:color w:val="auto"/>
                      <w:kern w:val="0"/>
                      <w:sz w:val="21"/>
                      <w:szCs w:val="21"/>
                      <w:lang w:val="en-US" w:eastAsia="zh-CN" w:bidi="ar"/>
                    </w:rPr>
                    <w:t>材料包扎</w:t>
                  </w:r>
                </w:p>
              </w:tc>
              <w:tc>
                <w:tcPr>
                  <w:tcW w:w="548" w:type="pct"/>
                  <w:tcBorders>
                    <w:tl2br w:val="nil"/>
                    <w:tr2bl w:val="nil"/>
                  </w:tcBorders>
                  <w:shd w:val="clear" w:color="auto" w:fill="auto"/>
                  <w:noWrap w:val="0"/>
                  <w:vAlign w:val="center"/>
                </w:tcPr>
                <w:p w14:paraId="1286D72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70</w:t>
                  </w:r>
                </w:p>
              </w:tc>
              <w:tc>
                <w:tcPr>
                  <w:tcW w:w="787" w:type="pct"/>
                  <w:tcBorders>
                    <w:tl2br w:val="nil"/>
                    <w:tr2bl w:val="nil"/>
                  </w:tcBorders>
                  <w:shd w:val="clear" w:color="auto" w:fill="auto"/>
                  <w:noWrap w:val="0"/>
                  <w:vAlign w:val="center"/>
                </w:tcPr>
                <w:p w14:paraId="161E5541">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7195C3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8" w:type="pct"/>
                  <w:tcBorders>
                    <w:tl2br w:val="nil"/>
                    <w:tr2bl w:val="nil"/>
                  </w:tcBorders>
                  <w:noWrap w:val="0"/>
                  <w:vAlign w:val="center"/>
                </w:tcPr>
                <w:p w14:paraId="3BDF575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分馏塔</w:t>
                  </w:r>
                </w:p>
              </w:tc>
              <w:tc>
                <w:tcPr>
                  <w:tcW w:w="697" w:type="pct"/>
                  <w:tcBorders>
                    <w:tl2br w:val="nil"/>
                    <w:tr2bl w:val="nil"/>
                  </w:tcBorders>
                  <w:noWrap w:val="0"/>
                  <w:vAlign w:val="center"/>
                </w:tcPr>
                <w:p w14:paraId="5A94250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eastAsia="zh-CN"/>
                    </w:rPr>
                    <w:t>冷箱</w:t>
                  </w:r>
                  <w:r>
                    <w:rPr>
                      <w:rFonts w:hint="eastAsia" w:cs="Times New Roman"/>
                      <w:color w:val="auto"/>
                      <w:sz w:val="21"/>
                      <w:szCs w:val="21"/>
                      <w:lang w:eastAsia="zh-CN"/>
                    </w:rPr>
                    <w:t>（</w:t>
                  </w:r>
                  <w:r>
                    <w:rPr>
                      <w:rFonts w:hint="eastAsia" w:cs="Times New Roman"/>
                      <w:color w:val="auto"/>
                      <w:sz w:val="21"/>
                      <w:szCs w:val="21"/>
                      <w:lang w:val="en-US" w:eastAsia="zh-CN"/>
                    </w:rPr>
                    <w:t>分馏塔</w:t>
                  </w:r>
                  <w:r>
                    <w:rPr>
                      <w:rFonts w:hint="eastAsia" w:cs="Times New Roman"/>
                      <w:color w:val="auto"/>
                      <w:sz w:val="21"/>
                      <w:szCs w:val="21"/>
                      <w:lang w:eastAsia="zh-CN"/>
                    </w:rPr>
                    <w:t>）</w:t>
                  </w:r>
                </w:p>
              </w:tc>
              <w:tc>
                <w:tcPr>
                  <w:tcW w:w="557" w:type="pct"/>
                  <w:tcBorders>
                    <w:tl2br w:val="nil"/>
                    <w:tr2bl w:val="nil"/>
                  </w:tcBorders>
                  <w:noWrap w:val="0"/>
                  <w:vAlign w:val="center"/>
                </w:tcPr>
                <w:p w14:paraId="1ECFD44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485" w:type="pct"/>
                  <w:tcBorders>
                    <w:tl2br w:val="nil"/>
                    <w:tr2bl w:val="nil"/>
                  </w:tcBorders>
                  <w:noWrap w:val="0"/>
                  <w:vAlign w:val="center"/>
                </w:tcPr>
                <w:p w14:paraId="5256B2D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85</w:t>
                  </w:r>
                </w:p>
              </w:tc>
              <w:tc>
                <w:tcPr>
                  <w:tcW w:w="1035" w:type="pct"/>
                  <w:tcBorders>
                    <w:tl2br w:val="nil"/>
                    <w:tr2bl w:val="nil"/>
                  </w:tcBorders>
                  <w:noWrap w:val="0"/>
                  <w:vAlign w:val="center"/>
                </w:tcPr>
                <w:p w14:paraId="5AC0D07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外壁采用钢板包裹设备，内衬珠光砂隔热降噪</w:t>
                  </w:r>
                </w:p>
              </w:tc>
              <w:tc>
                <w:tcPr>
                  <w:tcW w:w="548" w:type="pct"/>
                  <w:tcBorders>
                    <w:tl2br w:val="nil"/>
                    <w:tr2bl w:val="nil"/>
                  </w:tcBorders>
                  <w:noWrap w:val="0"/>
                  <w:vAlign w:val="center"/>
                </w:tcPr>
                <w:p w14:paraId="4A14030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65</w:t>
                  </w:r>
                </w:p>
              </w:tc>
              <w:tc>
                <w:tcPr>
                  <w:tcW w:w="787" w:type="pct"/>
                  <w:tcBorders>
                    <w:tl2br w:val="nil"/>
                    <w:tr2bl w:val="nil"/>
                  </w:tcBorders>
                  <w:noWrap w:val="0"/>
                  <w:vAlign w:val="center"/>
                </w:tcPr>
                <w:p w14:paraId="0609955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1A26A8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8" w:hRule="atLeast"/>
              </w:trPr>
              <w:tc>
                <w:tcPr>
                  <w:tcW w:w="888" w:type="pct"/>
                  <w:vMerge w:val="restart"/>
                  <w:tcBorders>
                    <w:tl2br w:val="nil"/>
                    <w:tr2bl w:val="nil"/>
                  </w:tcBorders>
                  <w:noWrap w:val="0"/>
                  <w:vAlign w:val="center"/>
                </w:tcPr>
                <w:p w14:paraId="4FDB05A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rPr>
                    <w:t>增压透平膨胀机</w:t>
                  </w:r>
                  <w:r>
                    <w:rPr>
                      <w:rFonts w:hint="eastAsia" w:ascii="Times New Roman" w:hAnsi="Times New Roman" w:eastAsia="宋体" w:cs="Times New Roman"/>
                      <w:color w:val="auto"/>
                      <w:sz w:val="21"/>
                      <w:szCs w:val="21"/>
                      <w:lang w:val="en-US" w:eastAsia="zh-CN"/>
                    </w:rPr>
                    <w:t>组</w:t>
                  </w:r>
                </w:p>
              </w:tc>
              <w:tc>
                <w:tcPr>
                  <w:tcW w:w="697" w:type="pct"/>
                  <w:tcBorders>
                    <w:tl2br w:val="nil"/>
                    <w:tr2bl w:val="nil"/>
                  </w:tcBorders>
                  <w:noWrap w:val="0"/>
                  <w:vAlign w:val="center"/>
                </w:tcPr>
                <w:p w14:paraId="0223268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rPr>
                    <w:t>增压透平膨胀机</w:t>
                  </w:r>
                </w:p>
              </w:tc>
              <w:tc>
                <w:tcPr>
                  <w:tcW w:w="557" w:type="pct"/>
                  <w:tcBorders>
                    <w:tl2br w:val="nil"/>
                    <w:tr2bl w:val="nil"/>
                  </w:tcBorders>
                  <w:noWrap w:val="0"/>
                  <w:vAlign w:val="center"/>
                </w:tcPr>
                <w:p w14:paraId="73805CC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485" w:type="pct"/>
                  <w:tcBorders>
                    <w:tl2br w:val="nil"/>
                    <w:tr2bl w:val="nil"/>
                  </w:tcBorders>
                  <w:noWrap w:val="0"/>
                  <w:vAlign w:val="center"/>
                </w:tcPr>
                <w:p w14:paraId="26AF075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r>
                    <w:rPr>
                      <w:rFonts w:hint="eastAsia" w:cs="Times New Roman"/>
                      <w:color w:val="auto"/>
                      <w:kern w:val="0"/>
                      <w:sz w:val="21"/>
                      <w:szCs w:val="21"/>
                      <w:lang w:val="en-US" w:eastAsia="zh-CN"/>
                    </w:rPr>
                    <w:t>0</w:t>
                  </w:r>
                </w:p>
              </w:tc>
              <w:tc>
                <w:tcPr>
                  <w:tcW w:w="1035" w:type="pct"/>
                  <w:tcBorders>
                    <w:tl2br w:val="nil"/>
                    <w:tr2bl w:val="nil"/>
                  </w:tcBorders>
                  <w:noWrap w:val="0"/>
                  <w:vAlign w:val="center"/>
                </w:tcPr>
                <w:p w14:paraId="2717C51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增压透平膨胀机排气管安装在冷箱内，机前、机后管道包扎隔声棉。</w:t>
                  </w:r>
                  <w:r>
                    <w:rPr>
                      <w:rFonts w:hint="eastAsia" w:ascii="Times New Roman" w:hAnsi="Times New Roman" w:eastAsia="宋体" w:cs="Times New Roman"/>
                      <w:b w:val="0"/>
                      <w:bCs w:val="0"/>
                      <w:color w:val="auto"/>
                      <w:kern w:val="0"/>
                      <w:sz w:val="21"/>
                      <w:szCs w:val="21"/>
                      <w:lang w:val="en-US" w:eastAsia="zh-CN" w:bidi="ar-SA"/>
                    </w:rPr>
                    <w:t>外壁采用</w:t>
                  </w:r>
                  <w:r>
                    <w:rPr>
                      <w:rFonts w:hint="eastAsia" w:ascii="Times New Roman" w:hAnsi="宋体" w:eastAsia="宋体" w:cs="Times New Roman"/>
                      <w:b w:val="0"/>
                      <w:bCs w:val="0"/>
                      <w:color w:val="auto"/>
                      <w:kern w:val="2"/>
                      <w:sz w:val="21"/>
                      <w:szCs w:val="21"/>
                      <w:lang w:val="en-US" w:eastAsia="zh-CN" w:bidi="ar-SA"/>
                    </w:rPr>
                    <w:t>钢板</w:t>
                  </w:r>
                  <w:r>
                    <w:rPr>
                      <w:rFonts w:hint="eastAsia" w:ascii="Times New Roman" w:hAnsi="宋体" w:eastAsia="宋体" w:cs="Times New Roman"/>
                      <w:color w:val="auto"/>
                      <w:kern w:val="2"/>
                      <w:sz w:val="21"/>
                      <w:szCs w:val="21"/>
                      <w:lang w:val="en-US" w:eastAsia="zh-CN" w:bidi="ar-SA"/>
                    </w:rPr>
                    <w:t>包裹，内部填充珠光砂绝热、隔声</w:t>
                  </w:r>
                  <w:r>
                    <w:rPr>
                      <w:rFonts w:hint="eastAsia" w:ascii="宋体" w:hAnsi="宋体" w:eastAsia="宋体" w:cs="宋体"/>
                      <w:color w:val="auto"/>
                      <w:kern w:val="0"/>
                      <w:sz w:val="21"/>
                      <w:szCs w:val="21"/>
                      <w:lang w:val="en-US" w:eastAsia="zh-CN" w:bidi="ar"/>
                    </w:rPr>
                    <w:t>，放空口设消声器</w:t>
                  </w:r>
                </w:p>
              </w:tc>
              <w:tc>
                <w:tcPr>
                  <w:tcW w:w="548" w:type="pct"/>
                  <w:tcBorders>
                    <w:tl2br w:val="nil"/>
                    <w:tr2bl w:val="nil"/>
                  </w:tcBorders>
                  <w:noWrap w:val="0"/>
                  <w:vAlign w:val="center"/>
                </w:tcPr>
                <w:p w14:paraId="2ACC876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w:t>
                  </w:r>
                  <w:r>
                    <w:rPr>
                      <w:rFonts w:hint="eastAsia" w:cs="Times New Roman"/>
                      <w:color w:val="auto"/>
                      <w:kern w:val="0"/>
                      <w:sz w:val="21"/>
                      <w:szCs w:val="21"/>
                      <w:lang w:val="en-US" w:eastAsia="zh-CN"/>
                    </w:rPr>
                    <w:t>0</w:t>
                  </w:r>
                </w:p>
              </w:tc>
              <w:tc>
                <w:tcPr>
                  <w:tcW w:w="787" w:type="pct"/>
                  <w:vMerge w:val="restart"/>
                  <w:tcBorders>
                    <w:tl2br w:val="nil"/>
                    <w:tr2bl w:val="nil"/>
                  </w:tcBorders>
                  <w:noWrap w:val="0"/>
                  <w:vAlign w:val="center"/>
                </w:tcPr>
                <w:p w14:paraId="62DF9303">
                  <w:pPr>
                    <w:spacing w:line="240" w:lineRule="auto"/>
                    <w:ind w:firstLine="0" w:firstLineChars="0"/>
                    <w:jc w:val="center"/>
                    <w:rPr>
                      <w:rFonts w:hint="eastAsia" w:ascii="Times New Roman" w:hAnsi="宋体"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53304E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8" w:type="pct"/>
                  <w:vMerge w:val="continue"/>
                  <w:tcBorders>
                    <w:tl2br w:val="nil"/>
                    <w:tr2bl w:val="nil"/>
                  </w:tcBorders>
                  <w:noWrap w:val="0"/>
                  <w:vAlign w:val="center"/>
                </w:tcPr>
                <w:p w14:paraId="7E9C1F1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rPr>
                  </w:pPr>
                </w:p>
              </w:tc>
              <w:tc>
                <w:tcPr>
                  <w:tcW w:w="697" w:type="pct"/>
                  <w:tcBorders>
                    <w:tl2br w:val="nil"/>
                    <w:tr2bl w:val="nil"/>
                  </w:tcBorders>
                  <w:noWrap w:val="0"/>
                  <w:vAlign w:val="center"/>
                </w:tcPr>
                <w:p w14:paraId="484309D8">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冷却</w:t>
                  </w:r>
                  <w:r>
                    <w:rPr>
                      <w:rFonts w:hint="eastAsia" w:ascii="Times New Roman" w:hAnsi="Times New Roman" w:eastAsia="宋体" w:cs="Times New Roman"/>
                      <w:color w:val="auto"/>
                      <w:sz w:val="21"/>
                      <w:szCs w:val="21"/>
                      <w:lang w:val="en-US" w:eastAsia="zh-CN"/>
                    </w:rPr>
                    <w:t>器</w:t>
                  </w:r>
                </w:p>
              </w:tc>
              <w:tc>
                <w:tcPr>
                  <w:tcW w:w="557" w:type="pct"/>
                  <w:tcBorders>
                    <w:tl2br w:val="nil"/>
                    <w:tr2bl w:val="nil"/>
                  </w:tcBorders>
                  <w:noWrap w:val="0"/>
                  <w:vAlign w:val="center"/>
                </w:tcPr>
                <w:p w14:paraId="280F6407">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w:t>
                  </w:r>
                </w:p>
              </w:tc>
              <w:tc>
                <w:tcPr>
                  <w:tcW w:w="485" w:type="pct"/>
                  <w:tcBorders>
                    <w:tl2br w:val="nil"/>
                    <w:tr2bl w:val="nil"/>
                  </w:tcBorders>
                  <w:noWrap w:val="0"/>
                  <w:vAlign w:val="center"/>
                </w:tcPr>
                <w:p w14:paraId="1D6DB62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72</w:t>
                  </w:r>
                </w:p>
              </w:tc>
              <w:tc>
                <w:tcPr>
                  <w:tcW w:w="1035" w:type="pct"/>
                  <w:tcBorders>
                    <w:tl2br w:val="nil"/>
                    <w:tr2bl w:val="nil"/>
                  </w:tcBorders>
                  <w:noWrap w:val="0"/>
                  <w:vAlign w:val="center"/>
                </w:tcPr>
                <w:p w14:paraId="7DC7608F">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设备基础减震；</w:t>
                  </w:r>
                  <w:r>
                    <w:rPr>
                      <w:rFonts w:hint="eastAsia" w:ascii="宋体" w:hAnsi="宋体" w:eastAsia="宋体" w:cs="宋体"/>
                      <w:color w:val="auto"/>
                      <w:kern w:val="0"/>
                      <w:sz w:val="21"/>
                      <w:szCs w:val="21"/>
                      <w:lang w:val="en-US" w:eastAsia="zh-CN" w:bidi="ar"/>
                    </w:rPr>
                    <w:t>管道包扎隔</w:t>
                  </w:r>
                  <w:r>
                    <w:rPr>
                      <w:rFonts w:hint="eastAsia" w:ascii="宋体" w:hAnsi="宋体" w:cs="宋体"/>
                      <w:color w:val="auto"/>
                      <w:kern w:val="0"/>
                      <w:sz w:val="21"/>
                      <w:szCs w:val="21"/>
                      <w:lang w:val="en-US" w:eastAsia="zh-CN" w:bidi="ar"/>
                    </w:rPr>
                    <w:t>声</w:t>
                  </w:r>
                  <w:r>
                    <w:rPr>
                      <w:rFonts w:hint="eastAsia" w:ascii="宋体" w:hAnsi="宋体" w:eastAsia="宋体" w:cs="宋体"/>
                      <w:color w:val="auto"/>
                      <w:kern w:val="0"/>
                      <w:sz w:val="21"/>
                      <w:szCs w:val="21"/>
                      <w:lang w:val="en-US" w:eastAsia="zh-CN" w:bidi="ar"/>
                    </w:rPr>
                    <w:t>材料</w:t>
                  </w:r>
                </w:p>
              </w:tc>
              <w:tc>
                <w:tcPr>
                  <w:tcW w:w="548" w:type="pct"/>
                  <w:tcBorders>
                    <w:tl2br w:val="nil"/>
                    <w:tr2bl w:val="nil"/>
                  </w:tcBorders>
                  <w:noWrap w:val="0"/>
                  <w:vAlign w:val="center"/>
                </w:tcPr>
                <w:p w14:paraId="1EF4044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70</w:t>
                  </w:r>
                </w:p>
              </w:tc>
              <w:tc>
                <w:tcPr>
                  <w:tcW w:w="787" w:type="pct"/>
                  <w:vMerge w:val="continue"/>
                  <w:tcBorders>
                    <w:tl2br w:val="nil"/>
                    <w:tr2bl w:val="nil"/>
                  </w:tcBorders>
                  <w:noWrap w:val="0"/>
                  <w:vAlign w:val="center"/>
                </w:tcPr>
                <w:p w14:paraId="04AA541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p>
              </w:tc>
            </w:tr>
            <w:tr w14:paraId="184EB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8" w:type="pct"/>
                  <w:vMerge w:val="restart"/>
                  <w:tcBorders>
                    <w:tl2br w:val="nil"/>
                    <w:tr2bl w:val="nil"/>
                  </w:tcBorders>
                  <w:noWrap w:val="0"/>
                  <w:vAlign w:val="center"/>
                </w:tcPr>
                <w:p w14:paraId="6E396D2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sz w:val="21"/>
                      <w:szCs w:val="21"/>
                      <w:lang w:val="en-US" w:eastAsia="zh-CN"/>
                    </w:rPr>
                    <w:t>丙烷、</w:t>
                  </w:r>
                  <w:r>
                    <w:rPr>
                      <w:rFonts w:hint="eastAsia" w:ascii="Times New Roman" w:hAnsi="Times New Roman" w:eastAsia="宋体" w:cs="Times New Roman"/>
                      <w:color w:val="auto"/>
                      <w:sz w:val="21"/>
                      <w:szCs w:val="21"/>
                    </w:rPr>
                    <w:t>液化石油气充装线</w:t>
                  </w:r>
                </w:p>
              </w:tc>
              <w:tc>
                <w:tcPr>
                  <w:tcW w:w="697" w:type="pct"/>
                  <w:tcBorders>
                    <w:tl2br w:val="nil"/>
                    <w:tr2bl w:val="nil"/>
                  </w:tcBorders>
                  <w:noWrap w:val="0"/>
                  <w:vAlign w:val="center"/>
                </w:tcPr>
                <w:p w14:paraId="4273AD9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压缩机</w:t>
                  </w:r>
                </w:p>
              </w:tc>
              <w:tc>
                <w:tcPr>
                  <w:tcW w:w="557" w:type="pct"/>
                  <w:tcBorders>
                    <w:tl2br w:val="nil"/>
                    <w:tr2bl w:val="nil"/>
                  </w:tcBorders>
                  <w:noWrap w:val="0"/>
                  <w:vAlign w:val="center"/>
                </w:tcPr>
                <w:p w14:paraId="3A26A79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w:t>
                  </w:r>
                </w:p>
              </w:tc>
              <w:tc>
                <w:tcPr>
                  <w:tcW w:w="485" w:type="pct"/>
                  <w:tcBorders>
                    <w:tl2br w:val="nil"/>
                    <w:tr2bl w:val="nil"/>
                  </w:tcBorders>
                  <w:noWrap w:val="0"/>
                  <w:vAlign w:val="center"/>
                </w:tcPr>
                <w:p w14:paraId="1AA1985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10</w:t>
                  </w:r>
                  <w:r>
                    <w:rPr>
                      <w:rFonts w:hint="eastAsia" w:cs="Times New Roman"/>
                      <w:color w:val="auto"/>
                      <w:kern w:val="0"/>
                      <w:sz w:val="21"/>
                      <w:szCs w:val="21"/>
                      <w:lang w:val="en-US" w:eastAsia="zh-CN"/>
                    </w:rPr>
                    <w:t>0</w:t>
                  </w:r>
                </w:p>
              </w:tc>
              <w:tc>
                <w:tcPr>
                  <w:tcW w:w="1035" w:type="pct"/>
                  <w:tcBorders>
                    <w:tl2br w:val="nil"/>
                    <w:tr2bl w:val="nil"/>
                  </w:tcBorders>
                  <w:noWrap w:val="0"/>
                  <w:vAlign w:val="center"/>
                </w:tcPr>
                <w:p w14:paraId="6C589A09">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基础减震，润滑保养，压力气体管道及高压放散管道外壁包覆隔声阻尼材料，加大管道弯曲半径，以降低气流噪声。放散口安装消声器</w:t>
                  </w:r>
                </w:p>
              </w:tc>
              <w:tc>
                <w:tcPr>
                  <w:tcW w:w="548" w:type="pct"/>
                  <w:tcBorders>
                    <w:tl2br w:val="nil"/>
                    <w:tr2bl w:val="nil"/>
                  </w:tcBorders>
                  <w:noWrap w:val="0"/>
                  <w:vAlign w:val="center"/>
                </w:tcPr>
                <w:p w14:paraId="6994281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w:t>
                  </w:r>
                  <w:r>
                    <w:rPr>
                      <w:rFonts w:hint="eastAsia" w:cs="Times New Roman"/>
                      <w:color w:val="auto"/>
                      <w:kern w:val="0"/>
                      <w:sz w:val="21"/>
                      <w:szCs w:val="21"/>
                      <w:lang w:val="en-US" w:eastAsia="zh-CN"/>
                    </w:rPr>
                    <w:t>0</w:t>
                  </w:r>
                </w:p>
              </w:tc>
              <w:tc>
                <w:tcPr>
                  <w:tcW w:w="787" w:type="pct"/>
                  <w:vMerge w:val="restart"/>
                  <w:tcBorders>
                    <w:tl2br w:val="nil"/>
                    <w:tr2bl w:val="nil"/>
                  </w:tcBorders>
                  <w:noWrap w:val="0"/>
                  <w:vAlign w:val="center"/>
                </w:tcPr>
                <w:p w14:paraId="6485EDC6">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宋体" w:eastAsia="宋体" w:cs="Times New Roman"/>
                      <w:color w:val="auto"/>
                      <w:kern w:val="2"/>
                      <w:sz w:val="21"/>
                      <w:szCs w:val="21"/>
                      <w:lang w:val="en-US" w:eastAsia="zh-CN" w:bidi="ar-SA"/>
                    </w:rPr>
                    <w:t>双层夹芯板材墙体隔声间，内衬多孔吸声材料</w:t>
                  </w:r>
                </w:p>
              </w:tc>
            </w:tr>
            <w:tr w14:paraId="154F8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8" w:type="pct"/>
                  <w:vMerge w:val="continue"/>
                  <w:tcBorders>
                    <w:tl2br w:val="nil"/>
                    <w:tr2bl w:val="nil"/>
                  </w:tcBorders>
                  <w:noWrap w:val="0"/>
                  <w:vAlign w:val="center"/>
                </w:tcPr>
                <w:p w14:paraId="73C4D1B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p>
              </w:tc>
              <w:tc>
                <w:tcPr>
                  <w:tcW w:w="697" w:type="pct"/>
                  <w:tcBorders>
                    <w:tl2br w:val="nil"/>
                    <w:tr2bl w:val="nil"/>
                  </w:tcBorders>
                  <w:noWrap w:val="0"/>
                  <w:vAlign w:val="center"/>
                </w:tcPr>
                <w:p w14:paraId="5436B21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泵</w:t>
                  </w:r>
                </w:p>
              </w:tc>
              <w:tc>
                <w:tcPr>
                  <w:tcW w:w="557" w:type="pct"/>
                  <w:tcBorders>
                    <w:tl2br w:val="nil"/>
                    <w:tr2bl w:val="nil"/>
                  </w:tcBorders>
                  <w:noWrap w:val="0"/>
                  <w:vAlign w:val="center"/>
                </w:tcPr>
                <w:p w14:paraId="28270F2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w:t>
                  </w:r>
                </w:p>
              </w:tc>
              <w:tc>
                <w:tcPr>
                  <w:tcW w:w="485" w:type="pct"/>
                  <w:tcBorders>
                    <w:tl2br w:val="nil"/>
                    <w:tr2bl w:val="nil"/>
                  </w:tcBorders>
                  <w:noWrap w:val="0"/>
                  <w:vAlign w:val="center"/>
                </w:tcPr>
                <w:p w14:paraId="3AEA8D49">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80</w:t>
                  </w:r>
                </w:p>
              </w:tc>
              <w:tc>
                <w:tcPr>
                  <w:tcW w:w="1035" w:type="pct"/>
                  <w:tcBorders>
                    <w:tl2br w:val="nil"/>
                    <w:tr2bl w:val="nil"/>
                  </w:tcBorders>
                  <w:noWrap w:val="0"/>
                  <w:vAlign w:val="center"/>
                </w:tcPr>
                <w:p w14:paraId="4687125B">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基础减震，润滑保养</w:t>
                  </w:r>
                </w:p>
              </w:tc>
              <w:tc>
                <w:tcPr>
                  <w:tcW w:w="548" w:type="pct"/>
                  <w:tcBorders>
                    <w:tl2br w:val="nil"/>
                    <w:tr2bl w:val="nil"/>
                  </w:tcBorders>
                  <w:noWrap w:val="0"/>
                  <w:vAlign w:val="center"/>
                </w:tcPr>
                <w:p w14:paraId="305066A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70</w:t>
                  </w:r>
                </w:p>
              </w:tc>
              <w:tc>
                <w:tcPr>
                  <w:tcW w:w="787" w:type="pct"/>
                  <w:vMerge w:val="continue"/>
                  <w:tcBorders>
                    <w:tl2br w:val="nil"/>
                    <w:tr2bl w:val="nil"/>
                  </w:tcBorders>
                  <w:noWrap w:val="0"/>
                  <w:vAlign w:val="center"/>
                </w:tcPr>
                <w:p w14:paraId="0DE15F73">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p>
              </w:tc>
            </w:tr>
            <w:tr w14:paraId="6E5E6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8" w:type="pct"/>
                  <w:vMerge w:val="restart"/>
                  <w:tcBorders>
                    <w:tl2br w:val="nil"/>
                    <w:tr2bl w:val="nil"/>
                  </w:tcBorders>
                  <w:noWrap w:val="0"/>
                  <w:vAlign w:val="center"/>
                </w:tcPr>
                <w:p w14:paraId="6BF8C8E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sz w:val="21"/>
                      <w:szCs w:val="21"/>
                      <w:highlight w:val="none"/>
                      <w:lang w:val="en-US" w:eastAsia="zh-CN"/>
                    </w:rPr>
                    <w:t>氧、</w:t>
                  </w:r>
                  <w:r>
                    <w:rPr>
                      <w:rFonts w:hint="eastAsia" w:ascii="Times New Roman" w:hAnsi="Times New Roman" w:eastAsia="宋体" w:cs="Times New Roman"/>
                      <w:color w:val="auto"/>
                      <w:sz w:val="21"/>
                      <w:szCs w:val="21"/>
                      <w:highlight w:val="none"/>
                    </w:rPr>
                    <w:t>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氩、二氧化碳</w:t>
                  </w:r>
                  <w:r>
                    <w:rPr>
                      <w:rFonts w:hint="eastAsia" w:ascii="Times New Roman" w:hAnsi="Times New Roman" w:eastAsia="宋体" w:cs="Times New Roman"/>
                      <w:color w:val="auto"/>
                      <w:sz w:val="21"/>
                      <w:szCs w:val="21"/>
                      <w:highlight w:val="none"/>
                    </w:rPr>
                    <w:t>贮存汽化系统</w:t>
                  </w:r>
                </w:p>
              </w:tc>
              <w:tc>
                <w:tcPr>
                  <w:tcW w:w="697" w:type="pct"/>
                  <w:tcBorders>
                    <w:tl2br w:val="nil"/>
                    <w:tr2bl w:val="nil"/>
                  </w:tcBorders>
                  <w:noWrap w:val="0"/>
                  <w:vAlign w:val="center"/>
                </w:tcPr>
                <w:p w14:paraId="0C90716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highlight w:val="none"/>
                    </w:rPr>
                    <w:t>输送泵</w:t>
                  </w:r>
                </w:p>
              </w:tc>
              <w:tc>
                <w:tcPr>
                  <w:tcW w:w="557" w:type="pct"/>
                  <w:tcBorders>
                    <w:tl2br w:val="nil"/>
                    <w:tr2bl w:val="nil"/>
                  </w:tcBorders>
                  <w:noWrap w:val="0"/>
                  <w:vAlign w:val="center"/>
                </w:tcPr>
                <w:p w14:paraId="67A0C68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w:t>
                  </w:r>
                </w:p>
              </w:tc>
              <w:tc>
                <w:tcPr>
                  <w:tcW w:w="485" w:type="pct"/>
                  <w:tcBorders>
                    <w:tl2br w:val="nil"/>
                    <w:tr2bl w:val="nil"/>
                  </w:tcBorders>
                  <w:noWrap w:val="0"/>
                  <w:vAlign w:val="center"/>
                </w:tcPr>
                <w:p w14:paraId="351A73B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80</w:t>
                  </w:r>
                </w:p>
              </w:tc>
              <w:tc>
                <w:tcPr>
                  <w:tcW w:w="1035" w:type="pct"/>
                  <w:tcBorders>
                    <w:tl2br w:val="nil"/>
                    <w:tr2bl w:val="nil"/>
                  </w:tcBorders>
                  <w:noWrap w:val="0"/>
                  <w:vAlign w:val="center"/>
                </w:tcPr>
                <w:p w14:paraId="2C97E7CE">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基础减震、隔声罩</w:t>
                  </w:r>
                </w:p>
              </w:tc>
              <w:tc>
                <w:tcPr>
                  <w:tcW w:w="548" w:type="pct"/>
                  <w:tcBorders>
                    <w:tl2br w:val="nil"/>
                    <w:tr2bl w:val="nil"/>
                  </w:tcBorders>
                  <w:noWrap w:val="0"/>
                  <w:vAlign w:val="center"/>
                </w:tcPr>
                <w:p w14:paraId="28D6B90A">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70</w:t>
                  </w:r>
                </w:p>
              </w:tc>
              <w:tc>
                <w:tcPr>
                  <w:tcW w:w="787" w:type="pct"/>
                  <w:tcBorders>
                    <w:tl2br w:val="nil"/>
                    <w:tr2bl w:val="nil"/>
                  </w:tcBorders>
                  <w:noWrap w:val="0"/>
                  <w:vAlign w:val="center"/>
                </w:tcPr>
                <w:p w14:paraId="43D8D56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72CC5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8" w:type="pct"/>
                  <w:vMerge w:val="continue"/>
                  <w:tcBorders>
                    <w:tl2br w:val="nil"/>
                    <w:tr2bl w:val="nil"/>
                  </w:tcBorders>
                  <w:noWrap w:val="0"/>
                  <w:vAlign w:val="center"/>
                </w:tcPr>
                <w:p w14:paraId="796B3CAD">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p>
              </w:tc>
              <w:tc>
                <w:tcPr>
                  <w:tcW w:w="697" w:type="pct"/>
                  <w:tcBorders>
                    <w:tl2br w:val="nil"/>
                    <w:tr2bl w:val="nil"/>
                  </w:tcBorders>
                  <w:noWrap w:val="0"/>
                  <w:vAlign w:val="center"/>
                </w:tcPr>
                <w:p w14:paraId="4B8BC080">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highlight w:val="none"/>
                      <w:lang w:val="en-US" w:eastAsia="zh-CN"/>
                    </w:rPr>
                    <w:t>汽化器</w:t>
                  </w:r>
                </w:p>
              </w:tc>
              <w:tc>
                <w:tcPr>
                  <w:tcW w:w="557" w:type="pct"/>
                  <w:tcBorders>
                    <w:tl2br w:val="nil"/>
                    <w:tr2bl w:val="nil"/>
                  </w:tcBorders>
                  <w:noWrap w:val="0"/>
                  <w:vAlign w:val="center"/>
                </w:tcPr>
                <w:p w14:paraId="43508EB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w:t>
                  </w:r>
                </w:p>
              </w:tc>
              <w:tc>
                <w:tcPr>
                  <w:tcW w:w="485" w:type="pct"/>
                  <w:tcBorders>
                    <w:tl2br w:val="nil"/>
                    <w:tr2bl w:val="nil"/>
                  </w:tcBorders>
                  <w:noWrap w:val="0"/>
                  <w:vAlign w:val="center"/>
                </w:tcPr>
                <w:p w14:paraId="2649CE9B">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w:t>
                  </w:r>
                  <w:r>
                    <w:rPr>
                      <w:rFonts w:hint="eastAsia" w:cs="Times New Roman"/>
                      <w:color w:val="auto"/>
                      <w:kern w:val="0"/>
                      <w:sz w:val="21"/>
                      <w:szCs w:val="21"/>
                      <w:lang w:val="en-US" w:eastAsia="zh-CN"/>
                    </w:rPr>
                    <w:t>0</w:t>
                  </w:r>
                </w:p>
              </w:tc>
              <w:tc>
                <w:tcPr>
                  <w:tcW w:w="1035" w:type="pct"/>
                  <w:tcBorders>
                    <w:tl2br w:val="nil"/>
                    <w:tr2bl w:val="nil"/>
                  </w:tcBorders>
                  <w:noWrap w:val="0"/>
                  <w:vAlign w:val="center"/>
                </w:tcPr>
                <w:p w14:paraId="24D2A682">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48" w:type="pct"/>
                  <w:tcBorders>
                    <w:tl2br w:val="nil"/>
                    <w:tr2bl w:val="nil"/>
                  </w:tcBorders>
                  <w:noWrap w:val="0"/>
                  <w:vAlign w:val="center"/>
                </w:tcPr>
                <w:p w14:paraId="3980E811">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7</w:t>
                  </w:r>
                  <w:r>
                    <w:rPr>
                      <w:rFonts w:hint="eastAsia" w:cs="Times New Roman"/>
                      <w:color w:val="auto"/>
                      <w:kern w:val="0"/>
                      <w:sz w:val="21"/>
                      <w:szCs w:val="21"/>
                      <w:lang w:val="en-US" w:eastAsia="zh-CN"/>
                    </w:rPr>
                    <w:t>0</w:t>
                  </w:r>
                </w:p>
              </w:tc>
              <w:tc>
                <w:tcPr>
                  <w:tcW w:w="787" w:type="pct"/>
                  <w:tcBorders>
                    <w:tl2br w:val="nil"/>
                    <w:tr2bl w:val="nil"/>
                  </w:tcBorders>
                  <w:noWrap w:val="0"/>
                  <w:vAlign w:val="center"/>
                </w:tcPr>
                <w:p w14:paraId="26A1F644">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0585C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8" w:type="pct"/>
                  <w:vMerge w:val="restart"/>
                  <w:tcBorders>
                    <w:tl2br w:val="nil"/>
                    <w:tr2bl w:val="nil"/>
                  </w:tcBorders>
                  <w:noWrap w:val="0"/>
                  <w:vAlign w:val="center"/>
                </w:tcPr>
                <w:p w14:paraId="1577AF14">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highlight w:val="none"/>
                      <w:lang w:val="en-US" w:eastAsia="zh-CN"/>
                    </w:rPr>
                    <w:t>循环冷却水系统</w:t>
                  </w:r>
                </w:p>
              </w:tc>
              <w:tc>
                <w:tcPr>
                  <w:tcW w:w="697" w:type="pct"/>
                  <w:tcBorders>
                    <w:tl2br w:val="nil"/>
                    <w:tr2bl w:val="nil"/>
                  </w:tcBorders>
                  <w:noWrap w:val="0"/>
                  <w:vAlign w:val="center"/>
                </w:tcPr>
                <w:p w14:paraId="3A04D46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ascii="Times New Roman" w:hAnsi="宋体" w:eastAsia="宋体" w:cs="Times New Roman"/>
                      <w:color w:val="auto"/>
                      <w:kern w:val="0"/>
                      <w:sz w:val="21"/>
                      <w:szCs w:val="21"/>
                    </w:rPr>
                  </w:pPr>
                  <w:r>
                    <w:rPr>
                      <w:rFonts w:hint="eastAsia" w:ascii="Times New Roman" w:hAnsi="Times New Roman" w:eastAsia="宋体" w:cs="Times New Roman"/>
                      <w:color w:val="auto"/>
                      <w:sz w:val="21"/>
                      <w:szCs w:val="21"/>
                      <w:lang w:val="en-US" w:eastAsia="zh-CN"/>
                    </w:rPr>
                    <w:t>循环水泵</w:t>
                  </w:r>
                </w:p>
              </w:tc>
              <w:tc>
                <w:tcPr>
                  <w:tcW w:w="557" w:type="pct"/>
                  <w:tcBorders>
                    <w:tl2br w:val="nil"/>
                    <w:tr2bl w:val="nil"/>
                  </w:tcBorders>
                  <w:noWrap w:val="0"/>
                  <w:vAlign w:val="center"/>
                </w:tcPr>
                <w:p w14:paraId="4EC66653">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w:t>
                  </w:r>
                </w:p>
              </w:tc>
              <w:tc>
                <w:tcPr>
                  <w:tcW w:w="485" w:type="pct"/>
                  <w:tcBorders>
                    <w:tl2br w:val="nil"/>
                    <w:tr2bl w:val="nil"/>
                  </w:tcBorders>
                  <w:noWrap w:val="0"/>
                  <w:vAlign w:val="center"/>
                </w:tcPr>
                <w:p w14:paraId="5E8F93C5">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85</w:t>
                  </w:r>
                </w:p>
              </w:tc>
              <w:tc>
                <w:tcPr>
                  <w:tcW w:w="1035" w:type="pct"/>
                  <w:tcBorders>
                    <w:tl2br w:val="nil"/>
                    <w:tr2bl w:val="nil"/>
                  </w:tcBorders>
                  <w:noWrap w:val="0"/>
                  <w:vAlign w:val="center"/>
                </w:tcPr>
                <w:p w14:paraId="6399D755">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基础减震、润滑保养，设隔声罩</w:t>
                  </w:r>
                </w:p>
              </w:tc>
              <w:tc>
                <w:tcPr>
                  <w:tcW w:w="548" w:type="pct"/>
                  <w:tcBorders>
                    <w:tl2br w:val="nil"/>
                    <w:tr2bl w:val="nil"/>
                  </w:tcBorders>
                  <w:noWrap w:val="0"/>
                  <w:vAlign w:val="center"/>
                </w:tcPr>
                <w:p w14:paraId="10B3530C">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70</w:t>
                  </w:r>
                </w:p>
              </w:tc>
              <w:tc>
                <w:tcPr>
                  <w:tcW w:w="787" w:type="pct"/>
                  <w:tcBorders>
                    <w:tl2br w:val="nil"/>
                    <w:tr2bl w:val="nil"/>
                  </w:tcBorders>
                  <w:noWrap w:val="0"/>
                  <w:vAlign w:val="center"/>
                </w:tcPr>
                <w:p w14:paraId="0F2B2167">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砖混结构墙体隔声</w:t>
                  </w:r>
                </w:p>
              </w:tc>
            </w:tr>
            <w:tr w14:paraId="3D66D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8" w:type="pct"/>
                  <w:vMerge w:val="continue"/>
                  <w:tcBorders>
                    <w:tl2br w:val="nil"/>
                    <w:tr2bl w:val="nil"/>
                  </w:tcBorders>
                  <w:noWrap w:val="0"/>
                  <w:vAlign w:val="center"/>
                </w:tcPr>
                <w:p w14:paraId="5A1C891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rPr>
                  </w:pPr>
                </w:p>
              </w:tc>
              <w:tc>
                <w:tcPr>
                  <w:tcW w:w="697" w:type="pct"/>
                  <w:tcBorders>
                    <w:tl2br w:val="nil"/>
                    <w:tr2bl w:val="nil"/>
                  </w:tcBorders>
                  <w:noWrap w:val="0"/>
                  <w:vAlign w:val="center"/>
                </w:tcPr>
                <w:p w14:paraId="5D285B66">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冷却塔</w:t>
                  </w:r>
                </w:p>
              </w:tc>
              <w:tc>
                <w:tcPr>
                  <w:tcW w:w="557" w:type="pct"/>
                  <w:tcBorders>
                    <w:tl2br w:val="nil"/>
                    <w:tr2bl w:val="nil"/>
                  </w:tcBorders>
                  <w:noWrap w:val="0"/>
                  <w:vAlign w:val="center"/>
                </w:tcPr>
                <w:p w14:paraId="7A607B9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3</w:t>
                  </w:r>
                </w:p>
              </w:tc>
              <w:tc>
                <w:tcPr>
                  <w:tcW w:w="485" w:type="pct"/>
                  <w:tcBorders>
                    <w:tl2br w:val="nil"/>
                    <w:tr2bl w:val="nil"/>
                  </w:tcBorders>
                  <w:noWrap w:val="0"/>
                  <w:vAlign w:val="center"/>
                </w:tcPr>
                <w:p w14:paraId="5269217E">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80</w:t>
                  </w:r>
                </w:p>
              </w:tc>
              <w:tc>
                <w:tcPr>
                  <w:tcW w:w="1035" w:type="pct"/>
                  <w:tcBorders>
                    <w:tl2br w:val="nil"/>
                    <w:tr2bl w:val="nil"/>
                  </w:tcBorders>
                  <w:noWrap w:val="0"/>
                  <w:vAlign w:val="center"/>
                </w:tcPr>
                <w:p w14:paraId="59E00F0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选用低噪设备、安装导流消声片</w:t>
                  </w:r>
                </w:p>
              </w:tc>
              <w:tc>
                <w:tcPr>
                  <w:tcW w:w="548" w:type="pct"/>
                  <w:tcBorders>
                    <w:tl2br w:val="nil"/>
                    <w:tr2bl w:val="nil"/>
                  </w:tcBorders>
                  <w:noWrap w:val="0"/>
                  <w:vAlign w:val="center"/>
                </w:tcPr>
                <w:p w14:paraId="3641A54F">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70</w:t>
                  </w:r>
                </w:p>
              </w:tc>
              <w:tc>
                <w:tcPr>
                  <w:tcW w:w="787" w:type="pct"/>
                  <w:tcBorders>
                    <w:tl2br w:val="nil"/>
                    <w:tr2bl w:val="nil"/>
                  </w:tcBorders>
                  <w:noWrap w:val="0"/>
                  <w:vAlign w:val="center"/>
                </w:tcPr>
                <w:p w14:paraId="5B8620F0">
                  <w:pPr>
                    <w:keepNext w:val="0"/>
                    <w:keepLines w:val="0"/>
                    <w:pageBreakBefore w:val="0"/>
                    <w:widowControl w:val="0"/>
                    <w:kinsoku/>
                    <w:wordWrap/>
                    <w:overflowPunct/>
                    <w:topLinePunct w:val="0"/>
                    <w:autoSpaceDE/>
                    <w:autoSpaceDN/>
                    <w:bidi w:val="0"/>
                    <w:adjustRightInd w:val="0"/>
                    <w:snapToGrid w:val="0"/>
                    <w:spacing w:after="0" w:line="240" w:lineRule="auto"/>
                    <w:ind w:left="0" w:leftChars="0" w:right="0" w:righ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bl>
          <w:p w14:paraId="4603944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噪声防治措施</w:t>
            </w:r>
          </w:p>
          <w:p w14:paraId="485BFB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结合项目的产噪设备运行情况，项目的噪声控制可从噪声源控制、噪声传播途径控制和个体防护三方面进行考虑。具体建议采取以下措施：</w:t>
            </w:r>
          </w:p>
          <w:p w14:paraId="34E41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kern w:val="0"/>
                <w:sz w:val="24"/>
                <w:szCs w:val="24"/>
                <w:highlight w:val="none"/>
                <w:lang w:val="en-US" w:eastAsia="zh-CN"/>
              </w:rPr>
            </w:pPr>
            <w:r>
              <w:rPr>
                <w:rFonts w:hint="eastAsia" w:cs="Times New Roman"/>
                <w:b w:val="0"/>
                <w:bCs w:val="0"/>
                <w:color w:val="auto"/>
                <w:kern w:val="0"/>
                <w:sz w:val="24"/>
                <w:szCs w:val="24"/>
                <w:highlight w:val="none"/>
                <w:lang w:val="en-US" w:eastAsia="zh-CN"/>
              </w:rPr>
              <w:t>①</w:t>
            </w:r>
            <w:r>
              <w:rPr>
                <w:rFonts w:hint="eastAsia" w:ascii="Times New Roman" w:hAnsi="Times New Roman" w:eastAsia="宋体" w:cs="Times New Roman"/>
                <w:b w:val="0"/>
                <w:bCs w:val="0"/>
                <w:color w:val="auto"/>
                <w:kern w:val="0"/>
                <w:sz w:val="24"/>
                <w:szCs w:val="24"/>
                <w:highlight w:val="none"/>
                <w:lang w:val="en-US" w:eastAsia="zh-CN"/>
              </w:rPr>
              <w:t>合理布局噪声源机器，使高噪声设备尽量安排在各车间中间位置，通过厂房隔声、减振、消声等措施以及距离衰减使噪声不会对厂界外产生明显影响；</w:t>
            </w:r>
            <w:r>
              <w:rPr>
                <w:rFonts w:hint="eastAsia" w:cs="Times New Roman"/>
                <w:b w:val="0"/>
                <w:bCs w:val="0"/>
                <w:color w:val="auto"/>
                <w:kern w:val="0"/>
                <w:sz w:val="24"/>
                <w:szCs w:val="24"/>
                <w:highlight w:val="none"/>
                <w:lang w:val="en-US" w:eastAsia="zh-CN"/>
              </w:rPr>
              <w:t xml:space="preserve"> </w:t>
            </w:r>
          </w:p>
          <w:p w14:paraId="201CFD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②合理安排生产时间，加强作业管理，减少非正常噪声；</w:t>
            </w:r>
          </w:p>
          <w:p w14:paraId="2C351B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③在气动噪声设备上设置相应的消声装置，并在其底座设置防震装置；对噪声大的压缩机等基础采取减振垫，将三大机组（空压机、增压机、氮压机）布置在相对封闭的</w:t>
            </w:r>
            <w:r>
              <w:rPr>
                <w:rFonts w:hint="eastAsia" w:cs="Times New Roman"/>
                <w:b w:val="0"/>
                <w:bCs w:val="0"/>
                <w:color w:val="auto"/>
                <w:kern w:val="0"/>
                <w:sz w:val="24"/>
                <w:szCs w:val="24"/>
                <w:highlight w:val="none"/>
                <w:lang w:val="en-US" w:eastAsia="zh-CN"/>
              </w:rPr>
              <w:t>隔声</w:t>
            </w:r>
            <w:r>
              <w:rPr>
                <w:rFonts w:hint="eastAsia" w:ascii="Times New Roman" w:hAnsi="Times New Roman" w:eastAsia="宋体" w:cs="Times New Roman"/>
                <w:b w:val="0"/>
                <w:bCs w:val="0"/>
                <w:color w:val="auto"/>
                <w:kern w:val="0"/>
                <w:sz w:val="24"/>
                <w:szCs w:val="24"/>
                <w:highlight w:val="none"/>
                <w:lang w:val="en-US" w:eastAsia="zh-CN"/>
              </w:rPr>
              <w:t>罩内，在</w:t>
            </w:r>
            <w:r>
              <w:rPr>
                <w:rFonts w:hint="eastAsia" w:cs="Times New Roman"/>
                <w:b w:val="0"/>
                <w:bCs w:val="0"/>
                <w:color w:val="auto"/>
                <w:kern w:val="0"/>
                <w:sz w:val="24"/>
                <w:szCs w:val="24"/>
                <w:highlight w:val="none"/>
                <w:lang w:val="en-US" w:eastAsia="zh-CN"/>
              </w:rPr>
              <w:t>隔声</w:t>
            </w:r>
            <w:r>
              <w:rPr>
                <w:rFonts w:hint="eastAsia" w:ascii="Times New Roman" w:hAnsi="Times New Roman" w:eastAsia="宋体" w:cs="Times New Roman"/>
                <w:b w:val="0"/>
                <w:bCs w:val="0"/>
                <w:color w:val="auto"/>
                <w:kern w:val="0"/>
                <w:sz w:val="24"/>
                <w:szCs w:val="24"/>
                <w:highlight w:val="none"/>
                <w:lang w:val="en-US" w:eastAsia="zh-CN"/>
              </w:rPr>
              <w:t>罩内增加隔声设施及吸声材料。</w:t>
            </w:r>
          </w:p>
          <w:p w14:paraId="027DF3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④通过建立设备的定检制度、合理安排大修</w:t>
            </w:r>
            <w:r>
              <w:rPr>
                <w:rFonts w:hint="eastAsia" w:cs="Times New Roman"/>
                <w:b w:val="0"/>
                <w:bCs w:val="0"/>
                <w:color w:val="auto"/>
                <w:kern w:val="0"/>
                <w:sz w:val="24"/>
                <w:szCs w:val="24"/>
                <w:highlight w:val="none"/>
                <w:lang w:val="en-US" w:eastAsia="zh-CN"/>
              </w:rPr>
              <w:t>和</w:t>
            </w:r>
            <w:r>
              <w:rPr>
                <w:rFonts w:hint="eastAsia" w:ascii="Times New Roman" w:hAnsi="Times New Roman" w:eastAsia="宋体" w:cs="Times New Roman"/>
                <w:b w:val="0"/>
                <w:bCs w:val="0"/>
                <w:color w:val="auto"/>
                <w:kern w:val="0"/>
                <w:sz w:val="24"/>
                <w:szCs w:val="24"/>
                <w:highlight w:val="none"/>
                <w:lang w:val="en-US" w:eastAsia="zh-CN"/>
              </w:rPr>
              <w:t>小修作业制度，保持设备处于良好的运转状态，因设备运转不正常时噪声往往增大，要经常进行保养，加润滑油，减少摩擦力，降低噪声；</w:t>
            </w:r>
          </w:p>
          <w:p w14:paraId="2D9B24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⑤为保证作业工人的身体健康，采用隔离、</w:t>
            </w:r>
            <w:r>
              <w:rPr>
                <w:rFonts w:hint="eastAsia" w:cs="Times New Roman"/>
                <w:b w:val="0"/>
                <w:bCs w:val="0"/>
                <w:color w:val="auto"/>
                <w:kern w:val="0"/>
                <w:sz w:val="24"/>
                <w:szCs w:val="24"/>
                <w:highlight w:val="none"/>
                <w:lang w:val="en-US" w:eastAsia="zh-CN"/>
              </w:rPr>
              <w:t>戴</w:t>
            </w:r>
            <w:r>
              <w:rPr>
                <w:rFonts w:hint="eastAsia" w:ascii="Times New Roman" w:hAnsi="Times New Roman" w:eastAsia="宋体" w:cs="Times New Roman"/>
                <w:b w:val="0"/>
                <w:bCs w:val="0"/>
                <w:color w:val="auto"/>
                <w:kern w:val="0"/>
                <w:sz w:val="24"/>
                <w:szCs w:val="24"/>
                <w:highlight w:val="none"/>
                <w:lang w:val="en-US" w:eastAsia="zh-CN"/>
              </w:rPr>
              <w:t>耳塞及限制操作时间等方法，减少噪声对作业工人的影响程度。</w:t>
            </w:r>
          </w:p>
          <w:p w14:paraId="619B4084">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rPr>
            </w:pPr>
            <w:r>
              <w:rPr>
                <w:rFonts w:hint="eastAsia" w:cs="Times New Roman"/>
                <w:b/>
                <w:bCs/>
                <w:color w:val="auto"/>
                <w:kern w:val="0"/>
                <w:sz w:val="24"/>
                <w:szCs w:val="24"/>
                <w:highlight w:val="none"/>
                <w:lang w:val="en-US" w:eastAsia="zh-CN"/>
              </w:rPr>
              <w:t>2、</w:t>
            </w:r>
            <w:r>
              <w:rPr>
                <w:rFonts w:hint="eastAsia" w:ascii="Times New Roman" w:hAnsi="Times New Roman" w:eastAsia="宋体" w:cs="Times New Roman"/>
                <w:b/>
                <w:bCs/>
                <w:color w:val="auto"/>
                <w:kern w:val="0"/>
                <w:sz w:val="24"/>
                <w:szCs w:val="24"/>
                <w:highlight w:val="none"/>
                <w:lang w:val="en-US" w:eastAsia="zh-CN"/>
              </w:rPr>
              <w:t>噪声预测模式</w:t>
            </w:r>
          </w:p>
          <w:p w14:paraId="16AED41C">
            <w:pPr>
              <w:widowControl w:val="0"/>
              <w:numPr>
                <w:ilvl w:val="0"/>
                <w:numId w:val="0"/>
              </w:numPr>
              <w:bidi w:val="0"/>
              <w:snapToGrid w:val="0"/>
              <w:spacing w:line="360" w:lineRule="auto"/>
              <w:ind w:firstLine="480" w:firstLineChars="200"/>
              <w:jc w:val="both"/>
              <w:rPr>
                <w:rFonts w:hint="eastAsia" w:ascii="Times New Roman" w:hAnsi="Times New Roman" w:eastAsia="宋体" w:cs="Times New Roman"/>
                <w:b/>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根据项目建设内容及《环境影响评价技术导则—声环境》（HJ2.4-2021）的要求，项目环评采用的模型为《环境影响评价技术导则 声环境》（HJ2.4-2021）附录A（规范性附录）户外声传播的衰减和附录B（规范性附录）中“B.1工业噪声预测计算模型”。</w:t>
            </w:r>
          </w:p>
          <w:p w14:paraId="37D9FA06">
            <w:pPr>
              <w:widowControl w:val="0"/>
              <w:numPr>
                <w:ilvl w:val="0"/>
                <w:numId w:val="0"/>
              </w:numPr>
              <w:bidi w:val="0"/>
              <w:snapToGrid w:val="0"/>
              <w:spacing w:line="360" w:lineRule="auto"/>
              <w:ind w:leftChars="200"/>
              <w:jc w:val="both"/>
              <w:rPr>
                <w:rFonts w:hint="eastAsia" w:ascii="Times New Roman" w:hAnsi="Times New Roman" w:eastAsia="宋体" w:cs="Times New Roman"/>
                <w:b/>
                <w:color w:val="auto"/>
                <w:kern w:val="0"/>
                <w:sz w:val="24"/>
                <w:szCs w:val="24"/>
                <w:lang w:val="en-US" w:eastAsia="zh-CN" w:bidi="ar-SA"/>
              </w:rPr>
            </w:pPr>
            <w:r>
              <w:rPr>
                <w:rFonts w:hint="eastAsia" w:cs="Times New Roman"/>
                <w:b/>
                <w:bCs/>
                <w:i w:val="0"/>
                <w:iCs w:val="0"/>
                <w:color w:val="auto"/>
                <w:kern w:val="2"/>
                <w:sz w:val="24"/>
                <w:szCs w:val="24"/>
                <w:lang w:val="en-US" w:eastAsia="zh-CN" w:bidi="ar-SA"/>
              </w:rPr>
              <w:t>3、</w:t>
            </w:r>
            <w:r>
              <w:rPr>
                <w:rFonts w:hint="eastAsia" w:ascii="Times New Roman" w:hAnsi="Times New Roman" w:eastAsia="宋体" w:cs="Times New Roman"/>
                <w:b/>
                <w:bCs/>
                <w:i w:val="0"/>
                <w:iCs w:val="0"/>
                <w:color w:val="auto"/>
                <w:kern w:val="2"/>
                <w:sz w:val="24"/>
                <w:szCs w:val="24"/>
                <w:lang w:val="en-US" w:eastAsia="zh-CN" w:bidi="ar-SA"/>
              </w:rPr>
              <w:t>预测参数</w:t>
            </w:r>
          </w:p>
          <w:p w14:paraId="7CBF3638">
            <w:pPr>
              <w:pStyle w:val="85"/>
              <w:numPr>
                <w:ilvl w:val="0"/>
                <w:numId w:val="0"/>
              </w:numPr>
              <w:bidi w:val="0"/>
              <w:spacing w:line="360" w:lineRule="auto"/>
              <w:ind w:firstLine="482" w:firstLineChars="200"/>
              <w:jc w:val="both"/>
              <w:rPr>
                <w:rFonts w:hint="eastAsia"/>
                <w:color w:val="auto"/>
                <w:lang w:eastAsia="zh-CN"/>
              </w:rPr>
            </w:pPr>
            <w:r>
              <w:rPr>
                <w:rFonts w:hint="eastAsia" w:cs="Times New Roman"/>
                <w:b/>
                <w:color w:val="auto"/>
                <w:kern w:val="0"/>
                <w:sz w:val="24"/>
                <w:szCs w:val="24"/>
                <w:lang w:val="en-US" w:eastAsia="zh-CN" w:bidi="ar-SA"/>
              </w:rPr>
              <w:t>（</w:t>
            </w:r>
            <w:r>
              <w:rPr>
                <w:rFonts w:hint="eastAsia" w:ascii="Times New Roman" w:hAnsi="Times New Roman" w:eastAsia="宋体" w:cs="Times New Roman"/>
                <w:b/>
                <w:color w:val="auto"/>
                <w:kern w:val="0"/>
                <w:sz w:val="24"/>
                <w:szCs w:val="24"/>
                <w:lang w:val="en-US" w:eastAsia="zh-CN" w:bidi="ar-SA"/>
              </w:rPr>
              <w:t>1）噪声源强</w:t>
            </w:r>
          </w:p>
          <w:p w14:paraId="341C52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p>
        </w:tc>
      </w:tr>
    </w:tbl>
    <w:p w14:paraId="015C8024">
      <w:pPr>
        <w:rPr>
          <w:color w:val="auto"/>
        </w:rPr>
        <w:sectPr>
          <w:headerReference r:id="rId11" w:type="default"/>
          <w:footerReference r:id="rId12" w:type="default"/>
          <w:pgSz w:w="11907" w:h="16840"/>
          <w:pgMar w:top="1247" w:right="1247" w:bottom="1247" w:left="1587" w:header="851" w:footer="851" w:gutter="0"/>
          <w:pgBorders>
            <w:top w:val="none" w:sz="0" w:space="0"/>
            <w:left w:val="none" w:sz="0" w:space="0"/>
            <w:bottom w:val="none" w:sz="0" w:space="0"/>
            <w:right w:val="none" w:sz="0" w:space="0"/>
          </w:pgBorders>
          <w:pgNumType w:fmt="decimal"/>
          <w:cols w:space="720" w:num="1"/>
          <w:docGrid w:linePitch="312" w:charSpace="0"/>
        </w:sectPr>
      </w:pPr>
    </w:p>
    <w:p w14:paraId="1EE78E07">
      <w:pPr>
        <w:pStyle w:val="10"/>
        <w:rPr>
          <w:color w:val="auto"/>
        </w:rPr>
      </w:pPr>
    </w:p>
    <w:tbl>
      <w:tblPr>
        <w:tblStyle w:val="30"/>
        <w:tblW w:w="143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800"/>
      </w:tblGrid>
      <w:tr w14:paraId="015BD5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6" w:hRule="atLeast"/>
          <w:jc w:val="center"/>
        </w:trPr>
        <w:tc>
          <w:tcPr>
            <w:tcW w:w="526" w:type="dxa"/>
            <w:noWrap w:val="0"/>
            <w:tcMar>
              <w:left w:w="28" w:type="dxa"/>
              <w:right w:w="28" w:type="dxa"/>
            </w:tcMar>
            <w:vAlign w:val="center"/>
          </w:tcPr>
          <w:p w14:paraId="704E2047">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val="0"/>
                <w:color w:val="auto"/>
                <w:spacing w:val="0"/>
                <w:kern w:val="21"/>
                <w:position w:val="0"/>
                <w:sz w:val="24"/>
                <w:szCs w:val="24"/>
                <w:highlight w:val="none"/>
              </w:rPr>
            </w:pPr>
          </w:p>
        </w:tc>
        <w:tc>
          <w:tcPr>
            <w:tcW w:w="13800" w:type="dxa"/>
            <w:noWrap w:val="0"/>
            <w:vAlign w:val="center"/>
          </w:tcPr>
          <w:p w14:paraId="58D926CD">
            <w:pPr>
              <w:pStyle w:val="85"/>
              <w:numPr>
                <w:ilvl w:val="0"/>
                <w:numId w:val="0"/>
              </w:numPr>
              <w:bidi w:val="0"/>
              <w:spacing w:line="240" w:lineRule="auto"/>
              <w:jc w:val="center"/>
              <w:rPr>
                <w:rFonts w:hint="eastAsia"/>
                <w:color w:val="auto"/>
                <w:sz w:val="21"/>
                <w:szCs w:val="21"/>
                <w:lang w:val="en-US" w:eastAsia="zh-CN"/>
              </w:rPr>
            </w:pPr>
            <w:r>
              <w:rPr>
                <w:rFonts w:hint="eastAsia"/>
                <w:color w:val="auto"/>
                <w:sz w:val="21"/>
                <w:szCs w:val="21"/>
                <w:lang w:eastAsia="zh-CN"/>
              </w:rPr>
              <w:t>表</w:t>
            </w:r>
            <w:r>
              <w:rPr>
                <w:rFonts w:hint="eastAsia"/>
                <w:color w:val="auto"/>
                <w:sz w:val="21"/>
                <w:szCs w:val="21"/>
                <w:lang w:val="en-US" w:eastAsia="zh-CN"/>
              </w:rPr>
              <w:t>4-13   工业企业噪声源源强调查清单（室内声源）</w:t>
            </w:r>
          </w:p>
          <w:tbl>
            <w:tblPr>
              <w:tblStyle w:val="30"/>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4"/>
              <w:gridCol w:w="716"/>
              <w:gridCol w:w="871"/>
              <w:gridCol w:w="781"/>
              <w:gridCol w:w="1061"/>
              <w:gridCol w:w="3056"/>
              <w:gridCol w:w="650"/>
              <w:gridCol w:w="650"/>
              <w:gridCol w:w="600"/>
              <w:gridCol w:w="700"/>
              <w:gridCol w:w="840"/>
              <w:gridCol w:w="690"/>
              <w:gridCol w:w="870"/>
              <w:gridCol w:w="870"/>
              <w:gridCol w:w="857"/>
            </w:tblGrid>
            <w:tr w14:paraId="0A16D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37" w:type="pct"/>
                  <w:vMerge w:val="restart"/>
                  <w:tcBorders>
                    <w:tl2br w:val="nil"/>
                    <w:tr2bl w:val="nil"/>
                  </w:tcBorders>
                  <w:noWrap/>
                  <w:vAlign w:val="center"/>
                </w:tcPr>
                <w:p w14:paraId="4B9C36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序号</w:t>
                  </w:r>
                </w:p>
              </w:tc>
              <w:tc>
                <w:tcPr>
                  <w:tcW w:w="263" w:type="pct"/>
                  <w:vMerge w:val="restart"/>
                  <w:tcBorders>
                    <w:tl2br w:val="nil"/>
                    <w:tr2bl w:val="nil"/>
                  </w:tcBorders>
                  <w:noWrap w:val="0"/>
                  <w:vAlign w:val="center"/>
                </w:tcPr>
                <w:p w14:paraId="491570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建筑物</w:t>
                  </w:r>
                </w:p>
                <w:p w14:paraId="2472C3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名称</w:t>
                  </w:r>
                </w:p>
              </w:tc>
              <w:tc>
                <w:tcPr>
                  <w:tcW w:w="320" w:type="pct"/>
                  <w:vMerge w:val="restart"/>
                  <w:tcBorders>
                    <w:tl2br w:val="nil"/>
                    <w:tr2bl w:val="nil"/>
                  </w:tcBorders>
                  <w:noWrap/>
                  <w:vAlign w:val="center"/>
                </w:tcPr>
                <w:p w14:paraId="06EC4A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声源</w:t>
                  </w:r>
                </w:p>
                <w:p w14:paraId="35B680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名称</w:t>
                  </w:r>
                </w:p>
              </w:tc>
              <w:tc>
                <w:tcPr>
                  <w:tcW w:w="287" w:type="pct"/>
                  <w:vMerge w:val="restart"/>
                  <w:tcBorders>
                    <w:tl2br w:val="nil"/>
                    <w:tr2bl w:val="nil"/>
                  </w:tcBorders>
                  <w:noWrap/>
                  <w:vAlign w:val="center"/>
                </w:tcPr>
                <w:p w14:paraId="3F9FB1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型号</w:t>
                  </w:r>
                </w:p>
              </w:tc>
              <w:tc>
                <w:tcPr>
                  <w:tcW w:w="390" w:type="pct"/>
                  <w:tcBorders>
                    <w:tl2br w:val="nil"/>
                    <w:tr2bl w:val="nil"/>
                  </w:tcBorders>
                  <w:noWrap/>
                  <w:vAlign w:val="center"/>
                </w:tcPr>
                <w:p w14:paraId="1F42AA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kern w:val="0"/>
                      <w:sz w:val="21"/>
                      <w:szCs w:val="21"/>
                      <w:lang w:bidi="ar"/>
                    </w:rPr>
                  </w:pPr>
                  <w:r>
                    <w:rPr>
                      <w:rFonts w:hint="eastAsia" w:ascii="Times New Roman" w:hAnsi="Times New Roman"/>
                      <w:b/>
                      <w:bCs/>
                      <w:color w:val="auto"/>
                      <w:kern w:val="0"/>
                      <w:sz w:val="21"/>
                      <w:szCs w:val="21"/>
                      <w:lang w:val="en-US" w:eastAsia="zh-CN" w:bidi="ar"/>
                    </w:rPr>
                    <w:t>治理后的</w:t>
                  </w:r>
                  <w:r>
                    <w:rPr>
                      <w:rFonts w:ascii="Times New Roman" w:hAnsi="Times New Roman"/>
                      <w:b/>
                      <w:bCs/>
                      <w:color w:val="auto"/>
                      <w:kern w:val="0"/>
                      <w:sz w:val="21"/>
                      <w:szCs w:val="21"/>
                      <w:lang w:bidi="ar"/>
                    </w:rPr>
                    <w:t>声源源强</w:t>
                  </w:r>
                </w:p>
              </w:tc>
              <w:tc>
                <w:tcPr>
                  <w:tcW w:w="1124" w:type="pct"/>
                  <w:vMerge w:val="restart"/>
                  <w:tcBorders>
                    <w:tl2br w:val="nil"/>
                    <w:tr2bl w:val="nil"/>
                  </w:tcBorders>
                  <w:noWrap/>
                  <w:vAlign w:val="center"/>
                </w:tcPr>
                <w:p w14:paraId="400B3F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声源控制措施</w:t>
                  </w:r>
                </w:p>
              </w:tc>
              <w:tc>
                <w:tcPr>
                  <w:tcW w:w="699" w:type="pct"/>
                  <w:gridSpan w:val="3"/>
                  <w:tcBorders>
                    <w:tl2br w:val="nil"/>
                    <w:tr2bl w:val="nil"/>
                  </w:tcBorders>
                  <w:noWrap/>
                  <w:vAlign w:val="center"/>
                </w:tcPr>
                <w:p w14:paraId="026BE9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空间相对位置/m</w:t>
                  </w:r>
                </w:p>
              </w:tc>
              <w:tc>
                <w:tcPr>
                  <w:tcW w:w="257" w:type="pct"/>
                  <w:vMerge w:val="restart"/>
                  <w:tcBorders>
                    <w:tl2br w:val="nil"/>
                    <w:tr2bl w:val="nil"/>
                  </w:tcBorders>
                  <w:noWrap w:val="0"/>
                  <w:vAlign w:val="center"/>
                </w:tcPr>
                <w:p w14:paraId="4B8B48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距室内边界距离/m</w:t>
                  </w:r>
                </w:p>
              </w:tc>
              <w:tc>
                <w:tcPr>
                  <w:tcW w:w="309" w:type="pct"/>
                  <w:vMerge w:val="restart"/>
                  <w:tcBorders>
                    <w:tl2br w:val="nil"/>
                    <w:tr2bl w:val="nil"/>
                  </w:tcBorders>
                  <w:noWrap w:val="0"/>
                  <w:vAlign w:val="center"/>
                </w:tcPr>
                <w:p w14:paraId="284530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b/>
                      <w:bCs/>
                      <w:color w:val="auto"/>
                      <w:sz w:val="21"/>
                      <w:szCs w:val="21"/>
                      <w:lang w:eastAsia="zh-CN"/>
                    </w:rPr>
                  </w:pPr>
                  <w:r>
                    <w:rPr>
                      <w:rFonts w:ascii="Times New Roman" w:hAnsi="Times New Roman"/>
                      <w:b/>
                      <w:bCs/>
                      <w:color w:val="auto"/>
                      <w:kern w:val="0"/>
                      <w:sz w:val="21"/>
                      <w:szCs w:val="21"/>
                      <w:lang w:bidi="ar"/>
                    </w:rPr>
                    <w:t>室内边界声级/dB</w:t>
                  </w:r>
                  <w:r>
                    <w:rPr>
                      <w:rFonts w:hint="eastAsia"/>
                      <w:b/>
                      <w:bCs/>
                      <w:color w:val="auto"/>
                      <w:kern w:val="0"/>
                      <w:sz w:val="21"/>
                      <w:szCs w:val="21"/>
                      <w:lang w:eastAsia="zh-CN" w:bidi="ar"/>
                    </w:rPr>
                    <w:t>（</w:t>
                  </w:r>
                  <w:r>
                    <w:rPr>
                      <w:rFonts w:ascii="Times New Roman" w:hAnsi="Times New Roman"/>
                      <w:b/>
                      <w:bCs/>
                      <w:color w:val="auto"/>
                      <w:kern w:val="0"/>
                      <w:sz w:val="21"/>
                      <w:szCs w:val="21"/>
                      <w:lang w:bidi="ar"/>
                    </w:rPr>
                    <w:t>A</w:t>
                  </w:r>
                  <w:r>
                    <w:rPr>
                      <w:rFonts w:hint="eastAsia"/>
                      <w:b/>
                      <w:bCs/>
                      <w:color w:val="auto"/>
                      <w:kern w:val="0"/>
                      <w:sz w:val="21"/>
                      <w:szCs w:val="21"/>
                      <w:lang w:eastAsia="zh-CN" w:bidi="ar"/>
                    </w:rPr>
                    <w:t>）</w:t>
                  </w:r>
                </w:p>
              </w:tc>
              <w:tc>
                <w:tcPr>
                  <w:tcW w:w="253" w:type="pct"/>
                  <w:vMerge w:val="restart"/>
                  <w:tcBorders>
                    <w:tl2br w:val="nil"/>
                    <w:tr2bl w:val="nil"/>
                  </w:tcBorders>
                  <w:noWrap/>
                  <w:vAlign w:val="center"/>
                </w:tcPr>
                <w:p w14:paraId="4F161F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运行时段</w:t>
                  </w:r>
                </w:p>
              </w:tc>
              <w:tc>
                <w:tcPr>
                  <w:tcW w:w="320" w:type="pct"/>
                  <w:vMerge w:val="restart"/>
                  <w:tcBorders>
                    <w:tl2br w:val="nil"/>
                    <w:tr2bl w:val="nil"/>
                  </w:tcBorders>
                  <w:noWrap w:val="0"/>
                  <w:vAlign w:val="center"/>
                </w:tcPr>
                <w:p w14:paraId="100EAD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b/>
                      <w:bCs/>
                      <w:color w:val="auto"/>
                      <w:sz w:val="21"/>
                      <w:szCs w:val="21"/>
                      <w:lang w:eastAsia="zh-CN"/>
                    </w:rPr>
                  </w:pPr>
                  <w:r>
                    <w:rPr>
                      <w:rFonts w:ascii="Times New Roman" w:hAnsi="Times New Roman"/>
                      <w:b/>
                      <w:bCs/>
                      <w:color w:val="auto"/>
                      <w:kern w:val="0"/>
                      <w:sz w:val="21"/>
                      <w:szCs w:val="21"/>
                      <w:lang w:bidi="ar"/>
                    </w:rPr>
                    <w:t>建筑物插入损失/dB</w:t>
                  </w:r>
                  <w:r>
                    <w:rPr>
                      <w:rFonts w:hint="eastAsia"/>
                      <w:b/>
                      <w:bCs/>
                      <w:color w:val="auto"/>
                      <w:kern w:val="0"/>
                      <w:sz w:val="21"/>
                      <w:szCs w:val="21"/>
                      <w:lang w:eastAsia="zh-CN" w:bidi="ar"/>
                    </w:rPr>
                    <w:t>（</w:t>
                  </w:r>
                  <w:r>
                    <w:rPr>
                      <w:rFonts w:ascii="Times New Roman" w:hAnsi="Times New Roman"/>
                      <w:b/>
                      <w:bCs/>
                      <w:color w:val="auto"/>
                      <w:kern w:val="0"/>
                      <w:sz w:val="21"/>
                      <w:szCs w:val="21"/>
                      <w:lang w:bidi="ar"/>
                    </w:rPr>
                    <w:t>A</w:t>
                  </w:r>
                  <w:r>
                    <w:rPr>
                      <w:rFonts w:hint="eastAsia"/>
                      <w:b/>
                      <w:bCs/>
                      <w:color w:val="auto"/>
                      <w:kern w:val="0"/>
                      <w:sz w:val="21"/>
                      <w:szCs w:val="21"/>
                      <w:lang w:eastAsia="zh-CN" w:bidi="ar"/>
                    </w:rPr>
                    <w:t>）</w:t>
                  </w:r>
                </w:p>
              </w:tc>
              <w:tc>
                <w:tcPr>
                  <w:tcW w:w="635" w:type="pct"/>
                  <w:gridSpan w:val="2"/>
                  <w:tcBorders>
                    <w:tl2br w:val="nil"/>
                    <w:tr2bl w:val="nil"/>
                  </w:tcBorders>
                  <w:noWrap/>
                  <w:vAlign w:val="center"/>
                </w:tcPr>
                <w:p w14:paraId="57E1D4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建筑物外噪声</w:t>
                  </w:r>
                </w:p>
              </w:tc>
            </w:tr>
            <w:tr w14:paraId="2F489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37" w:type="pct"/>
                  <w:vMerge w:val="continue"/>
                  <w:tcBorders>
                    <w:tl2br w:val="nil"/>
                    <w:tr2bl w:val="nil"/>
                  </w:tcBorders>
                  <w:noWrap/>
                  <w:vAlign w:val="center"/>
                </w:tcPr>
                <w:p w14:paraId="68B99F67">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b/>
                      <w:bCs/>
                      <w:color w:val="auto"/>
                      <w:sz w:val="21"/>
                      <w:szCs w:val="21"/>
                    </w:rPr>
                  </w:pPr>
                </w:p>
              </w:tc>
              <w:tc>
                <w:tcPr>
                  <w:tcW w:w="263" w:type="pct"/>
                  <w:vMerge w:val="continue"/>
                  <w:tcBorders>
                    <w:tl2br w:val="nil"/>
                    <w:tr2bl w:val="nil"/>
                  </w:tcBorders>
                  <w:noWrap w:val="0"/>
                  <w:vAlign w:val="center"/>
                </w:tcPr>
                <w:p w14:paraId="6DAB4EA6">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b/>
                      <w:bCs/>
                      <w:color w:val="auto"/>
                      <w:sz w:val="21"/>
                      <w:szCs w:val="21"/>
                    </w:rPr>
                  </w:pPr>
                </w:p>
              </w:tc>
              <w:tc>
                <w:tcPr>
                  <w:tcW w:w="320" w:type="pct"/>
                  <w:vMerge w:val="continue"/>
                  <w:tcBorders>
                    <w:tl2br w:val="nil"/>
                    <w:tr2bl w:val="nil"/>
                  </w:tcBorders>
                  <w:noWrap/>
                  <w:vAlign w:val="center"/>
                </w:tcPr>
                <w:p w14:paraId="20384FC3">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b/>
                      <w:bCs/>
                      <w:color w:val="auto"/>
                      <w:sz w:val="21"/>
                      <w:szCs w:val="21"/>
                    </w:rPr>
                  </w:pPr>
                </w:p>
              </w:tc>
              <w:tc>
                <w:tcPr>
                  <w:tcW w:w="287" w:type="pct"/>
                  <w:vMerge w:val="continue"/>
                  <w:tcBorders>
                    <w:tl2br w:val="nil"/>
                    <w:tr2bl w:val="nil"/>
                  </w:tcBorders>
                  <w:noWrap/>
                  <w:vAlign w:val="center"/>
                </w:tcPr>
                <w:p w14:paraId="179A990C">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b/>
                      <w:bCs/>
                      <w:color w:val="auto"/>
                      <w:sz w:val="21"/>
                      <w:szCs w:val="21"/>
                    </w:rPr>
                  </w:pPr>
                </w:p>
              </w:tc>
              <w:tc>
                <w:tcPr>
                  <w:tcW w:w="390" w:type="pct"/>
                  <w:tcBorders>
                    <w:tl2br w:val="nil"/>
                    <w:tr2bl w:val="nil"/>
                  </w:tcBorders>
                  <w:noWrap w:val="0"/>
                  <w:vAlign w:val="center"/>
                </w:tcPr>
                <w:p w14:paraId="19EB76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Style w:val="105"/>
                      <w:rFonts w:hint="eastAsia"/>
                      <w:color w:val="auto"/>
                      <w:sz w:val="21"/>
                      <w:szCs w:val="21"/>
                      <w:lang w:bidi="ar"/>
                    </w:rPr>
                  </w:pPr>
                  <w:r>
                    <w:rPr>
                      <w:rFonts w:hint="eastAsia"/>
                      <w:b/>
                      <w:bCs/>
                      <w:color w:val="auto"/>
                      <w:kern w:val="0"/>
                      <w:sz w:val="21"/>
                      <w:szCs w:val="21"/>
                      <w:lang w:bidi="ar"/>
                    </w:rPr>
                    <w:t>声压级</w:t>
                  </w:r>
                  <w:r>
                    <w:rPr>
                      <w:rStyle w:val="105"/>
                      <w:color w:val="auto"/>
                      <w:sz w:val="21"/>
                      <w:szCs w:val="21"/>
                      <w:lang w:bidi="ar"/>
                    </w:rPr>
                    <w:t>/</w:t>
                  </w:r>
                  <w:r>
                    <w:rPr>
                      <w:rStyle w:val="105"/>
                      <w:rFonts w:hint="eastAsia"/>
                      <w:color w:val="auto"/>
                      <w:sz w:val="21"/>
                      <w:szCs w:val="21"/>
                      <w:lang w:bidi="ar"/>
                    </w:rPr>
                    <w:t>距离</w:t>
                  </w:r>
                </w:p>
                <w:p w14:paraId="627020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Style w:val="105"/>
                      <w:color w:val="auto"/>
                      <w:sz w:val="21"/>
                      <w:szCs w:val="21"/>
                      <w:lang w:bidi="ar"/>
                    </w:rPr>
                    <w:t>dB</w:t>
                  </w:r>
                  <w:r>
                    <w:rPr>
                      <w:rStyle w:val="105"/>
                      <w:rFonts w:hint="eastAsia"/>
                      <w:color w:val="auto"/>
                      <w:sz w:val="21"/>
                      <w:szCs w:val="21"/>
                      <w:lang w:eastAsia="zh-CN" w:bidi="ar"/>
                    </w:rPr>
                    <w:t>（</w:t>
                  </w:r>
                  <w:r>
                    <w:rPr>
                      <w:rStyle w:val="105"/>
                      <w:color w:val="auto"/>
                      <w:sz w:val="21"/>
                      <w:szCs w:val="21"/>
                      <w:lang w:bidi="ar"/>
                    </w:rPr>
                    <w:t>A</w:t>
                  </w:r>
                  <w:r>
                    <w:rPr>
                      <w:rStyle w:val="105"/>
                      <w:rFonts w:hint="eastAsia"/>
                      <w:color w:val="auto"/>
                      <w:sz w:val="21"/>
                      <w:szCs w:val="21"/>
                      <w:lang w:eastAsia="zh-CN" w:bidi="ar"/>
                    </w:rPr>
                    <w:t>）</w:t>
                  </w:r>
                  <w:r>
                    <w:rPr>
                      <w:rStyle w:val="105"/>
                      <w:rFonts w:hint="eastAsia"/>
                      <w:color w:val="auto"/>
                      <w:sz w:val="21"/>
                      <w:szCs w:val="21"/>
                      <w:lang w:bidi="ar"/>
                    </w:rPr>
                    <w:t>/m</w:t>
                  </w:r>
                </w:p>
              </w:tc>
              <w:tc>
                <w:tcPr>
                  <w:tcW w:w="1124" w:type="pct"/>
                  <w:vMerge w:val="continue"/>
                  <w:tcBorders>
                    <w:tl2br w:val="nil"/>
                    <w:tr2bl w:val="nil"/>
                  </w:tcBorders>
                  <w:noWrap/>
                  <w:vAlign w:val="center"/>
                </w:tcPr>
                <w:p w14:paraId="36B9B7FD">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b/>
                      <w:bCs/>
                      <w:color w:val="auto"/>
                      <w:sz w:val="21"/>
                      <w:szCs w:val="21"/>
                    </w:rPr>
                  </w:pPr>
                </w:p>
              </w:tc>
              <w:tc>
                <w:tcPr>
                  <w:tcW w:w="239" w:type="pct"/>
                  <w:tcBorders>
                    <w:tl2br w:val="nil"/>
                    <w:tr2bl w:val="nil"/>
                  </w:tcBorders>
                  <w:noWrap/>
                  <w:vAlign w:val="center"/>
                </w:tcPr>
                <w:p w14:paraId="251132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X</w:t>
                  </w:r>
                </w:p>
              </w:tc>
              <w:tc>
                <w:tcPr>
                  <w:tcW w:w="239" w:type="pct"/>
                  <w:tcBorders>
                    <w:tl2br w:val="nil"/>
                    <w:tr2bl w:val="nil"/>
                  </w:tcBorders>
                  <w:noWrap/>
                  <w:vAlign w:val="center"/>
                </w:tcPr>
                <w:p w14:paraId="00CEEA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Y</w:t>
                  </w:r>
                </w:p>
              </w:tc>
              <w:tc>
                <w:tcPr>
                  <w:tcW w:w="220" w:type="pct"/>
                  <w:tcBorders>
                    <w:tl2br w:val="nil"/>
                    <w:tr2bl w:val="nil"/>
                  </w:tcBorders>
                  <w:noWrap/>
                  <w:vAlign w:val="center"/>
                </w:tcPr>
                <w:p w14:paraId="69499F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Z</w:t>
                  </w:r>
                </w:p>
              </w:tc>
              <w:tc>
                <w:tcPr>
                  <w:tcW w:w="257" w:type="pct"/>
                  <w:vMerge w:val="continue"/>
                  <w:tcBorders>
                    <w:tl2br w:val="nil"/>
                    <w:tr2bl w:val="nil"/>
                  </w:tcBorders>
                  <w:noWrap w:val="0"/>
                  <w:vAlign w:val="center"/>
                </w:tcPr>
                <w:p w14:paraId="63D96B79">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b/>
                      <w:bCs/>
                      <w:color w:val="auto"/>
                      <w:sz w:val="21"/>
                      <w:szCs w:val="21"/>
                    </w:rPr>
                  </w:pPr>
                </w:p>
              </w:tc>
              <w:tc>
                <w:tcPr>
                  <w:tcW w:w="309" w:type="pct"/>
                  <w:vMerge w:val="continue"/>
                  <w:tcBorders>
                    <w:tl2br w:val="nil"/>
                    <w:tr2bl w:val="nil"/>
                  </w:tcBorders>
                  <w:noWrap w:val="0"/>
                  <w:vAlign w:val="center"/>
                </w:tcPr>
                <w:p w14:paraId="493E6945">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b/>
                      <w:bCs/>
                      <w:color w:val="auto"/>
                      <w:sz w:val="21"/>
                      <w:szCs w:val="21"/>
                    </w:rPr>
                  </w:pPr>
                </w:p>
              </w:tc>
              <w:tc>
                <w:tcPr>
                  <w:tcW w:w="253" w:type="pct"/>
                  <w:vMerge w:val="continue"/>
                  <w:tcBorders>
                    <w:tl2br w:val="nil"/>
                    <w:tr2bl w:val="nil"/>
                  </w:tcBorders>
                  <w:noWrap/>
                  <w:vAlign w:val="center"/>
                </w:tcPr>
                <w:p w14:paraId="481015D8">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b/>
                      <w:bCs/>
                      <w:color w:val="auto"/>
                      <w:sz w:val="21"/>
                      <w:szCs w:val="21"/>
                    </w:rPr>
                  </w:pPr>
                </w:p>
              </w:tc>
              <w:tc>
                <w:tcPr>
                  <w:tcW w:w="320" w:type="pct"/>
                  <w:vMerge w:val="continue"/>
                  <w:tcBorders>
                    <w:tl2br w:val="nil"/>
                    <w:tr2bl w:val="nil"/>
                  </w:tcBorders>
                  <w:noWrap w:val="0"/>
                  <w:vAlign w:val="center"/>
                </w:tcPr>
                <w:p w14:paraId="1A9423EC">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b/>
                      <w:bCs/>
                      <w:color w:val="auto"/>
                      <w:sz w:val="21"/>
                      <w:szCs w:val="21"/>
                    </w:rPr>
                  </w:pPr>
                </w:p>
              </w:tc>
              <w:tc>
                <w:tcPr>
                  <w:tcW w:w="320" w:type="pct"/>
                  <w:tcBorders>
                    <w:tl2br w:val="nil"/>
                    <w:tr2bl w:val="nil"/>
                  </w:tcBorders>
                  <w:noWrap w:val="0"/>
                  <w:vAlign w:val="center"/>
                </w:tcPr>
                <w:p w14:paraId="28188C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b/>
                      <w:bCs/>
                      <w:color w:val="auto"/>
                      <w:sz w:val="21"/>
                      <w:szCs w:val="21"/>
                      <w:lang w:eastAsia="zh-CN"/>
                    </w:rPr>
                  </w:pPr>
                  <w:r>
                    <w:rPr>
                      <w:rFonts w:hint="eastAsia"/>
                      <w:b/>
                      <w:bCs/>
                      <w:color w:val="auto"/>
                      <w:kern w:val="0"/>
                      <w:sz w:val="21"/>
                      <w:szCs w:val="21"/>
                      <w:lang w:bidi="ar"/>
                    </w:rPr>
                    <w:t>声压级</w:t>
                  </w:r>
                  <w:r>
                    <w:rPr>
                      <w:rFonts w:ascii="Times New Roman" w:hAnsi="Times New Roman"/>
                      <w:b/>
                      <w:bCs/>
                      <w:color w:val="auto"/>
                      <w:kern w:val="0"/>
                      <w:sz w:val="21"/>
                      <w:szCs w:val="21"/>
                      <w:lang w:bidi="ar"/>
                    </w:rPr>
                    <w:t>/dB</w:t>
                  </w:r>
                  <w:r>
                    <w:rPr>
                      <w:rFonts w:hint="eastAsia"/>
                      <w:b/>
                      <w:bCs/>
                      <w:color w:val="auto"/>
                      <w:kern w:val="0"/>
                      <w:sz w:val="21"/>
                      <w:szCs w:val="21"/>
                      <w:lang w:eastAsia="zh-CN" w:bidi="ar"/>
                    </w:rPr>
                    <w:t>（</w:t>
                  </w:r>
                  <w:r>
                    <w:rPr>
                      <w:rFonts w:ascii="Times New Roman" w:hAnsi="Times New Roman"/>
                      <w:b/>
                      <w:bCs/>
                      <w:color w:val="auto"/>
                      <w:kern w:val="0"/>
                      <w:sz w:val="21"/>
                      <w:szCs w:val="21"/>
                      <w:lang w:bidi="ar"/>
                    </w:rPr>
                    <w:t>A</w:t>
                  </w:r>
                  <w:r>
                    <w:rPr>
                      <w:rFonts w:hint="eastAsia"/>
                      <w:b/>
                      <w:bCs/>
                      <w:color w:val="auto"/>
                      <w:kern w:val="0"/>
                      <w:sz w:val="21"/>
                      <w:szCs w:val="21"/>
                      <w:lang w:eastAsia="zh-CN" w:bidi="ar"/>
                    </w:rPr>
                    <w:t>）</w:t>
                  </w:r>
                </w:p>
              </w:tc>
              <w:tc>
                <w:tcPr>
                  <w:tcW w:w="315" w:type="pct"/>
                  <w:tcBorders>
                    <w:tl2br w:val="nil"/>
                    <w:tr2bl w:val="nil"/>
                  </w:tcBorders>
                  <w:noWrap w:val="0"/>
                  <w:vAlign w:val="center"/>
                </w:tcPr>
                <w:p w14:paraId="4B39A1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建筑物外距离</w:t>
                  </w:r>
                </w:p>
              </w:tc>
            </w:tr>
            <w:tr w14:paraId="362DF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 w:type="pct"/>
                  <w:tcBorders>
                    <w:tl2br w:val="nil"/>
                    <w:tr2bl w:val="nil"/>
                  </w:tcBorders>
                  <w:noWrap/>
                  <w:vAlign w:val="center"/>
                </w:tcPr>
                <w:p w14:paraId="347798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1</w:t>
                  </w:r>
                </w:p>
              </w:tc>
              <w:tc>
                <w:tcPr>
                  <w:tcW w:w="263" w:type="pct"/>
                  <w:vMerge w:val="restart"/>
                  <w:tcBorders>
                    <w:tl2br w:val="nil"/>
                    <w:tr2bl w:val="nil"/>
                  </w:tcBorders>
                  <w:noWrap/>
                  <w:vAlign w:val="center"/>
                </w:tcPr>
                <w:p w14:paraId="32062F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空</w:t>
                  </w:r>
                  <w:r>
                    <w:rPr>
                      <w:rFonts w:hint="eastAsia" w:cs="Times New Roman"/>
                      <w:color w:val="auto"/>
                      <w:kern w:val="0"/>
                      <w:sz w:val="21"/>
                      <w:szCs w:val="21"/>
                      <w:lang w:val="en-US" w:eastAsia="zh-CN" w:bidi="ar"/>
                    </w:rPr>
                    <w:t>气过</w:t>
                  </w:r>
                  <w:r>
                    <w:rPr>
                      <w:rFonts w:hint="eastAsia" w:ascii="Times New Roman" w:hAnsi="Times New Roman" w:eastAsia="宋体" w:cs="Times New Roman"/>
                      <w:color w:val="auto"/>
                      <w:kern w:val="0"/>
                      <w:sz w:val="21"/>
                      <w:szCs w:val="21"/>
                      <w:lang w:val="en-US" w:eastAsia="zh-CN" w:bidi="ar"/>
                    </w:rPr>
                    <w:t>滤器房</w:t>
                  </w:r>
                </w:p>
              </w:tc>
              <w:tc>
                <w:tcPr>
                  <w:tcW w:w="320" w:type="pct"/>
                  <w:tcBorders>
                    <w:tl2br w:val="nil"/>
                    <w:tr2bl w:val="nil"/>
                  </w:tcBorders>
                  <w:noWrap/>
                  <w:vAlign w:val="center"/>
                </w:tcPr>
                <w:p w14:paraId="7A822C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bidi="ar"/>
                    </w:rPr>
                  </w:pPr>
                  <w:r>
                    <w:rPr>
                      <w:rFonts w:hint="eastAsia" w:ascii="Times New Roman" w:hAnsi="Times New Roman" w:eastAsia="宋体" w:cs="Times New Roman"/>
                      <w:color w:val="auto"/>
                      <w:kern w:val="0"/>
                      <w:sz w:val="21"/>
                      <w:szCs w:val="21"/>
                      <w:lang w:val="en-US" w:eastAsia="zh-CN"/>
                    </w:rPr>
                    <w:t>自洁式空气过滤器</w:t>
                  </w:r>
                  <w:r>
                    <w:rPr>
                      <w:rFonts w:hint="eastAsia" w:ascii="Times New Roman" w:hAnsi="Times New Roman" w:eastAsia="宋体" w:cs="Times New Roman"/>
                      <w:color w:val="auto"/>
                      <w:kern w:val="0"/>
                      <w:sz w:val="21"/>
                      <w:szCs w:val="21"/>
                      <w:lang w:val="en-US" w:eastAsia="zh-CN" w:bidi="ar"/>
                    </w:rPr>
                    <w:t>1</w:t>
                  </w:r>
                </w:p>
              </w:tc>
              <w:tc>
                <w:tcPr>
                  <w:tcW w:w="287" w:type="pct"/>
                  <w:tcBorders>
                    <w:tl2br w:val="nil"/>
                    <w:tr2bl w:val="nil"/>
                  </w:tcBorders>
                  <w:noWrap/>
                  <w:vAlign w:val="center"/>
                </w:tcPr>
                <w:p w14:paraId="10BF32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点源</w:t>
                  </w:r>
                </w:p>
              </w:tc>
              <w:tc>
                <w:tcPr>
                  <w:tcW w:w="390" w:type="pct"/>
                  <w:tcBorders>
                    <w:tl2br w:val="nil"/>
                    <w:tr2bl w:val="nil"/>
                  </w:tcBorders>
                  <w:noWrap/>
                  <w:vAlign w:val="center"/>
                </w:tcPr>
                <w:p w14:paraId="28141E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80/1</w:t>
                  </w:r>
                </w:p>
              </w:tc>
              <w:tc>
                <w:tcPr>
                  <w:tcW w:w="1124" w:type="pct"/>
                  <w:vMerge w:val="restart"/>
                  <w:tcBorders>
                    <w:tl2br w:val="nil"/>
                    <w:tr2bl w:val="nil"/>
                  </w:tcBorders>
                  <w:noWrap/>
                  <w:vAlign w:val="center"/>
                </w:tcPr>
                <w:p w14:paraId="069177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选用低噪声设备，基础减震，设双层夹芯板材墙体隔声间。</w:t>
                  </w:r>
                </w:p>
              </w:tc>
              <w:tc>
                <w:tcPr>
                  <w:tcW w:w="239" w:type="pct"/>
                  <w:tcBorders>
                    <w:tl2br w:val="nil"/>
                    <w:tr2bl w:val="nil"/>
                  </w:tcBorders>
                  <w:noWrap/>
                  <w:vAlign w:val="center"/>
                </w:tcPr>
                <w:p w14:paraId="50380E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70</w:t>
                  </w:r>
                </w:p>
              </w:tc>
              <w:tc>
                <w:tcPr>
                  <w:tcW w:w="239" w:type="pct"/>
                  <w:tcBorders>
                    <w:tl2br w:val="nil"/>
                    <w:tr2bl w:val="nil"/>
                  </w:tcBorders>
                  <w:noWrap/>
                  <w:vAlign w:val="center"/>
                </w:tcPr>
                <w:p w14:paraId="52CBB6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90</w:t>
                  </w:r>
                </w:p>
              </w:tc>
              <w:tc>
                <w:tcPr>
                  <w:tcW w:w="220" w:type="pct"/>
                  <w:tcBorders>
                    <w:tl2br w:val="nil"/>
                    <w:tr2bl w:val="nil"/>
                  </w:tcBorders>
                  <w:noWrap/>
                  <w:vAlign w:val="center"/>
                </w:tcPr>
                <w:p w14:paraId="70FF2C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257" w:type="pct"/>
                  <w:tcBorders>
                    <w:tl2br w:val="nil"/>
                    <w:tr2bl w:val="nil"/>
                  </w:tcBorders>
                  <w:noWrap/>
                  <w:vAlign w:val="center"/>
                </w:tcPr>
                <w:p w14:paraId="5B9EC2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w:t>
                  </w:r>
                </w:p>
              </w:tc>
              <w:tc>
                <w:tcPr>
                  <w:tcW w:w="309" w:type="pct"/>
                  <w:tcBorders>
                    <w:tl2br w:val="nil"/>
                    <w:tr2bl w:val="nil"/>
                  </w:tcBorders>
                  <w:noWrap/>
                  <w:vAlign w:val="center"/>
                </w:tcPr>
                <w:p w14:paraId="3501F5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75</w:t>
                  </w:r>
                </w:p>
              </w:tc>
              <w:tc>
                <w:tcPr>
                  <w:tcW w:w="253" w:type="pct"/>
                  <w:vMerge w:val="restart"/>
                  <w:tcBorders>
                    <w:tl2br w:val="nil"/>
                    <w:tr2bl w:val="nil"/>
                  </w:tcBorders>
                  <w:noWrap/>
                  <w:vAlign w:val="center"/>
                </w:tcPr>
                <w:p w14:paraId="6BF45F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稳定声源</w:t>
                  </w:r>
                </w:p>
              </w:tc>
              <w:tc>
                <w:tcPr>
                  <w:tcW w:w="320" w:type="pct"/>
                  <w:tcBorders>
                    <w:tl2br w:val="nil"/>
                    <w:tr2bl w:val="nil"/>
                  </w:tcBorders>
                  <w:noWrap/>
                  <w:vAlign w:val="center"/>
                </w:tcPr>
                <w:p w14:paraId="2CA306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w:t>
                  </w:r>
                </w:p>
              </w:tc>
              <w:tc>
                <w:tcPr>
                  <w:tcW w:w="320" w:type="pct"/>
                  <w:tcBorders>
                    <w:tl2br w:val="nil"/>
                    <w:tr2bl w:val="nil"/>
                  </w:tcBorders>
                  <w:noWrap/>
                  <w:vAlign w:val="center"/>
                </w:tcPr>
                <w:p w14:paraId="058AB3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60</w:t>
                  </w:r>
                </w:p>
              </w:tc>
              <w:tc>
                <w:tcPr>
                  <w:tcW w:w="315" w:type="pct"/>
                  <w:tcBorders>
                    <w:tl2br w:val="nil"/>
                    <w:tr2bl w:val="nil"/>
                  </w:tcBorders>
                  <w:noWrap/>
                  <w:vAlign w:val="center"/>
                </w:tcPr>
                <w:p w14:paraId="031EBC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r>
            <w:tr w14:paraId="76614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 w:type="pct"/>
                  <w:tcBorders>
                    <w:tl2br w:val="nil"/>
                    <w:tr2bl w:val="nil"/>
                  </w:tcBorders>
                  <w:noWrap/>
                  <w:vAlign w:val="center"/>
                </w:tcPr>
                <w:p w14:paraId="6F0A38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olor w:val="auto"/>
                      <w:kern w:val="0"/>
                      <w:sz w:val="21"/>
                      <w:szCs w:val="21"/>
                      <w:lang w:val="en-US" w:eastAsia="zh-CN" w:bidi="ar"/>
                    </w:rPr>
                  </w:pPr>
                  <w:r>
                    <w:rPr>
                      <w:rFonts w:hint="eastAsia" w:ascii="Times New Roman" w:hAnsi="Times New Roman"/>
                      <w:color w:val="auto"/>
                      <w:kern w:val="0"/>
                      <w:sz w:val="21"/>
                      <w:szCs w:val="21"/>
                      <w:lang w:val="en-US" w:eastAsia="zh-CN" w:bidi="ar"/>
                    </w:rPr>
                    <w:t>2</w:t>
                  </w:r>
                </w:p>
              </w:tc>
              <w:tc>
                <w:tcPr>
                  <w:tcW w:w="263" w:type="pct"/>
                  <w:vMerge w:val="continue"/>
                  <w:tcBorders>
                    <w:tl2br w:val="nil"/>
                    <w:tr2bl w:val="nil"/>
                  </w:tcBorders>
                  <w:noWrap/>
                  <w:vAlign w:val="center"/>
                </w:tcPr>
                <w:p w14:paraId="0EB582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c>
                <w:tcPr>
                  <w:tcW w:w="320" w:type="pct"/>
                  <w:tcBorders>
                    <w:tl2br w:val="nil"/>
                    <w:tr2bl w:val="nil"/>
                  </w:tcBorders>
                  <w:noWrap/>
                  <w:vAlign w:val="center"/>
                </w:tcPr>
                <w:p w14:paraId="427DED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rPr>
                    <w:t>自洁式空气过滤器</w:t>
                  </w:r>
                  <w:r>
                    <w:rPr>
                      <w:rFonts w:hint="eastAsia" w:ascii="Times New Roman" w:hAnsi="Times New Roman" w:eastAsia="宋体" w:cs="Times New Roman"/>
                      <w:color w:val="auto"/>
                      <w:kern w:val="0"/>
                      <w:sz w:val="21"/>
                      <w:szCs w:val="21"/>
                      <w:lang w:val="en-US" w:eastAsia="zh-CN" w:bidi="ar"/>
                    </w:rPr>
                    <w:t>2</w:t>
                  </w:r>
                </w:p>
              </w:tc>
              <w:tc>
                <w:tcPr>
                  <w:tcW w:w="287" w:type="pct"/>
                  <w:tcBorders>
                    <w:tl2br w:val="nil"/>
                    <w:tr2bl w:val="nil"/>
                  </w:tcBorders>
                  <w:noWrap/>
                  <w:vAlign w:val="center"/>
                </w:tcPr>
                <w:p w14:paraId="3A591B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点源</w:t>
                  </w:r>
                </w:p>
              </w:tc>
              <w:tc>
                <w:tcPr>
                  <w:tcW w:w="390" w:type="pct"/>
                  <w:tcBorders>
                    <w:tl2br w:val="nil"/>
                    <w:tr2bl w:val="nil"/>
                  </w:tcBorders>
                  <w:noWrap/>
                  <w:vAlign w:val="center"/>
                </w:tcPr>
                <w:p w14:paraId="20CF02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80/1</w:t>
                  </w:r>
                </w:p>
              </w:tc>
              <w:tc>
                <w:tcPr>
                  <w:tcW w:w="1124" w:type="pct"/>
                  <w:vMerge w:val="continue"/>
                  <w:tcBorders>
                    <w:tl2br w:val="nil"/>
                    <w:tr2bl w:val="nil"/>
                  </w:tcBorders>
                  <w:noWrap/>
                  <w:vAlign w:val="center"/>
                </w:tcPr>
                <w:p w14:paraId="568647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c>
                <w:tcPr>
                  <w:tcW w:w="239" w:type="pct"/>
                  <w:tcBorders>
                    <w:tl2br w:val="nil"/>
                    <w:tr2bl w:val="nil"/>
                  </w:tcBorders>
                  <w:noWrap/>
                  <w:vAlign w:val="center"/>
                </w:tcPr>
                <w:p w14:paraId="1639BF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72</w:t>
                  </w:r>
                </w:p>
              </w:tc>
              <w:tc>
                <w:tcPr>
                  <w:tcW w:w="239" w:type="pct"/>
                  <w:tcBorders>
                    <w:tl2br w:val="nil"/>
                    <w:tr2bl w:val="nil"/>
                  </w:tcBorders>
                  <w:noWrap/>
                  <w:vAlign w:val="center"/>
                </w:tcPr>
                <w:p w14:paraId="19B808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90</w:t>
                  </w:r>
                </w:p>
              </w:tc>
              <w:tc>
                <w:tcPr>
                  <w:tcW w:w="220" w:type="pct"/>
                  <w:tcBorders>
                    <w:tl2br w:val="nil"/>
                    <w:tr2bl w:val="nil"/>
                  </w:tcBorders>
                  <w:noWrap/>
                  <w:vAlign w:val="center"/>
                </w:tcPr>
                <w:p w14:paraId="00A8B9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257" w:type="pct"/>
                  <w:tcBorders>
                    <w:tl2br w:val="nil"/>
                    <w:tr2bl w:val="nil"/>
                  </w:tcBorders>
                  <w:noWrap/>
                  <w:vAlign w:val="center"/>
                </w:tcPr>
                <w:p w14:paraId="327520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309" w:type="pct"/>
                  <w:tcBorders>
                    <w:tl2br w:val="nil"/>
                    <w:tr2bl w:val="nil"/>
                  </w:tcBorders>
                  <w:noWrap/>
                  <w:vAlign w:val="center"/>
                </w:tcPr>
                <w:p w14:paraId="68D5C2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75</w:t>
                  </w:r>
                </w:p>
              </w:tc>
              <w:tc>
                <w:tcPr>
                  <w:tcW w:w="253" w:type="pct"/>
                  <w:vMerge w:val="continue"/>
                  <w:tcBorders>
                    <w:tl2br w:val="nil"/>
                    <w:tr2bl w:val="nil"/>
                  </w:tcBorders>
                  <w:noWrap/>
                  <w:vAlign w:val="center"/>
                </w:tcPr>
                <w:p w14:paraId="3EEE16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c>
                <w:tcPr>
                  <w:tcW w:w="320" w:type="pct"/>
                  <w:tcBorders>
                    <w:tl2br w:val="nil"/>
                    <w:tr2bl w:val="nil"/>
                  </w:tcBorders>
                  <w:noWrap/>
                  <w:vAlign w:val="center"/>
                </w:tcPr>
                <w:p w14:paraId="381B8F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w:t>
                  </w:r>
                </w:p>
              </w:tc>
              <w:tc>
                <w:tcPr>
                  <w:tcW w:w="320" w:type="pct"/>
                  <w:tcBorders>
                    <w:tl2br w:val="nil"/>
                    <w:tr2bl w:val="nil"/>
                  </w:tcBorders>
                  <w:noWrap/>
                  <w:vAlign w:val="center"/>
                </w:tcPr>
                <w:p w14:paraId="7E5AF0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60</w:t>
                  </w:r>
                </w:p>
              </w:tc>
              <w:tc>
                <w:tcPr>
                  <w:tcW w:w="315" w:type="pct"/>
                  <w:tcBorders>
                    <w:tl2br w:val="nil"/>
                    <w:tr2bl w:val="nil"/>
                  </w:tcBorders>
                  <w:noWrap/>
                  <w:vAlign w:val="center"/>
                </w:tcPr>
                <w:p w14:paraId="498143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r>
            <w:tr w14:paraId="786FC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 w:type="pct"/>
                  <w:tcBorders>
                    <w:tl2br w:val="nil"/>
                    <w:tr2bl w:val="nil"/>
                  </w:tcBorders>
                  <w:noWrap/>
                  <w:vAlign w:val="center"/>
                </w:tcPr>
                <w:p w14:paraId="59C90D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olor w:val="auto"/>
                      <w:sz w:val="21"/>
                      <w:szCs w:val="21"/>
                      <w:lang w:eastAsia="zh-CN"/>
                    </w:rPr>
                  </w:pPr>
                  <w:r>
                    <w:rPr>
                      <w:rFonts w:hint="eastAsia" w:ascii="Times New Roman" w:hAnsi="Times New Roman"/>
                      <w:color w:val="auto"/>
                      <w:kern w:val="0"/>
                      <w:sz w:val="21"/>
                      <w:szCs w:val="21"/>
                      <w:lang w:val="en-US" w:eastAsia="zh-CN" w:bidi="ar"/>
                    </w:rPr>
                    <w:t>3</w:t>
                  </w:r>
                </w:p>
              </w:tc>
              <w:tc>
                <w:tcPr>
                  <w:tcW w:w="263" w:type="pct"/>
                  <w:vMerge w:val="restart"/>
                  <w:tcBorders>
                    <w:tl2br w:val="nil"/>
                    <w:tr2bl w:val="nil"/>
                  </w:tcBorders>
                  <w:noWrap/>
                  <w:vAlign w:val="center"/>
                </w:tcPr>
                <w:p w14:paraId="63674A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空压机房</w:t>
                  </w:r>
                </w:p>
              </w:tc>
              <w:tc>
                <w:tcPr>
                  <w:tcW w:w="320" w:type="pct"/>
                  <w:tcBorders>
                    <w:tl2br w:val="nil"/>
                    <w:tr2bl w:val="nil"/>
                  </w:tcBorders>
                  <w:noWrap/>
                  <w:vAlign w:val="center"/>
                </w:tcPr>
                <w:p w14:paraId="59CA65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bidi="ar"/>
                    </w:rPr>
                  </w:pPr>
                  <w:r>
                    <w:rPr>
                      <w:rFonts w:hint="eastAsia" w:cs="Times New Roman"/>
                      <w:color w:val="auto"/>
                      <w:kern w:val="0"/>
                      <w:sz w:val="21"/>
                      <w:szCs w:val="21"/>
                      <w:lang w:val="en-US" w:eastAsia="zh-CN"/>
                    </w:rPr>
                    <w:t>原料空</w:t>
                  </w:r>
                  <w:r>
                    <w:rPr>
                      <w:rFonts w:hint="eastAsia" w:ascii="Times New Roman" w:hAnsi="Times New Roman" w:eastAsia="宋体" w:cs="Times New Roman"/>
                      <w:color w:val="auto"/>
                      <w:kern w:val="0"/>
                      <w:sz w:val="21"/>
                      <w:szCs w:val="21"/>
                      <w:lang w:val="en-US" w:eastAsia="zh-CN"/>
                    </w:rPr>
                    <w:t>压机1</w:t>
                  </w:r>
                </w:p>
              </w:tc>
              <w:tc>
                <w:tcPr>
                  <w:tcW w:w="287" w:type="pct"/>
                  <w:tcBorders>
                    <w:tl2br w:val="nil"/>
                    <w:tr2bl w:val="nil"/>
                  </w:tcBorders>
                  <w:noWrap/>
                  <w:vAlign w:val="center"/>
                </w:tcPr>
                <w:p w14:paraId="2C1653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点源</w:t>
                  </w:r>
                </w:p>
              </w:tc>
              <w:tc>
                <w:tcPr>
                  <w:tcW w:w="390" w:type="pct"/>
                  <w:tcBorders>
                    <w:tl2br w:val="nil"/>
                    <w:tr2bl w:val="nil"/>
                  </w:tcBorders>
                  <w:noWrap/>
                  <w:vAlign w:val="center"/>
                </w:tcPr>
                <w:p w14:paraId="5365A6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80/1</w:t>
                  </w:r>
                </w:p>
              </w:tc>
              <w:tc>
                <w:tcPr>
                  <w:tcW w:w="1124" w:type="pct"/>
                  <w:vMerge w:val="restart"/>
                  <w:tcBorders>
                    <w:tl2br w:val="nil"/>
                    <w:tr2bl w:val="nil"/>
                  </w:tcBorders>
                  <w:noWrap/>
                  <w:vAlign w:val="center"/>
                </w:tcPr>
                <w:p w14:paraId="4806EE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选用低噪声设备，基础减震，润滑保养，</w:t>
                  </w:r>
                  <w:r>
                    <w:rPr>
                      <w:rFonts w:hint="eastAsia" w:ascii="宋体" w:hAnsi="宋体" w:eastAsia="宋体" w:cs="宋体"/>
                      <w:color w:val="auto"/>
                      <w:kern w:val="0"/>
                      <w:sz w:val="21"/>
                      <w:szCs w:val="21"/>
                      <w:lang w:val="en-US" w:eastAsia="zh-CN" w:bidi="ar"/>
                    </w:rPr>
                    <w:t>管道包扎</w:t>
                  </w:r>
                  <w:r>
                    <w:rPr>
                      <w:rFonts w:hint="eastAsia" w:ascii="宋体" w:hAnsi="宋体" w:cs="宋体"/>
                      <w:color w:val="auto"/>
                      <w:kern w:val="0"/>
                      <w:sz w:val="21"/>
                      <w:szCs w:val="21"/>
                      <w:lang w:val="en-US" w:eastAsia="zh-CN" w:bidi="ar"/>
                    </w:rPr>
                    <w:t>隔声</w:t>
                  </w:r>
                  <w:r>
                    <w:rPr>
                      <w:rFonts w:hint="eastAsia" w:ascii="宋体" w:hAnsi="宋体" w:eastAsia="宋体" w:cs="宋体"/>
                      <w:color w:val="auto"/>
                      <w:kern w:val="0"/>
                      <w:sz w:val="21"/>
                      <w:szCs w:val="21"/>
                      <w:lang w:val="en-US" w:eastAsia="zh-CN" w:bidi="ar"/>
                    </w:rPr>
                    <w:t>材料，放空口设消声器，</w:t>
                  </w:r>
                  <w:r>
                    <w:rPr>
                      <w:rFonts w:hint="eastAsia" w:ascii="Times New Roman" w:hAnsi="Times New Roman" w:eastAsia="宋体" w:cs="Times New Roman"/>
                      <w:color w:val="auto"/>
                      <w:kern w:val="0"/>
                      <w:sz w:val="21"/>
                      <w:szCs w:val="21"/>
                      <w:lang w:val="en-US" w:eastAsia="zh-CN" w:bidi="ar"/>
                    </w:rPr>
                    <w:t>设双层夹芯板材墙体隔声间，内衬多孔吸声材料。</w:t>
                  </w:r>
                </w:p>
              </w:tc>
              <w:tc>
                <w:tcPr>
                  <w:tcW w:w="239" w:type="pct"/>
                  <w:tcBorders>
                    <w:tl2br w:val="nil"/>
                    <w:tr2bl w:val="nil"/>
                  </w:tcBorders>
                  <w:noWrap/>
                  <w:vAlign w:val="center"/>
                </w:tcPr>
                <w:p w14:paraId="5432E1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70</w:t>
                  </w:r>
                </w:p>
              </w:tc>
              <w:tc>
                <w:tcPr>
                  <w:tcW w:w="239" w:type="pct"/>
                  <w:tcBorders>
                    <w:tl2br w:val="nil"/>
                    <w:tr2bl w:val="nil"/>
                  </w:tcBorders>
                  <w:noWrap/>
                  <w:vAlign w:val="center"/>
                </w:tcPr>
                <w:p w14:paraId="79C178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91</w:t>
                  </w:r>
                </w:p>
              </w:tc>
              <w:tc>
                <w:tcPr>
                  <w:tcW w:w="220" w:type="pct"/>
                  <w:tcBorders>
                    <w:tl2br w:val="nil"/>
                    <w:tr2bl w:val="nil"/>
                  </w:tcBorders>
                  <w:noWrap/>
                  <w:vAlign w:val="center"/>
                </w:tcPr>
                <w:p w14:paraId="169D64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257" w:type="pct"/>
                  <w:tcBorders>
                    <w:tl2br w:val="nil"/>
                    <w:tr2bl w:val="nil"/>
                  </w:tcBorders>
                  <w:noWrap/>
                  <w:vAlign w:val="center"/>
                </w:tcPr>
                <w:p w14:paraId="720ED0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w:t>
                  </w:r>
                </w:p>
              </w:tc>
              <w:tc>
                <w:tcPr>
                  <w:tcW w:w="309" w:type="pct"/>
                  <w:tcBorders>
                    <w:tl2br w:val="nil"/>
                    <w:tr2bl w:val="nil"/>
                  </w:tcBorders>
                  <w:noWrap/>
                  <w:vAlign w:val="center"/>
                </w:tcPr>
                <w:p w14:paraId="44A10E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73</w:t>
                  </w:r>
                </w:p>
              </w:tc>
              <w:tc>
                <w:tcPr>
                  <w:tcW w:w="253" w:type="pct"/>
                  <w:vMerge w:val="restart"/>
                  <w:tcBorders>
                    <w:tl2br w:val="nil"/>
                    <w:tr2bl w:val="nil"/>
                  </w:tcBorders>
                  <w:noWrap/>
                  <w:vAlign w:val="center"/>
                </w:tcPr>
                <w:p w14:paraId="610E1C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稳定声源</w:t>
                  </w:r>
                </w:p>
              </w:tc>
              <w:tc>
                <w:tcPr>
                  <w:tcW w:w="320" w:type="pct"/>
                  <w:tcBorders>
                    <w:tl2br w:val="nil"/>
                    <w:tr2bl w:val="nil"/>
                  </w:tcBorders>
                  <w:noWrap/>
                  <w:vAlign w:val="center"/>
                </w:tcPr>
                <w:p w14:paraId="38D4F2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w:t>
                  </w:r>
                </w:p>
              </w:tc>
              <w:tc>
                <w:tcPr>
                  <w:tcW w:w="320" w:type="pct"/>
                  <w:tcBorders>
                    <w:tl2br w:val="nil"/>
                    <w:tr2bl w:val="nil"/>
                  </w:tcBorders>
                  <w:noWrap/>
                  <w:vAlign w:val="center"/>
                </w:tcPr>
                <w:p w14:paraId="357AA4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58</w:t>
                  </w:r>
                </w:p>
              </w:tc>
              <w:tc>
                <w:tcPr>
                  <w:tcW w:w="315" w:type="pct"/>
                  <w:tcBorders>
                    <w:tl2br w:val="nil"/>
                    <w:tr2bl w:val="nil"/>
                  </w:tcBorders>
                  <w:noWrap/>
                  <w:vAlign w:val="center"/>
                </w:tcPr>
                <w:p w14:paraId="0CD9BA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r>
            <w:tr w14:paraId="5F019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 w:type="pct"/>
                  <w:tcBorders>
                    <w:tl2br w:val="nil"/>
                    <w:tr2bl w:val="nil"/>
                  </w:tcBorders>
                  <w:noWrap/>
                  <w:vAlign w:val="center"/>
                </w:tcPr>
                <w:p w14:paraId="427C50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olor w:val="auto"/>
                      <w:kern w:val="0"/>
                      <w:sz w:val="21"/>
                      <w:szCs w:val="21"/>
                      <w:lang w:val="en-US" w:eastAsia="zh-CN" w:bidi="ar"/>
                    </w:rPr>
                  </w:pPr>
                  <w:r>
                    <w:rPr>
                      <w:rFonts w:hint="eastAsia" w:ascii="Times New Roman" w:hAnsi="Times New Roman"/>
                      <w:color w:val="auto"/>
                      <w:kern w:val="0"/>
                      <w:sz w:val="21"/>
                      <w:szCs w:val="21"/>
                      <w:lang w:val="en-US" w:eastAsia="zh-CN" w:bidi="ar"/>
                    </w:rPr>
                    <w:t>4</w:t>
                  </w:r>
                </w:p>
              </w:tc>
              <w:tc>
                <w:tcPr>
                  <w:tcW w:w="263" w:type="pct"/>
                  <w:vMerge w:val="continue"/>
                  <w:tcBorders>
                    <w:tl2br w:val="nil"/>
                    <w:tr2bl w:val="nil"/>
                  </w:tcBorders>
                  <w:noWrap/>
                  <w:vAlign w:val="center"/>
                </w:tcPr>
                <w:p w14:paraId="78BC63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c>
                <w:tcPr>
                  <w:tcW w:w="320" w:type="pct"/>
                  <w:tcBorders>
                    <w:tl2br w:val="nil"/>
                    <w:tr2bl w:val="nil"/>
                  </w:tcBorders>
                  <w:shd w:val="clear" w:color="auto" w:fill="auto"/>
                  <w:noWrap/>
                  <w:vAlign w:val="center"/>
                </w:tcPr>
                <w:p w14:paraId="356991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rPr>
                    <w:t>原料空</w:t>
                  </w:r>
                  <w:r>
                    <w:rPr>
                      <w:rFonts w:hint="eastAsia" w:ascii="Times New Roman" w:hAnsi="Times New Roman" w:eastAsia="宋体" w:cs="Times New Roman"/>
                      <w:color w:val="auto"/>
                      <w:kern w:val="0"/>
                      <w:sz w:val="21"/>
                      <w:szCs w:val="21"/>
                      <w:lang w:val="en-US" w:eastAsia="zh-CN"/>
                    </w:rPr>
                    <w:t>压机2</w:t>
                  </w:r>
                </w:p>
              </w:tc>
              <w:tc>
                <w:tcPr>
                  <w:tcW w:w="287" w:type="pct"/>
                  <w:tcBorders>
                    <w:tl2br w:val="nil"/>
                    <w:tr2bl w:val="nil"/>
                  </w:tcBorders>
                  <w:shd w:val="clear" w:color="auto" w:fill="auto"/>
                  <w:noWrap/>
                  <w:vAlign w:val="center"/>
                </w:tcPr>
                <w:p w14:paraId="18331F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点源</w:t>
                  </w:r>
                </w:p>
              </w:tc>
              <w:tc>
                <w:tcPr>
                  <w:tcW w:w="390" w:type="pct"/>
                  <w:tcBorders>
                    <w:tl2br w:val="nil"/>
                    <w:tr2bl w:val="nil"/>
                  </w:tcBorders>
                  <w:shd w:val="clear" w:color="auto" w:fill="auto"/>
                  <w:noWrap/>
                  <w:vAlign w:val="center"/>
                </w:tcPr>
                <w:p w14:paraId="49C740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80/1</w:t>
                  </w:r>
                </w:p>
              </w:tc>
              <w:tc>
                <w:tcPr>
                  <w:tcW w:w="1124" w:type="pct"/>
                  <w:vMerge w:val="continue"/>
                  <w:tcBorders>
                    <w:tl2br w:val="nil"/>
                    <w:tr2bl w:val="nil"/>
                  </w:tcBorders>
                  <w:noWrap/>
                  <w:vAlign w:val="center"/>
                </w:tcPr>
                <w:p w14:paraId="149618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c>
                <w:tcPr>
                  <w:tcW w:w="239" w:type="pct"/>
                  <w:tcBorders>
                    <w:tl2br w:val="nil"/>
                    <w:tr2bl w:val="nil"/>
                  </w:tcBorders>
                  <w:noWrap/>
                  <w:vAlign w:val="center"/>
                </w:tcPr>
                <w:p w14:paraId="04F2FD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72</w:t>
                  </w:r>
                </w:p>
              </w:tc>
              <w:tc>
                <w:tcPr>
                  <w:tcW w:w="239" w:type="pct"/>
                  <w:tcBorders>
                    <w:tl2br w:val="nil"/>
                    <w:tr2bl w:val="nil"/>
                  </w:tcBorders>
                  <w:noWrap/>
                  <w:vAlign w:val="center"/>
                </w:tcPr>
                <w:p w14:paraId="027212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91</w:t>
                  </w:r>
                </w:p>
              </w:tc>
              <w:tc>
                <w:tcPr>
                  <w:tcW w:w="220" w:type="pct"/>
                  <w:tcBorders>
                    <w:tl2br w:val="nil"/>
                    <w:tr2bl w:val="nil"/>
                  </w:tcBorders>
                  <w:noWrap/>
                  <w:vAlign w:val="center"/>
                </w:tcPr>
                <w:p w14:paraId="139BB5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257" w:type="pct"/>
                  <w:tcBorders>
                    <w:tl2br w:val="nil"/>
                    <w:tr2bl w:val="nil"/>
                  </w:tcBorders>
                  <w:noWrap/>
                  <w:vAlign w:val="center"/>
                </w:tcPr>
                <w:p w14:paraId="15D391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309" w:type="pct"/>
                  <w:tcBorders>
                    <w:tl2br w:val="nil"/>
                    <w:tr2bl w:val="nil"/>
                  </w:tcBorders>
                  <w:noWrap/>
                  <w:vAlign w:val="center"/>
                </w:tcPr>
                <w:p w14:paraId="0A6931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73</w:t>
                  </w:r>
                </w:p>
              </w:tc>
              <w:tc>
                <w:tcPr>
                  <w:tcW w:w="253" w:type="pct"/>
                  <w:vMerge w:val="continue"/>
                  <w:tcBorders>
                    <w:tl2br w:val="nil"/>
                    <w:tr2bl w:val="nil"/>
                  </w:tcBorders>
                  <w:noWrap/>
                  <w:vAlign w:val="center"/>
                </w:tcPr>
                <w:p w14:paraId="4B4E4A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c>
                <w:tcPr>
                  <w:tcW w:w="320" w:type="pct"/>
                  <w:tcBorders>
                    <w:tl2br w:val="nil"/>
                    <w:tr2bl w:val="nil"/>
                  </w:tcBorders>
                  <w:noWrap/>
                  <w:vAlign w:val="center"/>
                </w:tcPr>
                <w:p w14:paraId="4D992E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w:t>
                  </w:r>
                </w:p>
              </w:tc>
              <w:tc>
                <w:tcPr>
                  <w:tcW w:w="320" w:type="pct"/>
                  <w:tcBorders>
                    <w:tl2br w:val="nil"/>
                    <w:tr2bl w:val="nil"/>
                  </w:tcBorders>
                  <w:noWrap/>
                  <w:vAlign w:val="center"/>
                </w:tcPr>
                <w:p w14:paraId="7F0972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58</w:t>
                  </w:r>
                </w:p>
              </w:tc>
              <w:tc>
                <w:tcPr>
                  <w:tcW w:w="315" w:type="pct"/>
                  <w:tcBorders>
                    <w:tl2br w:val="nil"/>
                    <w:tr2bl w:val="nil"/>
                  </w:tcBorders>
                  <w:noWrap/>
                  <w:vAlign w:val="center"/>
                </w:tcPr>
                <w:p w14:paraId="78E380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r>
            <w:tr w14:paraId="59C72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37" w:type="pct"/>
                  <w:tcBorders>
                    <w:tl2br w:val="nil"/>
                    <w:tr2bl w:val="nil"/>
                  </w:tcBorders>
                  <w:noWrap/>
                  <w:vAlign w:val="center"/>
                </w:tcPr>
                <w:p w14:paraId="6BA59A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olor w:val="auto"/>
                      <w:sz w:val="21"/>
                      <w:szCs w:val="21"/>
                      <w:lang w:eastAsia="zh-CN"/>
                    </w:rPr>
                  </w:pPr>
                  <w:r>
                    <w:rPr>
                      <w:rFonts w:hint="eastAsia" w:ascii="Times New Roman" w:hAnsi="Times New Roman"/>
                      <w:color w:val="auto"/>
                      <w:kern w:val="0"/>
                      <w:sz w:val="21"/>
                      <w:szCs w:val="21"/>
                      <w:lang w:val="en-US" w:eastAsia="zh-CN" w:bidi="ar"/>
                    </w:rPr>
                    <w:t>5</w:t>
                  </w:r>
                </w:p>
              </w:tc>
              <w:tc>
                <w:tcPr>
                  <w:tcW w:w="263" w:type="pct"/>
                  <w:tcBorders>
                    <w:tl2br w:val="nil"/>
                    <w:tr2bl w:val="nil"/>
                  </w:tcBorders>
                  <w:noWrap/>
                  <w:vAlign w:val="center"/>
                </w:tcPr>
                <w:p w14:paraId="41D6F5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氮压机房</w:t>
                  </w:r>
                </w:p>
              </w:tc>
              <w:tc>
                <w:tcPr>
                  <w:tcW w:w="320" w:type="pct"/>
                  <w:tcBorders>
                    <w:tl2br w:val="nil"/>
                    <w:tr2bl w:val="nil"/>
                  </w:tcBorders>
                  <w:noWrap/>
                  <w:vAlign w:val="center"/>
                </w:tcPr>
                <w:p w14:paraId="222D8D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rPr>
                    <w:t>循环氮压机</w:t>
                  </w:r>
                </w:p>
              </w:tc>
              <w:tc>
                <w:tcPr>
                  <w:tcW w:w="287" w:type="pct"/>
                  <w:tcBorders>
                    <w:tl2br w:val="nil"/>
                    <w:tr2bl w:val="nil"/>
                  </w:tcBorders>
                  <w:noWrap/>
                  <w:vAlign w:val="center"/>
                </w:tcPr>
                <w:p w14:paraId="325249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点源</w:t>
                  </w:r>
                </w:p>
              </w:tc>
              <w:tc>
                <w:tcPr>
                  <w:tcW w:w="390" w:type="pct"/>
                  <w:tcBorders>
                    <w:tl2br w:val="nil"/>
                    <w:tr2bl w:val="nil"/>
                  </w:tcBorders>
                  <w:noWrap/>
                  <w:vAlign w:val="center"/>
                </w:tcPr>
                <w:p w14:paraId="64BD2E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80/1</w:t>
                  </w:r>
                </w:p>
              </w:tc>
              <w:tc>
                <w:tcPr>
                  <w:tcW w:w="1124" w:type="pct"/>
                  <w:tcBorders>
                    <w:tl2br w:val="nil"/>
                    <w:tr2bl w:val="nil"/>
                  </w:tcBorders>
                  <w:noWrap/>
                  <w:vAlign w:val="center"/>
                </w:tcPr>
                <w:p w14:paraId="3B46B9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选用低噪声设备，基础减震，润滑保养，</w:t>
                  </w:r>
                  <w:r>
                    <w:rPr>
                      <w:rFonts w:hint="eastAsia" w:ascii="宋体" w:hAnsi="宋体" w:eastAsia="宋体" w:cs="宋体"/>
                      <w:color w:val="auto"/>
                      <w:kern w:val="0"/>
                      <w:sz w:val="21"/>
                      <w:szCs w:val="21"/>
                      <w:lang w:val="en-US" w:eastAsia="zh-CN" w:bidi="ar"/>
                    </w:rPr>
                    <w:t>管道包扎</w:t>
                  </w:r>
                  <w:r>
                    <w:rPr>
                      <w:rFonts w:hint="eastAsia" w:ascii="宋体" w:hAnsi="宋体" w:cs="宋体"/>
                      <w:color w:val="auto"/>
                      <w:kern w:val="0"/>
                      <w:sz w:val="21"/>
                      <w:szCs w:val="21"/>
                      <w:lang w:val="en-US" w:eastAsia="zh-CN" w:bidi="ar"/>
                    </w:rPr>
                    <w:t>隔声</w:t>
                  </w:r>
                  <w:r>
                    <w:rPr>
                      <w:rFonts w:hint="eastAsia" w:ascii="宋体" w:hAnsi="宋体" w:eastAsia="宋体" w:cs="宋体"/>
                      <w:color w:val="auto"/>
                      <w:kern w:val="0"/>
                      <w:sz w:val="21"/>
                      <w:szCs w:val="21"/>
                      <w:lang w:val="en-US" w:eastAsia="zh-CN" w:bidi="ar"/>
                    </w:rPr>
                    <w:t>材料，</w:t>
                  </w:r>
                  <w:r>
                    <w:rPr>
                      <w:rFonts w:hint="eastAsia" w:ascii="Times New Roman"/>
                      <w:color w:val="auto"/>
                      <w:sz w:val="21"/>
                      <w:szCs w:val="21"/>
                      <w:lang w:val="en-US" w:eastAsia="zh-CN"/>
                    </w:rPr>
                    <w:t>加大管道弯曲半径，以降低气流噪声，</w:t>
                  </w:r>
                  <w:r>
                    <w:rPr>
                      <w:rFonts w:hint="eastAsia" w:ascii="宋体" w:hAnsi="宋体" w:eastAsia="宋体" w:cs="宋体"/>
                      <w:color w:val="auto"/>
                      <w:kern w:val="0"/>
                      <w:sz w:val="21"/>
                      <w:szCs w:val="21"/>
                      <w:lang w:val="en-US" w:eastAsia="zh-CN" w:bidi="ar"/>
                    </w:rPr>
                    <w:t>放空口设消声器。</w:t>
                  </w:r>
                  <w:r>
                    <w:rPr>
                      <w:rFonts w:hint="eastAsia" w:ascii="Times New Roman" w:hAnsi="Times New Roman" w:eastAsia="宋体" w:cs="Times New Roman"/>
                      <w:color w:val="auto"/>
                      <w:kern w:val="0"/>
                      <w:sz w:val="21"/>
                      <w:szCs w:val="21"/>
                      <w:lang w:val="en-US" w:eastAsia="zh-CN" w:bidi="ar"/>
                    </w:rPr>
                    <w:t>设双层夹芯板材墙体隔声间，内衬多孔吸声材料。</w:t>
                  </w:r>
                </w:p>
              </w:tc>
              <w:tc>
                <w:tcPr>
                  <w:tcW w:w="239" w:type="pct"/>
                  <w:tcBorders>
                    <w:tl2br w:val="nil"/>
                    <w:tr2bl w:val="nil"/>
                  </w:tcBorders>
                  <w:noWrap/>
                  <w:vAlign w:val="center"/>
                </w:tcPr>
                <w:p w14:paraId="38E2B4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66</w:t>
                  </w:r>
                </w:p>
              </w:tc>
              <w:tc>
                <w:tcPr>
                  <w:tcW w:w="239" w:type="pct"/>
                  <w:tcBorders>
                    <w:tl2br w:val="nil"/>
                    <w:tr2bl w:val="nil"/>
                  </w:tcBorders>
                  <w:noWrap/>
                  <w:vAlign w:val="center"/>
                </w:tcPr>
                <w:p w14:paraId="540596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85</w:t>
                  </w:r>
                </w:p>
              </w:tc>
              <w:tc>
                <w:tcPr>
                  <w:tcW w:w="220" w:type="pct"/>
                  <w:tcBorders>
                    <w:tl2br w:val="nil"/>
                    <w:tr2bl w:val="nil"/>
                  </w:tcBorders>
                  <w:noWrap/>
                  <w:vAlign w:val="center"/>
                </w:tcPr>
                <w:p w14:paraId="4FC98B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257" w:type="pct"/>
                  <w:tcBorders>
                    <w:tl2br w:val="nil"/>
                    <w:tr2bl w:val="nil"/>
                  </w:tcBorders>
                  <w:noWrap/>
                  <w:vAlign w:val="center"/>
                </w:tcPr>
                <w:p w14:paraId="09365C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w:t>
                  </w:r>
                </w:p>
              </w:tc>
              <w:tc>
                <w:tcPr>
                  <w:tcW w:w="309" w:type="pct"/>
                  <w:tcBorders>
                    <w:tl2br w:val="nil"/>
                    <w:tr2bl w:val="nil"/>
                  </w:tcBorders>
                  <w:noWrap/>
                  <w:vAlign w:val="center"/>
                </w:tcPr>
                <w:p w14:paraId="655C2B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72</w:t>
                  </w:r>
                </w:p>
              </w:tc>
              <w:tc>
                <w:tcPr>
                  <w:tcW w:w="253" w:type="pct"/>
                  <w:tcBorders>
                    <w:tl2br w:val="nil"/>
                    <w:tr2bl w:val="nil"/>
                  </w:tcBorders>
                  <w:noWrap/>
                  <w:vAlign w:val="center"/>
                </w:tcPr>
                <w:p w14:paraId="56A244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稳定声源</w:t>
                  </w:r>
                </w:p>
              </w:tc>
              <w:tc>
                <w:tcPr>
                  <w:tcW w:w="320" w:type="pct"/>
                  <w:tcBorders>
                    <w:tl2br w:val="nil"/>
                    <w:tr2bl w:val="nil"/>
                  </w:tcBorders>
                  <w:noWrap/>
                  <w:vAlign w:val="center"/>
                </w:tcPr>
                <w:p w14:paraId="342FB7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w:t>
                  </w:r>
                </w:p>
              </w:tc>
              <w:tc>
                <w:tcPr>
                  <w:tcW w:w="320" w:type="pct"/>
                  <w:tcBorders>
                    <w:tl2br w:val="nil"/>
                    <w:tr2bl w:val="nil"/>
                  </w:tcBorders>
                  <w:noWrap/>
                  <w:vAlign w:val="center"/>
                </w:tcPr>
                <w:p w14:paraId="565706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57</w:t>
                  </w:r>
                </w:p>
              </w:tc>
              <w:tc>
                <w:tcPr>
                  <w:tcW w:w="315" w:type="pct"/>
                  <w:tcBorders>
                    <w:tl2br w:val="nil"/>
                    <w:tr2bl w:val="nil"/>
                  </w:tcBorders>
                  <w:noWrap/>
                  <w:vAlign w:val="center"/>
                </w:tcPr>
                <w:p w14:paraId="0C8DEF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r>
            <w:tr w14:paraId="2DA2D9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7" w:type="pct"/>
                  <w:tcBorders>
                    <w:tl2br w:val="nil"/>
                    <w:tr2bl w:val="nil"/>
                  </w:tcBorders>
                  <w:noWrap/>
                  <w:vAlign w:val="center"/>
                </w:tcPr>
                <w:p w14:paraId="73789E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olor w:val="auto"/>
                      <w:sz w:val="21"/>
                      <w:szCs w:val="21"/>
                      <w:lang w:eastAsia="zh-CN"/>
                    </w:rPr>
                  </w:pPr>
                  <w:r>
                    <w:rPr>
                      <w:rFonts w:hint="eastAsia" w:ascii="Times New Roman" w:hAnsi="Times New Roman"/>
                      <w:color w:val="auto"/>
                      <w:kern w:val="0"/>
                      <w:sz w:val="21"/>
                      <w:szCs w:val="21"/>
                      <w:lang w:val="en-US" w:eastAsia="zh-CN" w:bidi="ar"/>
                    </w:rPr>
                    <w:t>6</w:t>
                  </w:r>
                </w:p>
              </w:tc>
              <w:tc>
                <w:tcPr>
                  <w:tcW w:w="263" w:type="pct"/>
                  <w:vMerge w:val="restart"/>
                  <w:tcBorders>
                    <w:tl2br w:val="nil"/>
                    <w:tr2bl w:val="nil"/>
                  </w:tcBorders>
                  <w:noWrap/>
                  <w:vAlign w:val="center"/>
                </w:tcPr>
                <w:p w14:paraId="58EDBB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循环水泵房</w:t>
                  </w:r>
                </w:p>
              </w:tc>
              <w:tc>
                <w:tcPr>
                  <w:tcW w:w="320" w:type="pct"/>
                  <w:tcBorders>
                    <w:tl2br w:val="nil"/>
                    <w:tr2bl w:val="nil"/>
                  </w:tcBorders>
                  <w:noWrap/>
                  <w:vAlign w:val="center"/>
                </w:tcPr>
                <w:p w14:paraId="4909E2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循环水泵1</w:t>
                  </w:r>
                </w:p>
              </w:tc>
              <w:tc>
                <w:tcPr>
                  <w:tcW w:w="287" w:type="pct"/>
                  <w:tcBorders>
                    <w:tl2br w:val="nil"/>
                    <w:tr2bl w:val="nil"/>
                  </w:tcBorders>
                  <w:noWrap/>
                  <w:vAlign w:val="center"/>
                </w:tcPr>
                <w:p w14:paraId="1821AD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bidi="ar"/>
                    </w:rPr>
                    <w:t>点源</w:t>
                  </w:r>
                </w:p>
              </w:tc>
              <w:tc>
                <w:tcPr>
                  <w:tcW w:w="390" w:type="pct"/>
                  <w:tcBorders>
                    <w:tl2br w:val="nil"/>
                    <w:tr2bl w:val="nil"/>
                  </w:tcBorders>
                  <w:noWrap/>
                  <w:vAlign w:val="center"/>
                </w:tcPr>
                <w:p w14:paraId="045F44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70/1</w:t>
                  </w:r>
                </w:p>
              </w:tc>
              <w:tc>
                <w:tcPr>
                  <w:tcW w:w="1124" w:type="pct"/>
                  <w:vMerge w:val="restart"/>
                  <w:tcBorders>
                    <w:tl2br w:val="nil"/>
                    <w:tr2bl w:val="nil"/>
                  </w:tcBorders>
                  <w:noWrap/>
                  <w:vAlign w:val="center"/>
                </w:tcPr>
                <w:p w14:paraId="2F4536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选用低噪声设备，基础减震，润滑保养，设隔声罩，砖混结构墙体隔声间。</w:t>
                  </w:r>
                </w:p>
              </w:tc>
              <w:tc>
                <w:tcPr>
                  <w:tcW w:w="239" w:type="pct"/>
                  <w:tcBorders>
                    <w:tl2br w:val="nil"/>
                    <w:tr2bl w:val="nil"/>
                  </w:tcBorders>
                  <w:noWrap/>
                  <w:vAlign w:val="center"/>
                </w:tcPr>
                <w:p w14:paraId="53582C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70</w:t>
                  </w:r>
                </w:p>
              </w:tc>
              <w:tc>
                <w:tcPr>
                  <w:tcW w:w="239" w:type="pct"/>
                  <w:tcBorders>
                    <w:tl2br w:val="nil"/>
                    <w:tr2bl w:val="nil"/>
                  </w:tcBorders>
                  <w:noWrap/>
                  <w:vAlign w:val="center"/>
                </w:tcPr>
                <w:p w14:paraId="0EBB81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p>
              </w:tc>
              <w:tc>
                <w:tcPr>
                  <w:tcW w:w="220" w:type="pct"/>
                  <w:tcBorders>
                    <w:tl2br w:val="nil"/>
                    <w:tr2bl w:val="nil"/>
                  </w:tcBorders>
                  <w:noWrap/>
                  <w:vAlign w:val="center"/>
                </w:tcPr>
                <w:p w14:paraId="0E1BF5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257" w:type="pct"/>
                  <w:tcBorders>
                    <w:tl2br w:val="nil"/>
                    <w:tr2bl w:val="nil"/>
                  </w:tcBorders>
                  <w:noWrap/>
                  <w:vAlign w:val="center"/>
                </w:tcPr>
                <w:p w14:paraId="758530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w:t>
                  </w:r>
                </w:p>
              </w:tc>
              <w:tc>
                <w:tcPr>
                  <w:tcW w:w="309" w:type="pct"/>
                  <w:tcBorders>
                    <w:tl2br w:val="nil"/>
                    <w:tr2bl w:val="nil"/>
                  </w:tcBorders>
                  <w:noWrap/>
                  <w:vAlign w:val="center"/>
                </w:tcPr>
                <w:p w14:paraId="0BE4A0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63</w:t>
                  </w:r>
                </w:p>
              </w:tc>
              <w:tc>
                <w:tcPr>
                  <w:tcW w:w="253" w:type="pct"/>
                  <w:vMerge w:val="restart"/>
                  <w:tcBorders>
                    <w:tl2br w:val="nil"/>
                    <w:tr2bl w:val="nil"/>
                  </w:tcBorders>
                  <w:noWrap/>
                  <w:vAlign w:val="center"/>
                </w:tcPr>
                <w:p w14:paraId="5A4C9D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稳定声源</w:t>
                  </w:r>
                </w:p>
              </w:tc>
              <w:tc>
                <w:tcPr>
                  <w:tcW w:w="320" w:type="pct"/>
                  <w:tcBorders>
                    <w:tl2br w:val="nil"/>
                    <w:tr2bl w:val="nil"/>
                  </w:tcBorders>
                  <w:noWrap/>
                  <w:vAlign w:val="center"/>
                </w:tcPr>
                <w:p w14:paraId="2728BB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w:t>
                  </w:r>
                </w:p>
              </w:tc>
              <w:tc>
                <w:tcPr>
                  <w:tcW w:w="320" w:type="pct"/>
                  <w:tcBorders>
                    <w:tl2br w:val="nil"/>
                    <w:tr2bl w:val="nil"/>
                  </w:tcBorders>
                  <w:noWrap/>
                  <w:vAlign w:val="center"/>
                </w:tcPr>
                <w:p w14:paraId="56E0F1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48</w:t>
                  </w:r>
                </w:p>
              </w:tc>
              <w:tc>
                <w:tcPr>
                  <w:tcW w:w="315" w:type="pct"/>
                  <w:tcBorders>
                    <w:tl2br w:val="nil"/>
                    <w:tr2bl w:val="nil"/>
                  </w:tcBorders>
                  <w:noWrap/>
                  <w:vAlign w:val="center"/>
                </w:tcPr>
                <w:p w14:paraId="25F2CC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r>
            <w:tr w14:paraId="5FC12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37" w:type="pct"/>
                  <w:tcBorders>
                    <w:tl2br w:val="nil"/>
                    <w:tr2bl w:val="nil"/>
                  </w:tcBorders>
                  <w:noWrap/>
                  <w:vAlign w:val="center"/>
                </w:tcPr>
                <w:p w14:paraId="3F8686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7</w:t>
                  </w:r>
                </w:p>
              </w:tc>
              <w:tc>
                <w:tcPr>
                  <w:tcW w:w="263" w:type="pct"/>
                  <w:vMerge w:val="continue"/>
                  <w:tcBorders>
                    <w:tl2br w:val="nil"/>
                    <w:tr2bl w:val="nil"/>
                  </w:tcBorders>
                  <w:noWrap/>
                  <w:vAlign w:val="center"/>
                </w:tcPr>
                <w:p w14:paraId="132535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c>
                <w:tcPr>
                  <w:tcW w:w="320" w:type="pct"/>
                  <w:tcBorders>
                    <w:tl2br w:val="nil"/>
                    <w:tr2bl w:val="nil"/>
                  </w:tcBorders>
                  <w:shd w:val="clear" w:color="auto" w:fill="auto"/>
                  <w:noWrap/>
                  <w:vAlign w:val="center"/>
                </w:tcPr>
                <w:p w14:paraId="75DB46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循环水泵2</w:t>
                  </w:r>
                </w:p>
              </w:tc>
              <w:tc>
                <w:tcPr>
                  <w:tcW w:w="287" w:type="pct"/>
                  <w:tcBorders>
                    <w:tl2br w:val="nil"/>
                    <w:tr2bl w:val="nil"/>
                  </w:tcBorders>
                  <w:shd w:val="clear" w:color="auto" w:fill="auto"/>
                  <w:noWrap/>
                  <w:vAlign w:val="center"/>
                </w:tcPr>
                <w:p w14:paraId="675964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点源</w:t>
                  </w:r>
                </w:p>
              </w:tc>
              <w:tc>
                <w:tcPr>
                  <w:tcW w:w="390" w:type="pct"/>
                  <w:tcBorders>
                    <w:tl2br w:val="nil"/>
                    <w:tr2bl w:val="nil"/>
                  </w:tcBorders>
                  <w:shd w:val="clear" w:color="auto" w:fill="auto"/>
                  <w:noWrap/>
                  <w:vAlign w:val="center"/>
                </w:tcPr>
                <w:p w14:paraId="235438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70/1</w:t>
                  </w:r>
                </w:p>
              </w:tc>
              <w:tc>
                <w:tcPr>
                  <w:tcW w:w="1124" w:type="pct"/>
                  <w:vMerge w:val="continue"/>
                  <w:tcBorders>
                    <w:tl2br w:val="nil"/>
                    <w:tr2bl w:val="nil"/>
                  </w:tcBorders>
                  <w:noWrap/>
                  <w:vAlign w:val="center"/>
                </w:tcPr>
                <w:p w14:paraId="206902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c>
                <w:tcPr>
                  <w:tcW w:w="239" w:type="pct"/>
                  <w:tcBorders>
                    <w:tl2br w:val="nil"/>
                    <w:tr2bl w:val="nil"/>
                  </w:tcBorders>
                  <w:noWrap/>
                  <w:vAlign w:val="center"/>
                </w:tcPr>
                <w:p w14:paraId="304A75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70</w:t>
                  </w:r>
                </w:p>
              </w:tc>
              <w:tc>
                <w:tcPr>
                  <w:tcW w:w="239" w:type="pct"/>
                  <w:tcBorders>
                    <w:tl2br w:val="nil"/>
                    <w:tr2bl w:val="nil"/>
                  </w:tcBorders>
                  <w:noWrap/>
                  <w:vAlign w:val="center"/>
                </w:tcPr>
                <w:p w14:paraId="7CD642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w:t>
                  </w:r>
                </w:p>
              </w:tc>
              <w:tc>
                <w:tcPr>
                  <w:tcW w:w="220" w:type="pct"/>
                  <w:tcBorders>
                    <w:tl2br w:val="nil"/>
                    <w:tr2bl w:val="nil"/>
                  </w:tcBorders>
                  <w:noWrap/>
                  <w:vAlign w:val="center"/>
                </w:tcPr>
                <w:p w14:paraId="566F48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257" w:type="pct"/>
                  <w:tcBorders>
                    <w:tl2br w:val="nil"/>
                    <w:tr2bl w:val="nil"/>
                  </w:tcBorders>
                  <w:noWrap/>
                  <w:vAlign w:val="center"/>
                </w:tcPr>
                <w:p w14:paraId="04ABD2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w:t>
                  </w:r>
                </w:p>
              </w:tc>
              <w:tc>
                <w:tcPr>
                  <w:tcW w:w="309" w:type="pct"/>
                  <w:tcBorders>
                    <w:tl2br w:val="nil"/>
                    <w:tr2bl w:val="nil"/>
                  </w:tcBorders>
                  <w:noWrap/>
                  <w:vAlign w:val="center"/>
                </w:tcPr>
                <w:p w14:paraId="5B23B4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63</w:t>
                  </w:r>
                </w:p>
              </w:tc>
              <w:tc>
                <w:tcPr>
                  <w:tcW w:w="253" w:type="pct"/>
                  <w:vMerge w:val="continue"/>
                  <w:tcBorders>
                    <w:tl2br w:val="nil"/>
                    <w:tr2bl w:val="nil"/>
                  </w:tcBorders>
                  <w:noWrap/>
                  <w:vAlign w:val="center"/>
                </w:tcPr>
                <w:p w14:paraId="0BDF37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c>
                <w:tcPr>
                  <w:tcW w:w="320" w:type="pct"/>
                  <w:tcBorders>
                    <w:tl2br w:val="nil"/>
                    <w:tr2bl w:val="nil"/>
                  </w:tcBorders>
                  <w:noWrap/>
                  <w:vAlign w:val="center"/>
                </w:tcPr>
                <w:p w14:paraId="22AC77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w:t>
                  </w:r>
                </w:p>
              </w:tc>
              <w:tc>
                <w:tcPr>
                  <w:tcW w:w="320" w:type="pct"/>
                  <w:tcBorders>
                    <w:tl2br w:val="nil"/>
                    <w:tr2bl w:val="nil"/>
                  </w:tcBorders>
                  <w:noWrap/>
                  <w:vAlign w:val="center"/>
                </w:tcPr>
                <w:p w14:paraId="3E6796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48</w:t>
                  </w:r>
                </w:p>
              </w:tc>
              <w:tc>
                <w:tcPr>
                  <w:tcW w:w="315" w:type="pct"/>
                  <w:tcBorders>
                    <w:tl2br w:val="nil"/>
                    <w:tr2bl w:val="nil"/>
                  </w:tcBorders>
                  <w:noWrap/>
                  <w:vAlign w:val="center"/>
                </w:tcPr>
                <w:p w14:paraId="7F33B1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r>
            <w:tr w14:paraId="42C6F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 w:type="pct"/>
                  <w:tcBorders>
                    <w:tl2br w:val="nil"/>
                    <w:tr2bl w:val="nil"/>
                  </w:tcBorders>
                  <w:noWrap/>
                  <w:vAlign w:val="center"/>
                </w:tcPr>
                <w:p w14:paraId="4F69C3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8</w:t>
                  </w:r>
                </w:p>
              </w:tc>
              <w:tc>
                <w:tcPr>
                  <w:tcW w:w="263" w:type="pct"/>
                  <w:vMerge w:val="continue"/>
                  <w:tcBorders>
                    <w:tl2br w:val="nil"/>
                    <w:tr2bl w:val="nil"/>
                  </w:tcBorders>
                  <w:noWrap/>
                  <w:vAlign w:val="center"/>
                </w:tcPr>
                <w:p w14:paraId="3D3DD3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0"/>
                      <w:sz w:val="21"/>
                      <w:szCs w:val="21"/>
                      <w:lang w:bidi="ar"/>
                    </w:rPr>
                  </w:pPr>
                </w:p>
              </w:tc>
              <w:tc>
                <w:tcPr>
                  <w:tcW w:w="320" w:type="pct"/>
                  <w:tcBorders>
                    <w:tl2br w:val="nil"/>
                    <w:tr2bl w:val="nil"/>
                  </w:tcBorders>
                  <w:shd w:val="clear" w:color="auto" w:fill="auto"/>
                  <w:noWrap/>
                  <w:vAlign w:val="center"/>
                </w:tcPr>
                <w:p w14:paraId="4BCD80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循环水泵3</w:t>
                  </w:r>
                </w:p>
              </w:tc>
              <w:tc>
                <w:tcPr>
                  <w:tcW w:w="287" w:type="pct"/>
                  <w:tcBorders>
                    <w:tl2br w:val="nil"/>
                    <w:tr2bl w:val="nil"/>
                  </w:tcBorders>
                  <w:shd w:val="clear" w:color="auto" w:fill="auto"/>
                  <w:noWrap/>
                  <w:vAlign w:val="center"/>
                </w:tcPr>
                <w:p w14:paraId="33AE1F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点源</w:t>
                  </w:r>
                </w:p>
              </w:tc>
              <w:tc>
                <w:tcPr>
                  <w:tcW w:w="390" w:type="pct"/>
                  <w:tcBorders>
                    <w:tl2br w:val="nil"/>
                    <w:tr2bl w:val="nil"/>
                  </w:tcBorders>
                  <w:shd w:val="clear" w:color="auto" w:fill="auto"/>
                  <w:noWrap/>
                  <w:vAlign w:val="center"/>
                </w:tcPr>
                <w:p w14:paraId="390FDA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70/1</w:t>
                  </w:r>
                </w:p>
              </w:tc>
              <w:tc>
                <w:tcPr>
                  <w:tcW w:w="1124" w:type="pct"/>
                  <w:vMerge w:val="continue"/>
                  <w:tcBorders>
                    <w:tl2br w:val="nil"/>
                    <w:tr2bl w:val="nil"/>
                  </w:tcBorders>
                  <w:noWrap/>
                  <w:vAlign w:val="center"/>
                </w:tcPr>
                <w:p w14:paraId="431D5D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2"/>
                      <w:sz w:val="21"/>
                      <w:szCs w:val="21"/>
                      <w:lang w:val="en-US" w:eastAsia="zh-CN" w:bidi="ar-SA"/>
                    </w:rPr>
                  </w:pPr>
                </w:p>
              </w:tc>
              <w:tc>
                <w:tcPr>
                  <w:tcW w:w="239" w:type="pct"/>
                  <w:tcBorders>
                    <w:tl2br w:val="nil"/>
                    <w:tr2bl w:val="nil"/>
                  </w:tcBorders>
                  <w:noWrap/>
                  <w:vAlign w:val="center"/>
                </w:tcPr>
                <w:p w14:paraId="1A706F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70</w:t>
                  </w:r>
                </w:p>
              </w:tc>
              <w:tc>
                <w:tcPr>
                  <w:tcW w:w="239" w:type="pct"/>
                  <w:tcBorders>
                    <w:tl2br w:val="nil"/>
                    <w:tr2bl w:val="nil"/>
                  </w:tcBorders>
                  <w:noWrap/>
                  <w:vAlign w:val="center"/>
                </w:tcPr>
                <w:p w14:paraId="7459AC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5</w:t>
                  </w:r>
                </w:p>
              </w:tc>
              <w:tc>
                <w:tcPr>
                  <w:tcW w:w="220" w:type="pct"/>
                  <w:tcBorders>
                    <w:tl2br w:val="nil"/>
                    <w:tr2bl w:val="nil"/>
                  </w:tcBorders>
                  <w:noWrap/>
                  <w:vAlign w:val="center"/>
                </w:tcPr>
                <w:p w14:paraId="6C96EB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257" w:type="pct"/>
                  <w:tcBorders>
                    <w:tl2br w:val="nil"/>
                    <w:tr2bl w:val="nil"/>
                  </w:tcBorders>
                  <w:noWrap/>
                  <w:vAlign w:val="center"/>
                </w:tcPr>
                <w:p w14:paraId="352A6F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w:t>
                  </w:r>
                </w:p>
              </w:tc>
              <w:tc>
                <w:tcPr>
                  <w:tcW w:w="309" w:type="pct"/>
                  <w:tcBorders>
                    <w:tl2br w:val="nil"/>
                    <w:tr2bl w:val="nil"/>
                  </w:tcBorders>
                  <w:noWrap/>
                  <w:vAlign w:val="center"/>
                </w:tcPr>
                <w:p w14:paraId="69E122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63</w:t>
                  </w:r>
                </w:p>
              </w:tc>
              <w:tc>
                <w:tcPr>
                  <w:tcW w:w="253" w:type="pct"/>
                  <w:vMerge w:val="continue"/>
                  <w:tcBorders>
                    <w:tl2br w:val="nil"/>
                    <w:tr2bl w:val="nil"/>
                  </w:tcBorders>
                  <w:noWrap/>
                  <w:vAlign w:val="center"/>
                </w:tcPr>
                <w:p w14:paraId="73B62D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p>
              </w:tc>
              <w:tc>
                <w:tcPr>
                  <w:tcW w:w="320" w:type="pct"/>
                  <w:tcBorders>
                    <w:tl2br w:val="nil"/>
                    <w:tr2bl w:val="nil"/>
                  </w:tcBorders>
                  <w:noWrap/>
                  <w:vAlign w:val="center"/>
                </w:tcPr>
                <w:p w14:paraId="477051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w:t>
                  </w:r>
                </w:p>
              </w:tc>
              <w:tc>
                <w:tcPr>
                  <w:tcW w:w="320" w:type="pct"/>
                  <w:tcBorders>
                    <w:tl2br w:val="nil"/>
                    <w:tr2bl w:val="nil"/>
                  </w:tcBorders>
                  <w:noWrap/>
                  <w:vAlign w:val="center"/>
                </w:tcPr>
                <w:p w14:paraId="44CE25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48</w:t>
                  </w:r>
                </w:p>
              </w:tc>
              <w:tc>
                <w:tcPr>
                  <w:tcW w:w="315" w:type="pct"/>
                  <w:tcBorders>
                    <w:tl2br w:val="nil"/>
                    <w:tr2bl w:val="nil"/>
                  </w:tcBorders>
                  <w:noWrap/>
                  <w:vAlign w:val="center"/>
                </w:tcPr>
                <w:p w14:paraId="0A71FE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r>
            <w:tr w14:paraId="171140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15"/>
                  <w:tcBorders>
                    <w:tl2br w:val="nil"/>
                    <w:tr2bl w:val="nil"/>
                  </w:tcBorders>
                  <w:noWrap/>
                  <w:vAlign w:val="center"/>
                </w:tcPr>
                <w:p w14:paraId="16EA481E">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bCs/>
                      <w:color w:val="auto"/>
                      <w:sz w:val="21"/>
                      <w:szCs w:val="18"/>
                    </w:rPr>
                    <w:t>注：</w:t>
                  </w:r>
                  <w:r>
                    <w:rPr>
                      <w:rFonts w:ascii="Times New Roman" w:hAnsi="Times New Roman"/>
                      <w:bCs/>
                      <w:color w:val="auto"/>
                      <w:sz w:val="21"/>
                      <w:szCs w:val="18"/>
                    </w:rPr>
                    <w:t>表中坐标以</w:t>
                  </w:r>
                  <w:r>
                    <w:rPr>
                      <w:rFonts w:hint="eastAsia" w:ascii="Times New Roman" w:hAnsi="Times New Roman"/>
                      <w:bCs/>
                      <w:color w:val="auto"/>
                      <w:sz w:val="21"/>
                      <w:szCs w:val="18"/>
                      <w:lang w:val="en-US" w:eastAsia="zh-CN"/>
                    </w:rPr>
                    <w:t>空分区域</w:t>
                  </w:r>
                  <w:r>
                    <w:rPr>
                      <w:rFonts w:hint="eastAsia"/>
                      <w:bCs/>
                      <w:color w:val="auto"/>
                      <w:sz w:val="21"/>
                      <w:szCs w:val="18"/>
                      <w:lang w:val="en-US" w:eastAsia="zh-CN"/>
                    </w:rPr>
                    <w:t>西南</w:t>
                  </w:r>
                  <w:r>
                    <w:rPr>
                      <w:rFonts w:hint="eastAsia"/>
                      <w:bCs/>
                      <w:color w:val="auto"/>
                      <w:sz w:val="21"/>
                      <w:szCs w:val="18"/>
                    </w:rPr>
                    <w:t>角</w:t>
                  </w:r>
                  <w:r>
                    <w:rPr>
                      <w:rFonts w:hint="default" w:ascii="Times New Roman" w:hAnsi="Times New Roman" w:cs="Times New Roman"/>
                      <w:bCs/>
                      <w:color w:val="auto"/>
                      <w:sz w:val="21"/>
                      <w:szCs w:val="18"/>
                    </w:rPr>
                    <w:t>（107.227529°</w:t>
                  </w:r>
                  <w:r>
                    <w:rPr>
                      <w:rFonts w:hint="eastAsia" w:ascii="Times New Roman" w:hAnsi="Times New Roman" w:cs="Times New Roman"/>
                      <w:bCs/>
                      <w:color w:val="auto"/>
                      <w:sz w:val="21"/>
                      <w:szCs w:val="18"/>
                      <w:lang w:eastAsia="zh-CN"/>
                    </w:rPr>
                    <w:t>，34.488647</w:t>
                  </w:r>
                  <w:r>
                    <w:rPr>
                      <w:rFonts w:hint="eastAsia" w:ascii="Times New Roman" w:hAnsi="Times New Roman" w:cs="Times New Roman"/>
                      <w:bCs/>
                      <w:color w:val="auto"/>
                      <w:sz w:val="21"/>
                      <w:szCs w:val="18"/>
                      <w:lang w:val="en-US" w:eastAsia="zh-CN"/>
                    </w:rPr>
                    <w:t>°</w:t>
                  </w:r>
                  <w:r>
                    <w:rPr>
                      <w:rFonts w:hint="default" w:ascii="Times New Roman" w:hAnsi="Times New Roman" w:cs="Times New Roman"/>
                      <w:bCs/>
                      <w:color w:val="auto"/>
                      <w:sz w:val="21"/>
                      <w:szCs w:val="18"/>
                    </w:rPr>
                    <w:t>）</w:t>
                  </w:r>
                  <w:r>
                    <w:rPr>
                      <w:rFonts w:ascii="Times New Roman" w:hAnsi="Times New Roman"/>
                      <w:bCs/>
                      <w:color w:val="auto"/>
                      <w:sz w:val="21"/>
                      <w:szCs w:val="18"/>
                    </w:rPr>
                    <w:t>为坐标原点，</w:t>
                  </w:r>
                  <w:r>
                    <w:rPr>
                      <w:rFonts w:hint="eastAsia" w:ascii="Times New Roman" w:hAnsi="Times New Roman"/>
                      <w:bCs/>
                      <w:color w:val="auto"/>
                      <w:sz w:val="21"/>
                      <w:szCs w:val="18"/>
                      <w:lang w:val="en-US" w:eastAsia="zh-CN"/>
                    </w:rPr>
                    <w:t>东北向</w:t>
                  </w:r>
                  <w:r>
                    <w:rPr>
                      <w:rFonts w:ascii="Times New Roman" w:hAnsi="Times New Roman"/>
                      <w:bCs/>
                      <w:color w:val="auto"/>
                      <w:sz w:val="21"/>
                      <w:szCs w:val="18"/>
                    </w:rPr>
                    <w:t>为X轴正方向，</w:t>
                  </w:r>
                  <w:r>
                    <w:rPr>
                      <w:rFonts w:hint="eastAsia" w:ascii="Times New Roman" w:hAnsi="Times New Roman"/>
                      <w:bCs/>
                      <w:color w:val="auto"/>
                      <w:sz w:val="21"/>
                      <w:szCs w:val="18"/>
                      <w:lang w:val="en-US" w:eastAsia="zh-CN"/>
                    </w:rPr>
                    <w:t>西</w:t>
                  </w:r>
                  <w:r>
                    <w:rPr>
                      <w:rFonts w:ascii="Times New Roman" w:hAnsi="Times New Roman"/>
                      <w:bCs/>
                      <w:color w:val="auto"/>
                      <w:sz w:val="21"/>
                      <w:szCs w:val="18"/>
                    </w:rPr>
                    <w:t>北向为Y轴正方向</w:t>
                  </w:r>
                  <w:r>
                    <w:rPr>
                      <w:rFonts w:hint="eastAsia" w:ascii="Times New Roman" w:hAnsi="Times New Roman"/>
                      <w:bCs/>
                      <w:color w:val="auto"/>
                      <w:sz w:val="21"/>
                      <w:szCs w:val="18"/>
                    </w:rPr>
                    <w:t>。</w:t>
                  </w:r>
                </w:p>
              </w:tc>
            </w:tr>
          </w:tbl>
          <w:p w14:paraId="142D4C02">
            <w:pPr>
              <w:pStyle w:val="85"/>
              <w:bidi w:val="0"/>
              <w:spacing w:line="240" w:lineRule="auto"/>
              <w:rPr>
                <w:color w:val="auto"/>
                <w:sz w:val="21"/>
                <w:szCs w:val="21"/>
              </w:rPr>
            </w:pPr>
            <w:r>
              <w:rPr>
                <w:rFonts w:hint="eastAsia"/>
                <w:color w:val="auto"/>
                <w:sz w:val="21"/>
                <w:szCs w:val="21"/>
              </w:rPr>
              <w:t>表4-</w:t>
            </w:r>
            <w:r>
              <w:rPr>
                <w:rFonts w:hint="eastAsia"/>
                <w:color w:val="auto"/>
                <w:sz w:val="21"/>
                <w:szCs w:val="21"/>
                <w:lang w:val="en-US" w:eastAsia="zh-CN"/>
              </w:rPr>
              <w:t>14</w:t>
            </w:r>
            <w:r>
              <w:rPr>
                <w:rFonts w:hint="eastAsia"/>
                <w:color w:val="auto"/>
                <w:sz w:val="21"/>
                <w:szCs w:val="21"/>
              </w:rPr>
              <w:t xml:space="preserve">   工业企业噪声源</w:t>
            </w:r>
            <w:r>
              <w:rPr>
                <w:rFonts w:hint="eastAsia"/>
                <w:color w:val="auto"/>
                <w:sz w:val="21"/>
                <w:szCs w:val="21"/>
                <w:lang w:val="en-US" w:eastAsia="zh-CN"/>
              </w:rPr>
              <w:t>源</w:t>
            </w:r>
            <w:r>
              <w:rPr>
                <w:rFonts w:hint="eastAsia"/>
                <w:color w:val="auto"/>
                <w:sz w:val="21"/>
                <w:szCs w:val="21"/>
              </w:rPr>
              <w:t>强调查清单（室外声源）</w:t>
            </w:r>
          </w:p>
          <w:tbl>
            <w:tblPr>
              <w:tblStyle w:val="30"/>
              <w:tblW w:w="13628" w:type="dxa"/>
              <w:tblInd w:w="-5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0"/>
              <w:gridCol w:w="2080"/>
              <w:gridCol w:w="810"/>
              <w:gridCol w:w="767"/>
              <w:gridCol w:w="818"/>
              <w:gridCol w:w="775"/>
              <w:gridCol w:w="1353"/>
              <w:gridCol w:w="5260"/>
              <w:gridCol w:w="1205"/>
            </w:tblGrid>
            <w:tr w14:paraId="46796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05" w:type="pct"/>
                  <w:vMerge w:val="restart"/>
                  <w:tcBorders>
                    <w:tl2br w:val="nil"/>
                    <w:tr2bl w:val="nil"/>
                  </w:tcBorders>
                  <w:noWrap/>
                  <w:vAlign w:val="center"/>
                </w:tcPr>
                <w:p w14:paraId="4CEC72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序号</w:t>
                  </w:r>
                </w:p>
              </w:tc>
              <w:tc>
                <w:tcPr>
                  <w:tcW w:w="763" w:type="pct"/>
                  <w:vMerge w:val="restart"/>
                  <w:tcBorders>
                    <w:tl2br w:val="nil"/>
                    <w:tr2bl w:val="nil"/>
                  </w:tcBorders>
                  <w:noWrap/>
                  <w:vAlign w:val="center"/>
                </w:tcPr>
                <w:p w14:paraId="684F9E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声源名称</w:t>
                  </w:r>
                </w:p>
              </w:tc>
              <w:tc>
                <w:tcPr>
                  <w:tcW w:w="297" w:type="pct"/>
                  <w:vMerge w:val="restart"/>
                  <w:tcBorders>
                    <w:tl2br w:val="nil"/>
                    <w:tr2bl w:val="nil"/>
                  </w:tcBorders>
                  <w:noWrap/>
                  <w:vAlign w:val="center"/>
                </w:tcPr>
                <w:p w14:paraId="06E8CE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型号</w:t>
                  </w:r>
                </w:p>
              </w:tc>
              <w:tc>
                <w:tcPr>
                  <w:tcW w:w="865" w:type="pct"/>
                  <w:gridSpan w:val="3"/>
                  <w:tcBorders>
                    <w:tl2br w:val="nil"/>
                    <w:tr2bl w:val="nil"/>
                  </w:tcBorders>
                  <w:noWrap/>
                  <w:vAlign w:val="center"/>
                </w:tcPr>
                <w:p w14:paraId="42263A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空间相对位置</w:t>
                  </w:r>
                  <w:r>
                    <w:rPr>
                      <w:rStyle w:val="105"/>
                      <w:color w:val="auto"/>
                      <w:sz w:val="21"/>
                      <w:szCs w:val="21"/>
                      <w:lang w:bidi="ar"/>
                    </w:rPr>
                    <w:t>/m</w:t>
                  </w:r>
                </w:p>
              </w:tc>
              <w:tc>
                <w:tcPr>
                  <w:tcW w:w="496" w:type="pct"/>
                  <w:tcBorders>
                    <w:tl2br w:val="nil"/>
                    <w:tr2bl w:val="nil"/>
                  </w:tcBorders>
                  <w:noWrap/>
                  <w:vAlign w:val="center"/>
                </w:tcPr>
                <w:p w14:paraId="5A5CD7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kern w:val="0"/>
                      <w:sz w:val="21"/>
                      <w:szCs w:val="21"/>
                      <w:lang w:bidi="ar"/>
                    </w:rPr>
                  </w:pPr>
                  <w:r>
                    <w:rPr>
                      <w:rFonts w:ascii="Times New Roman" w:hAnsi="Times New Roman"/>
                      <w:b/>
                      <w:bCs/>
                      <w:color w:val="auto"/>
                      <w:kern w:val="0"/>
                      <w:sz w:val="21"/>
                      <w:szCs w:val="21"/>
                      <w:lang w:bidi="ar"/>
                    </w:rPr>
                    <w:t>声源源强</w:t>
                  </w:r>
                </w:p>
              </w:tc>
              <w:tc>
                <w:tcPr>
                  <w:tcW w:w="1929" w:type="pct"/>
                  <w:vMerge w:val="restart"/>
                  <w:tcBorders>
                    <w:tl2br w:val="nil"/>
                    <w:tr2bl w:val="nil"/>
                  </w:tcBorders>
                  <w:noWrap/>
                  <w:vAlign w:val="center"/>
                </w:tcPr>
                <w:p w14:paraId="1CEB83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声源控制措施</w:t>
                  </w:r>
                </w:p>
              </w:tc>
              <w:tc>
                <w:tcPr>
                  <w:tcW w:w="442" w:type="pct"/>
                  <w:vMerge w:val="restart"/>
                  <w:tcBorders>
                    <w:tl2br w:val="nil"/>
                    <w:tr2bl w:val="nil"/>
                  </w:tcBorders>
                  <w:noWrap/>
                  <w:vAlign w:val="center"/>
                </w:tcPr>
                <w:p w14:paraId="566503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运行时段</w:t>
                  </w:r>
                </w:p>
              </w:tc>
            </w:tr>
            <w:tr w14:paraId="5B1F4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05" w:type="pct"/>
                  <w:vMerge w:val="continue"/>
                  <w:tcBorders>
                    <w:tl2br w:val="nil"/>
                    <w:tr2bl w:val="nil"/>
                  </w:tcBorders>
                  <w:noWrap/>
                  <w:vAlign w:val="center"/>
                </w:tcPr>
                <w:p w14:paraId="17191434">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b/>
                      <w:bCs/>
                      <w:color w:val="auto"/>
                      <w:sz w:val="21"/>
                      <w:szCs w:val="21"/>
                    </w:rPr>
                  </w:pPr>
                </w:p>
              </w:tc>
              <w:tc>
                <w:tcPr>
                  <w:tcW w:w="763" w:type="pct"/>
                  <w:vMerge w:val="continue"/>
                  <w:tcBorders>
                    <w:tl2br w:val="nil"/>
                    <w:tr2bl w:val="nil"/>
                  </w:tcBorders>
                  <w:noWrap/>
                  <w:vAlign w:val="center"/>
                </w:tcPr>
                <w:p w14:paraId="66341958">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b/>
                      <w:bCs/>
                      <w:color w:val="auto"/>
                      <w:sz w:val="21"/>
                      <w:szCs w:val="21"/>
                    </w:rPr>
                  </w:pPr>
                </w:p>
              </w:tc>
              <w:tc>
                <w:tcPr>
                  <w:tcW w:w="297" w:type="pct"/>
                  <w:vMerge w:val="continue"/>
                  <w:tcBorders>
                    <w:tl2br w:val="nil"/>
                    <w:tr2bl w:val="nil"/>
                  </w:tcBorders>
                  <w:noWrap/>
                  <w:vAlign w:val="center"/>
                </w:tcPr>
                <w:p w14:paraId="084BCFB6">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b/>
                      <w:bCs/>
                      <w:color w:val="auto"/>
                      <w:sz w:val="21"/>
                      <w:szCs w:val="21"/>
                    </w:rPr>
                  </w:pPr>
                </w:p>
              </w:tc>
              <w:tc>
                <w:tcPr>
                  <w:tcW w:w="281" w:type="pct"/>
                  <w:tcBorders>
                    <w:tl2br w:val="nil"/>
                    <w:tr2bl w:val="nil"/>
                  </w:tcBorders>
                  <w:noWrap/>
                  <w:vAlign w:val="center"/>
                </w:tcPr>
                <w:p w14:paraId="4C86A2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X</w:t>
                  </w:r>
                </w:p>
              </w:tc>
              <w:tc>
                <w:tcPr>
                  <w:tcW w:w="300" w:type="pct"/>
                  <w:tcBorders>
                    <w:tl2br w:val="nil"/>
                    <w:tr2bl w:val="nil"/>
                  </w:tcBorders>
                  <w:noWrap/>
                  <w:vAlign w:val="center"/>
                </w:tcPr>
                <w:p w14:paraId="54B710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Y</w:t>
                  </w:r>
                </w:p>
              </w:tc>
              <w:tc>
                <w:tcPr>
                  <w:tcW w:w="284" w:type="pct"/>
                  <w:tcBorders>
                    <w:tl2br w:val="nil"/>
                    <w:tr2bl w:val="nil"/>
                  </w:tcBorders>
                  <w:noWrap/>
                  <w:vAlign w:val="center"/>
                </w:tcPr>
                <w:p w14:paraId="746D94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ascii="Times New Roman" w:hAnsi="Times New Roman"/>
                      <w:b/>
                      <w:bCs/>
                      <w:color w:val="auto"/>
                      <w:kern w:val="0"/>
                      <w:sz w:val="21"/>
                      <w:szCs w:val="21"/>
                      <w:lang w:bidi="ar"/>
                    </w:rPr>
                    <w:t>Z</w:t>
                  </w:r>
                </w:p>
              </w:tc>
              <w:tc>
                <w:tcPr>
                  <w:tcW w:w="496" w:type="pct"/>
                  <w:tcBorders>
                    <w:tl2br w:val="nil"/>
                    <w:tr2bl w:val="nil"/>
                  </w:tcBorders>
                  <w:noWrap/>
                  <w:vAlign w:val="center"/>
                </w:tcPr>
                <w:p w14:paraId="777AC5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b/>
                      <w:bCs/>
                      <w:color w:val="auto"/>
                      <w:sz w:val="21"/>
                      <w:szCs w:val="21"/>
                    </w:rPr>
                  </w:pPr>
                  <w:r>
                    <w:rPr>
                      <w:rFonts w:hint="eastAsia"/>
                      <w:b/>
                      <w:bCs/>
                      <w:color w:val="auto"/>
                      <w:kern w:val="0"/>
                      <w:sz w:val="21"/>
                      <w:szCs w:val="21"/>
                      <w:lang w:bidi="ar"/>
                    </w:rPr>
                    <w:t>声压级</w:t>
                  </w:r>
                  <w:r>
                    <w:rPr>
                      <w:rStyle w:val="105"/>
                      <w:color w:val="auto"/>
                      <w:sz w:val="21"/>
                      <w:szCs w:val="21"/>
                      <w:lang w:bidi="ar"/>
                    </w:rPr>
                    <w:t>/</w:t>
                  </w:r>
                  <w:r>
                    <w:rPr>
                      <w:rStyle w:val="105"/>
                      <w:rFonts w:hint="eastAsia"/>
                      <w:color w:val="auto"/>
                      <w:sz w:val="21"/>
                      <w:szCs w:val="21"/>
                      <w:lang w:bidi="ar"/>
                    </w:rPr>
                    <w:t>距离</w:t>
                  </w:r>
                  <w:r>
                    <w:rPr>
                      <w:rStyle w:val="105"/>
                      <w:color w:val="auto"/>
                      <w:sz w:val="21"/>
                      <w:szCs w:val="21"/>
                      <w:lang w:bidi="ar"/>
                    </w:rPr>
                    <w:t>dB</w:t>
                  </w:r>
                  <w:r>
                    <w:rPr>
                      <w:rStyle w:val="105"/>
                      <w:rFonts w:hint="eastAsia"/>
                      <w:color w:val="auto"/>
                      <w:sz w:val="21"/>
                      <w:szCs w:val="21"/>
                      <w:lang w:eastAsia="zh-CN" w:bidi="ar"/>
                    </w:rPr>
                    <w:t>（</w:t>
                  </w:r>
                  <w:r>
                    <w:rPr>
                      <w:rStyle w:val="105"/>
                      <w:color w:val="auto"/>
                      <w:sz w:val="21"/>
                      <w:szCs w:val="21"/>
                      <w:lang w:bidi="ar"/>
                    </w:rPr>
                    <w:t>A</w:t>
                  </w:r>
                  <w:r>
                    <w:rPr>
                      <w:rStyle w:val="105"/>
                      <w:rFonts w:hint="eastAsia"/>
                      <w:color w:val="auto"/>
                      <w:sz w:val="21"/>
                      <w:szCs w:val="21"/>
                      <w:lang w:eastAsia="zh-CN" w:bidi="ar"/>
                    </w:rPr>
                    <w:t>）</w:t>
                  </w:r>
                  <w:r>
                    <w:rPr>
                      <w:rStyle w:val="105"/>
                      <w:rFonts w:hint="eastAsia"/>
                      <w:color w:val="auto"/>
                      <w:sz w:val="21"/>
                      <w:szCs w:val="21"/>
                      <w:lang w:bidi="ar"/>
                    </w:rPr>
                    <w:t>/m</w:t>
                  </w:r>
                </w:p>
              </w:tc>
              <w:tc>
                <w:tcPr>
                  <w:tcW w:w="1929" w:type="pct"/>
                  <w:vMerge w:val="continue"/>
                  <w:tcBorders>
                    <w:tl2br w:val="nil"/>
                    <w:tr2bl w:val="nil"/>
                  </w:tcBorders>
                  <w:noWrap/>
                  <w:vAlign w:val="center"/>
                </w:tcPr>
                <w:p w14:paraId="468D260E">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color w:val="auto"/>
                      <w:sz w:val="21"/>
                      <w:szCs w:val="21"/>
                    </w:rPr>
                  </w:pPr>
                </w:p>
              </w:tc>
              <w:tc>
                <w:tcPr>
                  <w:tcW w:w="442" w:type="pct"/>
                  <w:vMerge w:val="continue"/>
                  <w:tcBorders>
                    <w:tl2br w:val="nil"/>
                    <w:tr2bl w:val="nil"/>
                  </w:tcBorders>
                  <w:noWrap/>
                  <w:vAlign w:val="center"/>
                </w:tcPr>
                <w:p w14:paraId="6C88DFCA">
                  <w:pPr>
                    <w:keepNext w:val="0"/>
                    <w:keepLines w:val="0"/>
                    <w:pageBreakBefore w:val="0"/>
                    <w:kinsoku/>
                    <w:wordWrap/>
                    <w:overflowPunct/>
                    <w:topLinePunct w:val="0"/>
                    <w:autoSpaceDE/>
                    <w:autoSpaceDN/>
                    <w:bidi w:val="0"/>
                    <w:adjustRightInd/>
                    <w:snapToGrid/>
                    <w:spacing w:line="240" w:lineRule="auto"/>
                    <w:ind w:firstLine="0" w:firstLineChars="0"/>
                    <w:jc w:val="center"/>
                    <w:rPr>
                      <w:rFonts w:ascii="Times New Roman" w:hAnsi="Times New Roman"/>
                      <w:color w:val="auto"/>
                      <w:sz w:val="21"/>
                      <w:szCs w:val="21"/>
                    </w:rPr>
                  </w:pPr>
                </w:p>
              </w:tc>
            </w:tr>
            <w:tr w14:paraId="312DB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1A2199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1</w:t>
                  </w:r>
                </w:p>
              </w:tc>
              <w:tc>
                <w:tcPr>
                  <w:tcW w:w="763" w:type="pct"/>
                  <w:tcBorders>
                    <w:tl2br w:val="nil"/>
                    <w:tr2bl w:val="nil"/>
                  </w:tcBorders>
                  <w:noWrap/>
                  <w:vAlign w:val="center"/>
                </w:tcPr>
                <w:p w14:paraId="451DE7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i w:val="0"/>
                      <w:iCs w:val="0"/>
                      <w:color w:val="auto"/>
                      <w:kern w:val="0"/>
                      <w:sz w:val="21"/>
                      <w:szCs w:val="21"/>
                      <w:u w:val="none"/>
                      <w:lang w:val="en-US" w:eastAsia="zh-CN" w:bidi="ar"/>
                    </w:rPr>
                    <w:t>冷却</w:t>
                  </w:r>
                  <w:r>
                    <w:rPr>
                      <w:rFonts w:hint="default" w:ascii="Times New Roman" w:hAnsi="Times New Roman" w:eastAsia="宋体" w:cs="Times New Roman"/>
                      <w:i w:val="0"/>
                      <w:iCs w:val="0"/>
                      <w:color w:val="auto"/>
                      <w:kern w:val="0"/>
                      <w:sz w:val="21"/>
                      <w:szCs w:val="21"/>
                      <w:u w:val="none"/>
                      <w:lang w:val="en-US" w:eastAsia="zh-CN" w:bidi="ar"/>
                    </w:rPr>
                    <w:t>水泵</w:t>
                  </w:r>
                </w:p>
              </w:tc>
              <w:tc>
                <w:tcPr>
                  <w:tcW w:w="297" w:type="pct"/>
                  <w:tcBorders>
                    <w:tl2br w:val="nil"/>
                    <w:tr2bl w:val="nil"/>
                  </w:tcBorders>
                  <w:noWrap/>
                  <w:vAlign w:val="center"/>
                </w:tcPr>
                <w:p w14:paraId="018AD6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0D14D4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4</w:t>
                  </w:r>
                </w:p>
              </w:tc>
              <w:tc>
                <w:tcPr>
                  <w:tcW w:w="300" w:type="pct"/>
                  <w:tcBorders>
                    <w:tl2br w:val="nil"/>
                    <w:tr2bl w:val="nil"/>
                  </w:tcBorders>
                  <w:noWrap/>
                  <w:vAlign w:val="center"/>
                </w:tcPr>
                <w:p w14:paraId="44EB60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w:t>
                  </w:r>
                </w:p>
              </w:tc>
              <w:tc>
                <w:tcPr>
                  <w:tcW w:w="284" w:type="pct"/>
                  <w:tcBorders>
                    <w:tl2br w:val="nil"/>
                    <w:tr2bl w:val="nil"/>
                  </w:tcBorders>
                  <w:noWrap/>
                  <w:vAlign w:val="center"/>
                </w:tcPr>
                <w:p w14:paraId="197EAD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w:t>
                  </w:r>
                </w:p>
              </w:tc>
              <w:tc>
                <w:tcPr>
                  <w:tcW w:w="496" w:type="pct"/>
                  <w:tcBorders>
                    <w:tl2br w:val="nil"/>
                    <w:tr2bl w:val="nil"/>
                  </w:tcBorders>
                  <w:noWrap/>
                  <w:vAlign w:val="center"/>
                </w:tcPr>
                <w:p w14:paraId="4C283C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restart"/>
                  <w:tcBorders>
                    <w:tl2br w:val="nil"/>
                    <w:tr2bl w:val="nil"/>
                  </w:tcBorders>
                  <w:noWrap/>
                  <w:vAlign w:val="center"/>
                </w:tcPr>
                <w:p w14:paraId="4AA310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hint="eastAsia"/>
                      <w:color w:val="auto"/>
                      <w:sz w:val="21"/>
                      <w:szCs w:val="21"/>
                    </w:rPr>
                    <w:t>选用低噪设备</w:t>
                  </w:r>
                  <w:r>
                    <w:rPr>
                      <w:rFonts w:hint="eastAsia"/>
                      <w:color w:val="auto"/>
                      <w:sz w:val="21"/>
                      <w:szCs w:val="21"/>
                      <w:lang w:eastAsia="zh-CN"/>
                    </w:rPr>
                    <w:t>、</w:t>
                  </w:r>
                  <w:r>
                    <w:rPr>
                      <w:rFonts w:hint="eastAsia" w:ascii="Times New Roman"/>
                      <w:color w:val="auto"/>
                      <w:sz w:val="21"/>
                      <w:szCs w:val="21"/>
                      <w:lang w:val="en-US" w:eastAsia="zh-CN"/>
                    </w:rPr>
                    <w:t>基础减震、润滑保养、设置隔声罩。</w:t>
                  </w:r>
                </w:p>
              </w:tc>
              <w:tc>
                <w:tcPr>
                  <w:tcW w:w="442" w:type="pct"/>
                  <w:tcBorders>
                    <w:tl2br w:val="nil"/>
                    <w:tr2bl w:val="nil"/>
                  </w:tcBorders>
                  <w:noWrap/>
                  <w:vAlign w:val="center"/>
                </w:tcPr>
                <w:p w14:paraId="4FACA6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稳定声源</w:t>
                  </w:r>
                </w:p>
              </w:tc>
            </w:tr>
            <w:tr w14:paraId="6A0E8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15104E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2</w:t>
                  </w:r>
                </w:p>
              </w:tc>
              <w:tc>
                <w:tcPr>
                  <w:tcW w:w="763" w:type="pct"/>
                  <w:tcBorders>
                    <w:tl2br w:val="nil"/>
                    <w:tr2bl w:val="nil"/>
                  </w:tcBorders>
                  <w:noWrap/>
                  <w:vAlign w:val="center"/>
                </w:tcPr>
                <w:p w14:paraId="47CE98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i w:val="0"/>
                      <w:iCs w:val="0"/>
                      <w:color w:val="auto"/>
                      <w:kern w:val="0"/>
                      <w:sz w:val="21"/>
                      <w:szCs w:val="21"/>
                      <w:u w:val="none"/>
                      <w:lang w:val="en-US" w:eastAsia="zh-CN" w:bidi="ar"/>
                    </w:rPr>
                    <w:t>冷冻</w:t>
                  </w:r>
                  <w:r>
                    <w:rPr>
                      <w:rFonts w:hint="default" w:ascii="Times New Roman" w:hAnsi="Times New Roman" w:eastAsia="宋体" w:cs="Times New Roman"/>
                      <w:i w:val="0"/>
                      <w:iCs w:val="0"/>
                      <w:color w:val="auto"/>
                      <w:kern w:val="0"/>
                      <w:sz w:val="21"/>
                      <w:szCs w:val="21"/>
                      <w:u w:val="none"/>
                      <w:lang w:val="en-US" w:eastAsia="zh-CN" w:bidi="ar"/>
                    </w:rPr>
                    <w:t>水泵</w:t>
                  </w:r>
                </w:p>
              </w:tc>
              <w:tc>
                <w:tcPr>
                  <w:tcW w:w="297" w:type="pct"/>
                  <w:tcBorders>
                    <w:tl2br w:val="nil"/>
                    <w:tr2bl w:val="nil"/>
                  </w:tcBorders>
                  <w:noWrap/>
                  <w:vAlign w:val="center"/>
                </w:tcPr>
                <w:p w14:paraId="52DA4C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4D1241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6</w:t>
                  </w:r>
                </w:p>
              </w:tc>
              <w:tc>
                <w:tcPr>
                  <w:tcW w:w="300" w:type="pct"/>
                  <w:tcBorders>
                    <w:tl2br w:val="nil"/>
                    <w:tr2bl w:val="nil"/>
                  </w:tcBorders>
                  <w:noWrap/>
                  <w:vAlign w:val="center"/>
                </w:tcPr>
                <w:p w14:paraId="4270B6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-53</w:t>
                  </w:r>
                </w:p>
              </w:tc>
              <w:tc>
                <w:tcPr>
                  <w:tcW w:w="284" w:type="pct"/>
                  <w:tcBorders>
                    <w:tl2br w:val="nil"/>
                    <w:tr2bl w:val="nil"/>
                  </w:tcBorders>
                  <w:noWrap/>
                  <w:vAlign w:val="center"/>
                </w:tcPr>
                <w:p w14:paraId="69A865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w:t>
                  </w:r>
                </w:p>
              </w:tc>
              <w:tc>
                <w:tcPr>
                  <w:tcW w:w="496" w:type="pct"/>
                  <w:tcBorders>
                    <w:tl2br w:val="nil"/>
                    <w:tr2bl w:val="nil"/>
                  </w:tcBorders>
                  <w:noWrap/>
                  <w:vAlign w:val="center"/>
                </w:tcPr>
                <w:p w14:paraId="3A1081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continue"/>
                  <w:tcBorders>
                    <w:tl2br w:val="nil"/>
                    <w:tr2bl w:val="nil"/>
                  </w:tcBorders>
                  <w:noWrap/>
                  <w:vAlign w:val="center"/>
                </w:tcPr>
                <w:p w14:paraId="04ADC6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p>
              </w:tc>
              <w:tc>
                <w:tcPr>
                  <w:tcW w:w="442" w:type="pct"/>
                  <w:tcBorders>
                    <w:tl2br w:val="nil"/>
                    <w:tr2bl w:val="nil"/>
                  </w:tcBorders>
                  <w:noWrap/>
                  <w:vAlign w:val="center"/>
                </w:tcPr>
                <w:p w14:paraId="168BB4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稳定声源</w:t>
                  </w:r>
                </w:p>
              </w:tc>
            </w:tr>
            <w:tr w14:paraId="3F3FB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14361F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3</w:t>
                  </w:r>
                </w:p>
              </w:tc>
              <w:tc>
                <w:tcPr>
                  <w:tcW w:w="763" w:type="pct"/>
                  <w:tcBorders>
                    <w:tl2br w:val="nil"/>
                    <w:tr2bl w:val="nil"/>
                  </w:tcBorders>
                  <w:noWrap/>
                  <w:vAlign w:val="center"/>
                </w:tcPr>
                <w:p w14:paraId="22C72C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水冷塔</w:t>
                  </w:r>
                </w:p>
              </w:tc>
              <w:tc>
                <w:tcPr>
                  <w:tcW w:w="297" w:type="pct"/>
                  <w:tcBorders>
                    <w:tl2br w:val="nil"/>
                    <w:tr2bl w:val="nil"/>
                  </w:tcBorders>
                  <w:noWrap/>
                  <w:vAlign w:val="center"/>
                </w:tcPr>
                <w:p w14:paraId="041CDB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37E3B9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9</w:t>
                  </w:r>
                </w:p>
              </w:tc>
              <w:tc>
                <w:tcPr>
                  <w:tcW w:w="300" w:type="pct"/>
                  <w:tcBorders>
                    <w:tl2br w:val="nil"/>
                    <w:tr2bl w:val="nil"/>
                  </w:tcBorders>
                  <w:noWrap/>
                  <w:vAlign w:val="center"/>
                </w:tcPr>
                <w:p w14:paraId="42C28E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w:t>
                  </w:r>
                </w:p>
              </w:tc>
              <w:tc>
                <w:tcPr>
                  <w:tcW w:w="284" w:type="pct"/>
                  <w:tcBorders>
                    <w:tl2br w:val="nil"/>
                    <w:tr2bl w:val="nil"/>
                  </w:tcBorders>
                  <w:noWrap/>
                  <w:vAlign w:val="center"/>
                </w:tcPr>
                <w:p w14:paraId="0180F2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496" w:type="pct"/>
                  <w:tcBorders>
                    <w:tl2br w:val="nil"/>
                    <w:tr2bl w:val="nil"/>
                  </w:tcBorders>
                  <w:noWrap/>
                  <w:vAlign w:val="center"/>
                </w:tcPr>
                <w:p w14:paraId="1A2965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75/1</w:t>
                  </w:r>
                </w:p>
              </w:tc>
              <w:tc>
                <w:tcPr>
                  <w:tcW w:w="1929" w:type="pct"/>
                  <w:vMerge w:val="restart"/>
                  <w:tcBorders>
                    <w:tl2br w:val="nil"/>
                    <w:tr2bl w:val="nil"/>
                  </w:tcBorders>
                  <w:noWrap/>
                  <w:vAlign w:val="center"/>
                </w:tcPr>
                <w:p w14:paraId="76E2D7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olor w:val="auto"/>
                      <w:sz w:val="21"/>
                      <w:szCs w:val="21"/>
                      <w:lang w:eastAsia="zh-CN"/>
                    </w:rPr>
                  </w:pPr>
                  <w:r>
                    <w:rPr>
                      <w:rFonts w:hint="eastAsia"/>
                      <w:color w:val="auto"/>
                      <w:sz w:val="21"/>
                      <w:szCs w:val="21"/>
                    </w:rPr>
                    <w:t>选用低噪设备</w:t>
                  </w:r>
                  <w:r>
                    <w:rPr>
                      <w:rFonts w:hint="eastAsia"/>
                      <w:color w:val="auto"/>
                      <w:sz w:val="21"/>
                      <w:szCs w:val="21"/>
                      <w:lang w:eastAsia="zh-CN"/>
                    </w:rPr>
                    <w:t>、</w:t>
                  </w:r>
                  <w:r>
                    <w:rPr>
                      <w:rFonts w:hint="eastAsia" w:ascii="Times New Roman"/>
                      <w:color w:val="auto"/>
                      <w:sz w:val="21"/>
                      <w:szCs w:val="21"/>
                      <w:lang w:val="en-US" w:eastAsia="zh-CN"/>
                    </w:rPr>
                    <w:t>基础减震、</w:t>
                  </w:r>
                  <w:r>
                    <w:rPr>
                      <w:rFonts w:hint="eastAsia"/>
                      <w:color w:val="auto"/>
                      <w:sz w:val="21"/>
                      <w:szCs w:val="21"/>
                    </w:rPr>
                    <w:t>定期保养</w:t>
                  </w:r>
                  <w:r>
                    <w:rPr>
                      <w:rFonts w:hint="eastAsia"/>
                      <w:color w:val="auto"/>
                      <w:sz w:val="21"/>
                      <w:szCs w:val="21"/>
                      <w:lang w:eastAsia="zh-CN"/>
                    </w:rPr>
                    <w:t>。</w:t>
                  </w:r>
                </w:p>
              </w:tc>
              <w:tc>
                <w:tcPr>
                  <w:tcW w:w="442" w:type="pct"/>
                  <w:tcBorders>
                    <w:tl2br w:val="nil"/>
                    <w:tr2bl w:val="nil"/>
                  </w:tcBorders>
                  <w:noWrap/>
                  <w:vAlign w:val="center"/>
                </w:tcPr>
                <w:p w14:paraId="2E3A86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稳定声源</w:t>
                  </w:r>
                </w:p>
              </w:tc>
            </w:tr>
            <w:tr w14:paraId="70814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068F0E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4</w:t>
                  </w:r>
                </w:p>
              </w:tc>
              <w:tc>
                <w:tcPr>
                  <w:tcW w:w="763" w:type="pct"/>
                  <w:tcBorders>
                    <w:tl2br w:val="nil"/>
                    <w:tr2bl w:val="nil"/>
                  </w:tcBorders>
                  <w:noWrap/>
                  <w:vAlign w:val="center"/>
                </w:tcPr>
                <w:p w14:paraId="2A5F24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空冷塔</w:t>
                  </w:r>
                </w:p>
              </w:tc>
              <w:tc>
                <w:tcPr>
                  <w:tcW w:w="297" w:type="pct"/>
                  <w:tcBorders>
                    <w:tl2br w:val="nil"/>
                    <w:tr2bl w:val="nil"/>
                  </w:tcBorders>
                  <w:noWrap/>
                  <w:vAlign w:val="center"/>
                </w:tcPr>
                <w:p w14:paraId="0461A4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1A8A6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0</w:t>
                  </w:r>
                </w:p>
              </w:tc>
              <w:tc>
                <w:tcPr>
                  <w:tcW w:w="300" w:type="pct"/>
                  <w:tcBorders>
                    <w:tl2br w:val="nil"/>
                    <w:tr2bl w:val="nil"/>
                  </w:tcBorders>
                  <w:noWrap/>
                  <w:vAlign w:val="center"/>
                </w:tcPr>
                <w:p w14:paraId="5C68A6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w:t>
                  </w:r>
                </w:p>
              </w:tc>
              <w:tc>
                <w:tcPr>
                  <w:tcW w:w="284" w:type="pct"/>
                  <w:tcBorders>
                    <w:tl2br w:val="nil"/>
                    <w:tr2bl w:val="nil"/>
                  </w:tcBorders>
                  <w:noWrap/>
                  <w:vAlign w:val="center"/>
                </w:tcPr>
                <w:p w14:paraId="220DB3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496" w:type="pct"/>
                  <w:tcBorders>
                    <w:tl2br w:val="nil"/>
                    <w:tr2bl w:val="nil"/>
                  </w:tcBorders>
                  <w:noWrap/>
                  <w:vAlign w:val="center"/>
                </w:tcPr>
                <w:p w14:paraId="1BFEED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75/1</w:t>
                  </w:r>
                </w:p>
              </w:tc>
              <w:tc>
                <w:tcPr>
                  <w:tcW w:w="1929" w:type="pct"/>
                  <w:vMerge w:val="continue"/>
                  <w:tcBorders>
                    <w:tl2br w:val="nil"/>
                    <w:tr2bl w:val="nil"/>
                  </w:tcBorders>
                  <w:noWrap/>
                  <w:vAlign w:val="center"/>
                </w:tcPr>
                <w:p w14:paraId="38E9B5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p>
              </w:tc>
              <w:tc>
                <w:tcPr>
                  <w:tcW w:w="442" w:type="pct"/>
                  <w:tcBorders>
                    <w:tl2br w:val="nil"/>
                    <w:tr2bl w:val="nil"/>
                  </w:tcBorders>
                  <w:noWrap/>
                  <w:vAlign w:val="center"/>
                </w:tcPr>
                <w:p w14:paraId="2E7E16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稳定声源</w:t>
                  </w:r>
                </w:p>
              </w:tc>
            </w:tr>
            <w:tr w14:paraId="1BA4A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695451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5</w:t>
                  </w:r>
                </w:p>
              </w:tc>
              <w:tc>
                <w:tcPr>
                  <w:tcW w:w="763" w:type="pct"/>
                  <w:tcBorders>
                    <w:tl2br w:val="nil"/>
                    <w:tr2bl w:val="nil"/>
                  </w:tcBorders>
                  <w:shd w:val="clear" w:color="auto" w:fill="auto"/>
                  <w:noWrap/>
                  <w:vAlign w:val="center"/>
                </w:tcPr>
                <w:p w14:paraId="636990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电加热器</w:t>
                  </w:r>
                </w:p>
              </w:tc>
              <w:tc>
                <w:tcPr>
                  <w:tcW w:w="297" w:type="pct"/>
                  <w:tcBorders>
                    <w:tl2br w:val="nil"/>
                    <w:tr2bl w:val="nil"/>
                  </w:tcBorders>
                  <w:shd w:val="clear" w:color="auto" w:fill="auto"/>
                  <w:noWrap/>
                  <w:vAlign w:val="center"/>
                </w:tcPr>
                <w:p w14:paraId="534426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shd w:val="clear" w:color="auto" w:fill="auto"/>
                  <w:noWrap/>
                  <w:vAlign w:val="center"/>
                </w:tcPr>
                <w:p w14:paraId="0142FD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0</w:t>
                  </w:r>
                </w:p>
              </w:tc>
              <w:tc>
                <w:tcPr>
                  <w:tcW w:w="300" w:type="pct"/>
                  <w:tcBorders>
                    <w:tl2br w:val="nil"/>
                    <w:tr2bl w:val="nil"/>
                  </w:tcBorders>
                  <w:shd w:val="clear" w:color="auto" w:fill="auto"/>
                  <w:noWrap/>
                  <w:vAlign w:val="center"/>
                </w:tcPr>
                <w:p w14:paraId="5A5889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w:t>
                  </w:r>
                </w:p>
              </w:tc>
              <w:tc>
                <w:tcPr>
                  <w:tcW w:w="284" w:type="pct"/>
                  <w:tcBorders>
                    <w:tl2br w:val="nil"/>
                    <w:tr2bl w:val="nil"/>
                  </w:tcBorders>
                  <w:shd w:val="clear" w:color="auto" w:fill="auto"/>
                  <w:noWrap/>
                  <w:vAlign w:val="center"/>
                </w:tcPr>
                <w:p w14:paraId="74775B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496" w:type="pct"/>
                  <w:tcBorders>
                    <w:tl2br w:val="nil"/>
                    <w:tr2bl w:val="nil"/>
                  </w:tcBorders>
                  <w:shd w:val="clear" w:color="auto" w:fill="auto"/>
                  <w:noWrap/>
                  <w:vAlign w:val="center"/>
                </w:tcPr>
                <w:p w14:paraId="2230AA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tcBorders>
                    <w:tl2br w:val="nil"/>
                    <w:tr2bl w:val="nil"/>
                  </w:tcBorders>
                  <w:noWrap/>
                  <w:vAlign w:val="center"/>
                </w:tcPr>
                <w:p w14:paraId="0B1990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olor w:val="auto"/>
                      <w:sz w:val="21"/>
                      <w:szCs w:val="21"/>
                      <w:lang w:eastAsia="zh-CN"/>
                    </w:rPr>
                  </w:pPr>
                  <w:r>
                    <w:rPr>
                      <w:rFonts w:hint="eastAsia"/>
                      <w:color w:val="auto"/>
                      <w:sz w:val="21"/>
                      <w:szCs w:val="21"/>
                    </w:rPr>
                    <w:t>选用低噪设备</w:t>
                  </w:r>
                  <w:r>
                    <w:rPr>
                      <w:rFonts w:hint="eastAsia"/>
                      <w:color w:val="auto"/>
                      <w:sz w:val="21"/>
                      <w:szCs w:val="21"/>
                      <w:lang w:eastAsia="zh-CN"/>
                    </w:rPr>
                    <w:t>、</w:t>
                  </w:r>
                  <w:r>
                    <w:rPr>
                      <w:rFonts w:hint="eastAsia" w:ascii="Times New Roman"/>
                      <w:color w:val="auto"/>
                      <w:sz w:val="21"/>
                      <w:szCs w:val="21"/>
                      <w:lang w:val="en-US" w:eastAsia="zh-CN"/>
                    </w:rPr>
                    <w:t>基础减震、</w:t>
                  </w:r>
                  <w:r>
                    <w:rPr>
                      <w:rFonts w:hint="eastAsia"/>
                      <w:color w:val="auto"/>
                      <w:sz w:val="21"/>
                      <w:szCs w:val="21"/>
                    </w:rPr>
                    <w:t>定期保养</w:t>
                  </w:r>
                  <w:r>
                    <w:rPr>
                      <w:rFonts w:hint="eastAsia"/>
                      <w:color w:val="auto"/>
                      <w:sz w:val="21"/>
                      <w:szCs w:val="21"/>
                      <w:lang w:eastAsia="zh-CN"/>
                    </w:rPr>
                    <w:t>。</w:t>
                  </w:r>
                </w:p>
              </w:tc>
              <w:tc>
                <w:tcPr>
                  <w:tcW w:w="442" w:type="pct"/>
                  <w:tcBorders>
                    <w:tl2br w:val="nil"/>
                    <w:tr2bl w:val="nil"/>
                  </w:tcBorders>
                  <w:noWrap/>
                  <w:vAlign w:val="center"/>
                </w:tcPr>
                <w:p w14:paraId="364067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稳定声源</w:t>
                  </w:r>
                </w:p>
              </w:tc>
            </w:tr>
            <w:tr w14:paraId="4D578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16B2C6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7</w:t>
                  </w:r>
                </w:p>
              </w:tc>
              <w:tc>
                <w:tcPr>
                  <w:tcW w:w="763" w:type="pct"/>
                  <w:tcBorders>
                    <w:tl2br w:val="nil"/>
                    <w:tr2bl w:val="nil"/>
                  </w:tcBorders>
                  <w:noWrap/>
                  <w:vAlign w:val="center"/>
                </w:tcPr>
                <w:p w14:paraId="6FB59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lang w:eastAsia="zh-CN"/>
                    </w:rPr>
                    <w:t>冷箱</w:t>
                  </w:r>
                  <w:r>
                    <w:rPr>
                      <w:rFonts w:hint="eastAsia" w:cs="Times New Roman"/>
                      <w:color w:val="auto"/>
                      <w:sz w:val="21"/>
                      <w:szCs w:val="21"/>
                      <w:lang w:eastAsia="zh-CN"/>
                    </w:rPr>
                    <w:t>（</w:t>
                  </w:r>
                  <w:r>
                    <w:rPr>
                      <w:rFonts w:hint="eastAsia" w:cs="Times New Roman"/>
                      <w:color w:val="auto"/>
                      <w:sz w:val="21"/>
                      <w:szCs w:val="21"/>
                      <w:lang w:val="en-US" w:eastAsia="zh-CN"/>
                    </w:rPr>
                    <w:t>分馏塔</w:t>
                  </w:r>
                  <w:r>
                    <w:rPr>
                      <w:rFonts w:hint="eastAsia" w:cs="Times New Roman"/>
                      <w:color w:val="auto"/>
                      <w:sz w:val="21"/>
                      <w:szCs w:val="21"/>
                      <w:lang w:eastAsia="zh-CN"/>
                    </w:rPr>
                    <w:t>）</w:t>
                  </w:r>
                </w:p>
              </w:tc>
              <w:tc>
                <w:tcPr>
                  <w:tcW w:w="297" w:type="pct"/>
                  <w:tcBorders>
                    <w:tl2br w:val="nil"/>
                    <w:tr2bl w:val="nil"/>
                  </w:tcBorders>
                  <w:noWrap/>
                  <w:vAlign w:val="center"/>
                </w:tcPr>
                <w:p w14:paraId="4428A3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102016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7</w:t>
                  </w:r>
                </w:p>
              </w:tc>
              <w:tc>
                <w:tcPr>
                  <w:tcW w:w="300" w:type="pct"/>
                  <w:tcBorders>
                    <w:tl2br w:val="nil"/>
                    <w:tr2bl w:val="nil"/>
                  </w:tcBorders>
                  <w:noWrap/>
                  <w:vAlign w:val="center"/>
                </w:tcPr>
                <w:p w14:paraId="448519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284" w:type="pct"/>
                  <w:tcBorders>
                    <w:tl2br w:val="nil"/>
                    <w:tr2bl w:val="nil"/>
                  </w:tcBorders>
                  <w:noWrap/>
                  <w:vAlign w:val="center"/>
                </w:tcPr>
                <w:p w14:paraId="34472A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496" w:type="pct"/>
                  <w:tcBorders>
                    <w:tl2br w:val="nil"/>
                    <w:tr2bl w:val="nil"/>
                  </w:tcBorders>
                  <w:noWrap/>
                  <w:vAlign w:val="center"/>
                </w:tcPr>
                <w:p w14:paraId="24D49B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65/1</w:t>
                  </w:r>
                </w:p>
              </w:tc>
              <w:tc>
                <w:tcPr>
                  <w:tcW w:w="1929" w:type="pct"/>
                  <w:tcBorders>
                    <w:tl2br w:val="nil"/>
                    <w:tr2bl w:val="nil"/>
                  </w:tcBorders>
                  <w:noWrap/>
                  <w:vAlign w:val="center"/>
                </w:tcPr>
                <w:p w14:paraId="2D2C8B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hint="eastAsia" w:ascii="Times New Roman" w:hAnsi="宋体"/>
                      <w:color w:val="auto"/>
                      <w:sz w:val="21"/>
                      <w:szCs w:val="21"/>
                      <w:lang w:val="en-US" w:eastAsia="zh-CN"/>
                    </w:rPr>
                    <w:t>外壁采用钢板材料包裹，内衬珠光砂隔热降噪。</w:t>
                  </w:r>
                </w:p>
              </w:tc>
              <w:tc>
                <w:tcPr>
                  <w:tcW w:w="442" w:type="pct"/>
                  <w:tcBorders>
                    <w:tl2br w:val="nil"/>
                    <w:tr2bl w:val="nil"/>
                  </w:tcBorders>
                  <w:noWrap/>
                  <w:vAlign w:val="center"/>
                </w:tcPr>
                <w:p w14:paraId="292F56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稳定声源</w:t>
                  </w:r>
                </w:p>
              </w:tc>
            </w:tr>
            <w:tr w14:paraId="415C8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17CC32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8</w:t>
                  </w:r>
                </w:p>
              </w:tc>
              <w:tc>
                <w:tcPr>
                  <w:tcW w:w="763" w:type="pct"/>
                  <w:tcBorders>
                    <w:tl2br w:val="nil"/>
                    <w:tr2bl w:val="nil"/>
                  </w:tcBorders>
                  <w:noWrap/>
                  <w:vAlign w:val="center"/>
                </w:tcPr>
                <w:p w14:paraId="37BCF6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增压</w:t>
                  </w:r>
                  <w:r>
                    <w:rPr>
                      <w:rFonts w:hint="eastAsia" w:ascii="Times New Roman" w:hAnsi="Times New Roman" w:eastAsia="宋体" w:cs="Times New Roman"/>
                      <w:i w:val="0"/>
                      <w:iCs w:val="0"/>
                      <w:color w:val="auto"/>
                      <w:kern w:val="0"/>
                      <w:sz w:val="21"/>
                      <w:szCs w:val="21"/>
                      <w:u w:val="none"/>
                      <w:lang w:val="en-US" w:eastAsia="zh-CN" w:bidi="ar"/>
                    </w:rPr>
                    <w:t>透平</w:t>
                  </w:r>
                  <w:r>
                    <w:rPr>
                      <w:rFonts w:hint="default" w:ascii="Times New Roman" w:hAnsi="Times New Roman" w:eastAsia="宋体" w:cs="Times New Roman"/>
                      <w:i w:val="0"/>
                      <w:iCs w:val="0"/>
                      <w:color w:val="auto"/>
                      <w:kern w:val="0"/>
                      <w:sz w:val="21"/>
                      <w:szCs w:val="21"/>
                      <w:u w:val="none"/>
                      <w:lang w:val="en-US" w:eastAsia="zh-CN" w:bidi="ar"/>
                    </w:rPr>
                    <w:t>膨胀机1</w:t>
                  </w:r>
                </w:p>
              </w:tc>
              <w:tc>
                <w:tcPr>
                  <w:tcW w:w="297" w:type="pct"/>
                  <w:tcBorders>
                    <w:tl2br w:val="nil"/>
                    <w:tr2bl w:val="nil"/>
                  </w:tcBorders>
                  <w:noWrap/>
                  <w:vAlign w:val="center"/>
                </w:tcPr>
                <w:p w14:paraId="114366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46CB37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2</w:t>
                  </w:r>
                </w:p>
              </w:tc>
              <w:tc>
                <w:tcPr>
                  <w:tcW w:w="300" w:type="pct"/>
                  <w:tcBorders>
                    <w:tl2br w:val="nil"/>
                    <w:tr2bl w:val="nil"/>
                  </w:tcBorders>
                  <w:noWrap/>
                  <w:vAlign w:val="center"/>
                </w:tcPr>
                <w:p w14:paraId="46109B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-77</w:t>
                  </w:r>
                </w:p>
              </w:tc>
              <w:tc>
                <w:tcPr>
                  <w:tcW w:w="284" w:type="pct"/>
                  <w:tcBorders>
                    <w:tl2br w:val="nil"/>
                    <w:tr2bl w:val="nil"/>
                  </w:tcBorders>
                  <w:noWrap/>
                  <w:vAlign w:val="center"/>
                </w:tcPr>
                <w:p w14:paraId="13D05F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496" w:type="pct"/>
                  <w:tcBorders>
                    <w:tl2br w:val="nil"/>
                    <w:tr2bl w:val="nil"/>
                  </w:tcBorders>
                  <w:noWrap/>
                  <w:vAlign w:val="center"/>
                </w:tcPr>
                <w:p w14:paraId="6AA370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75/1</w:t>
                  </w:r>
                </w:p>
              </w:tc>
              <w:tc>
                <w:tcPr>
                  <w:tcW w:w="1929" w:type="pct"/>
                  <w:vMerge w:val="restart"/>
                  <w:tcBorders>
                    <w:tl2br w:val="nil"/>
                    <w:tr2bl w:val="nil"/>
                  </w:tcBorders>
                  <w:noWrap/>
                  <w:vAlign w:val="center"/>
                </w:tcPr>
                <w:p w14:paraId="0057BC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hint="eastAsia"/>
                      <w:b w:val="0"/>
                      <w:bCs w:val="0"/>
                      <w:color w:val="auto"/>
                      <w:kern w:val="0"/>
                      <w:sz w:val="21"/>
                      <w:szCs w:val="21"/>
                      <w:lang w:val="en-US" w:eastAsia="zh-CN"/>
                    </w:rPr>
                    <w:t>外壁采用</w:t>
                  </w:r>
                  <w:r>
                    <w:rPr>
                      <w:rFonts w:hint="eastAsia" w:ascii="Times New Roman" w:hAnsi="宋体"/>
                      <w:b w:val="0"/>
                      <w:bCs w:val="0"/>
                      <w:color w:val="auto"/>
                      <w:sz w:val="21"/>
                      <w:szCs w:val="21"/>
                      <w:lang w:val="en-US" w:eastAsia="zh-CN"/>
                    </w:rPr>
                    <w:t>钢板材料</w:t>
                  </w:r>
                  <w:r>
                    <w:rPr>
                      <w:rFonts w:hint="eastAsia" w:ascii="Times New Roman" w:hAnsi="宋体"/>
                      <w:color w:val="auto"/>
                      <w:sz w:val="21"/>
                      <w:szCs w:val="21"/>
                      <w:lang w:val="en-US" w:eastAsia="zh-CN"/>
                    </w:rPr>
                    <w:t>包裹，内部填充珠光砂绝热、隔声。设备基础减震；</w:t>
                  </w:r>
                  <w:r>
                    <w:rPr>
                      <w:rFonts w:hint="eastAsia" w:ascii="宋体" w:hAnsi="宋体" w:eastAsia="宋体" w:cs="宋体"/>
                      <w:color w:val="auto"/>
                      <w:kern w:val="0"/>
                      <w:sz w:val="21"/>
                      <w:szCs w:val="21"/>
                      <w:lang w:val="en-US" w:eastAsia="zh-CN" w:bidi="ar"/>
                    </w:rPr>
                    <w:t>管道包扎</w:t>
                  </w:r>
                  <w:r>
                    <w:rPr>
                      <w:rFonts w:hint="eastAsia" w:ascii="宋体" w:hAnsi="宋体" w:cs="宋体"/>
                      <w:color w:val="auto"/>
                      <w:kern w:val="0"/>
                      <w:sz w:val="21"/>
                      <w:szCs w:val="21"/>
                      <w:lang w:val="en-US" w:eastAsia="zh-CN" w:bidi="ar"/>
                    </w:rPr>
                    <w:t>隔声</w:t>
                  </w:r>
                  <w:r>
                    <w:rPr>
                      <w:rFonts w:hint="eastAsia" w:ascii="宋体" w:hAnsi="宋体" w:eastAsia="宋体" w:cs="宋体"/>
                      <w:color w:val="auto"/>
                      <w:kern w:val="0"/>
                      <w:sz w:val="21"/>
                      <w:szCs w:val="21"/>
                      <w:lang w:val="en-US" w:eastAsia="zh-CN" w:bidi="ar"/>
                    </w:rPr>
                    <w:t>材料，放空口设消声器。</w:t>
                  </w:r>
                </w:p>
              </w:tc>
              <w:tc>
                <w:tcPr>
                  <w:tcW w:w="442" w:type="pct"/>
                  <w:tcBorders>
                    <w:tl2br w:val="nil"/>
                    <w:tr2bl w:val="nil"/>
                  </w:tcBorders>
                  <w:noWrap/>
                  <w:vAlign w:val="center"/>
                </w:tcPr>
                <w:p w14:paraId="3DA589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稳定声源</w:t>
                  </w:r>
                </w:p>
              </w:tc>
            </w:tr>
            <w:tr w14:paraId="2CD940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6729F9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9</w:t>
                  </w:r>
                </w:p>
              </w:tc>
              <w:tc>
                <w:tcPr>
                  <w:tcW w:w="763" w:type="pct"/>
                  <w:tcBorders>
                    <w:tl2br w:val="nil"/>
                    <w:tr2bl w:val="nil"/>
                  </w:tcBorders>
                  <w:noWrap/>
                  <w:vAlign w:val="center"/>
                </w:tcPr>
                <w:p w14:paraId="06A4DB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增压</w:t>
                  </w:r>
                  <w:r>
                    <w:rPr>
                      <w:rFonts w:hint="eastAsia" w:ascii="Times New Roman" w:hAnsi="Times New Roman" w:eastAsia="宋体" w:cs="Times New Roman"/>
                      <w:i w:val="0"/>
                      <w:iCs w:val="0"/>
                      <w:color w:val="auto"/>
                      <w:kern w:val="0"/>
                      <w:sz w:val="21"/>
                      <w:szCs w:val="21"/>
                      <w:u w:val="none"/>
                      <w:lang w:val="en-US" w:eastAsia="zh-CN" w:bidi="ar"/>
                    </w:rPr>
                    <w:t>透平</w:t>
                  </w:r>
                  <w:r>
                    <w:rPr>
                      <w:rFonts w:hint="default" w:ascii="Times New Roman" w:hAnsi="Times New Roman" w:eastAsia="宋体" w:cs="Times New Roman"/>
                      <w:i w:val="0"/>
                      <w:iCs w:val="0"/>
                      <w:color w:val="auto"/>
                      <w:kern w:val="0"/>
                      <w:sz w:val="21"/>
                      <w:szCs w:val="21"/>
                      <w:u w:val="none"/>
                      <w:lang w:val="en-US" w:eastAsia="zh-CN" w:bidi="ar"/>
                    </w:rPr>
                    <w:t>膨胀机2</w:t>
                  </w:r>
                </w:p>
              </w:tc>
              <w:tc>
                <w:tcPr>
                  <w:tcW w:w="297" w:type="pct"/>
                  <w:tcBorders>
                    <w:tl2br w:val="nil"/>
                    <w:tr2bl w:val="nil"/>
                  </w:tcBorders>
                  <w:noWrap/>
                  <w:vAlign w:val="center"/>
                </w:tcPr>
                <w:p w14:paraId="6E4952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751ACE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2</w:t>
                  </w:r>
                </w:p>
              </w:tc>
              <w:tc>
                <w:tcPr>
                  <w:tcW w:w="300" w:type="pct"/>
                  <w:tcBorders>
                    <w:tl2br w:val="nil"/>
                    <w:tr2bl w:val="nil"/>
                  </w:tcBorders>
                  <w:noWrap/>
                  <w:vAlign w:val="center"/>
                </w:tcPr>
                <w:p w14:paraId="312639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w:t>
                  </w:r>
                </w:p>
              </w:tc>
              <w:tc>
                <w:tcPr>
                  <w:tcW w:w="284" w:type="pct"/>
                  <w:tcBorders>
                    <w:tl2br w:val="nil"/>
                    <w:tr2bl w:val="nil"/>
                  </w:tcBorders>
                  <w:noWrap/>
                  <w:vAlign w:val="center"/>
                </w:tcPr>
                <w:p w14:paraId="6CFD72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496" w:type="pct"/>
                  <w:tcBorders>
                    <w:tl2br w:val="nil"/>
                    <w:tr2bl w:val="nil"/>
                  </w:tcBorders>
                  <w:noWrap/>
                  <w:vAlign w:val="center"/>
                </w:tcPr>
                <w:p w14:paraId="51E97B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75/1</w:t>
                  </w:r>
                </w:p>
              </w:tc>
              <w:tc>
                <w:tcPr>
                  <w:tcW w:w="1929" w:type="pct"/>
                  <w:vMerge w:val="continue"/>
                  <w:tcBorders>
                    <w:tl2br w:val="nil"/>
                    <w:tr2bl w:val="nil"/>
                  </w:tcBorders>
                  <w:noWrap/>
                  <w:vAlign w:val="center"/>
                </w:tcPr>
                <w:p w14:paraId="04578F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p>
              </w:tc>
              <w:tc>
                <w:tcPr>
                  <w:tcW w:w="442" w:type="pct"/>
                  <w:tcBorders>
                    <w:tl2br w:val="nil"/>
                    <w:tr2bl w:val="nil"/>
                  </w:tcBorders>
                  <w:noWrap/>
                  <w:vAlign w:val="center"/>
                </w:tcPr>
                <w:p w14:paraId="43B249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稳定声源</w:t>
                  </w:r>
                </w:p>
              </w:tc>
            </w:tr>
            <w:tr w14:paraId="286E4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1BB162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10</w:t>
                  </w:r>
                </w:p>
              </w:tc>
              <w:tc>
                <w:tcPr>
                  <w:tcW w:w="763" w:type="pct"/>
                  <w:tcBorders>
                    <w:tl2br w:val="nil"/>
                    <w:tr2bl w:val="nil"/>
                  </w:tcBorders>
                  <w:noWrap/>
                  <w:vAlign w:val="center"/>
                </w:tcPr>
                <w:p w14:paraId="1E054D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空冷器1</w:t>
                  </w:r>
                </w:p>
              </w:tc>
              <w:tc>
                <w:tcPr>
                  <w:tcW w:w="297" w:type="pct"/>
                  <w:tcBorders>
                    <w:tl2br w:val="nil"/>
                    <w:tr2bl w:val="nil"/>
                  </w:tcBorders>
                  <w:noWrap/>
                  <w:vAlign w:val="center"/>
                </w:tcPr>
                <w:p w14:paraId="203451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0FAA27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2</w:t>
                  </w:r>
                </w:p>
              </w:tc>
              <w:tc>
                <w:tcPr>
                  <w:tcW w:w="300" w:type="pct"/>
                  <w:tcBorders>
                    <w:tl2br w:val="nil"/>
                    <w:tr2bl w:val="nil"/>
                  </w:tcBorders>
                  <w:noWrap/>
                  <w:vAlign w:val="center"/>
                </w:tcPr>
                <w:p w14:paraId="2E0E58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-73</w:t>
                  </w:r>
                </w:p>
              </w:tc>
              <w:tc>
                <w:tcPr>
                  <w:tcW w:w="284" w:type="pct"/>
                  <w:tcBorders>
                    <w:tl2br w:val="nil"/>
                    <w:tr2bl w:val="nil"/>
                  </w:tcBorders>
                  <w:noWrap/>
                  <w:vAlign w:val="center"/>
                </w:tcPr>
                <w:p w14:paraId="67E70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496" w:type="pct"/>
                  <w:tcBorders>
                    <w:tl2br w:val="nil"/>
                    <w:tr2bl w:val="nil"/>
                  </w:tcBorders>
                  <w:noWrap/>
                  <w:vAlign w:val="center"/>
                </w:tcPr>
                <w:p w14:paraId="7766A0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restart"/>
                  <w:tcBorders>
                    <w:tl2br w:val="nil"/>
                    <w:tr2bl w:val="nil"/>
                  </w:tcBorders>
                  <w:noWrap/>
                  <w:vAlign w:val="center"/>
                </w:tcPr>
                <w:p w14:paraId="2F5DAD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hint="eastAsia" w:ascii="Times New Roman" w:hAnsi="Times New Roman" w:eastAsia="宋体" w:cs="Times New Roman"/>
                      <w:color w:val="auto"/>
                      <w:kern w:val="0"/>
                      <w:sz w:val="21"/>
                      <w:szCs w:val="21"/>
                      <w:lang w:val="en-US" w:eastAsia="zh-CN" w:bidi="ar"/>
                    </w:rPr>
                    <w:t>选用低噪声设备，基础减震，润滑保养</w:t>
                  </w:r>
                  <w:r>
                    <w:rPr>
                      <w:rFonts w:hint="eastAsia" w:ascii="宋体" w:hAnsi="宋体" w:eastAsia="宋体" w:cs="宋体"/>
                      <w:color w:val="auto"/>
                      <w:kern w:val="0"/>
                      <w:sz w:val="21"/>
                      <w:szCs w:val="21"/>
                      <w:lang w:val="en-US" w:eastAsia="zh-CN" w:bidi="ar"/>
                    </w:rPr>
                    <w:t>。</w:t>
                  </w:r>
                </w:p>
              </w:tc>
              <w:tc>
                <w:tcPr>
                  <w:tcW w:w="442" w:type="pct"/>
                  <w:tcBorders>
                    <w:tl2br w:val="nil"/>
                    <w:tr2bl w:val="nil"/>
                  </w:tcBorders>
                  <w:noWrap/>
                  <w:vAlign w:val="center"/>
                </w:tcPr>
                <w:p w14:paraId="2B95E7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稳定声源</w:t>
                  </w:r>
                </w:p>
              </w:tc>
            </w:tr>
            <w:tr w14:paraId="0E4E61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37F7E2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11</w:t>
                  </w:r>
                </w:p>
              </w:tc>
              <w:tc>
                <w:tcPr>
                  <w:tcW w:w="763" w:type="pct"/>
                  <w:tcBorders>
                    <w:tl2br w:val="nil"/>
                    <w:tr2bl w:val="nil"/>
                  </w:tcBorders>
                  <w:noWrap/>
                  <w:vAlign w:val="center"/>
                </w:tcPr>
                <w:p w14:paraId="617A28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空冷器2</w:t>
                  </w:r>
                </w:p>
              </w:tc>
              <w:tc>
                <w:tcPr>
                  <w:tcW w:w="297" w:type="pct"/>
                  <w:tcBorders>
                    <w:tl2br w:val="nil"/>
                    <w:tr2bl w:val="nil"/>
                  </w:tcBorders>
                  <w:noWrap/>
                  <w:vAlign w:val="center"/>
                </w:tcPr>
                <w:p w14:paraId="7EF647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0C164F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1</w:t>
                  </w:r>
                </w:p>
              </w:tc>
              <w:tc>
                <w:tcPr>
                  <w:tcW w:w="300" w:type="pct"/>
                  <w:tcBorders>
                    <w:tl2br w:val="nil"/>
                    <w:tr2bl w:val="nil"/>
                  </w:tcBorders>
                  <w:noWrap/>
                  <w:vAlign w:val="center"/>
                </w:tcPr>
                <w:p w14:paraId="4EA250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w:t>
                  </w:r>
                </w:p>
              </w:tc>
              <w:tc>
                <w:tcPr>
                  <w:tcW w:w="284" w:type="pct"/>
                  <w:tcBorders>
                    <w:tl2br w:val="nil"/>
                    <w:tr2bl w:val="nil"/>
                  </w:tcBorders>
                  <w:noWrap/>
                  <w:vAlign w:val="center"/>
                </w:tcPr>
                <w:p w14:paraId="75F2F1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496" w:type="pct"/>
                  <w:tcBorders>
                    <w:tl2br w:val="nil"/>
                    <w:tr2bl w:val="nil"/>
                  </w:tcBorders>
                  <w:noWrap/>
                  <w:vAlign w:val="center"/>
                </w:tcPr>
                <w:p w14:paraId="141AC7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continue"/>
                  <w:tcBorders>
                    <w:tl2br w:val="nil"/>
                    <w:tr2bl w:val="nil"/>
                  </w:tcBorders>
                  <w:noWrap/>
                  <w:vAlign w:val="center"/>
                </w:tcPr>
                <w:p w14:paraId="513854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p>
              </w:tc>
              <w:tc>
                <w:tcPr>
                  <w:tcW w:w="442" w:type="pct"/>
                  <w:tcBorders>
                    <w:tl2br w:val="nil"/>
                    <w:tr2bl w:val="nil"/>
                  </w:tcBorders>
                  <w:noWrap/>
                  <w:vAlign w:val="center"/>
                </w:tcPr>
                <w:p w14:paraId="3D5129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稳定声源</w:t>
                  </w:r>
                </w:p>
              </w:tc>
            </w:tr>
            <w:tr w14:paraId="3BD0B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7D0E5B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12</w:t>
                  </w:r>
                </w:p>
              </w:tc>
              <w:tc>
                <w:tcPr>
                  <w:tcW w:w="763" w:type="pct"/>
                  <w:tcBorders>
                    <w:tl2br w:val="nil"/>
                    <w:tr2bl w:val="nil"/>
                  </w:tcBorders>
                  <w:noWrap/>
                  <w:vAlign w:val="center"/>
                </w:tcPr>
                <w:p w14:paraId="7D8123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工业液氧输送泵</w:t>
                  </w:r>
                </w:p>
              </w:tc>
              <w:tc>
                <w:tcPr>
                  <w:tcW w:w="297" w:type="pct"/>
                  <w:tcBorders>
                    <w:tl2br w:val="nil"/>
                    <w:tr2bl w:val="nil"/>
                  </w:tcBorders>
                  <w:noWrap/>
                  <w:vAlign w:val="center"/>
                </w:tcPr>
                <w:p w14:paraId="3A035A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01E944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w:t>
                  </w:r>
                </w:p>
              </w:tc>
              <w:tc>
                <w:tcPr>
                  <w:tcW w:w="300" w:type="pct"/>
                  <w:tcBorders>
                    <w:tl2br w:val="nil"/>
                    <w:tr2bl w:val="nil"/>
                  </w:tcBorders>
                  <w:noWrap/>
                  <w:vAlign w:val="center"/>
                </w:tcPr>
                <w:p w14:paraId="23BDD8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-187</w:t>
                  </w:r>
                </w:p>
              </w:tc>
              <w:tc>
                <w:tcPr>
                  <w:tcW w:w="284" w:type="pct"/>
                  <w:tcBorders>
                    <w:tl2br w:val="nil"/>
                    <w:tr2bl w:val="nil"/>
                  </w:tcBorders>
                  <w:noWrap/>
                  <w:vAlign w:val="center"/>
                </w:tcPr>
                <w:p w14:paraId="1FA33E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w:t>
                  </w:r>
                </w:p>
              </w:tc>
              <w:tc>
                <w:tcPr>
                  <w:tcW w:w="496" w:type="pct"/>
                  <w:tcBorders>
                    <w:tl2br w:val="nil"/>
                    <w:tr2bl w:val="nil"/>
                  </w:tcBorders>
                  <w:noWrap/>
                  <w:vAlign w:val="center"/>
                </w:tcPr>
                <w:p w14:paraId="37F83F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restart"/>
                  <w:tcBorders>
                    <w:tl2br w:val="nil"/>
                    <w:tr2bl w:val="nil"/>
                  </w:tcBorders>
                  <w:noWrap/>
                  <w:vAlign w:val="center"/>
                </w:tcPr>
                <w:p w14:paraId="508185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rPr>
                    <w:t>选用低噪设备、基础减震、润滑保养、设置隔声罩</w:t>
                  </w:r>
                  <w:r>
                    <w:rPr>
                      <w:rFonts w:hint="eastAsia" w:ascii="Times New Roman" w:hAnsi="Times New Roman"/>
                      <w:color w:val="auto"/>
                      <w:sz w:val="21"/>
                      <w:szCs w:val="21"/>
                      <w:lang w:eastAsia="zh-CN"/>
                    </w:rPr>
                    <w:t>。</w:t>
                  </w:r>
                </w:p>
              </w:tc>
              <w:tc>
                <w:tcPr>
                  <w:tcW w:w="442" w:type="pct"/>
                  <w:tcBorders>
                    <w:tl2br w:val="nil"/>
                    <w:tr2bl w:val="nil"/>
                  </w:tcBorders>
                  <w:noWrap/>
                  <w:vAlign w:val="center"/>
                </w:tcPr>
                <w:p w14:paraId="31902E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稳定声源</w:t>
                  </w:r>
                </w:p>
              </w:tc>
            </w:tr>
            <w:tr w14:paraId="66E68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shd w:val="clear" w:color="auto" w:fill="auto"/>
                  <w:noWrap/>
                  <w:vAlign w:val="center"/>
                </w:tcPr>
                <w:p w14:paraId="5C22BC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kern w:val="0"/>
                      <w:sz w:val="21"/>
                      <w:szCs w:val="21"/>
                      <w:lang w:bidi="ar"/>
                    </w:rPr>
                    <w:t>13</w:t>
                  </w:r>
                </w:p>
              </w:tc>
              <w:tc>
                <w:tcPr>
                  <w:tcW w:w="763" w:type="pct"/>
                  <w:tcBorders>
                    <w:tl2br w:val="nil"/>
                    <w:tr2bl w:val="nil"/>
                  </w:tcBorders>
                  <w:noWrap/>
                  <w:vAlign w:val="center"/>
                </w:tcPr>
                <w:p w14:paraId="4EA3D9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医用</w:t>
                  </w:r>
                  <w:r>
                    <w:rPr>
                      <w:rFonts w:hint="default" w:ascii="Times New Roman" w:hAnsi="Times New Roman" w:eastAsia="宋体" w:cs="Times New Roman"/>
                      <w:i w:val="0"/>
                      <w:iCs w:val="0"/>
                      <w:color w:val="auto"/>
                      <w:kern w:val="0"/>
                      <w:sz w:val="21"/>
                      <w:szCs w:val="21"/>
                      <w:u w:val="none"/>
                      <w:lang w:val="en-US" w:eastAsia="zh-CN" w:bidi="ar"/>
                    </w:rPr>
                    <w:t>液氧输送泵</w:t>
                  </w:r>
                </w:p>
              </w:tc>
              <w:tc>
                <w:tcPr>
                  <w:tcW w:w="297" w:type="pct"/>
                  <w:tcBorders>
                    <w:tl2br w:val="nil"/>
                    <w:tr2bl w:val="nil"/>
                  </w:tcBorders>
                  <w:noWrap/>
                  <w:vAlign w:val="center"/>
                </w:tcPr>
                <w:p w14:paraId="4A7C61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shd w:val="clear" w:color="auto" w:fill="auto"/>
                  <w:noWrap/>
                  <w:vAlign w:val="center"/>
                </w:tcPr>
                <w:p w14:paraId="36EB32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86</w:t>
                  </w:r>
                </w:p>
              </w:tc>
              <w:tc>
                <w:tcPr>
                  <w:tcW w:w="300" w:type="pct"/>
                  <w:tcBorders>
                    <w:tl2br w:val="nil"/>
                    <w:tr2bl w:val="nil"/>
                  </w:tcBorders>
                  <w:shd w:val="clear" w:color="auto" w:fill="auto"/>
                  <w:noWrap/>
                  <w:vAlign w:val="center"/>
                </w:tcPr>
                <w:p w14:paraId="7FD174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-206</w:t>
                  </w:r>
                </w:p>
              </w:tc>
              <w:tc>
                <w:tcPr>
                  <w:tcW w:w="284" w:type="pct"/>
                  <w:tcBorders>
                    <w:tl2br w:val="nil"/>
                    <w:tr2bl w:val="nil"/>
                  </w:tcBorders>
                  <w:shd w:val="clear" w:color="auto" w:fill="auto"/>
                  <w:noWrap/>
                  <w:vAlign w:val="center"/>
                </w:tcPr>
                <w:p w14:paraId="21C552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496" w:type="pct"/>
                  <w:tcBorders>
                    <w:tl2br w:val="nil"/>
                    <w:tr2bl w:val="nil"/>
                  </w:tcBorders>
                  <w:shd w:val="clear" w:color="auto" w:fill="auto"/>
                  <w:noWrap/>
                  <w:vAlign w:val="center"/>
                </w:tcPr>
                <w:p w14:paraId="70353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75/1</w:t>
                  </w:r>
                </w:p>
              </w:tc>
              <w:tc>
                <w:tcPr>
                  <w:tcW w:w="1929" w:type="pct"/>
                  <w:vMerge w:val="continue"/>
                  <w:tcBorders>
                    <w:tl2br w:val="nil"/>
                    <w:tr2bl w:val="nil"/>
                  </w:tcBorders>
                  <w:noWrap/>
                  <w:vAlign w:val="center"/>
                </w:tcPr>
                <w:p w14:paraId="21639B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olor w:val="auto"/>
                      <w:sz w:val="21"/>
                      <w:szCs w:val="21"/>
                    </w:rPr>
                  </w:pPr>
                </w:p>
              </w:tc>
              <w:tc>
                <w:tcPr>
                  <w:tcW w:w="1205" w:type="dxa"/>
                  <w:tcBorders>
                    <w:tl2br w:val="nil"/>
                    <w:tr2bl w:val="nil"/>
                  </w:tcBorders>
                  <w:noWrap/>
                  <w:vAlign w:val="center"/>
                </w:tcPr>
                <w:p w14:paraId="3D7D1C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稳定声源</w:t>
                  </w:r>
                </w:p>
              </w:tc>
            </w:tr>
            <w:tr w14:paraId="3FCF8C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shd w:val="clear" w:color="auto" w:fill="auto"/>
                  <w:noWrap/>
                  <w:vAlign w:val="center"/>
                </w:tcPr>
                <w:p w14:paraId="3C9235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kern w:val="0"/>
                      <w:sz w:val="21"/>
                      <w:szCs w:val="21"/>
                      <w:lang w:bidi="ar"/>
                    </w:rPr>
                    <w:t>14</w:t>
                  </w:r>
                </w:p>
              </w:tc>
              <w:tc>
                <w:tcPr>
                  <w:tcW w:w="763" w:type="pct"/>
                  <w:tcBorders>
                    <w:tl2br w:val="nil"/>
                    <w:tr2bl w:val="nil"/>
                  </w:tcBorders>
                  <w:noWrap/>
                  <w:vAlign w:val="center"/>
                </w:tcPr>
                <w:p w14:paraId="0A4DE8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液氮输送泵</w:t>
                  </w:r>
                </w:p>
              </w:tc>
              <w:tc>
                <w:tcPr>
                  <w:tcW w:w="297" w:type="pct"/>
                  <w:tcBorders>
                    <w:tl2br w:val="nil"/>
                    <w:tr2bl w:val="nil"/>
                  </w:tcBorders>
                  <w:noWrap/>
                  <w:vAlign w:val="center"/>
                </w:tcPr>
                <w:p w14:paraId="333B95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shd w:val="clear" w:color="auto" w:fill="auto"/>
                  <w:noWrap/>
                  <w:vAlign w:val="center"/>
                </w:tcPr>
                <w:p w14:paraId="673AB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86</w:t>
                  </w:r>
                </w:p>
              </w:tc>
              <w:tc>
                <w:tcPr>
                  <w:tcW w:w="300" w:type="pct"/>
                  <w:tcBorders>
                    <w:tl2br w:val="nil"/>
                    <w:tr2bl w:val="nil"/>
                  </w:tcBorders>
                  <w:shd w:val="clear" w:color="auto" w:fill="auto"/>
                  <w:noWrap/>
                  <w:vAlign w:val="center"/>
                </w:tcPr>
                <w:p w14:paraId="316DBD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284" w:type="pct"/>
                  <w:tcBorders>
                    <w:tl2br w:val="nil"/>
                    <w:tr2bl w:val="nil"/>
                  </w:tcBorders>
                  <w:shd w:val="clear" w:color="auto" w:fill="auto"/>
                  <w:noWrap/>
                  <w:vAlign w:val="center"/>
                </w:tcPr>
                <w:p w14:paraId="5C2500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w:t>
                  </w:r>
                </w:p>
              </w:tc>
              <w:tc>
                <w:tcPr>
                  <w:tcW w:w="496" w:type="pct"/>
                  <w:tcBorders>
                    <w:tl2br w:val="nil"/>
                    <w:tr2bl w:val="nil"/>
                  </w:tcBorders>
                  <w:shd w:val="clear" w:color="auto" w:fill="auto"/>
                  <w:noWrap/>
                  <w:vAlign w:val="center"/>
                </w:tcPr>
                <w:p w14:paraId="066906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continue"/>
                  <w:tcBorders>
                    <w:tl2br w:val="nil"/>
                    <w:tr2bl w:val="nil"/>
                  </w:tcBorders>
                  <w:noWrap/>
                  <w:vAlign w:val="center"/>
                </w:tcPr>
                <w:p w14:paraId="62AF08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olor w:val="auto"/>
                      <w:sz w:val="21"/>
                      <w:szCs w:val="21"/>
                    </w:rPr>
                  </w:pPr>
                </w:p>
              </w:tc>
              <w:tc>
                <w:tcPr>
                  <w:tcW w:w="1205" w:type="dxa"/>
                  <w:tcBorders>
                    <w:tl2br w:val="nil"/>
                    <w:tr2bl w:val="nil"/>
                  </w:tcBorders>
                  <w:noWrap/>
                  <w:vAlign w:val="center"/>
                </w:tcPr>
                <w:p w14:paraId="07EF77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稳定声源</w:t>
                  </w:r>
                </w:p>
              </w:tc>
            </w:tr>
            <w:tr w14:paraId="38D08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shd w:val="clear" w:color="auto" w:fill="auto"/>
                  <w:noWrap/>
                  <w:vAlign w:val="center"/>
                </w:tcPr>
                <w:p w14:paraId="442790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kern w:val="0"/>
                      <w:sz w:val="21"/>
                      <w:szCs w:val="21"/>
                      <w:lang w:bidi="ar"/>
                    </w:rPr>
                    <w:t>15</w:t>
                  </w:r>
                </w:p>
              </w:tc>
              <w:tc>
                <w:tcPr>
                  <w:tcW w:w="763" w:type="pct"/>
                  <w:tcBorders>
                    <w:tl2br w:val="nil"/>
                    <w:tr2bl w:val="nil"/>
                  </w:tcBorders>
                  <w:noWrap/>
                  <w:vAlign w:val="center"/>
                </w:tcPr>
                <w:p w14:paraId="02308F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液氩输送泵</w:t>
                  </w:r>
                </w:p>
              </w:tc>
              <w:tc>
                <w:tcPr>
                  <w:tcW w:w="297" w:type="pct"/>
                  <w:tcBorders>
                    <w:tl2br w:val="nil"/>
                    <w:tr2bl w:val="nil"/>
                  </w:tcBorders>
                  <w:noWrap/>
                  <w:vAlign w:val="center"/>
                </w:tcPr>
                <w:p w14:paraId="0369E3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shd w:val="clear" w:color="auto" w:fill="auto"/>
                  <w:noWrap/>
                  <w:vAlign w:val="center"/>
                </w:tcPr>
                <w:p w14:paraId="637802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86</w:t>
                  </w:r>
                </w:p>
              </w:tc>
              <w:tc>
                <w:tcPr>
                  <w:tcW w:w="300" w:type="pct"/>
                  <w:tcBorders>
                    <w:tl2br w:val="nil"/>
                    <w:tr2bl w:val="nil"/>
                  </w:tcBorders>
                  <w:shd w:val="clear" w:color="auto" w:fill="auto"/>
                  <w:noWrap/>
                  <w:vAlign w:val="center"/>
                </w:tcPr>
                <w:p w14:paraId="1CB03C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284" w:type="pct"/>
                  <w:tcBorders>
                    <w:tl2br w:val="nil"/>
                    <w:tr2bl w:val="nil"/>
                  </w:tcBorders>
                  <w:shd w:val="clear" w:color="auto" w:fill="auto"/>
                  <w:noWrap/>
                  <w:vAlign w:val="center"/>
                </w:tcPr>
                <w:p w14:paraId="7722B8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w:t>
                  </w:r>
                </w:p>
              </w:tc>
              <w:tc>
                <w:tcPr>
                  <w:tcW w:w="496" w:type="pct"/>
                  <w:tcBorders>
                    <w:tl2br w:val="nil"/>
                    <w:tr2bl w:val="nil"/>
                  </w:tcBorders>
                  <w:shd w:val="clear" w:color="auto" w:fill="auto"/>
                  <w:noWrap/>
                  <w:vAlign w:val="center"/>
                </w:tcPr>
                <w:p w14:paraId="3527B0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continue"/>
                  <w:tcBorders>
                    <w:tl2br w:val="nil"/>
                    <w:tr2bl w:val="nil"/>
                  </w:tcBorders>
                  <w:noWrap/>
                  <w:vAlign w:val="center"/>
                </w:tcPr>
                <w:p w14:paraId="324D2F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olor w:val="auto"/>
                      <w:sz w:val="21"/>
                      <w:szCs w:val="21"/>
                    </w:rPr>
                  </w:pPr>
                </w:p>
              </w:tc>
              <w:tc>
                <w:tcPr>
                  <w:tcW w:w="1205" w:type="dxa"/>
                  <w:tcBorders>
                    <w:tl2br w:val="nil"/>
                    <w:tr2bl w:val="nil"/>
                  </w:tcBorders>
                  <w:noWrap/>
                  <w:vAlign w:val="center"/>
                </w:tcPr>
                <w:p w14:paraId="61A496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稳定声源</w:t>
                  </w:r>
                </w:p>
              </w:tc>
            </w:tr>
            <w:tr w14:paraId="136B0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shd w:val="clear" w:color="auto" w:fill="auto"/>
                  <w:noWrap/>
                  <w:vAlign w:val="center"/>
                </w:tcPr>
                <w:p w14:paraId="5B2162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16</w:t>
                  </w:r>
                </w:p>
              </w:tc>
              <w:tc>
                <w:tcPr>
                  <w:tcW w:w="763" w:type="pct"/>
                  <w:tcBorders>
                    <w:tl2br w:val="nil"/>
                    <w:tr2bl w:val="nil"/>
                  </w:tcBorders>
                  <w:noWrap/>
                  <w:vAlign w:val="center"/>
                </w:tcPr>
                <w:p w14:paraId="1216EF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液态二氧化碳输</w:t>
                  </w:r>
                </w:p>
                <w:p w14:paraId="0FB32F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送泵</w:t>
                  </w:r>
                </w:p>
              </w:tc>
              <w:tc>
                <w:tcPr>
                  <w:tcW w:w="297" w:type="pct"/>
                  <w:tcBorders>
                    <w:tl2br w:val="nil"/>
                    <w:tr2bl w:val="nil"/>
                  </w:tcBorders>
                  <w:noWrap/>
                  <w:vAlign w:val="center"/>
                </w:tcPr>
                <w:p w14:paraId="360A55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shd w:val="clear" w:color="auto" w:fill="auto"/>
                  <w:noWrap/>
                  <w:vAlign w:val="center"/>
                </w:tcPr>
                <w:p w14:paraId="47B02F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88</w:t>
                  </w:r>
                </w:p>
              </w:tc>
              <w:tc>
                <w:tcPr>
                  <w:tcW w:w="300" w:type="pct"/>
                  <w:tcBorders>
                    <w:tl2br w:val="nil"/>
                    <w:tr2bl w:val="nil"/>
                  </w:tcBorders>
                  <w:shd w:val="clear" w:color="auto" w:fill="auto"/>
                  <w:noWrap/>
                  <w:vAlign w:val="center"/>
                </w:tcPr>
                <w:p w14:paraId="7672B4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284" w:type="pct"/>
                  <w:tcBorders>
                    <w:tl2br w:val="nil"/>
                    <w:tr2bl w:val="nil"/>
                  </w:tcBorders>
                  <w:shd w:val="clear" w:color="auto" w:fill="auto"/>
                  <w:noWrap/>
                  <w:vAlign w:val="center"/>
                </w:tcPr>
                <w:p w14:paraId="593333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w:t>
                  </w:r>
                </w:p>
              </w:tc>
              <w:tc>
                <w:tcPr>
                  <w:tcW w:w="496" w:type="pct"/>
                  <w:tcBorders>
                    <w:tl2br w:val="nil"/>
                    <w:tr2bl w:val="nil"/>
                  </w:tcBorders>
                  <w:shd w:val="clear" w:color="auto" w:fill="auto"/>
                  <w:noWrap/>
                  <w:vAlign w:val="center"/>
                </w:tcPr>
                <w:p w14:paraId="27FA97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continue"/>
                  <w:tcBorders>
                    <w:tl2br w:val="nil"/>
                    <w:tr2bl w:val="nil"/>
                  </w:tcBorders>
                  <w:noWrap/>
                  <w:vAlign w:val="center"/>
                </w:tcPr>
                <w:p w14:paraId="03CED3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olor w:val="auto"/>
                      <w:sz w:val="21"/>
                      <w:szCs w:val="21"/>
                    </w:rPr>
                  </w:pPr>
                </w:p>
              </w:tc>
              <w:tc>
                <w:tcPr>
                  <w:tcW w:w="1205" w:type="dxa"/>
                  <w:tcBorders>
                    <w:tl2br w:val="nil"/>
                    <w:tr2bl w:val="nil"/>
                  </w:tcBorders>
                  <w:noWrap/>
                  <w:vAlign w:val="center"/>
                </w:tcPr>
                <w:p w14:paraId="52B23A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稳定声源</w:t>
                  </w:r>
                </w:p>
              </w:tc>
            </w:tr>
            <w:tr w14:paraId="7E0B9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shd w:val="clear" w:color="auto" w:fill="auto"/>
                  <w:noWrap/>
                  <w:vAlign w:val="center"/>
                </w:tcPr>
                <w:p w14:paraId="05F08C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17</w:t>
                  </w:r>
                </w:p>
              </w:tc>
              <w:tc>
                <w:tcPr>
                  <w:tcW w:w="763" w:type="pct"/>
                  <w:tcBorders>
                    <w:tl2br w:val="nil"/>
                    <w:tr2bl w:val="nil"/>
                  </w:tcBorders>
                  <w:noWrap/>
                  <w:vAlign w:val="center"/>
                </w:tcPr>
                <w:p w14:paraId="35A724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工业</w:t>
                  </w:r>
                  <w:r>
                    <w:rPr>
                      <w:rFonts w:hint="default" w:ascii="Times New Roman" w:hAnsi="Times New Roman" w:eastAsia="宋体" w:cs="Times New Roman"/>
                      <w:i w:val="0"/>
                      <w:iCs w:val="0"/>
                      <w:color w:val="auto"/>
                      <w:kern w:val="0"/>
                      <w:sz w:val="21"/>
                      <w:szCs w:val="21"/>
                      <w:u w:val="none"/>
                      <w:lang w:val="en-US" w:eastAsia="zh-CN" w:bidi="ar"/>
                    </w:rPr>
                    <w:t>液氧汽化器</w:t>
                  </w:r>
                </w:p>
              </w:tc>
              <w:tc>
                <w:tcPr>
                  <w:tcW w:w="297" w:type="pct"/>
                  <w:tcBorders>
                    <w:tl2br w:val="nil"/>
                    <w:tr2bl w:val="nil"/>
                  </w:tcBorders>
                  <w:noWrap/>
                  <w:vAlign w:val="center"/>
                </w:tcPr>
                <w:p w14:paraId="1F39FD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shd w:val="clear" w:color="auto" w:fill="auto"/>
                  <w:noWrap/>
                  <w:vAlign w:val="center"/>
                </w:tcPr>
                <w:p w14:paraId="18F693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300" w:type="pct"/>
                  <w:tcBorders>
                    <w:tl2br w:val="nil"/>
                    <w:tr2bl w:val="nil"/>
                  </w:tcBorders>
                  <w:shd w:val="clear" w:color="auto" w:fill="auto"/>
                  <w:noWrap/>
                  <w:vAlign w:val="center"/>
                </w:tcPr>
                <w:p w14:paraId="6A32B7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05</w:t>
                  </w:r>
                </w:p>
              </w:tc>
              <w:tc>
                <w:tcPr>
                  <w:tcW w:w="284" w:type="pct"/>
                  <w:tcBorders>
                    <w:tl2br w:val="nil"/>
                    <w:tr2bl w:val="nil"/>
                  </w:tcBorders>
                  <w:shd w:val="clear" w:color="auto" w:fill="auto"/>
                  <w:noWrap/>
                  <w:vAlign w:val="center"/>
                </w:tcPr>
                <w:p w14:paraId="37AB9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w:t>
                  </w:r>
                </w:p>
              </w:tc>
              <w:tc>
                <w:tcPr>
                  <w:tcW w:w="496" w:type="pct"/>
                  <w:tcBorders>
                    <w:tl2br w:val="nil"/>
                    <w:tr2bl w:val="nil"/>
                  </w:tcBorders>
                  <w:shd w:val="clear" w:color="auto" w:fill="auto"/>
                  <w:noWrap/>
                  <w:vAlign w:val="center"/>
                </w:tcPr>
                <w:p w14:paraId="4250A6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restart"/>
                  <w:tcBorders>
                    <w:tl2br w:val="nil"/>
                    <w:tr2bl w:val="nil"/>
                  </w:tcBorders>
                  <w:noWrap/>
                  <w:vAlign w:val="center"/>
                </w:tcPr>
                <w:p w14:paraId="68C062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olor w:val="auto"/>
                      <w:sz w:val="21"/>
                      <w:szCs w:val="21"/>
                    </w:rPr>
                  </w:pPr>
                  <w:r>
                    <w:rPr>
                      <w:rFonts w:hint="eastAsia" w:ascii="Times New Roman" w:hAnsi="Times New Roman" w:eastAsia="宋体" w:cs="Times New Roman"/>
                      <w:color w:val="auto"/>
                      <w:kern w:val="0"/>
                      <w:sz w:val="21"/>
                      <w:szCs w:val="21"/>
                      <w:lang w:val="en-US" w:eastAsia="zh-CN" w:bidi="ar"/>
                    </w:rPr>
                    <w:t>选用低噪声设备，基础减震</w:t>
                  </w:r>
                  <w:r>
                    <w:rPr>
                      <w:rFonts w:hint="eastAsia" w:ascii="宋体" w:hAnsi="宋体" w:eastAsia="宋体" w:cs="宋体"/>
                      <w:color w:val="auto"/>
                      <w:kern w:val="0"/>
                      <w:sz w:val="21"/>
                      <w:szCs w:val="21"/>
                      <w:lang w:val="en-US" w:eastAsia="zh-CN" w:bidi="ar"/>
                    </w:rPr>
                    <w:t>。</w:t>
                  </w:r>
                </w:p>
              </w:tc>
              <w:tc>
                <w:tcPr>
                  <w:tcW w:w="1205" w:type="dxa"/>
                  <w:tcBorders>
                    <w:tl2br w:val="nil"/>
                    <w:tr2bl w:val="nil"/>
                  </w:tcBorders>
                  <w:noWrap/>
                  <w:vAlign w:val="center"/>
                </w:tcPr>
                <w:p w14:paraId="27B61EB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稳定声源</w:t>
                  </w:r>
                </w:p>
              </w:tc>
            </w:tr>
            <w:tr w14:paraId="3BBF2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shd w:val="clear" w:color="auto" w:fill="auto"/>
                  <w:noWrap/>
                  <w:vAlign w:val="center"/>
                </w:tcPr>
                <w:p w14:paraId="7564FB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18</w:t>
                  </w:r>
                </w:p>
              </w:tc>
              <w:tc>
                <w:tcPr>
                  <w:tcW w:w="763" w:type="pct"/>
                  <w:tcBorders>
                    <w:tl2br w:val="nil"/>
                    <w:tr2bl w:val="nil"/>
                  </w:tcBorders>
                  <w:noWrap/>
                  <w:vAlign w:val="center"/>
                </w:tcPr>
                <w:p w14:paraId="4FA03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医用液氧汽化器</w:t>
                  </w:r>
                </w:p>
              </w:tc>
              <w:tc>
                <w:tcPr>
                  <w:tcW w:w="297" w:type="pct"/>
                  <w:tcBorders>
                    <w:tl2br w:val="nil"/>
                    <w:tr2bl w:val="nil"/>
                  </w:tcBorders>
                  <w:noWrap/>
                  <w:vAlign w:val="center"/>
                </w:tcPr>
                <w:p w14:paraId="742372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449A06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300" w:type="pct"/>
                  <w:tcBorders>
                    <w:tl2br w:val="nil"/>
                    <w:tr2bl w:val="nil"/>
                  </w:tcBorders>
                  <w:noWrap/>
                  <w:vAlign w:val="center"/>
                </w:tcPr>
                <w:p w14:paraId="5DA475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-110</w:t>
                  </w:r>
                </w:p>
              </w:tc>
              <w:tc>
                <w:tcPr>
                  <w:tcW w:w="284" w:type="pct"/>
                  <w:tcBorders>
                    <w:tl2br w:val="nil"/>
                    <w:tr2bl w:val="nil"/>
                  </w:tcBorders>
                  <w:noWrap/>
                  <w:vAlign w:val="center"/>
                </w:tcPr>
                <w:p w14:paraId="63C434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353" w:type="dxa"/>
                  <w:tcBorders>
                    <w:tl2br w:val="nil"/>
                    <w:tr2bl w:val="nil"/>
                  </w:tcBorders>
                  <w:noWrap/>
                  <w:vAlign w:val="center"/>
                </w:tcPr>
                <w:p w14:paraId="259EB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continue"/>
                  <w:tcBorders>
                    <w:tl2br w:val="nil"/>
                    <w:tr2bl w:val="nil"/>
                  </w:tcBorders>
                  <w:noWrap/>
                  <w:vAlign w:val="center"/>
                </w:tcPr>
                <w:p w14:paraId="4A3901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olor w:val="auto"/>
                      <w:sz w:val="21"/>
                      <w:szCs w:val="21"/>
                    </w:rPr>
                  </w:pPr>
                </w:p>
              </w:tc>
              <w:tc>
                <w:tcPr>
                  <w:tcW w:w="1205" w:type="dxa"/>
                  <w:tcBorders>
                    <w:tl2br w:val="nil"/>
                    <w:tr2bl w:val="nil"/>
                  </w:tcBorders>
                  <w:noWrap/>
                  <w:vAlign w:val="center"/>
                </w:tcPr>
                <w:p w14:paraId="230BF0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稳定声源</w:t>
                  </w:r>
                </w:p>
              </w:tc>
            </w:tr>
            <w:tr w14:paraId="54C06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shd w:val="clear" w:color="auto" w:fill="auto"/>
                  <w:noWrap/>
                  <w:vAlign w:val="center"/>
                </w:tcPr>
                <w:p w14:paraId="4FE0E0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olor w:val="auto"/>
                      <w:kern w:val="0"/>
                      <w:sz w:val="21"/>
                      <w:szCs w:val="21"/>
                      <w:lang w:val="en-US" w:eastAsia="zh-CN" w:bidi="ar"/>
                    </w:rPr>
                    <w:t>19</w:t>
                  </w:r>
                </w:p>
              </w:tc>
              <w:tc>
                <w:tcPr>
                  <w:tcW w:w="763" w:type="pct"/>
                  <w:tcBorders>
                    <w:tl2br w:val="nil"/>
                    <w:tr2bl w:val="nil"/>
                  </w:tcBorders>
                  <w:noWrap/>
                  <w:vAlign w:val="center"/>
                </w:tcPr>
                <w:p w14:paraId="0F4DF1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液氮汽化器</w:t>
                  </w:r>
                </w:p>
              </w:tc>
              <w:tc>
                <w:tcPr>
                  <w:tcW w:w="297" w:type="pct"/>
                  <w:tcBorders>
                    <w:tl2br w:val="nil"/>
                    <w:tr2bl w:val="nil"/>
                  </w:tcBorders>
                  <w:noWrap/>
                  <w:vAlign w:val="center"/>
                </w:tcPr>
                <w:p w14:paraId="42240C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5FC2AC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125</w:t>
                  </w:r>
                </w:p>
              </w:tc>
              <w:tc>
                <w:tcPr>
                  <w:tcW w:w="300" w:type="pct"/>
                  <w:tcBorders>
                    <w:tl2br w:val="nil"/>
                    <w:tr2bl w:val="nil"/>
                  </w:tcBorders>
                  <w:noWrap/>
                  <w:vAlign w:val="center"/>
                </w:tcPr>
                <w:p w14:paraId="79D31C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-90</w:t>
                  </w:r>
                </w:p>
              </w:tc>
              <w:tc>
                <w:tcPr>
                  <w:tcW w:w="284" w:type="pct"/>
                  <w:tcBorders>
                    <w:tl2br w:val="nil"/>
                    <w:tr2bl w:val="nil"/>
                  </w:tcBorders>
                  <w:noWrap/>
                  <w:vAlign w:val="center"/>
                </w:tcPr>
                <w:p w14:paraId="795144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353" w:type="dxa"/>
                  <w:tcBorders>
                    <w:tl2br w:val="nil"/>
                    <w:tr2bl w:val="nil"/>
                  </w:tcBorders>
                  <w:noWrap/>
                  <w:vAlign w:val="center"/>
                </w:tcPr>
                <w:p w14:paraId="3608E5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continue"/>
                  <w:tcBorders>
                    <w:tl2br w:val="nil"/>
                    <w:tr2bl w:val="nil"/>
                  </w:tcBorders>
                  <w:noWrap/>
                  <w:vAlign w:val="center"/>
                </w:tcPr>
                <w:p w14:paraId="217D3A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olor w:val="auto"/>
                      <w:sz w:val="21"/>
                      <w:szCs w:val="21"/>
                    </w:rPr>
                  </w:pPr>
                </w:p>
              </w:tc>
              <w:tc>
                <w:tcPr>
                  <w:tcW w:w="1205" w:type="dxa"/>
                  <w:tcBorders>
                    <w:tl2br w:val="nil"/>
                    <w:tr2bl w:val="nil"/>
                  </w:tcBorders>
                  <w:noWrap/>
                  <w:vAlign w:val="center"/>
                </w:tcPr>
                <w:p w14:paraId="4FF8B34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稳定声源</w:t>
                  </w:r>
                </w:p>
              </w:tc>
            </w:tr>
            <w:tr w14:paraId="4112F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49FA4A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color w:val="auto"/>
                      <w:kern w:val="0"/>
                      <w:sz w:val="21"/>
                      <w:szCs w:val="21"/>
                      <w:lang w:val="en-US" w:eastAsia="zh-CN" w:bidi="ar"/>
                    </w:rPr>
                    <w:t>20</w:t>
                  </w:r>
                </w:p>
              </w:tc>
              <w:tc>
                <w:tcPr>
                  <w:tcW w:w="763" w:type="pct"/>
                  <w:tcBorders>
                    <w:tl2br w:val="nil"/>
                    <w:tr2bl w:val="nil"/>
                  </w:tcBorders>
                  <w:noWrap/>
                  <w:vAlign w:val="center"/>
                </w:tcPr>
                <w:p w14:paraId="34D807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液</w:t>
                  </w:r>
                  <w:r>
                    <w:rPr>
                      <w:rFonts w:hint="eastAsia" w:ascii="Times New Roman" w:hAnsi="Times New Roman" w:eastAsia="宋体" w:cs="Times New Roman"/>
                      <w:i w:val="0"/>
                      <w:iCs w:val="0"/>
                      <w:color w:val="auto"/>
                      <w:kern w:val="0"/>
                      <w:sz w:val="21"/>
                      <w:szCs w:val="21"/>
                      <w:u w:val="none"/>
                      <w:lang w:val="en-US" w:eastAsia="zh-CN" w:bidi="ar"/>
                    </w:rPr>
                    <w:t>氩</w:t>
                  </w:r>
                  <w:r>
                    <w:rPr>
                      <w:rFonts w:hint="default" w:ascii="Times New Roman" w:hAnsi="Times New Roman" w:eastAsia="宋体" w:cs="Times New Roman"/>
                      <w:i w:val="0"/>
                      <w:iCs w:val="0"/>
                      <w:color w:val="auto"/>
                      <w:kern w:val="0"/>
                      <w:sz w:val="21"/>
                      <w:szCs w:val="21"/>
                      <w:u w:val="none"/>
                      <w:lang w:val="en-US" w:eastAsia="zh-CN" w:bidi="ar"/>
                    </w:rPr>
                    <w:t>汽化器</w:t>
                  </w:r>
                </w:p>
              </w:tc>
              <w:tc>
                <w:tcPr>
                  <w:tcW w:w="297" w:type="pct"/>
                  <w:tcBorders>
                    <w:tl2br w:val="nil"/>
                    <w:tr2bl w:val="nil"/>
                  </w:tcBorders>
                  <w:noWrap/>
                  <w:vAlign w:val="center"/>
                </w:tcPr>
                <w:p w14:paraId="572865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0B26A4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125</w:t>
                  </w:r>
                </w:p>
              </w:tc>
              <w:tc>
                <w:tcPr>
                  <w:tcW w:w="300" w:type="pct"/>
                  <w:tcBorders>
                    <w:tl2br w:val="nil"/>
                    <w:tr2bl w:val="nil"/>
                  </w:tcBorders>
                  <w:noWrap/>
                  <w:vAlign w:val="center"/>
                </w:tcPr>
                <w:p w14:paraId="22F626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-92</w:t>
                  </w:r>
                </w:p>
              </w:tc>
              <w:tc>
                <w:tcPr>
                  <w:tcW w:w="284" w:type="pct"/>
                  <w:tcBorders>
                    <w:tl2br w:val="nil"/>
                    <w:tr2bl w:val="nil"/>
                  </w:tcBorders>
                  <w:noWrap/>
                  <w:vAlign w:val="center"/>
                </w:tcPr>
                <w:p w14:paraId="36A8A3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1353" w:type="dxa"/>
                  <w:tcBorders>
                    <w:tl2br w:val="nil"/>
                    <w:tr2bl w:val="nil"/>
                  </w:tcBorders>
                  <w:noWrap/>
                  <w:vAlign w:val="center"/>
                </w:tcPr>
                <w:p w14:paraId="20B1C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continue"/>
                  <w:tcBorders>
                    <w:tl2br w:val="nil"/>
                    <w:tr2bl w:val="nil"/>
                  </w:tcBorders>
                  <w:noWrap/>
                  <w:vAlign w:val="center"/>
                </w:tcPr>
                <w:p w14:paraId="005408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olor w:val="auto"/>
                      <w:sz w:val="21"/>
                      <w:szCs w:val="21"/>
                    </w:rPr>
                  </w:pPr>
                </w:p>
              </w:tc>
              <w:tc>
                <w:tcPr>
                  <w:tcW w:w="1205" w:type="dxa"/>
                  <w:tcBorders>
                    <w:tl2br w:val="nil"/>
                    <w:tr2bl w:val="nil"/>
                  </w:tcBorders>
                  <w:noWrap/>
                  <w:vAlign w:val="center"/>
                </w:tcPr>
                <w:p w14:paraId="0707E1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稳定声源</w:t>
                  </w:r>
                </w:p>
              </w:tc>
            </w:tr>
            <w:tr w14:paraId="4527F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1597B8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color w:val="auto"/>
                      <w:kern w:val="0"/>
                      <w:sz w:val="21"/>
                      <w:szCs w:val="21"/>
                      <w:lang w:val="en-US" w:eastAsia="zh-CN" w:bidi="ar"/>
                    </w:rPr>
                    <w:t>22</w:t>
                  </w:r>
                </w:p>
              </w:tc>
              <w:tc>
                <w:tcPr>
                  <w:tcW w:w="763" w:type="pct"/>
                  <w:tcBorders>
                    <w:tl2br w:val="nil"/>
                    <w:tr2bl w:val="nil"/>
                  </w:tcBorders>
                  <w:noWrap/>
                  <w:vAlign w:val="center"/>
                </w:tcPr>
                <w:p w14:paraId="452D84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丙烷压缩机</w:t>
                  </w:r>
                  <w:r>
                    <w:rPr>
                      <w:rFonts w:hint="eastAsia" w:ascii="Times New Roman" w:hAnsi="Times New Roman" w:eastAsia="宋体" w:cs="Times New Roman"/>
                      <w:i w:val="0"/>
                      <w:iCs w:val="0"/>
                      <w:color w:val="auto"/>
                      <w:kern w:val="0"/>
                      <w:sz w:val="21"/>
                      <w:szCs w:val="21"/>
                      <w:u w:val="none"/>
                      <w:lang w:val="en-US" w:eastAsia="zh-CN" w:bidi="ar"/>
                    </w:rPr>
                    <w:t>1</w:t>
                  </w:r>
                </w:p>
              </w:tc>
              <w:tc>
                <w:tcPr>
                  <w:tcW w:w="297" w:type="pct"/>
                  <w:tcBorders>
                    <w:tl2br w:val="nil"/>
                    <w:tr2bl w:val="nil"/>
                  </w:tcBorders>
                  <w:noWrap/>
                  <w:vAlign w:val="center"/>
                </w:tcPr>
                <w:p w14:paraId="0A5E3E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05B17D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300" w:type="pct"/>
                  <w:tcBorders>
                    <w:tl2br w:val="nil"/>
                    <w:tr2bl w:val="nil"/>
                  </w:tcBorders>
                  <w:noWrap/>
                  <w:vAlign w:val="center"/>
                </w:tcPr>
                <w:p w14:paraId="361810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w:t>
                  </w:r>
                </w:p>
              </w:tc>
              <w:tc>
                <w:tcPr>
                  <w:tcW w:w="284" w:type="pct"/>
                  <w:tcBorders>
                    <w:tl2br w:val="nil"/>
                    <w:tr2bl w:val="nil"/>
                  </w:tcBorders>
                  <w:noWrap/>
                  <w:vAlign w:val="center"/>
                </w:tcPr>
                <w:p w14:paraId="7E239E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496" w:type="pct"/>
                  <w:tcBorders>
                    <w:tl2br w:val="nil"/>
                    <w:tr2bl w:val="nil"/>
                  </w:tcBorders>
                  <w:noWrap/>
                  <w:vAlign w:val="center"/>
                </w:tcPr>
                <w:p w14:paraId="3F8396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80/1</w:t>
                  </w:r>
                </w:p>
              </w:tc>
              <w:tc>
                <w:tcPr>
                  <w:tcW w:w="1929" w:type="pct"/>
                  <w:vMerge w:val="restart"/>
                  <w:tcBorders>
                    <w:tl2br w:val="nil"/>
                    <w:tr2bl w:val="nil"/>
                  </w:tcBorders>
                  <w:noWrap/>
                  <w:vAlign w:val="center"/>
                </w:tcPr>
                <w:p w14:paraId="63FEDD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olor w:val="auto"/>
                      <w:sz w:val="21"/>
                      <w:szCs w:val="21"/>
                    </w:rPr>
                  </w:pPr>
                  <w:r>
                    <w:rPr>
                      <w:rFonts w:hint="eastAsia"/>
                      <w:color w:val="auto"/>
                      <w:sz w:val="21"/>
                      <w:szCs w:val="21"/>
                    </w:rPr>
                    <w:t>选用低噪设备</w:t>
                  </w:r>
                  <w:r>
                    <w:rPr>
                      <w:rFonts w:hint="eastAsia"/>
                      <w:color w:val="auto"/>
                      <w:sz w:val="21"/>
                      <w:szCs w:val="21"/>
                      <w:lang w:eastAsia="zh-CN"/>
                    </w:rPr>
                    <w:t>、</w:t>
                  </w:r>
                  <w:r>
                    <w:rPr>
                      <w:rFonts w:hint="eastAsia" w:ascii="Times New Roman"/>
                      <w:color w:val="auto"/>
                      <w:sz w:val="21"/>
                      <w:szCs w:val="21"/>
                      <w:lang w:val="en-US" w:eastAsia="zh-CN"/>
                    </w:rPr>
                    <w:t>基础减震、润滑保养、设置隔声罩。</w:t>
                  </w:r>
                </w:p>
              </w:tc>
              <w:tc>
                <w:tcPr>
                  <w:tcW w:w="1205" w:type="dxa"/>
                  <w:tcBorders>
                    <w:tl2br w:val="nil"/>
                    <w:tr2bl w:val="nil"/>
                  </w:tcBorders>
                  <w:noWrap/>
                  <w:vAlign w:val="center"/>
                </w:tcPr>
                <w:p w14:paraId="34C1A4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稳定声源</w:t>
                  </w:r>
                </w:p>
              </w:tc>
            </w:tr>
            <w:tr w14:paraId="0BACF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7B6D38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color w:val="auto"/>
                      <w:kern w:val="0"/>
                      <w:sz w:val="21"/>
                      <w:szCs w:val="21"/>
                      <w:lang w:val="en-US" w:eastAsia="zh-CN" w:bidi="ar"/>
                    </w:rPr>
                    <w:t>23</w:t>
                  </w:r>
                </w:p>
              </w:tc>
              <w:tc>
                <w:tcPr>
                  <w:tcW w:w="763" w:type="pct"/>
                  <w:tcBorders>
                    <w:tl2br w:val="nil"/>
                    <w:tr2bl w:val="nil"/>
                  </w:tcBorders>
                  <w:noWrap/>
                  <w:vAlign w:val="center"/>
                </w:tcPr>
                <w:p w14:paraId="2E9252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丙烷压缩机</w:t>
                  </w:r>
                  <w:r>
                    <w:rPr>
                      <w:rFonts w:hint="eastAsia" w:ascii="Times New Roman" w:hAnsi="Times New Roman" w:eastAsia="宋体" w:cs="Times New Roman"/>
                      <w:i w:val="0"/>
                      <w:iCs w:val="0"/>
                      <w:color w:val="auto"/>
                      <w:kern w:val="0"/>
                      <w:sz w:val="21"/>
                      <w:szCs w:val="21"/>
                      <w:u w:val="none"/>
                      <w:lang w:val="en-US" w:eastAsia="zh-CN" w:bidi="ar"/>
                    </w:rPr>
                    <w:t>2</w:t>
                  </w:r>
                </w:p>
              </w:tc>
              <w:tc>
                <w:tcPr>
                  <w:tcW w:w="297" w:type="pct"/>
                  <w:tcBorders>
                    <w:tl2br w:val="nil"/>
                    <w:tr2bl w:val="nil"/>
                  </w:tcBorders>
                  <w:noWrap/>
                  <w:vAlign w:val="center"/>
                </w:tcPr>
                <w:p w14:paraId="2CA270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692246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150</w:t>
                  </w:r>
                </w:p>
              </w:tc>
              <w:tc>
                <w:tcPr>
                  <w:tcW w:w="300" w:type="pct"/>
                  <w:tcBorders>
                    <w:tl2br w:val="nil"/>
                    <w:tr2bl w:val="nil"/>
                  </w:tcBorders>
                  <w:noWrap/>
                  <w:vAlign w:val="center"/>
                </w:tcPr>
                <w:p w14:paraId="1C2C17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-24</w:t>
                  </w:r>
                </w:p>
              </w:tc>
              <w:tc>
                <w:tcPr>
                  <w:tcW w:w="284" w:type="pct"/>
                  <w:tcBorders>
                    <w:tl2br w:val="nil"/>
                    <w:tr2bl w:val="nil"/>
                  </w:tcBorders>
                  <w:noWrap/>
                  <w:vAlign w:val="center"/>
                </w:tcPr>
                <w:p w14:paraId="5FAD8C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353" w:type="dxa"/>
                  <w:tcBorders>
                    <w:tl2br w:val="nil"/>
                    <w:tr2bl w:val="nil"/>
                  </w:tcBorders>
                  <w:noWrap/>
                  <w:vAlign w:val="center"/>
                </w:tcPr>
                <w:p w14:paraId="0E37CD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80/1</w:t>
                  </w:r>
                </w:p>
              </w:tc>
              <w:tc>
                <w:tcPr>
                  <w:tcW w:w="1929" w:type="pct"/>
                  <w:vMerge w:val="continue"/>
                  <w:tcBorders>
                    <w:tl2br w:val="nil"/>
                    <w:tr2bl w:val="nil"/>
                  </w:tcBorders>
                  <w:noWrap/>
                  <w:vAlign w:val="center"/>
                </w:tcPr>
                <w:p w14:paraId="43F08E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olor w:val="auto"/>
                      <w:sz w:val="21"/>
                      <w:szCs w:val="21"/>
                    </w:rPr>
                  </w:pPr>
                </w:p>
              </w:tc>
              <w:tc>
                <w:tcPr>
                  <w:tcW w:w="1205" w:type="dxa"/>
                  <w:tcBorders>
                    <w:tl2br w:val="nil"/>
                    <w:tr2bl w:val="nil"/>
                  </w:tcBorders>
                  <w:noWrap/>
                  <w:vAlign w:val="center"/>
                </w:tcPr>
                <w:p w14:paraId="60195C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稳定声源</w:t>
                  </w:r>
                </w:p>
              </w:tc>
            </w:tr>
            <w:tr w14:paraId="09790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5326CC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color w:val="auto"/>
                      <w:kern w:val="0"/>
                      <w:sz w:val="21"/>
                      <w:szCs w:val="21"/>
                      <w:lang w:val="en-US" w:eastAsia="zh-CN" w:bidi="ar"/>
                    </w:rPr>
                    <w:t>24</w:t>
                  </w:r>
                </w:p>
              </w:tc>
              <w:tc>
                <w:tcPr>
                  <w:tcW w:w="763" w:type="pct"/>
                  <w:tcBorders>
                    <w:tl2br w:val="nil"/>
                    <w:tr2bl w:val="nil"/>
                  </w:tcBorders>
                  <w:shd w:val="clear" w:color="auto" w:fill="auto"/>
                  <w:noWrap/>
                  <w:vAlign w:val="center"/>
                </w:tcPr>
                <w:p w14:paraId="14E278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液化石油气</w:t>
                  </w:r>
                  <w:r>
                    <w:rPr>
                      <w:rFonts w:hint="default" w:ascii="Times New Roman" w:hAnsi="Times New Roman" w:eastAsia="宋体" w:cs="Times New Roman"/>
                      <w:i w:val="0"/>
                      <w:iCs w:val="0"/>
                      <w:color w:val="auto"/>
                      <w:kern w:val="0"/>
                      <w:sz w:val="21"/>
                      <w:szCs w:val="21"/>
                      <w:u w:val="none"/>
                      <w:lang w:val="en-US" w:eastAsia="zh-CN" w:bidi="ar"/>
                    </w:rPr>
                    <w:t>压缩机</w:t>
                  </w:r>
                  <w:r>
                    <w:rPr>
                      <w:rFonts w:hint="eastAsia" w:ascii="Times New Roman" w:hAnsi="Times New Roman" w:eastAsia="宋体" w:cs="Times New Roman"/>
                      <w:i w:val="0"/>
                      <w:iCs w:val="0"/>
                      <w:color w:val="auto"/>
                      <w:kern w:val="0"/>
                      <w:sz w:val="21"/>
                      <w:szCs w:val="21"/>
                      <w:u w:val="none"/>
                      <w:lang w:val="en-US" w:eastAsia="zh-CN" w:bidi="ar"/>
                    </w:rPr>
                    <w:t>1</w:t>
                  </w:r>
                </w:p>
              </w:tc>
              <w:tc>
                <w:tcPr>
                  <w:tcW w:w="297" w:type="pct"/>
                  <w:tcBorders>
                    <w:tl2br w:val="nil"/>
                    <w:tr2bl w:val="nil"/>
                  </w:tcBorders>
                  <w:shd w:val="clear" w:color="auto" w:fill="auto"/>
                  <w:noWrap/>
                  <w:vAlign w:val="center"/>
                </w:tcPr>
                <w:p w14:paraId="237555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1B6620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145</w:t>
                  </w:r>
                </w:p>
              </w:tc>
              <w:tc>
                <w:tcPr>
                  <w:tcW w:w="300" w:type="pct"/>
                  <w:tcBorders>
                    <w:tl2br w:val="nil"/>
                    <w:tr2bl w:val="nil"/>
                  </w:tcBorders>
                  <w:noWrap/>
                  <w:vAlign w:val="center"/>
                </w:tcPr>
                <w:p w14:paraId="41EF8B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-28</w:t>
                  </w:r>
                </w:p>
              </w:tc>
              <w:tc>
                <w:tcPr>
                  <w:tcW w:w="284" w:type="pct"/>
                  <w:tcBorders>
                    <w:tl2br w:val="nil"/>
                    <w:tr2bl w:val="nil"/>
                  </w:tcBorders>
                  <w:noWrap/>
                  <w:vAlign w:val="center"/>
                </w:tcPr>
                <w:p w14:paraId="046EEE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353" w:type="dxa"/>
                  <w:tcBorders>
                    <w:tl2br w:val="nil"/>
                    <w:tr2bl w:val="nil"/>
                  </w:tcBorders>
                  <w:noWrap/>
                  <w:vAlign w:val="center"/>
                </w:tcPr>
                <w:p w14:paraId="514F24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80/1</w:t>
                  </w:r>
                </w:p>
              </w:tc>
              <w:tc>
                <w:tcPr>
                  <w:tcW w:w="1929" w:type="pct"/>
                  <w:vMerge w:val="continue"/>
                  <w:tcBorders>
                    <w:tl2br w:val="nil"/>
                    <w:tr2bl w:val="nil"/>
                  </w:tcBorders>
                  <w:noWrap/>
                  <w:vAlign w:val="center"/>
                </w:tcPr>
                <w:p w14:paraId="3311AF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olor w:val="auto"/>
                      <w:sz w:val="21"/>
                      <w:szCs w:val="21"/>
                    </w:rPr>
                  </w:pPr>
                </w:p>
              </w:tc>
              <w:tc>
                <w:tcPr>
                  <w:tcW w:w="1205" w:type="dxa"/>
                  <w:tcBorders>
                    <w:tl2br w:val="nil"/>
                    <w:tr2bl w:val="nil"/>
                  </w:tcBorders>
                  <w:noWrap/>
                  <w:vAlign w:val="center"/>
                </w:tcPr>
                <w:p w14:paraId="59FB50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稳定声源</w:t>
                  </w:r>
                </w:p>
              </w:tc>
            </w:tr>
            <w:tr w14:paraId="351E3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6C2335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lang w:val="en-US" w:eastAsia="zh-CN" w:bidi="ar"/>
                    </w:rPr>
                  </w:pPr>
                  <w:r>
                    <w:rPr>
                      <w:rFonts w:hint="eastAsia" w:ascii="Times New Roman" w:hAnsi="Times New Roman"/>
                      <w:color w:val="auto"/>
                      <w:kern w:val="0"/>
                      <w:sz w:val="21"/>
                      <w:szCs w:val="21"/>
                      <w:lang w:val="en-US" w:eastAsia="zh-CN" w:bidi="ar"/>
                    </w:rPr>
                    <w:t>25</w:t>
                  </w:r>
                </w:p>
              </w:tc>
              <w:tc>
                <w:tcPr>
                  <w:tcW w:w="763" w:type="pct"/>
                  <w:tcBorders>
                    <w:tl2br w:val="nil"/>
                    <w:tr2bl w:val="nil"/>
                  </w:tcBorders>
                  <w:shd w:val="clear" w:color="auto" w:fill="auto"/>
                  <w:noWrap/>
                  <w:vAlign w:val="center"/>
                </w:tcPr>
                <w:p w14:paraId="62222F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液化石油气</w:t>
                  </w:r>
                  <w:r>
                    <w:rPr>
                      <w:rFonts w:hint="default" w:ascii="Times New Roman" w:hAnsi="Times New Roman" w:eastAsia="宋体" w:cs="Times New Roman"/>
                      <w:i w:val="0"/>
                      <w:iCs w:val="0"/>
                      <w:color w:val="auto"/>
                      <w:kern w:val="0"/>
                      <w:sz w:val="21"/>
                      <w:szCs w:val="21"/>
                      <w:u w:val="none"/>
                      <w:lang w:val="en-US" w:eastAsia="zh-CN" w:bidi="ar"/>
                    </w:rPr>
                    <w:t>压缩机</w:t>
                  </w:r>
                  <w:r>
                    <w:rPr>
                      <w:rFonts w:hint="eastAsia" w:ascii="Times New Roman" w:hAnsi="Times New Roman" w:eastAsia="宋体" w:cs="Times New Roman"/>
                      <w:i w:val="0"/>
                      <w:iCs w:val="0"/>
                      <w:color w:val="auto"/>
                      <w:kern w:val="0"/>
                      <w:sz w:val="21"/>
                      <w:szCs w:val="21"/>
                      <w:u w:val="none"/>
                      <w:lang w:val="en-US" w:eastAsia="zh-CN" w:bidi="ar"/>
                    </w:rPr>
                    <w:t>2</w:t>
                  </w:r>
                </w:p>
              </w:tc>
              <w:tc>
                <w:tcPr>
                  <w:tcW w:w="297" w:type="pct"/>
                  <w:tcBorders>
                    <w:tl2br w:val="nil"/>
                    <w:tr2bl w:val="nil"/>
                  </w:tcBorders>
                  <w:shd w:val="clear" w:color="auto" w:fill="auto"/>
                  <w:noWrap/>
                  <w:vAlign w:val="center"/>
                </w:tcPr>
                <w:p w14:paraId="5658CE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noWrap/>
                  <w:vAlign w:val="center"/>
                </w:tcPr>
                <w:p w14:paraId="5684D7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145</w:t>
                  </w:r>
                </w:p>
              </w:tc>
              <w:tc>
                <w:tcPr>
                  <w:tcW w:w="300" w:type="pct"/>
                  <w:tcBorders>
                    <w:tl2br w:val="nil"/>
                    <w:tr2bl w:val="nil"/>
                  </w:tcBorders>
                  <w:noWrap/>
                  <w:vAlign w:val="center"/>
                </w:tcPr>
                <w:p w14:paraId="77C43A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-32</w:t>
                  </w:r>
                </w:p>
              </w:tc>
              <w:tc>
                <w:tcPr>
                  <w:tcW w:w="284" w:type="pct"/>
                  <w:tcBorders>
                    <w:tl2br w:val="nil"/>
                    <w:tr2bl w:val="nil"/>
                  </w:tcBorders>
                  <w:noWrap/>
                  <w:vAlign w:val="center"/>
                </w:tcPr>
                <w:p w14:paraId="612F89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353" w:type="dxa"/>
                  <w:tcBorders>
                    <w:tl2br w:val="nil"/>
                    <w:tr2bl w:val="nil"/>
                  </w:tcBorders>
                  <w:noWrap/>
                  <w:vAlign w:val="center"/>
                </w:tcPr>
                <w:p w14:paraId="66B97F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80/1</w:t>
                  </w:r>
                </w:p>
              </w:tc>
              <w:tc>
                <w:tcPr>
                  <w:tcW w:w="1929" w:type="pct"/>
                  <w:vMerge w:val="continue"/>
                  <w:tcBorders>
                    <w:tl2br w:val="nil"/>
                    <w:tr2bl w:val="nil"/>
                  </w:tcBorders>
                  <w:noWrap/>
                  <w:vAlign w:val="center"/>
                </w:tcPr>
                <w:p w14:paraId="675D16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olor w:val="auto"/>
                      <w:sz w:val="21"/>
                      <w:szCs w:val="21"/>
                    </w:rPr>
                  </w:pPr>
                </w:p>
              </w:tc>
              <w:tc>
                <w:tcPr>
                  <w:tcW w:w="1205" w:type="dxa"/>
                  <w:tcBorders>
                    <w:tl2br w:val="nil"/>
                    <w:tr2bl w:val="nil"/>
                  </w:tcBorders>
                  <w:noWrap/>
                  <w:vAlign w:val="center"/>
                </w:tcPr>
                <w:p w14:paraId="3EBF41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kern w:val="0"/>
                      <w:sz w:val="21"/>
                      <w:szCs w:val="21"/>
                      <w:lang w:bidi="ar"/>
                    </w:rPr>
                  </w:pPr>
                  <w:r>
                    <w:rPr>
                      <w:rFonts w:ascii="Times New Roman" w:hAnsi="Times New Roman"/>
                      <w:color w:val="auto"/>
                      <w:kern w:val="0"/>
                      <w:sz w:val="21"/>
                      <w:szCs w:val="21"/>
                      <w:lang w:bidi="ar"/>
                    </w:rPr>
                    <w:t>稳定声源</w:t>
                  </w:r>
                </w:p>
              </w:tc>
            </w:tr>
            <w:tr w14:paraId="2CD69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6A33DF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26</w:t>
                  </w:r>
                </w:p>
              </w:tc>
              <w:tc>
                <w:tcPr>
                  <w:tcW w:w="763" w:type="pct"/>
                  <w:tcBorders>
                    <w:tl2br w:val="nil"/>
                    <w:tr2bl w:val="nil"/>
                  </w:tcBorders>
                  <w:shd w:val="clear" w:color="auto" w:fill="auto"/>
                  <w:noWrap/>
                  <w:vAlign w:val="center"/>
                </w:tcPr>
                <w:p w14:paraId="3E0AD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冷却塔1</w:t>
                  </w:r>
                </w:p>
              </w:tc>
              <w:tc>
                <w:tcPr>
                  <w:tcW w:w="297" w:type="pct"/>
                  <w:tcBorders>
                    <w:tl2br w:val="nil"/>
                    <w:tr2bl w:val="nil"/>
                  </w:tcBorders>
                  <w:shd w:val="clear" w:color="auto" w:fill="auto"/>
                  <w:noWrap/>
                  <w:vAlign w:val="center"/>
                </w:tcPr>
                <w:p w14:paraId="191D91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shd w:val="clear" w:color="auto" w:fill="auto"/>
                  <w:noWrap/>
                  <w:vAlign w:val="center"/>
                </w:tcPr>
                <w:p w14:paraId="4D77CF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216</w:t>
                  </w:r>
                </w:p>
              </w:tc>
              <w:tc>
                <w:tcPr>
                  <w:tcW w:w="300" w:type="pct"/>
                  <w:tcBorders>
                    <w:tl2br w:val="nil"/>
                    <w:tr2bl w:val="nil"/>
                  </w:tcBorders>
                  <w:shd w:val="clear" w:color="auto" w:fill="auto"/>
                  <w:noWrap/>
                  <w:vAlign w:val="center"/>
                </w:tcPr>
                <w:p w14:paraId="0FF435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-53</w:t>
                  </w:r>
                </w:p>
              </w:tc>
              <w:tc>
                <w:tcPr>
                  <w:tcW w:w="284" w:type="pct"/>
                  <w:tcBorders>
                    <w:tl2br w:val="nil"/>
                    <w:tr2bl w:val="nil"/>
                  </w:tcBorders>
                  <w:shd w:val="clear" w:color="auto" w:fill="auto"/>
                  <w:noWrap/>
                  <w:vAlign w:val="center"/>
                </w:tcPr>
                <w:p w14:paraId="289AF4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496" w:type="pct"/>
                  <w:tcBorders>
                    <w:tl2br w:val="nil"/>
                    <w:tr2bl w:val="nil"/>
                  </w:tcBorders>
                  <w:shd w:val="clear" w:color="auto" w:fill="auto"/>
                  <w:noWrap/>
                  <w:vAlign w:val="center"/>
                </w:tcPr>
                <w:p w14:paraId="39D205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restart"/>
                  <w:tcBorders>
                    <w:tl2br w:val="nil"/>
                    <w:tr2bl w:val="nil"/>
                  </w:tcBorders>
                  <w:noWrap/>
                  <w:vAlign w:val="center"/>
                </w:tcPr>
                <w:p w14:paraId="0CD440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olor w:val="auto"/>
                      <w:sz w:val="21"/>
                      <w:szCs w:val="21"/>
                      <w:lang w:eastAsia="zh-CN"/>
                    </w:rPr>
                  </w:pPr>
                  <w:r>
                    <w:rPr>
                      <w:rFonts w:hint="eastAsia" w:ascii="Times New Roman" w:hAnsi="Times New Roman" w:eastAsia="宋体" w:cs="Times New Roman"/>
                      <w:color w:val="auto"/>
                      <w:kern w:val="0"/>
                      <w:sz w:val="21"/>
                      <w:szCs w:val="21"/>
                      <w:lang w:val="en-US" w:eastAsia="zh-CN" w:bidi="ar"/>
                    </w:rPr>
                    <w:t>选用低噪声设备，基础减震，安装导流消声片</w:t>
                  </w:r>
                  <w:r>
                    <w:rPr>
                      <w:rFonts w:hint="eastAsia" w:ascii="宋体" w:hAnsi="宋体" w:eastAsia="宋体" w:cs="宋体"/>
                      <w:color w:val="auto"/>
                      <w:kern w:val="0"/>
                      <w:sz w:val="21"/>
                      <w:szCs w:val="21"/>
                      <w:lang w:val="en-US" w:eastAsia="zh-CN" w:bidi="ar"/>
                    </w:rPr>
                    <w:t>。</w:t>
                  </w:r>
                </w:p>
              </w:tc>
              <w:tc>
                <w:tcPr>
                  <w:tcW w:w="442" w:type="pct"/>
                  <w:tcBorders>
                    <w:tl2br w:val="nil"/>
                    <w:tr2bl w:val="nil"/>
                  </w:tcBorders>
                  <w:noWrap/>
                  <w:vAlign w:val="center"/>
                </w:tcPr>
                <w:p w14:paraId="2D0BDA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稳定声源</w:t>
                  </w:r>
                </w:p>
              </w:tc>
            </w:tr>
            <w:tr w14:paraId="6C5A4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5" w:type="pct"/>
                  <w:tcBorders>
                    <w:tl2br w:val="nil"/>
                    <w:tr2bl w:val="nil"/>
                  </w:tcBorders>
                  <w:noWrap/>
                  <w:vAlign w:val="center"/>
                </w:tcPr>
                <w:p w14:paraId="29DFD4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27</w:t>
                  </w:r>
                </w:p>
              </w:tc>
              <w:tc>
                <w:tcPr>
                  <w:tcW w:w="763" w:type="pct"/>
                  <w:tcBorders>
                    <w:tl2br w:val="nil"/>
                    <w:tr2bl w:val="nil"/>
                  </w:tcBorders>
                  <w:shd w:val="clear" w:color="auto" w:fill="auto"/>
                  <w:noWrap/>
                  <w:vAlign w:val="center"/>
                </w:tcPr>
                <w:p w14:paraId="79E711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冷却塔2</w:t>
                  </w:r>
                </w:p>
              </w:tc>
              <w:tc>
                <w:tcPr>
                  <w:tcW w:w="297" w:type="pct"/>
                  <w:tcBorders>
                    <w:tl2br w:val="nil"/>
                    <w:tr2bl w:val="nil"/>
                  </w:tcBorders>
                  <w:shd w:val="clear" w:color="auto" w:fill="auto"/>
                  <w:noWrap/>
                  <w:vAlign w:val="center"/>
                </w:tcPr>
                <w:p w14:paraId="599F30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点源</w:t>
                  </w:r>
                </w:p>
              </w:tc>
              <w:tc>
                <w:tcPr>
                  <w:tcW w:w="281" w:type="pct"/>
                  <w:tcBorders>
                    <w:tl2br w:val="nil"/>
                    <w:tr2bl w:val="nil"/>
                  </w:tcBorders>
                  <w:shd w:val="clear" w:color="auto" w:fill="auto"/>
                  <w:noWrap/>
                  <w:vAlign w:val="center"/>
                </w:tcPr>
                <w:p w14:paraId="4E5EDE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216</w:t>
                  </w:r>
                </w:p>
              </w:tc>
              <w:tc>
                <w:tcPr>
                  <w:tcW w:w="300" w:type="pct"/>
                  <w:tcBorders>
                    <w:tl2br w:val="nil"/>
                    <w:tr2bl w:val="nil"/>
                  </w:tcBorders>
                  <w:shd w:val="clear" w:color="auto" w:fill="auto"/>
                  <w:noWrap/>
                  <w:vAlign w:val="center"/>
                </w:tcPr>
                <w:p w14:paraId="139F65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w:t>
                  </w:r>
                </w:p>
              </w:tc>
              <w:tc>
                <w:tcPr>
                  <w:tcW w:w="284" w:type="pct"/>
                  <w:tcBorders>
                    <w:tl2br w:val="nil"/>
                    <w:tr2bl w:val="nil"/>
                  </w:tcBorders>
                  <w:shd w:val="clear" w:color="auto" w:fill="auto"/>
                  <w:noWrap/>
                  <w:vAlign w:val="center"/>
                </w:tcPr>
                <w:p w14:paraId="01B2FD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496" w:type="pct"/>
                  <w:tcBorders>
                    <w:tl2br w:val="nil"/>
                    <w:tr2bl w:val="nil"/>
                  </w:tcBorders>
                  <w:shd w:val="clear" w:color="auto" w:fill="auto"/>
                  <w:noWrap/>
                  <w:vAlign w:val="center"/>
                </w:tcPr>
                <w:p w14:paraId="0A7140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70/1</w:t>
                  </w:r>
                </w:p>
              </w:tc>
              <w:tc>
                <w:tcPr>
                  <w:tcW w:w="1929" w:type="pct"/>
                  <w:vMerge w:val="continue"/>
                  <w:tcBorders>
                    <w:tl2br w:val="nil"/>
                    <w:tr2bl w:val="nil"/>
                  </w:tcBorders>
                  <w:noWrap/>
                  <w:vAlign w:val="center"/>
                </w:tcPr>
                <w:p w14:paraId="55E42D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p>
              </w:tc>
              <w:tc>
                <w:tcPr>
                  <w:tcW w:w="442" w:type="pct"/>
                  <w:tcBorders>
                    <w:tl2br w:val="nil"/>
                    <w:tr2bl w:val="nil"/>
                  </w:tcBorders>
                  <w:noWrap/>
                  <w:vAlign w:val="center"/>
                </w:tcPr>
                <w:p w14:paraId="4467AC5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color w:val="auto"/>
                      <w:sz w:val="21"/>
                      <w:szCs w:val="21"/>
                    </w:rPr>
                  </w:pPr>
                  <w:r>
                    <w:rPr>
                      <w:rFonts w:ascii="Times New Roman" w:hAnsi="Times New Roman"/>
                      <w:color w:val="auto"/>
                      <w:kern w:val="0"/>
                      <w:sz w:val="21"/>
                      <w:szCs w:val="21"/>
                      <w:lang w:bidi="ar"/>
                    </w:rPr>
                    <w:t>稳定声源</w:t>
                  </w:r>
                </w:p>
              </w:tc>
            </w:tr>
            <w:tr w14:paraId="4981BE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9"/>
                  <w:tcBorders>
                    <w:tl2br w:val="nil"/>
                    <w:tr2bl w:val="nil"/>
                  </w:tcBorders>
                  <w:noWrap/>
                  <w:vAlign w:val="center"/>
                </w:tcPr>
                <w:p w14:paraId="02D450F3">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center"/>
                    <w:rPr>
                      <w:rFonts w:ascii="Times New Roman" w:hAnsi="Times New Roman"/>
                      <w:color w:val="auto"/>
                      <w:kern w:val="0"/>
                      <w:sz w:val="21"/>
                      <w:szCs w:val="21"/>
                      <w:lang w:bidi="ar"/>
                    </w:rPr>
                  </w:pPr>
                  <w:r>
                    <w:rPr>
                      <w:rFonts w:hint="eastAsia" w:ascii="Times New Roman" w:hAnsi="Times New Roman"/>
                      <w:bCs/>
                      <w:color w:val="auto"/>
                      <w:sz w:val="21"/>
                      <w:szCs w:val="21"/>
                    </w:rPr>
                    <w:t>注：</w:t>
                  </w:r>
                  <w:r>
                    <w:rPr>
                      <w:rFonts w:ascii="Times New Roman" w:hAnsi="Times New Roman"/>
                      <w:bCs/>
                      <w:color w:val="auto"/>
                      <w:sz w:val="21"/>
                      <w:szCs w:val="21"/>
                    </w:rPr>
                    <w:t>表中坐标以厂界</w:t>
                  </w:r>
                  <w:r>
                    <w:rPr>
                      <w:rFonts w:hint="eastAsia"/>
                      <w:bCs/>
                      <w:color w:val="auto"/>
                      <w:sz w:val="21"/>
                      <w:szCs w:val="21"/>
                      <w:lang w:val="en-US" w:eastAsia="zh-CN"/>
                    </w:rPr>
                    <w:t>西北</w:t>
                  </w:r>
                  <w:r>
                    <w:rPr>
                      <w:rFonts w:hint="eastAsia"/>
                      <w:bCs/>
                      <w:color w:val="auto"/>
                      <w:sz w:val="21"/>
                      <w:szCs w:val="21"/>
                    </w:rPr>
                    <w:t>角</w:t>
                  </w:r>
                  <w:r>
                    <w:rPr>
                      <w:rFonts w:hint="default" w:ascii="Times New Roman" w:hAnsi="Times New Roman" w:cs="Times New Roman"/>
                      <w:bCs/>
                      <w:color w:val="auto"/>
                      <w:sz w:val="21"/>
                      <w:szCs w:val="21"/>
                    </w:rPr>
                    <w:t>（107.225265</w:t>
                  </w:r>
                  <w:r>
                    <w:rPr>
                      <w:rFonts w:hint="eastAsia"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34.488607</w:t>
                  </w:r>
                  <w:r>
                    <w:rPr>
                      <w:rFonts w:hint="eastAsia" w:ascii="Times New Roman" w:hAnsi="Times New Roman" w:cs="Times New Roman"/>
                      <w:bCs/>
                      <w:color w:val="auto"/>
                      <w:sz w:val="21"/>
                      <w:szCs w:val="21"/>
                      <w:lang w:val="en-US" w:eastAsia="zh-CN"/>
                    </w:rPr>
                    <w:t>°</w:t>
                  </w:r>
                  <w:r>
                    <w:rPr>
                      <w:rFonts w:hint="default" w:ascii="Times New Roman" w:hAnsi="Times New Roman" w:cs="Times New Roman"/>
                      <w:bCs/>
                      <w:color w:val="auto"/>
                      <w:sz w:val="21"/>
                      <w:szCs w:val="21"/>
                    </w:rPr>
                    <w:t>）</w:t>
                  </w:r>
                  <w:r>
                    <w:rPr>
                      <w:rFonts w:ascii="Times New Roman" w:hAnsi="Times New Roman"/>
                      <w:bCs/>
                      <w:color w:val="auto"/>
                      <w:sz w:val="21"/>
                      <w:szCs w:val="21"/>
                    </w:rPr>
                    <w:t>为坐标原点，正东向为X轴正方向，正北向为Y轴正方向</w:t>
                  </w:r>
                  <w:r>
                    <w:rPr>
                      <w:rFonts w:hint="eastAsia" w:ascii="Times New Roman" w:hAnsi="Times New Roman"/>
                      <w:bCs/>
                      <w:color w:val="auto"/>
                      <w:sz w:val="21"/>
                      <w:szCs w:val="21"/>
                    </w:rPr>
                    <w:t>。</w:t>
                  </w:r>
                </w:p>
              </w:tc>
            </w:tr>
          </w:tbl>
          <w:p w14:paraId="5F0CB348">
            <w:pPr>
              <w:pageBreakBefore w:val="0"/>
              <w:widowControl w:val="0"/>
              <w:numPr>
                <w:ilvl w:val="0"/>
                <w:numId w:val="0"/>
              </w:numPr>
              <w:kinsoku/>
              <w:wordWrap/>
              <w:overflowPunct/>
              <w:topLinePunct w:val="0"/>
              <w:bidi w:val="0"/>
              <w:adjustRightInd/>
              <w:snapToGrid/>
              <w:spacing w:line="360" w:lineRule="auto"/>
              <w:ind w:firstLine="442" w:firstLineChars="200"/>
              <w:jc w:val="both"/>
              <w:textAlignment w:val="auto"/>
              <w:rPr>
                <w:rFonts w:hint="default" w:ascii="Times New Roman" w:hAnsi="Times New Roman" w:eastAsia="宋体" w:cs="Times New Roman"/>
                <w:b/>
                <w:bCs/>
                <w:color w:val="000000"/>
                <w:spacing w:val="5"/>
                <w:sz w:val="21"/>
                <w:szCs w:val="21"/>
                <w:highlight w:val="none"/>
                <w:lang w:val="en-US" w:eastAsia="zh-CN"/>
              </w:rPr>
            </w:pPr>
          </w:p>
        </w:tc>
      </w:tr>
    </w:tbl>
    <w:p w14:paraId="21F29CCB">
      <w:pPr>
        <w:pStyle w:val="10"/>
        <w:ind w:left="0" w:leftChars="0" w:firstLine="0" w:firstLineChars="0"/>
        <w:rPr>
          <w:color w:val="auto"/>
        </w:rPr>
        <w:sectPr>
          <w:pgSz w:w="16838" w:h="11905" w:orient="landscape"/>
          <w:pgMar w:top="720" w:right="720" w:bottom="720" w:left="720"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0"/>
        <w:tblW w:w="91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362"/>
      </w:tblGrid>
      <w:tr w14:paraId="44BFD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dxa"/>
            <w:noWrap w:val="0"/>
            <w:tcMar>
              <w:left w:w="28" w:type="dxa"/>
              <w:right w:w="28" w:type="dxa"/>
            </w:tcMar>
            <w:vAlign w:val="center"/>
          </w:tcPr>
          <w:p w14:paraId="0EF4C25D">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val="0"/>
                <w:color w:val="auto"/>
                <w:spacing w:val="0"/>
                <w:kern w:val="21"/>
                <w:position w:val="0"/>
                <w:sz w:val="24"/>
                <w:szCs w:val="24"/>
                <w:highlight w:val="none"/>
              </w:rPr>
            </w:pPr>
          </w:p>
        </w:tc>
        <w:tc>
          <w:tcPr>
            <w:tcW w:w="8362" w:type="dxa"/>
            <w:noWrap w:val="0"/>
            <w:vAlign w:val="center"/>
          </w:tcPr>
          <w:p w14:paraId="4B087162">
            <w:pPr>
              <w:numPr>
                <w:ilvl w:val="0"/>
                <w:numId w:val="0"/>
              </w:numPr>
              <w:ind w:firstLine="502" w:firstLineChars="200"/>
              <w:rPr>
                <w:rFonts w:hint="default" w:ascii="Times New Roman" w:hAnsi="Times New Roman" w:eastAsia="宋体" w:cs="Times New Roman"/>
                <w:b/>
                <w:bCs/>
                <w:color w:val="000000"/>
                <w:spacing w:val="5"/>
                <w:sz w:val="24"/>
                <w:szCs w:val="24"/>
                <w:highlight w:val="none"/>
                <w:lang w:eastAsia="zh-CN"/>
              </w:rPr>
            </w:pPr>
            <w:r>
              <w:rPr>
                <w:rFonts w:hint="eastAsia" w:cs="Times New Roman"/>
                <w:b/>
                <w:bCs/>
                <w:color w:val="000000"/>
                <w:spacing w:val="5"/>
                <w:sz w:val="24"/>
                <w:szCs w:val="24"/>
                <w:highlight w:val="none"/>
                <w:lang w:val="en-US" w:eastAsia="zh-CN"/>
              </w:rPr>
              <w:t>（</w:t>
            </w:r>
            <w:r>
              <w:rPr>
                <w:rFonts w:hint="eastAsia" w:ascii="Times New Roman" w:hAnsi="Times New Roman" w:eastAsia="宋体" w:cs="Times New Roman"/>
                <w:b/>
                <w:bCs/>
                <w:color w:val="000000"/>
                <w:spacing w:val="5"/>
                <w:sz w:val="24"/>
                <w:szCs w:val="24"/>
                <w:highlight w:val="none"/>
                <w:lang w:val="en-US" w:eastAsia="zh-CN"/>
              </w:rPr>
              <w:t>2）</w:t>
            </w:r>
            <w:r>
              <w:rPr>
                <w:rFonts w:hint="default" w:ascii="Times New Roman" w:hAnsi="Times New Roman" w:eastAsia="宋体" w:cs="Times New Roman"/>
                <w:b/>
                <w:bCs/>
                <w:color w:val="000000"/>
                <w:spacing w:val="5"/>
                <w:sz w:val="24"/>
                <w:szCs w:val="24"/>
                <w:highlight w:val="none"/>
                <w:lang w:eastAsia="zh-CN"/>
              </w:rPr>
              <w:t>预测点的确定</w:t>
            </w:r>
          </w:p>
          <w:p w14:paraId="2B4F9914">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500" w:firstLineChars="200"/>
              <w:jc w:val="both"/>
              <w:textAlignment w:val="auto"/>
              <w:rPr>
                <w:rFonts w:hint="eastAsia" w:ascii="Times New Roman" w:hAnsi="Times New Roman" w:eastAsia="宋体" w:cs="Times New Roman"/>
                <w:b w:val="0"/>
                <w:bCs w:val="0"/>
                <w:color w:val="000000"/>
                <w:spacing w:val="0"/>
                <w:position w:val="0"/>
                <w:sz w:val="24"/>
                <w:szCs w:val="24"/>
                <w:highlight w:val="none"/>
                <w:lang w:val="zh-CN"/>
              </w:rPr>
            </w:pPr>
            <w:r>
              <w:rPr>
                <w:rFonts w:hint="default" w:ascii="Times New Roman" w:hAnsi="Times New Roman" w:eastAsia="宋体" w:cs="Times New Roman"/>
                <w:b w:val="0"/>
                <w:bCs w:val="0"/>
                <w:color w:val="000000"/>
                <w:spacing w:val="5"/>
                <w:sz w:val="24"/>
                <w:szCs w:val="24"/>
                <w:highlight w:val="none"/>
                <w:lang w:eastAsia="zh-CN"/>
              </w:rPr>
              <w:t>项目噪声预测点</w:t>
            </w:r>
            <w:r>
              <w:rPr>
                <w:rFonts w:hint="eastAsia" w:ascii="Times New Roman" w:hAnsi="Times New Roman" w:eastAsia="宋体" w:cs="Times New Roman"/>
                <w:b w:val="0"/>
                <w:bCs w:val="0"/>
                <w:color w:val="000000"/>
                <w:spacing w:val="5"/>
                <w:sz w:val="24"/>
                <w:szCs w:val="24"/>
                <w:highlight w:val="none"/>
                <w:lang w:val="en-US" w:eastAsia="zh-CN"/>
              </w:rPr>
              <w:t>为项目厂界</w:t>
            </w:r>
            <w:r>
              <w:rPr>
                <w:rFonts w:hint="default" w:ascii="Times New Roman" w:hAnsi="Times New Roman" w:eastAsia="宋体" w:cs="Times New Roman"/>
                <w:b w:val="0"/>
                <w:bCs w:val="0"/>
                <w:color w:val="000000"/>
                <w:spacing w:val="5"/>
                <w:sz w:val="24"/>
                <w:szCs w:val="24"/>
                <w:highlight w:val="none"/>
                <w:lang w:eastAsia="zh-CN"/>
              </w:rPr>
              <w:t>，即厂界东、南、西、北边界外1m处。</w:t>
            </w:r>
            <w:r>
              <w:rPr>
                <w:rFonts w:hint="default" w:ascii="Times New Roman" w:hAnsi="Times New Roman" w:eastAsia="宋体" w:cs="Times New Roman"/>
                <w:b w:val="0"/>
                <w:bCs w:val="0"/>
                <w:color w:val="000000"/>
                <w:spacing w:val="0"/>
                <w:position w:val="0"/>
                <w:sz w:val="24"/>
                <w:szCs w:val="24"/>
                <w:highlight w:val="none"/>
                <w:lang w:val="zh-CN"/>
              </w:rPr>
              <w:t>预测条件假设</w:t>
            </w:r>
            <w:r>
              <w:rPr>
                <w:rFonts w:hint="eastAsia" w:ascii="Times New Roman" w:hAnsi="Times New Roman" w:eastAsia="宋体" w:cs="Times New Roman"/>
                <w:b w:val="0"/>
                <w:bCs w:val="0"/>
                <w:color w:val="000000"/>
                <w:spacing w:val="0"/>
                <w:position w:val="0"/>
                <w:sz w:val="24"/>
                <w:szCs w:val="24"/>
                <w:highlight w:val="none"/>
                <w:lang w:val="zh-CN"/>
              </w:rPr>
              <w:t>：</w:t>
            </w:r>
          </w:p>
          <w:p w14:paraId="170AC992">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color w:val="000000"/>
                <w:spacing w:val="0"/>
                <w:kern w:val="2"/>
                <w:position w:val="0"/>
                <w:sz w:val="24"/>
                <w:szCs w:val="24"/>
                <w:highlight w:val="none"/>
                <w:lang w:val="zh-CN" w:eastAsia="zh-CN" w:bidi="ar-SA"/>
              </w:rPr>
            </w:pPr>
            <w:r>
              <w:rPr>
                <w:rFonts w:hint="default" w:ascii="Times New Roman" w:hAnsi="Times New Roman" w:eastAsia="宋体" w:cs="Times New Roman"/>
                <w:b w:val="0"/>
                <w:bCs w:val="0"/>
                <w:color w:val="000000"/>
                <w:spacing w:val="0"/>
                <w:kern w:val="2"/>
                <w:position w:val="0"/>
                <w:sz w:val="24"/>
                <w:szCs w:val="24"/>
                <w:highlight w:val="none"/>
                <w:lang w:val="zh-CN" w:eastAsia="zh-CN" w:bidi="ar-SA"/>
              </w:rPr>
              <w:t>①所有产噪设备均在正常工况条件下运行；</w:t>
            </w:r>
          </w:p>
          <w:p w14:paraId="3C44DC80">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b w:val="0"/>
                <w:bCs w:val="0"/>
                <w:color w:val="000000"/>
                <w:spacing w:val="0"/>
                <w:kern w:val="2"/>
                <w:position w:val="0"/>
                <w:sz w:val="24"/>
                <w:szCs w:val="24"/>
                <w:highlight w:val="none"/>
                <w:lang w:val="zh-CN" w:eastAsia="zh-CN" w:bidi="ar-SA"/>
              </w:rPr>
            </w:pPr>
            <w:r>
              <w:rPr>
                <w:rFonts w:hint="default" w:ascii="Times New Roman" w:hAnsi="Times New Roman" w:eastAsia="宋体" w:cs="Times New Roman"/>
                <w:b w:val="0"/>
                <w:bCs w:val="0"/>
                <w:color w:val="000000"/>
                <w:spacing w:val="0"/>
                <w:kern w:val="2"/>
                <w:position w:val="0"/>
                <w:sz w:val="24"/>
                <w:szCs w:val="24"/>
                <w:highlight w:val="none"/>
                <w:lang w:val="zh-CN" w:eastAsia="zh-CN" w:bidi="ar-SA"/>
              </w:rPr>
              <w:t>②考虑室内声源所在厂房围护结构的隔声、吸声作用；</w:t>
            </w:r>
          </w:p>
          <w:p w14:paraId="4B0064FB">
            <w:pPr>
              <w:pStyle w:val="85"/>
              <w:bidi w:val="0"/>
              <w:spacing w:line="360" w:lineRule="auto"/>
              <w:ind w:firstLine="480" w:firstLineChars="200"/>
              <w:jc w:val="both"/>
              <w:rPr>
                <w:rFonts w:hint="eastAsia"/>
                <w:color w:val="000000"/>
                <w:sz w:val="21"/>
                <w:szCs w:val="21"/>
                <w:lang w:eastAsia="zh-CN"/>
              </w:rPr>
            </w:pPr>
            <w:r>
              <w:rPr>
                <w:rFonts w:hint="eastAsia" w:ascii="Times New Roman" w:hAnsi="Times New Roman" w:eastAsia="宋体" w:cs="Times New Roman"/>
                <w:b w:val="0"/>
                <w:bCs w:val="0"/>
                <w:color w:val="000000"/>
                <w:spacing w:val="0"/>
                <w:kern w:val="2"/>
                <w:position w:val="0"/>
                <w:sz w:val="24"/>
                <w:szCs w:val="24"/>
                <w:highlight w:val="none"/>
                <w:lang w:val="en-US" w:eastAsia="zh-CN" w:bidi="ar-SA"/>
              </w:rPr>
              <w:t>③</w:t>
            </w:r>
            <w:r>
              <w:rPr>
                <w:rFonts w:hint="default" w:ascii="Times New Roman" w:hAnsi="Times New Roman" w:eastAsia="宋体" w:cs="Times New Roman"/>
                <w:b w:val="0"/>
                <w:bCs w:val="0"/>
                <w:color w:val="000000"/>
                <w:spacing w:val="0"/>
                <w:kern w:val="2"/>
                <w:position w:val="0"/>
                <w:sz w:val="24"/>
                <w:szCs w:val="24"/>
                <w:highlight w:val="none"/>
                <w:lang w:val="zh-CN" w:eastAsia="zh-CN" w:bidi="ar-SA"/>
              </w:rPr>
              <w:t>噪声衰减仅考虑几何发散引起的衰减。</w:t>
            </w:r>
          </w:p>
          <w:p w14:paraId="19886DC2">
            <w:pPr>
              <w:pageBreakBefore w:val="0"/>
              <w:widowControl w:val="0"/>
              <w:numPr>
                <w:ilvl w:val="0"/>
                <w:numId w:val="0"/>
              </w:numPr>
              <w:kinsoku/>
              <w:wordWrap/>
              <w:overflowPunct/>
              <w:topLinePunct w:val="0"/>
              <w:bidi w:val="0"/>
              <w:adjustRightInd/>
              <w:snapToGrid/>
              <w:spacing w:line="360" w:lineRule="auto"/>
              <w:ind w:firstLine="478" w:firstLineChars="200"/>
              <w:jc w:val="both"/>
              <w:textAlignment w:val="auto"/>
              <w:rPr>
                <w:rFonts w:hint="default" w:ascii="Times New Roman" w:hAnsi="Times New Roman" w:eastAsia="宋体" w:cs="Times New Roman"/>
                <w:b/>
                <w:bCs/>
                <w:color w:val="000000"/>
                <w:spacing w:val="-1"/>
                <w:position w:val="2"/>
                <w:sz w:val="24"/>
                <w:szCs w:val="24"/>
                <w:highlight w:val="none"/>
              </w:rPr>
            </w:pPr>
            <w:r>
              <w:rPr>
                <w:rFonts w:hint="eastAsia" w:cs="Times New Roman"/>
                <w:b/>
                <w:bCs/>
                <w:color w:val="000000"/>
                <w:spacing w:val="-1"/>
                <w:position w:val="2"/>
                <w:sz w:val="24"/>
                <w:szCs w:val="24"/>
                <w:highlight w:val="none"/>
                <w:lang w:val="en-US" w:eastAsia="zh-CN"/>
              </w:rPr>
              <w:t>（</w:t>
            </w:r>
            <w:r>
              <w:rPr>
                <w:rFonts w:hint="eastAsia" w:ascii="Times New Roman" w:hAnsi="Times New Roman" w:eastAsia="宋体" w:cs="Times New Roman"/>
                <w:b/>
                <w:bCs/>
                <w:color w:val="000000"/>
                <w:spacing w:val="-1"/>
                <w:position w:val="2"/>
                <w:sz w:val="24"/>
                <w:szCs w:val="24"/>
                <w:highlight w:val="none"/>
                <w:lang w:val="en-US" w:eastAsia="zh-CN"/>
              </w:rPr>
              <w:t>3</w:t>
            </w:r>
            <w:r>
              <w:rPr>
                <w:rFonts w:hint="eastAsia" w:ascii="Times New Roman" w:hAnsi="Times New Roman" w:eastAsia="宋体" w:cs="Times New Roman"/>
                <w:b/>
                <w:bCs/>
                <w:color w:val="000000"/>
                <w:spacing w:val="-1"/>
                <w:position w:val="2"/>
                <w:sz w:val="24"/>
                <w:szCs w:val="24"/>
                <w:highlight w:val="none"/>
                <w:lang w:eastAsia="zh-CN"/>
              </w:rPr>
              <w:t>）</w:t>
            </w:r>
            <w:r>
              <w:rPr>
                <w:rFonts w:hint="default" w:ascii="Times New Roman" w:hAnsi="Times New Roman" w:eastAsia="宋体" w:cs="Times New Roman"/>
                <w:b/>
                <w:bCs/>
                <w:color w:val="000000"/>
                <w:spacing w:val="-1"/>
                <w:position w:val="2"/>
                <w:sz w:val="24"/>
                <w:szCs w:val="24"/>
                <w:highlight w:val="none"/>
              </w:rPr>
              <w:t>室内声源</w:t>
            </w:r>
          </w:p>
          <w:p w14:paraId="49EF5ECE">
            <w:pPr>
              <w:pageBreakBefore w:val="0"/>
              <w:widowControl w:val="0"/>
              <w:numPr>
                <w:ilvl w:val="0"/>
                <w:numId w:val="0"/>
              </w:numPr>
              <w:kinsoku/>
              <w:wordWrap/>
              <w:overflowPunct/>
              <w:topLinePunct w:val="0"/>
              <w:bidi w:val="0"/>
              <w:adjustRightInd/>
              <w:snapToGrid/>
              <w:spacing w:line="360" w:lineRule="auto"/>
              <w:ind w:left="0" w:leftChars="0" w:firstLine="552" w:firstLineChars="200"/>
              <w:jc w:val="both"/>
              <w:textAlignment w:val="auto"/>
              <w:rPr>
                <w:rFonts w:hint="default" w:ascii="Times New Roman" w:hAnsi="Times New Roman" w:eastAsia="宋体" w:cs="Times New Roman"/>
                <w:color w:val="000000"/>
                <w:spacing w:val="5"/>
                <w:sz w:val="24"/>
                <w:szCs w:val="24"/>
                <w:highlight w:val="none"/>
                <w:lang w:eastAsia="zh-CN"/>
              </w:rPr>
            </w:pPr>
            <w:r>
              <w:rPr>
                <w:rFonts w:hint="default" w:ascii="Times New Roman" w:hAnsi="Times New Roman" w:eastAsia="宋体" w:cs="Times New Roman"/>
                <w:b w:val="0"/>
                <w:bCs/>
                <w:color w:val="000000"/>
                <w:spacing w:val="18"/>
                <w:sz w:val="24"/>
                <w:szCs w:val="24"/>
                <w:highlight w:val="none"/>
                <w:lang w:eastAsia="zh-CN"/>
              </w:rPr>
              <w:t>室内声源可采用等效室外声源</w:t>
            </w:r>
            <w:r>
              <w:rPr>
                <w:rFonts w:hint="eastAsia" w:cs="Times New Roman"/>
                <w:b w:val="0"/>
                <w:bCs/>
                <w:color w:val="000000"/>
                <w:spacing w:val="18"/>
                <w:sz w:val="24"/>
                <w:szCs w:val="24"/>
                <w:highlight w:val="none"/>
                <w:lang w:val="en-US" w:eastAsia="zh-CN"/>
              </w:rPr>
              <w:t>的</w:t>
            </w:r>
            <w:r>
              <w:rPr>
                <w:rFonts w:hint="default" w:ascii="Times New Roman" w:hAnsi="Times New Roman" w:eastAsia="宋体" w:cs="Times New Roman"/>
                <w:b w:val="0"/>
                <w:bCs/>
                <w:color w:val="000000"/>
                <w:spacing w:val="18"/>
                <w:sz w:val="24"/>
                <w:szCs w:val="24"/>
                <w:highlight w:val="none"/>
                <w:lang w:eastAsia="zh-CN"/>
              </w:rPr>
              <w:t>声功率级法进行计算。</w:t>
            </w:r>
            <w:r>
              <w:rPr>
                <w:rFonts w:hint="default" w:ascii="Times New Roman" w:hAnsi="Times New Roman" w:eastAsia="宋体" w:cs="Times New Roman"/>
                <w:b w:val="0"/>
                <w:bCs/>
                <w:color w:val="000000"/>
                <w:spacing w:val="10"/>
                <w:sz w:val="24"/>
                <w:szCs w:val="24"/>
                <w:highlight w:val="none"/>
                <w:lang w:eastAsia="zh-CN"/>
              </w:rPr>
              <w:t>室内声源等效室外声源声功率级的</w:t>
            </w:r>
            <w:r>
              <w:rPr>
                <w:rFonts w:hint="default" w:ascii="Times New Roman" w:hAnsi="Times New Roman" w:eastAsia="宋体" w:cs="Times New Roman"/>
                <w:b w:val="0"/>
                <w:bCs/>
                <w:color w:val="000000"/>
                <w:sz w:val="24"/>
                <w:szCs w:val="24"/>
                <w:highlight w:val="none"/>
                <w:lang w:eastAsia="zh-CN"/>
              </w:rPr>
              <w:t>等效步骤如</w:t>
            </w:r>
            <w:r>
              <w:rPr>
                <w:rFonts w:hint="eastAsia" w:ascii="Times New Roman" w:hAnsi="Times New Roman" w:eastAsia="宋体" w:cs="Times New Roman"/>
                <w:b w:val="0"/>
                <w:bCs/>
                <w:color w:val="000000"/>
                <w:spacing w:val="10"/>
                <w:sz w:val="24"/>
                <w:szCs w:val="24"/>
                <w:highlight w:val="none"/>
                <w:lang w:val="en-US" w:eastAsia="zh-CN"/>
              </w:rPr>
              <w:t>下</w:t>
            </w:r>
            <w:r>
              <w:rPr>
                <w:rFonts w:hint="default" w:ascii="Times New Roman" w:hAnsi="Times New Roman" w:eastAsia="宋体" w:cs="Times New Roman"/>
                <w:b w:val="0"/>
                <w:bCs/>
                <w:color w:val="000000"/>
                <w:spacing w:val="10"/>
                <w:sz w:val="24"/>
                <w:szCs w:val="24"/>
                <w:highlight w:val="none"/>
              </w:rPr>
              <w:t>图</w:t>
            </w:r>
            <w:r>
              <w:rPr>
                <w:rFonts w:hint="default" w:ascii="Times New Roman" w:hAnsi="Times New Roman" w:eastAsia="宋体" w:cs="Times New Roman"/>
                <w:b w:val="0"/>
                <w:bCs/>
                <w:color w:val="000000"/>
                <w:spacing w:val="5"/>
                <w:sz w:val="24"/>
                <w:szCs w:val="24"/>
                <w:highlight w:val="none"/>
              </w:rPr>
              <w:t>所示</w:t>
            </w:r>
            <w:r>
              <w:rPr>
                <w:rFonts w:hint="eastAsia" w:ascii="Times New Roman" w:hAnsi="Times New Roman" w:eastAsia="宋体" w:cs="Times New Roman"/>
                <w:b w:val="0"/>
                <w:bCs/>
                <w:color w:val="000000"/>
                <w:spacing w:val="5"/>
                <w:sz w:val="24"/>
                <w:szCs w:val="24"/>
                <w:highlight w:val="none"/>
                <w:lang w:eastAsia="zh-CN"/>
              </w:rPr>
              <w:t>：</w:t>
            </w:r>
          </w:p>
          <w:p w14:paraId="4662AF9D">
            <w:pPr>
              <w:pageBreakBefore w:val="0"/>
              <w:widowControl w:val="0"/>
              <w:numPr>
                <w:ilvl w:val="0"/>
                <w:numId w:val="0"/>
              </w:numPr>
              <w:kinsoku/>
              <w:wordWrap/>
              <w:overflowPunct/>
              <w:topLinePunct w:val="0"/>
              <w:bidi w:val="0"/>
              <w:adjustRightInd/>
              <w:snapToGrid/>
              <w:spacing w:line="360" w:lineRule="auto"/>
              <w:ind w:left="0" w:leftChars="0" w:firstLine="500" w:firstLineChars="200"/>
              <w:jc w:val="center"/>
              <w:textAlignment w:val="auto"/>
              <w:rPr>
                <w:rFonts w:hint="default" w:ascii="Times New Roman" w:hAnsi="Times New Roman" w:eastAsia="宋体" w:cs="Times New Roman"/>
                <w:b w:val="0"/>
                <w:bCs w:val="0"/>
                <w:color w:val="000000"/>
                <w:spacing w:val="0"/>
                <w:position w:val="0"/>
                <w:sz w:val="24"/>
                <w:szCs w:val="24"/>
                <w:highlight w:val="none"/>
                <w:lang w:val="zh-CN"/>
              </w:rPr>
            </w:pPr>
            <w:r>
              <w:rPr>
                <w:rFonts w:hint="default" w:ascii="Times New Roman" w:hAnsi="Times New Roman" w:eastAsia="宋体" w:cs="Times New Roman"/>
                <w:color w:val="000000"/>
                <w:spacing w:val="5"/>
                <w:sz w:val="24"/>
                <w:szCs w:val="24"/>
                <w:highlight w:val="none"/>
                <w:lang w:eastAsia="zh-CN"/>
              </w:rPr>
              <w:object>
                <v:shape id="_x0000_i1035" o:spt="75" type="#_x0000_t75" style="height:101.15pt;width:246.2pt;" o:ole="t" filled="f" o:preferrelative="t" stroked="f" coordsize="21600,21600">
                  <v:path/>
                  <v:fill on="f" focussize="0,0"/>
                  <v:stroke on="f"/>
                  <v:imagedata r:id="rId41" o:title=""/>
                  <o:lock v:ext="edit" aspectratio="f"/>
                  <w10:wrap type="none"/>
                  <w10:anchorlock/>
                </v:shape>
                <o:OLEObject Type="Embed" ProgID="Visio.Drawing.15" ShapeID="_x0000_i1035" DrawAspect="Content" ObjectID="_1468075735" r:id="rId40">
                  <o:LockedField>false</o:LockedField>
                </o:OLEObject>
              </w:object>
            </w:r>
          </w:p>
          <w:p w14:paraId="21CC0DBD">
            <w:pPr>
              <w:pStyle w:val="85"/>
              <w:bidi w:val="0"/>
              <w:spacing w:line="360" w:lineRule="auto"/>
              <w:ind w:firstLine="442" w:firstLineChars="200"/>
              <w:jc w:val="center"/>
              <w:rPr>
                <w:rFonts w:hint="default" w:ascii="Times New Roman" w:hAnsi="Times New Roman" w:eastAsia="宋体" w:cs="Times New Roman"/>
                <w:b/>
                <w:bCs/>
                <w:color w:val="000000"/>
                <w:spacing w:val="5"/>
                <w:sz w:val="21"/>
                <w:szCs w:val="21"/>
                <w:highlight w:val="none"/>
                <w:lang w:val="en-US" w:eastAsia="zh-CN"/>
              </w:rPr>
            </w:pPr>
            <w:r>
              <w:rPr>
                <w:rFonts w:hint="default" w:ascii="Times New Roman" w:hAnsi="Times New Roman" w:eastAsia="宋体" w:cs="Times New Roman"/>
                <w:b/>
                <w:bCs/>
                <w:color w:val="000000"/>
                <w:spacing w:val="5"/>
                <w:sz w:val="21"/>
                <w:szCs w:val="21"/>
                <w:highlight w:val="none"/>
                <w:lang w:eastAsia="zh-CN"/>
              </w:rPr>
              <w:t>图</w:t>
            </w:r>
            <w:r>
              <w:rPr>
                <w:rFonts w:hint="eastAsia" w:ascii="Times New Roman" w:hAnsi="Times New Roman" w:cs="Times New Roman"/>
                <w:b/>
                <w:bCs/>
                <w:color w:val="000000"/>
                <w:spacing w:val="5"/>
                <w:sz w:val="21"/>
                <w:szCs w:val="21"/>
                <w:highlight w:val="none"/>
                <w:lang w:val="en-US" w:eastAsia="zh-CN"/>
              </w:rPr>
              <w:t>4-1</w:t>
            </w:r>
            <w:r>
              <w:rPr>
                <w:rFonts w:hint="eastAsia" w:ascii="Times New Roman" w:hAnsi="Times New Roman" w:eastAsia="宋体" w:cs="Times New Roman"/>
                <w:b/>
                <w:bCs/>
                <w:color w:val="000000"/>
                <w:spacing w:val="5"/>
                <w:sz w:val="21"/>
                <w:szCs w:val="21"/>
                <w:highlight w:val="none"/>
                <w:lang w:val="en-US" w:eastAsia="zh-CN"/>
              </w:rPr>
              <w:t xml:space="preserve">    </w:t>
            </w:r>
            <w:r>
              <w:rPr>
                <w:rFonts w:hint="default" w:ascii="Times New Roman" w:hAnsi="Times New Roman" w:eastAsia="宋体" w:cs="Times New Roman"/>
                <w:b/>
                <w:bCs/>
                <w:color w:val="000000"/>
                <w:spacing w:val="5"/>
                <w:sz w:val="21"/>
                <w:szCs w:val="21"/>
                <w:highlight w:val="none"/>
                <w:lang w:val="en-US" w:eastAsia="zh-CN"/>
              </w:rPr>
              <w:t>室内声源等效为室外声源图例</w:t>
            </w:r>
          </w:p>
          <w:p w14:paraId="29A6B887">
            <w:pPr>
              <w:pageBreakBefore w:val="0"/>
              <w:widowControl w:val="0"/>
              <w:numPr>
                <w:ilvl w:val="0"/>
                <w:numId w:val="0"/>
              </w:numPr>
              <w:kinsoku/>
              <w:wordWrap/>
              <w:overflowPunct/>
              <w:topLinePunct w:val="0"/>
              <w:bidi w:val="0"/>
              <w:adjustRightInd/>
              <w:snapToGrid/>
              <w:spacing w:line="360" w:lineRule="auto"/>
              <w:ind w:left="0" w:leftChars="0" w:firstLine="500" w:firstLineChars="200"/>
              <w:jc w:val="both"/>
              <w:textAlignment w:val="auto"/>
              <w:rPr>
                <w:rFonts w:hint="default" w:ascii="Times New Roman" w:hAnsi="Times New Roman" w:eastAsia="宋体" w:cs="Times New Roman"/>
                <w:i/>
                <w:iCs/>
                <w:color w:val="000000"/>
                <w:spacing w:val="-2"/>
                <w:sz w:val="24"/>
                <w:szCs w:val="24"/>
                <w:highlight w:val="none"/>
                <w:vertAlign w:val="baseline"/>
                <w:lang w:val="en-US" w:eastAsia="zh-CN"/>
              </w:rPr>
            </w:pPr>
            <w:r>
              <w:rPr>
                <w:rFonts w:hint="default" w:ascii="Times New Roman" w:hAnsi="Times New Roman" w:eastAsia="宋体" w:cs="Times New Roman"/>
                <w:color w:val="000000"/>
                <w:spacing w:val="5"/>
                <w:sz w:val="24"/>
                <w:szCs w:val="24"/>
                <w:highlight w:val="none"/>
                <w:lang w:eastAsia="zh-CN"/>
              </w:rPr>
              <w:t>①</w:t>
            </w:r>
            <w:r>
              <w:rPr>
                <w:rFonts w:hint="default" w:ascii="Times New Roman" w:hAnsi="Times New Roman" w:eastAsia="宋体" w:cs="Times New Roman"/>
                <w:color w:val="000000"/>
                <w:spacing w:val="5"/>
                <w:sz w:val="24"/>
                <w:szCs w:val="24"/>
                <w:highlight w:val="none"/>
              </w:rPr>
              <w:t>计算某</w:t>
            </w:r>
            <w:r>
              <w:rPr>
                <w:rFonts w:hint="default" w:ascii="Times New Roman" w:hAnsi="Times New Roman" w:eastAsia="宋体" w:cs="Times New Roman"/>
                <w:color w:val="000000"/>
                <w:spacing w:val="5"/>
                <w:sz w:val="24"/>
                <w:szCs w:val="24"/>
                <w:highlight w:val="none"/>
                <w:lang w:eastAsia="zh-CN"/>
              </w:rPr>
              <w:t>一室内声源靠近</w:t>
            </w:r>
            <w:r>
              <w:rPr>
                <w:rFonts w:hint="default" w:ascii="Times New Roman" w:hAnsi="Times New Roman" w:eastAsia="宋体" w:cs="Times New Roman"/>
                <w:color w:val="000000"/>
                <w:spacing w:val="5"/>
                <w:sz w:val="24"/>
                <w:szCs w:val="24"/>
                <w:highlight w:val="none"/>
              </w:rPr>
              <w:t>围护结构处产生的倍频带声压级或</w:t>
            </w:r>
            <w:r>
              <w:rPr>
                <w:rFonts w:hint="default" w:ascii="Times New Roman" w:hAnsi="Times New Roman" w:eastAsia="宋体" w:cs="Times New Roman"/>
                <w:color w:val="000000"/>
                <w:sz w:val="24"/>
                <w:szCs w:val="24"/>
                <w:highlight w:val="none"/>
              </w:rPr>
              <w:t>A</w:t>
            </w:r>
            <w:r>
              <w:rPr>
                <w:rFonts w:hint="default" w:ascii="Times New Roman" w:hAnsi="Times New Roman" w:eastAsia="宋体" w:cs="Times New Roman"/>
                <w:color w:val="000000"/>
                <w:spacing w:val="5"/>
                <w:sz w:val="24"/>
                <w:szCs w:val="24"/>
                <w:highlight w:val="none"/>
              </w:rPr>
              <w:t>声</w:t>
            </w:r>
            <w:r>
              <w:rPr>
                <w:rFonts w:hint="default" w:ascii="Times New Roman" w:hAnsi="Times New Roman" w:eastAsia="宋体" w:cs="Times New Roman"/>
                <w:color w:val="000000"/>
                <w:spacing w:val="-2"/>
                <w:sz w:val="24"/>
                <w:szCs w:val="24"/>
                <w:highlight w:val="none"/>
              </w:rPr>
              <w:t>级</w:t>
            </w:r>
            <w:r>
              <w:rPr>
                <w:rFonts w:hint="default" w:ascii="Times New Roman" w:hAnsi="Times New Roman" w:eastAsia="宋体" w:cs="Times New Roman"/>
                <w:i/>
                <w:iCs/>
                <w:color w:val="000000"/>
                <w:spacing w:val="-2"/>
                <w:sz w:val="24"/>
                <w:szCs w:val="24"/>
                <w:highlight w:val="none"/>
                <w:lang w:val="en-US" w:eastAsia="zh-CN"/>
              </w:rPr>
              <w:t>Lp</w:t>
            </w:r>
            <w:r>
              <w:rPr>
                <w:rFonts w:hint="default" w:ascii="Times New Roman" w:hAnsi="Times New Roman" w:eastAsia="宋体" w:cs="Times New Roman"/>
                <w:i/>
                <w:iCs/>
                <w:color w:val="000000"/>
                <w:spacing w:val="-2"/>
                <w:sz w:val="24"/>
                <w:szCs w:val="24"/>
                <w:highlight w:val="none"/>
                <w:vertAlign w:val="subscript"/>
                <w:lang w:val="en-US" w:eastAsia="zh-CN"/>
              </w:rPr>
              <w:t>1</w:t>
            </w:r>
            <w:r>
              <w:rPr>
                <w:rFonts w:hint="default" w:ascii="Times New Roman" w:hAnsi="Times New Roman" w:eastAsia="宋体" w:cs="Times New Roman"/>
                <w:i/>
                <w:iCs/>
                <w:color w:val="000000"/>
                <w:spacing w:val="-2"/>
                <w:sz w:val="24"/>
                <w:szCs w:val="24"/>
                <w:highlight w:val="none"/>
                <w:vertAlign w:val="baseline"/>
                <w:lang w:val="en-US" w:eastAsia="zh-CN"/>
              </w:rPr>
              <w:t>；</w:t>
            </w:r>
          </w:p>
          <w:p w14:paraId="5E9D7590">
            <w:pPr>
              <w:pageBreakBefore w:val="0"/>
              <w:widowControl w:val="0"/>
              <w:kinsoku/>
              <w:wordWrap/>
              <w:overflowPunct/>
              <w:topLinePunct w:val="0"/>
              <w:bidi w:val="0"/>
              <w:adjustRightInd/>
              <w:snapToGrid/>
              <w:spacing w:after="0" w:line="360" w:lineRule="auto"/>
              <w:ind w:left="0" w:leftChars="0" w:firstLine="0" w:firstLineChars="0"/>
              <w:jc w:val="center"/>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kern w:val="0"/>
                <w:position w:val="-16"/>
                <w:sz w:val="24"/>
                <w:szCs w:val="24"/>
                <w:highlight w:val="none"/>
                <w:lang w:val="en-US" w:eastAsia="zh-CN" w:bidi="ar-SA"/>
              </w:rPr>
              <w:object>
                <v:shape id="_x0000_i1036" o:spt="75" type="#_x0000_t75" style="height:20pt;width:8pt;" o:ole="t" filled="f" o:preferrelative="t" stroked="f" coordsize="21600,21600">
                  <v:path/>
                  <v:fill on="f" focussize="0,0"/>
                  <v:stroke on="f"/>
                  <v:imagedata r:id="rId43" o:title=""/>
                  <o:lock v:ext="edit" aspectratio="t"/>
                  <w10:wrap type="none"/>
                  <w10:anchorlock/>
                </v:shape>
                <o:OLEObject Type="Embed" ProgID="Equation.KSEE3" ShapeID="_x0000_i1036" DrawAspect="Content" ObjectID="_1468075736" r:id="rId42">
                  <o:LockedField>false</o:LockedField>
                </o:OLEObject>
              </w:object>
            </w:r>
            <w:r>
              <w:rPr>
                <w:rFonts w:hint="default" w:ascii="Times New Roman" w:hAnsi="Times New Roman" w:eastAsia="宋体" w:cs="Times New Roman"/>
                <w:color w:val="000000"/>
                <w:kern w:val="0"/>
                <w:position w:val="-24"/>
                <w:sz w:val="24"/>
                <w:szCs w:val="24"/>
                <w:highlight w:val="none"/>
                <w:lang w:val="en-US" w:eastAsia="zh-CN" w:bidi="ar-SA"/>
              </w:rPr>
              <w:object>
                <v:shape id="_x0000_i1037" o:spt="75" type="#_x0000_t75" style="height:31pt;width:141pt;" o:ole="t" filled="f" o:preferrelative="t" stroked="f" coordsize="21600,21600">
                  <v:path/>
                  <v:fill on="f" focussize="0,0"/>
                  <v:stroke on="f"/>
                  <v:imagedata r:id="rId45" o:title=""/>
                  <o:lock v:ext="edit" aspectratio="t"/>
                  <w10:wrap type="none"/>
                  <w10:anchorlock/>
                </v:shape>
                <o:OLEObject Type="Embed" ProgID="Equation.KSEE3" ShapeID="_x0000_i1037" DrawAspect="Content" ObjectID="_1468075737" r:id="rId44">
                  <o:LockedField>false</o:LockedField>
                </o:OLEObject>
              </w:object>
            </w:r>
          </w:p>
          <w:p w14:paraId="7640A81C">
            <w:pPr>
              <w:pageBreakBefore w:val="0"/>
              <w:widowControl w:val="0"/>
              <w:numPr>
                <w:ilvl w:val="0"/>
                <w:numId w:val="0"/>
              </w:numPr>
              <w:kinsoku/>
              <w:wordWrap/>
              <w:overflowPunct/>
              <w:topLinePunct w:val="0"/>
              <w:bidi w:val="0"/>
              <w:adjustRightInd/>
              <w:snapToGrid/>
              <w:spacing w:line="360" w:lineRule="auto"/>
              <w:ind w:left="480" w:leftChars="200" w:firstLine="0" w:firstLineChars="0"/>
              <w:jc w:val="both"/>
              <w:textAlignment w:val="auto"/>
              <w:rPr>
                <w:rFonts w:hint="default" w:ascii="Times New Roman" w:hAnsi="Times New Roman" w:eastAsia="宋体" w:cs="Times New Roman"/>
                <w:color w:val="000000"/>
                <w:spacing w:val="-2"/>
                <w:sz w:val="24"/>
                <w:szCs w:val="24"/>
                <w:highlight w:val="none"/>
                <w:lang w:eastAsia="zh-CN"/>
              </w:rPr>
            </w:pPr>
            <w:r>
              <w:rPr>
                <w:rFonts w:hint="default" w:ascii="Times New Roman" w:hAnsi="Times New Roman" w:eastAsia="宋体" w:cs="Times New Roman"/>
                <w:color w:val="000000"/>
                <w:spacing w:val="-2"/>
                <w:sz w:val="24"/>
                <w:szCs w:val="24"/>
                <w:highlight w:val="none"/>
                <w:lang w:eastAsia="zh-CN"/>
              </w:rPr>
              <w:t>式中：</w:t>
            </w:r>
          </w:p>
          <w:p w14:paraId="1EA23A19">
            <w:pPr>
              <w:pageBreakBefore w:val="0"/>
              <w:widowControl w:val="0"/>
              <w:numPr>
                <w:ilvl w:val="0"/>
                <w:numId w:val="0"/>
              </w:numPr>
              <w:kinsoku/>
              <w:wordWrap/>
              <w:overflowPunct/>
              <w:topLinePunct w:val="0"/>
              <w:bidi w:val="0"/>
              <w:adjustRightInd/>
              <w:snapToGrid/>
              <w:spacing w:line="360" w:lineRule="auto"/>
              <w:ind w:left="480" w:leftChars="200" w:firstLine="0" w:firstLineChars="0"/>
              <w:jc w:val="both"/>
              <w:textAlignment w:val="auto"/>
              <w:rPr>
                <w:rFonts w:hint="default" w:ascii="Times New Roman" w:hAnsi="Times New Roman" w:eastAsia="宋体" w:cs="Times New Roman"/>
                <w:color w:val="000000"/>
                <w:spacing w:val="-2"/>
                <w:sz w:val="24"/>
                <w:szCs w:val="24"/>
                <w:highlight w:val="none"/>
                <w:lang w:val="en-US" w:eastAsia="zh-CN"/>
              </w:rPr>
            </w:pPr>
            <w:r>
              <w:rPr>
                <w:rFonts w:hint="default" w:ascii="Times New Roman" w:hAnsi="Times New Roman" w:eastAsia="宋体" w:cs="Times New Roman"/>
                <w:i/>
                <w:iCs/>
                <w:color w:val="000000"/>
                <w:spacing w:val="-2"/>
                <w:sz w:val="24"/>
                <w:szCs w:val="24"/>
                <w:highlight w:val="none"/>
                <w:lang w:val="en-US" w:eastAsia="zh-CN"/>
              </w:rPr>
              <w:t>Lp</w:t>
            </w:r>
            <w:r>
              <w:rPr>
                <w:rFonts w:hint="default" w:ascii="Times New Roman" w:hAnsi="Times New Roman" w:eastAsia="宋体" w:cs="Times New Roman"/>
                <w:i/>
                <w:iCs/>
                <w:color w:val="000000"/>
                <w:spacing w:val="-2"/>
                <w:sz w:val="24"/>
                <w:szCs w:val="24"/>
                <w:highlight w:val="none"/>
                <w:vertAlign w:val="subscript"/>
                <w:lang w:val="en-US" w:eastAsia="zh-CN"/>
              </w:rPr>
              <w:t>1</w:t>
            </w:r>
            <w:r>
              <w:rPr>
                <w:rFonts w:hint="default" w:ascii="Times New Roman" w:hAnsi="Times New Roman" w:eastAsia="宋体" w:cs="Times New Roman"/>
                <w:i/>
                <w:iCs/>
                <w:color w:val="000000"/>
                <w:spacing w:val="-2"/>
                <w:sz w:val="24"/>
                <w:szCs w:val="24"/>
                <w:highlight w:val="none"/>
                <w:vertAlign w:val="baseline"/>
                <w:lang w:val="en-US" w:eastAsia="zh-CN"/>
              </w:rPr>
              <w:t>——</w:t>
            </w:r>
            <w:r>
              <w:rPr>
                <w:rFonts w:hint="default" w:ascii="Times New Roman" w:hAnsi="Times New Roman" w:eastAsia="宋体" w:cs="Times New Roman"/>
                <w:i w:val="0"/>
                <w:iCs w:val="0"/>
                <w:color w:val="000000"/>
                <w:spacing w:val="-2"/>
                <w:sz w:val="24"/>
                <w:szCs w:val="24"/>
                <w:highlight w:val="none"/>
                <w:vertAlign w:val="baseline"/>
                <w:lang w:val="en-US" w:eastAsia="zh-CN"/>
              </w:rPr>
              <w:t>靠近开口处（或窗户）室内某</w:t>
            </w:r>
            <w:r>
              <w:rPr>
                <w:rFonts w:hint="default" w:ascii="Times New Roman" w:hAnsi="Times New Roman" w:eastAsia="宋体" w:cs="Times New Roman"/>
                <w:color w:val="000000"/>
                <w:spacing w:val="5"/>
                <w:sz w:val="24"/>
                <w:szCs w:val="24"/>
                <w:highlight w:val="none"/>
              </w:rPr>
              <w:t>倍频带声压级或</w:t>
            </w:r>
            <w:r>
              <w:rPr>
                <w:rFonts w:hint="default" w:ascii="Times New Roman" w:hAnsi="Times New Roman" w:eastAsia="宋体" w:cs="Times New Roman"/>
                <w:color w:val="000000"/>
                <w:sz w:val="24"/>
                <w:szCs w:val="24"/>
                <w:highlight w:val="none"/>
              </w:rPr>
              <w:t>A</w:t>
            </w:r>
            <w:r>
              <w:rPr>
                <w:rFonts w:hint="default" w:ascii="Times New Roman" w:hAnsi="Times New Roman" w:eastAsia="宋体" w:cs="Times New Roman"/>
                <w:color w:val="000000"/>
                <w:spacing w:val="5"/>
                <w:sz w:val="24"/>
                <w:szCs w:val="24"/>
                <w:highlight w:val="none"/>
              </w:rPr>
              <w:t>声</w:t>
            </w:r>
            <w:r>
              <w:rPr>
                <w:rFonts w:hint="default" w:ascii="Times New Roman" w:hAnsi="Times New Roman" w:eastAsia="宋体" w:cs="Times New Roman"/>
                <w:color w:val="000000"/>
                <w:spacing w:val="-2"/>
                <w:sz w:val="24"/>
                <w:szCs w:val="24"/>
                <w:highlight w:val="none"/>
              </w:rPr>
              <w:t>级</w:t>
            </w:r>
            <w:r>
              <w:rPr>
                <w:rFonts w:hint="default" w:ascii="Times New Roman" w:hAnsi="Times New Roman" w:eastAsia="宋体" w:cs="Times New Roman"/>
                <w:color w:val="000000"/>
                <w:spacing w:val="-2"/>
                <w:sz w:val="24"/>
                <w:szCs w:val="24"/>
                <w:highlight w:val="none"/>
                <w:lang w:eastAsia="zh-CN"/>
              </w:rPr>
              <w:t>，</w:t>
            </w:r>
            <w:r>
              <w:rPr>
                <w:rFonts w:hint="default" w:ascii="Times New Roman" w:hAnsi="Times New Roman" w:eastAsia="宋体" w:cs="Times New Roman"/>
                <w:color w:val="000000"/>
                <w:spacing w:val="-2"/>
                <w:sz w:val="24"/>
                <w:szCs w:val="24"/>
                <w:highlight w:val="none"/>
                <w:lang w:val="en-US" w:eastAsia="zh-CN"/>
              </w:rPr>
              <w:t>dB；</w:t>
            </w:r>
          </w:p>
          <w:p w14:paraId="1E18842B">
            <w:pPr>
              <w:pageBreakBefore w:val="0"/>
              <w:widowControl w:val="0"/>
              <w:numPr>
                <w:ilvl w:val="0"/>
                <w:numId w:val="0"/>
              </w:numPr>
              <w:kinsoku/>
              <w:wordWrap/>
              <w:overflowPunct/>
              <w:topLinePunct w:val="0"/>
              <w:bidi w:val="0"/>
              <w:adjustRightInd/>
              <w:snapToGrid/>
              <w:spacing w:line="360" w:lineRule="auto"/>
              <w:ind w:left="480" w:leftChars="200" w:firstLine="0" w:firstLineChars="0"/>
              <w:jc w:val="both"/>
              <w:textAlignment w:val="auto"/>
              <w:rPr>
                <w:rFonts w:hint="default" w:ascii="Times New Roman" w:hAnsi="Times New Roman" w:eastAsia="宋体" w:cs="Times New Roman"/>
                <w:color w:val="000000"/>
                <w:spacing w:val="-2"/>
                <w:sz w:val="24"/>
                <w:szCs w:val="24"/>
                <w:highlight w:val="none"/>
                <w:lang w:val="en-US" w:eastAsia="zh-CN"/>
              </w:rPr>
            </w:pPr>
            <w:r>
              <w:rPr>
                <w:rFonts w:hint="default" w:ascii="Times New Roman" w:hAnsi="Times New Roman" w:eastAsia="宋体" w:cs="Times New Roman"/>
                <w:i/>
                <w:iCs/>
                <w:color w:val="000000"/>
                <w:spacing w:val="-2"/>
                <w:sz w:val="24"/>
                <w:szCs w:val="24"/>
                <w:highlight w:val="none"/>
                <w:lang w:val="en-US" w:eastAsia="zh-CN"/>
              </w:rPr>
              <w:t>L</w:t>
            </w:r>
            <w:r>
              <w:rPr>
                <w:rFonts w:hint="default" w:ascii="Times New Roman" w:hAnsi="Times New Roman" w:eastAsia="宋体" w:cs="Times New Roman"/>
                <w:i/>
                <w:iCs/>
                <w:color w:val="000000"/>
                <w:spacing w:val="-2"/>
                <w:sz w:val="24"/>
                <w:szCs w:val="24"/>
                <w:highlight w:val="none"/>
                <w:vertAlign w:val="subscript"/>
                <w:lang w:val="en-US" w:eastAsia="zh-CN"/>
              </w:rPr>
              <w:t>w</w:t>
            </w:r>
            <w:r>
              <w:rPr>
                <w:rFonts w:hint="default" w:ascii="Times New Roman" w:hAnsi="Times New Roman" w:eastAsia="宋体" w:cs="Times New Roman"/>
                <w:i/>
                <w:iCs/>
                <w:color w:val="000000"/>
                <w:spacing w:val="-2"/>
                <w:sz w:val="24"/>
                <w:szCs w:val="24"/>
                <w:highlight w:val="none"/>
                <w:vertAlign w:val="baseline"/>
                <w:lang w:val="en-US" w:eastAsia="zh-CN"/>
              </w:rPr>
              <w:t>——</w:t>
            </w:r>
            <w:r>
              <w:rPr>
                <w:rFonts w:hint="default" w:ascii="Times New Roman" w:hAnsi="Times New Roman" w:eastAsia="宋体" w:cs="Times New Roman"/>
                <w:i w:val="0"/>
                <w:iCs w:val="0"/>
                <w:color w:val="000000"/>
                <w:spacing w:val="-2"/>
                <w:sz w:val="24"/>
                <w:szCs w:val="24"/>
                <w:highlight w:val="none"/>
                <w:vertAlign w:val="baseline"/>
                <w:lang w:val="en-US" w:eastAsia="zh-CN"/>
              </w:rPr>
              <w:t>点声源声功率级（A计权或倍频带），dB；</w:t>
            </w:r>
          </w:p>
          <w:p w14:paraId="39FF9300">
            <w:pPr>
              <w:pageBreakBefore w:val="0"/>
              <w:widowControl w:val="0"/>
              <w:numPr>
                <w:ilvl w:val="0"/>
                <w:numId w:val="0"/>
              </w:numPr>
              <w:kinsoku/>
              <w:wordWrap/>
              <w:overflowPunct/>
              <w:topLinePunct w:val="0"/>
              <w:bidi w:val="0"/>
              <w:adjustRightInd/>
              <w:snapToGrid/>
              <w:spacing w:line="360" w:lineRule="auto"/>
              <w:ind w:left="0" w:leftChars="0" w:firstLine="472" w:firstLineChars="200"/>
              <w:jc w:val="both"/>
              <w:textAlignment w:val="auto"/>
              <w:rPr>
                <w:rFonts w:hint="default" w:ascii="Times New Roman" w:hAnsi="Times New Roman" w:eastAsia="宋体" w:cs="Times New Roman"/>
                <w:color w:val="000000"/>
                <w:spacing w:val="-2"/>
                <w:sz w:val="24"/>
                <w:szCs w:val="24"/>
                <w:highlight w:val="none"/>
                <w:lang w:val="en-US" w:eastAsia="zh-CN"/>
              </w:rPr>
            </w:pPr>
            <w:r>
              <w:rPr>
                <w:rFonts w:hint="default" w:ascii="Times New Roman" w:hAnsi="Times New Roman" w:eastAsia="宋体" w:cs="Times New Roman"/>
                <w:color w:val="000000"/>
                <w:spacing w:val="-2"/>
                <w:sz w:val="24"/>
                <w:szCs w:val="24"/>
                <w:highlight w:val="none"/>
                <w:lang w:val="en-US" w:eastAsia="zh-CN"/>
              </w:rPr>
              <w:t>Q——指向性因数；通常对无指向性声源，当声源放在房间中心时，Q=1；当放在一面墙的中心时，Q=2；当放在两面墙的夹角处时，Q=4；当放在三面墙的夹角处时，Q=8；</w:t>
            </w:r>
          </w:p>
          <w:p w14:paraId="1F96B359">
            <w:pPr>
              <w:pageBreakBefore w:val="0"/>
              <w:widowControl w:val="0"/>
              <w:numPr>
                <w:ilvl w:val="0"/>
                <w:numId w:val="0"/>
              </w:numPr>
              <w:kinsoku/>
              <w:wordWrap/>
              <w:overflowPunct/>
              <w:topLinePunct w:val="0"/>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pacing w:val="-6"/>
                <w:sz w:val="24"/>
                <w:szCs w:val="24"/>
                <w:highlight w:val="none"/>
              </w:rPr>
            </w:pPr>
            <w:r>
              <w:rPr>
                <w:rFonts w:hint="default" w:ascii="Times New Roman" w:hAnsi="Times New Roman" w:eastAsia="宋体" w:cs="Times New Roman"/>
                <w:i/>
                <w:iCs/>
                <w:color w:val="000000"/>
                <w:sz w:val="24"/>
                <w:szCs w:val="24"/>
                <w:highlight w:val="none"/>
              </w:rPr>
              <w:t>R</w:t>
            </w:r>
            <w:r>
              <w:rPr>
                <w:rFonts w:hint="default" w:ascii="Times New Roman" w:hAnsi="Times New Roman" w:eastAsia="宋体" w:cs="Times New Roman"/>
                <w:color w:val="000000"/>
                <w:spacing w:val="6"/>
                <w:sz w:val="24"/>
                <w:szCs w:val="24"/>
                <w:highlight w:val="none"/>
                <w:lang w:eastAsia="zh-CN"/>
              </w:rPr>
              <w:t>——</w:t>
            </w:r>
            <w:r>
              <w:rPr>
                <w:rFonts w:hint="default" w:ascii="Times New Roman" w:hAnsi="Times New Roman" w:eastAsia="宋体" w:cs="Times New Roman"/>
                <w:color w:val="000000"/>
                <w:spacing w:val="6"/>
                <w:sz w:val="24"/>
                <w:szCs w:val="24"/>
                <w:highlight w:val="none"/>
              </w:rPr>
              <w:t>房间常数；</w:t>
            </w:r>
            <w:r>
              <w:rPr>
                <w:rFonts w:hint="default" w:ascii="Times New Roman" w:hAnsi="Times New Roman" w:eastAsia="宋体" w:cs="Times New Roman"/>
                <w:i/>
                <w:iCs/>
                <w:color w:val="000000"/>
                <w:sz w:val="24"/>
                <w:szCs w:val="24"/>
                <w:highlight w:val="none"/>
              </w:rPr>
              <w:t>R</w:t>
            </w:r>
            <w:r>
              <w:rPr>
                <w:rFonts w:hint="default" w:ascii="Times New Roman" w:hAnsi="Times New Roman" w:eastAsia="宋体" w:cs="Times New Roman"/>
                <w:color w:val="000000"/>
                <w:spacing w:val="6"/>
                <w:sz w:val="24"/>
                <w:szCs w:val="24"/>
                <w:highlight w:val="none"/>
              </w:rPr>
              <w:t>=</w:t>
            </w:r>
            <w:r>
              <w:rPr>
                <w:rFonts w:hint="default" w:ascii="Times New Roman" w:hAnsi="Times New Roman" w:eastAsia="宋体" w:cs="Times New Roman"/>
                <w:color w:val="000000"/>
                <w:sz w:val="24"/>
                <w:szCs w:val="24"/>
                <w:highlight w:val="none"/>
              </w:rPr>
              <w:t>S</w:t>
            </w:r>
            <w:r>
              <w:rPr>
                <w:rFonts w:hint="default" w:ascii="Times New Roman" w:hAnsi="Times New Roman" w:eastAsia="宋体" w:cs="Times New Roman"/>
                <w:color w:val="000000"/>
                <w:spacing w:val="4"/>
                <w:sz w:val="24"/>
                <w:szCs w:val="24"/>
                <w:highlight w:val="none"/>
              </w:rPr>
              <w:t>α</w:t>
            </w:r>
            <w:r>
              <w:rPr>
                <w:rFonts w:hint="default" w:ascii="Times New Roman" w:hAnsi="Times New Roman" w:eastAsia="宋体" w:cs="Times New Roman"/>
                <w:color w:val="000000"/>
                <w:spacing w:val="3"/>
                <w:sz w:val="24"/>
                <w:szCs w:val="24"/>
                <w:highlight w:val="none"/>
              </w:rPr>
              <w:t>/</w:t>
            </w:r>
            <w:r>
              <w:rPr>
                <w:rFonts w:hint="eastAsia" w:ascii="Times New Roman" w:hAnsi="Times New Roman" w:eastAsia="宋体" w:cs="Times New Roman"/>
                <w:color w:val="000000"/>
                <w:spacing w:val="3"/>
                <w:sz w:val="24"/>
                <w:szCs w:val="24"/>
                <w:highlight w:val="none"/>
                <w:lang w:eastAsia="zh-CN"/>
              </w:rPr>
              <w:t>（</w:t>
            </w:r>
            <w:r>
              <w:rPr>
                <w:rFonts w:hint="default" w:ascii="Times New Roman" w:hAnsi="Times New Roman" w:eastAsia="宋体" w:cs="Times New Roman"/>
                <w:color w:val="000000"/>
                <w:spacing w:val="3"/>
                <w:sz w:val="24"/>
                <w:szCs w:val="24"/>
                <w:highlight w:val="none"/>
              </w:rPr>
              <w:t>1-α</w:t>
            </w:r>
            <w:r>
              <w:rPr>
                <w:rFonts w:hint="eastAsia" w:ascii="Times New Roman" w:hAnsi="Times New Roman" w:eastAsia="宋体" w:cs="Times New Roman"/>
                <w:color w:val="000000"/>
                <w:spacing w:val="3"/>
                <w:sz w:val="24"/>
                <w:szCs w:val="24"/>
                <w:highlight w:val="none"/>
                <w:lang w:eastAsia="zh-CN"/>
              </w:rPr>
              <w:t>）</w:t>
            </w:r>
            <w:r>
              <w:rPr>
                <w:rFonts w:hint="default" w:ascii="Times New Roman" w:hAnsi="Times New Roman" w:eastAsia="宋体" w:cs="Times New Roman"/>
                <w:color w:val="000000"/>
                <w:spacing w:val="3"/>
                <w:sz w:val="24"/>
                <w:szCs w:val="24"/>
                <w:highlight w:val="none"/>
              </w:rPr>
              <w:t xml:space="preserve"> ，</w:t>
            </w:r>
            <w:r>
              <w:rPr>
                <w:rFonts w:hint="default" w:ascii="Times New Roman" w:hAnsi="Times New Roman" w:eastAsia="宋体" w:cs="Times New Roman"/>
                <w:color w:val="000000"/>
                <w:sz w:val="24"/>
                <w:szCs w:val="24"/>
                <w:highlight w:val="none"/>
              </w:rPr>
              <w:t>S</w:t>
            </w:r>
            <w:r>
              <w:rPr>
                <w:rFonts w:hint="default" w:ascii="Times New Roman" w:hAnsi="Times New Roman" w:eastAsia="宋体" w:cs="Times New Roman"/>
                <w:color w:val="000000"/>
                <w:spacing w:val="3"/>
                <w:sz w:val="24"/>
                <w:szCs w:val="24"/>
                <w:highlight w:val="none"/>
              </w:rPr>
              <w:t xml:space="preserve"> ：为房间内表面面积，</w:t>
            </w:r>
            <w:r>
              <w:rPr>
                <w:rFonts w:hint="default" w:ascii="Times New Roman" w:hAnsi="Times New Roman" w:eastAsia="宋体" w:cs="Times New Roman"/>
                <w:color w:val="000000"/>
                <w:spacing w:val="3"/>
                <w:sz w:val="24"/>
                <w:szCs w:val="24"/>
                <w:highlight w:val="none"/>
                <w:lang w:val="en-US" w:eastAsia="zh-CN"/>
              </w:rPr>
              <w:t>m</w:t>
            </w:r>
            <w:r>
              <w:rPr>
                <w:rFonts w:hint="default" w:ascii="Times New Roman" w:hAnsi="Times New Roman" w:eastAsia="宋体" w:cs="Times New Roman"/>
                <w:color w:val="000000"/>
                <w:spacing w:val="3"/>
                <w:sz w:val="24"/>
                <w:szCs w:val="24"/>
                <w:highlight w:val="none"/>
                <w:vertAlign w:val="superscript"/>
                <w:lang w:val="en-US" w:eastAsia="zh-CN"/>
              </w:rPr>
              <w:t>2</w:t>
            </w:r>
            <w:r>
              <w:rPr>
                <w:rFonts w:hint="default" w:ascii="Times New Roman" w:hAnsi="Times New Roman" w:eastAsia="宋体" w:cs="Times New Roman"/>
                <w:color w:val="000000"/>
                <w:spacing w:val="3"/>
                <w:sz w:val="24"/>
                <w:szCs w:val="24"/>
                <w:highlight w:val="none"/>
              </w:rPr>
              <w:t>；α ：为平均吸声系数，本</w:t>
            </w:r>
            <w:r>
              <w:rPr>
                <w:rFonts w:hint="default" w:ascii="Times New Roman" w:hAnsi="Times New Roman" w:eastAsia="宋体" w:cs="Times New Roman"/>
                <w:color w:val="000000"/>
                <w:spacing w:val="-10"/>
                <w:sz w:val="24"/>
                <w:szCs w:val="24"/>
                <w:highlight w:val="none"/>
              </w:rPr>
              <w:t>评</w:t>
            </w:r>
            <w:r>
              <w:rPr>
                <w:rFonts w:hint="default" w:ascii="Times New Roman" w:hAnsi="Times New Roman" w:eastAsia="宋体" w:cs="Times New Roman"/>
                <w:color w:val="000000"/>
                <w:spacing w:val="-6"/>
                <w:sz w:val="24"/>
                <w:szCs w:val="24"/>
                <w:highlight w:val="none"/>
              </w:rPr>
              <w:t>价α取0.15；</w:t>
            </w:r>
          </w:p>
          <w:p w14:paraId="0A7D950D">
            <w:pPr>
              <w:pageBreakBefore w:val="0"/>
              <w:widowControl w:val="0"/>
              <w:numPr>
                <w:ilvl w:val="0"/>
                <w:numId w:val="0"/>
              </w:numPr>
              <w:kinsoku/>
              <w:wordWrap/>
              <w:overflowPunct/>
              <w:topLinePunct w:val="0"/>
              <w:bidi w:val="0"/>
              <w:adjustRightInd/>
              <w:snapToGrid/>
              <w:spacing w:line="360" w:lineRule="auto"/>
              <w:ind w:left="0" w:leftChars="0" w:firstLine="456" w:firstLineChars="200"/>
              <w:jc w:val="both"/>
              <w:textAlignment w:val="auto"/>
              <w:rPr>
                <w:rFonts w:hint="default" w:ascii="Times New Roman" w:hAnsi="Times New Roman" w:eastAsia="宋体" w:cs="Times New Roman"/>
                <w:color w:val="000000"/>
                <w:spacing w:val="-6"/>
                <w:sz w:val="24"/>
                <w:szCs w:val="24"/>
                <w:highlight w:val="none"/>
                <w:lang w:val="en-US" w:eastAsia="zh-CN"/>
              </w:rPr>
            </w:pPr>
            <w:r>
              <w:rPr>
                <w:rFonts w:hint="default" w:ascii="Times New Roman" w:hAnsi="Times New Roman" w:eastAsia="宋体" w:cs="Times New Roman"/>
                <w:color w:val="000000"/>
                <w:spacing w:val="-6"/>
                <w:sz w:val="24"/>
                <w:szCs w:val="24"/>
                <w:highlight w:val="none"/>
                <w:lang w:val="en-US" w:eastAsia="zh-CN"/>
              </w:rPr>
              <w:t>r——声源</w:t>
            </w:r>
            <w:r>
              <w:rPr>
                <w:rFonts w:hint="default" w:ascii="Times New Roman" w:hAnsi="Times New Roman" w:eastAsia="宋体" w:cs="Times New Roman"/>
                <w:color w:val="000000"/>
                <w:spacing w:val="10"/>
                <w:sz w:val="24"/>
                <w:szCs w:val="24"/>
                <w:highlight w:val="none"/>
              </w:rPr>
              <w:t>到靠近围护结构某点处的距离，</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pacing w:val="6"/>
                <w:sz w:val="24"/>
                <w:szCs w:val="24"/>
                <w:highlight w:val="none"/>
              </w:rPr>
              <w:t>。</w:t>
            </w:r>
          </w:p>
          <w:p w14:paraId="08E35D0F">
            <w:pPr>
              <w:pageBreakBefore w:val="0"/>
              <w:widowControl w:val="0"/>
              <w:numPr>
                <w:ilvl w:val="0"/>
                <w:numId w:val="0"/>
              </w:numPr>
              <w:kinsoku/>
              <w:wordWrap/>
              <w:overflowPunct/>
              <w:topLinePunct w:val="0"/>
              <w:bidi w:val="0"/>
              <w:adjustRightInd/>
              <w:snapToGrid/>
              <w:spacing w:line="360" w:lineRule="auto"/>
              <w:ind w:left="0" w:leftChars="0" w:firstLine="472" w:firstLineChars="200"/>
              <w:jc w:val="both"/>
              <w:textAlignment w:val="auto"/>
              <w:rPr>
                <w:rFonts w:hint="default" w:ascii="Times New Roman" w:hAnsi="Times New Roman" w:eastAsia="宋体" w:cs="Times New Roman"/>
                <w:i/>
                <w:iCs/>
                <w:color w:val="000000"/>
                <w:spacing w:val="-2"/>
                <w:sz w:val="24"/>
                <w:szCs w:val="24"/>
                <w:highlight w:val="none"/>
                <w:vertAlign w:val="baseline"/>
                <w:lang w:val="en-US" w:eastAsia="zh-CN"/>
              </w:rPr>
            </w:pPr>
            <w:r>
              <w:rPr>
                <w:rFonts w:hint="default" w:ascii="Times New Roman" w:hAnsi="Times New Roman" w:eastAsia="宋体" w:cs="Times New Roman"/>
                <w:color w:val="000000"/>
                <w:spacing w:val="-2"/>
                <w:sz w:val="24"/>
                <w:szCs w:val="24"/>
                <w:highlight w:val="none"/>
                <w:lang w:eastAsia="zh-CN"/>
              </w:rPr>
              <w:t>②计算出室内声源在室外产生的倍频带</w:t>
            </w:r>
            <w:r>
              <w:rPr>
                <w:rFonts w:hint="default" w:ascii="Times New Roman" w:hAnsi="Times New Roman" w:eastAsia="宋体" w:cs="Times New Roman"/>
                <w:color w:val="000000"/>
                <w:spacing w:val="5"/>
                <w:sz w:val="24"/>
                <w:szCs w:val="24"/>
                <w:highlight w:val="none"/>
              </w:rPr>
              <w:t>声压级或</w:t>
            </w:r>
            <w:r>
              <w:rPr>
                <w:rFonts w:hint="default" w:ascii="Times New Roman" w:hAnsi="Times New Roman" w:eastAsia="宋体" w:cs="Times New Roman"/>
                <w:color w:val="000000"/>
                <w:sz w:val="24"/>
                <w:szCs w:val="24"/>
                <w:highlight w:val="none"/>
              </w:rPr>
              <w:t>A</w:t>
            </w:r>
            <w:r>
              <w:rPr>
                <w:rFonts w:hint="default" w:ascii="Times New Roman" w:hAnsi="Times New Roman" w:eastAsia="宋体" w:cs="Times New Roman"/>
                <w:color w:val="000000"/>
                <w:spacing w:val="5"/>
                <w:sz w:val="24"/>
                <w:szCs w:val="24"/>
                <w:highlight w:val="none"/>
              </w:rPr>
              <w:t>声</w:t>
            </w:r>
            <w:r>
              <w:rPr>
                <w:rFonts w:hint="default" w:ascii="Times New Roman" w:hAnsi="Times New Roman" w:eastAsia="宋体" w:cs="Times New Roman"/>
                <w:color w:val="000000"/>
                <w:spacing w:val="-2"/>
                <w:sz w:val="24"/>
                <w:szCs w:val="24"/>
                <w:highlight w:val="none"/>
              </w:rPr>
              <w:t>级</w:t>
            </w:r>
            <w:r>
              <w:rPr>
                <w:rFonts w:hint="default" w:ascii="Times New Roman" w:hAnsi="Times New Roman" w:eastAsia="宋体" w:cs="Times New Roman"/>
                <w:i/>
                <w:iCs/>
                <w:color w:val="000000"/>
                <w:spacing w:val="-2"/>
                <w:sz w:val="24"/>
                <w:szCs w:val="24"/>
                <w:highlight w:val="none"/>
                <w:lang w:val="en-US" w:eastAsia="zh-CN"/>
              </w:rPr>
              <w:t>Lp</w:t>
            </w:r>
            <w:r>
              <w:rPr>
                <w:rFonts w:hint="default" w:ascii="Times New Roman" w:hAnsi="Times New Roman" w:eastAsia="宋体" w:cs="Times New Roman"/>
                <w:i/>
                <w:iCs/>
                <w:color w:val="000000"/>
                <w:spacing w:val="-2"/>
                <w:sz w:val="24"/>
                <w:szCs w:val="24"/>
                <w:highlight w:val="none"/>
                <w:vertAlign w:val="subscript"/>
                <w:lang w:val="en-US" w:eastAsia="zh-CN"/>
              </w:rPr>
              <w:t>2</w:t>
            </w:r>
            <w:r>
              <w:rPr>
                <w:rFonts w:hint="default" w:ascii="Times New Roman" w:hAnsi="Times New Roman" w:eastAsia="宋体" w:cs="Times New Roman"/>
                <w:i/>
                <w:iCs/>
                <w:color w:val="000000"/>
                <w:spacing w:val="-2"/>
                <w:sz w:val="24"/>
                <w:szCs w:val="24"/>
                <w:highlight w:val="none"/>
                <w:vertAlign w:val="baseline"/>
                <w:lang w:val="en-US" w:eastAsia="zh-CN"/>
              </w:rPr>
              <w:t>；</w:t>
            </w:r>
          </w:p>
          <w:p w14:paraId="2D229B37">
            <w:pPr>
              <w:pageBreakBefore w:val="0"/>
              <w:widowControl w:val="0"/>
              <w:numPr>
                <w:ilvl w:val="0"/>
                <w:numId w:val="0"/>
              </w:numPr>
              <w:kinsoku/>
              <w:wordWrap/>
              <w:overflowPunct/>
              <w:topLinePunct w:val="0"/>
              <w:bidi w:val="0"/>
              <w:adjustRightInd/>
              <w:snapToGrid/>
              <w:spacing w:line="360" w:lineRule="auto"/>
              <w:ind w:left="0" w:leftChars="0" w:firstLine="472" w:firstLineChars="200"/>
              <w:jc w:val="center"/>
              <w:textAlignment w:val="auto"/>
              <w:rPr>
                <w:rFonts w:hint="default" w:ascii="Times New Roman" w:hAnsi="Times New Roman" w:eastAsia="宋体" w:cs="Times New Roman"/>
                <w:color w:val="000000"/>
                <w:spacing w:val="-2"/>
                <w:sz w:val="24"/>
                <w:szCs w:val="24"/>
                <w:highlight w:val="none"/>
                <w:lang w:eastAsia="zh-CN"/>
              </w:rPr>
            </w:pPr>
            <w:r>
              <w:rPr>
                <w:rFonts w:hint="default" w:ascii="Times New Roman" w:hAnsi="Times New Roman" w:eastAsia="宋体" w:cs="Times New Roman"/>
                <w:color w:val="000000"/>
                <w:spacing w:val="-2"/>
                <w:position w:val="-14"/>
                <w:sz w:val="24"/>
                <w:szCs w:val="24"/>
                <w:highlight w:val="none"/>
                <w:lang w:eastAsia="zh-CN"/>
              </w:rPr>
              <w:object>
                <v:shape id="_x0000_i1038" o:spt="75" type="#_x0000_t75" style="height:19pt;width:101pt;" o:ole="t" filled="f" o:preferrelative="t" stroked="f" coordsize="21600,21600">
                  <v:path/>
                  <v:fill on="f" focussize="0,0"/>
                  <v:stroke on="f"/>
                  <v:imagedata r:id="rId47" o:title=""/>
                  <o:lock v:ext="edit" aspectratio="t"/>
                  <w10:wrap type="none"/>
                  <w10:anchorlock/>
                </v:shape>
                <o:OLEObject Type="Embed" ProgID="Equation.KSEE3" ShapeID="_x0000_i1038" DrawAspect="Content" ObjectID="_1468075738" r:id="rId46">
                  <o:LockedField>false</o:LockedField>
                </o:OLEObject>
              </w:object>
            </w:r>
          </w:p>
          <w:p w14:paraId="22EC5F46">
            <w:pPr>
              <w:pageBreakBefore w:val="0"/>
              <w:widowControl w:val="0"/>
              <w:kinsoku/>
              <w:wordWrap/>
              <w:overflowPunct/>
              <w:topLinePunct w:val="0"/>
              <w:bidi w:val="0"/>
              <w:adjustRightInd/>
              <w:snapToGrid/>
              <w:spacing w:after="0" w:line="360" w:lineRule="auto"/>
              <w:ind w:left="0" w:leftChars="0" w:firstLine="472" w:firstLineChars="200"/>
              <w:jc w:val="both"/>
              <w:textAlignment w:val="auto"/>
              <w:rPr>
                <w:rFonts w:hint="default" w:ascii="Times New Roman" w:hAnsi="Times New Roman" w:eastAsia="宋体" w:cs="Times New Roman"/>
                <w:i/>
                <w:iCs/>
                <w:color w:val="000000"/>
                <w:spacing w:val="-2"/>
                <w:kern w:val="0"/>
                <w:sz w:val="24"/>
                <w:szCs w:val="24"/>
                <w:highlight w:val="none"/>
                <w:vertAlign w:val="baseline"/>
                <w:lang w:val="en-US" w:eastAsia="zh-CN" w:bidi="ar-SA"/>
              </w:rPr>
            </w:pPr>
            <w:r>
              <w:rPr>
                <w:rFonts w:hint="default" w:ascii="Times New Roman" w:hAnsi="Times New Roman" w:eastAsia="宋体" w:cs="Times New Roman"/>
                <w:color w:val="000000"/>
                <w:spacing w:val="-2"/>
                <w:kern w:val="0"/>
                <w:sz w:val="24"/>
                <w:szCs w:val="24"/>
                <w:highlight w:val="none"/>
                <w:lang w:val="en-US" w:eastAsia="zh-CN" w:bidi="ar-SA"/>
              </w:rPr>
              <w:t>式中：</w:t>
            </w:r>
            <w:r>
              <w:rPr>
                <w:rFonts w:hint="default" w:ascii="Times New Roman" w:hAnsi="Times New Roman" w:eastAsia="宋体" w:cs="Times New Roman"/>
                <w:i/>
                <w:iCs/>
                <w:color w:val="000000"/>
                <w:spacing w:val="-2"/>
                <w:kern w:val="0"/>
                <w:sz w:val="24"/>
                <w:szCs w:val="24"/>
                <w:highlight w:val="none"/>
                <w:lang w:val="en-US" w:eastAsia="zh-CN" w:bidi="ar-SA"/>
              </w:rPr>
              <w:t>Lp</w:t>
            </w:r>
            <w:r>
              <w:rPr>
                <w:rFonts w:hint="default" w:ascii="Times New Roman" w:hAnsi="Times New Roman" w:eastAsia="宋体" w:cs="Times New Roman"/>
                <w:i/>
                <w:iCs/>
                <w:color w:val="000000"/>
                <w:spacing w:val="-2"/>
                <w:kern w:val="0"/>
                <w:sz w:val="24"/>
                <w:szCs w:val="24"/>
                <w:highlight w:val="none"/>
                <w:vertAlign w:val="subscript"/>
                <w:lang w:val="en-US" w:eastAsia="zh-CN" w:bidi="ar-SA"/>
              </w:rPr>
              <w:t>1</w:t>
            </w:r>
            <w:r>
              <w:rPr>
                <w:rFonts w:hint="default" w:ascii="Times New Roman" w:hAnsi="Times New Roman" w:eastAsia="宋体" w:cs="Times New Roman"/>
                <w:i/>
                <w:iCs/>
                <w:color w:val="000000"/>
                <w:spacing w:val="-2"/>
                <w:kern w:val="0"/>
                <w:sz w:val="24"/>
                <w:szCs w:val="24"/>
                <w:highlight w:val="none"/>
                <w:vertAlign w:val="baseline"/>
                <w:lang w:val="en-US" w:eastAsia="zh-CN" w:bidi="ar-SA"/>
              </w:rPr>
              <w:t>——</w:t>
            </w:r>
            <w:r>
              <w:rPr>
                <w:rFonts w:hint="default" w:ascii="Times New Roman" w:hAnsi="Times New Roman" w:eastAsia="宋体" w:cs="Times New Roman"/>
                <w:i w:val="0"/>
                <w:iCs w:val="0"/>
                <w:color w:val="000000"/>
                <w:spacing w:val="-2"/>
                <w:kern w:val="0"/>
                <w:sz w:val="24"/>
                <w:szCs w:val="24"/>
                <w:highlight w:val="none"/>
                <w:vertAlign w:val="baseline"/>
                <w:lang w:val="en-US" w:eastAsia="zh-CN" w:bidi="ar-SA"/>
              </w:rPr>
              <w:t>靠近开口处（或窗户）室内某</w:t>
            </w:r>
            <w:r>
              <w:rPr>
                <w:rFonts w:hint="default" w:ascii="Times New Roman" w:hAnsi="Times New Roman" w:eastAsia="宋体" w:cs="Times New Roman"/>
                <w:color w:val="000000"/>
                <w:spacing w:val="5"/>
                <w:kern w:val="0"/>
                <w:sz w:val="24"/>
                <w:szCs w:val="24"/>
                <w:highlight w:val="none"/>
                <w:lang w:val="en-US" w:eastAsia="zh-CN" w:bidi="ar-SA"/>
              </w:rPr>
              <w:t>倍频带声压级或</w:t>
            </w:r>
            <w:r>
              <w:rPr>
                <w:rFonts w:hint="default" w:ascii="Times New Roman" w:hAnsi="Times New Roman" w:eastAsia="宋体" w:cs="Times New Roman"/>
                <w:color w:val="000000"/>
                <w:kern w:val="0"/>
                <w:sz w:val="24"/>
                <w:szCs w:val="24"/>
                <w:highlight w:val="none"/>
                <w:lang w:val="en-US" w:eastAsia="zh-CN" w:bidi="ar-SA"/>
              </w:rPr>
              <w:t>A</w:t>
            </w:r>
            <w:r>
              <w:rPr>
                <w:rFonts w:hint="default" w:ascii="Times New Roman" w:hAnsi="Times New Roman" w:eastAsia="宋体" w:cs="Times New Roman"/>
                <w:color w:val="000000"/>
                <w:spacing w:val="5"/>
                <w:kern w:val="0"/>
                <w:sz w:val="24"/>
                <w:szCs w:val="24"/>
                <w:highlight w:val="none"/>
                <w:lang w:val="en-US" w:eastAsia="zh-CN" w:bidi="ar-SA"/>
              </w:rPr>
              <w:t>声</w:t>
            </w:r>
            <w:r>
              <w:rPr>
                <w:rFonts w:hint="default" w:ascii="Times New Roman" w:hAnsi="Times New Roman" w:eastAsia="宋体" w:cs="Times New Roman"/>
                <w:color w:val="000000"/>
                <w:spacing w:val="-2"/>
                <w:kern w:val="0"/>
                <w:sz w:val="24"/>
                <w:szCs w:val="24"/>
                <w:highlight w:val="none"/>
                <w:lang w:val="en-US" w:eastAsia="zh-CN" w:bidi="ar-SA"/>
              </w:rPr>
              <w:t>级，dB；</w:t>
            </w:r>
          </w:p>
          <w:p w14:paraId="1952AFDE">
            <w:pPr>
              <w:pageBreakBefore w:val="0"/>
              <w:widowControl w:val="0"/>
              <w:numPr>
                <w:ilvl w:val="0"/>
                <w:numId w:val="0"/>
              </w:numPr>
              <w:kinsoku/>
              <w:wordWrap/>
              <w:overflowPunct/>
              <w:topLinePunct w:val="0"/>
              <w:bidi w:val="0"/>
              <w:adjustRightInd/>
              <w:snapToGrid/>
              <w:spacing w:line="360" w:lineRule="auto"/>
              <w:ind w:left="0" w:leftChars="0" w:firstLine="472" w:firstLineChars="200"/>
              <w:jc w:val="both"/>
              <w:textAlignment w:val="auto"/>
              <w:rPr>
                <w:rFonts w:hint="default" w:ascii="Times New Roman" w:hAnsi="Times New Roman" w:eastAsia="宋体" w:cs="Times New Roman"/>
                <w:i/>
                <w:iCs/>
                <w:color w:val="000000"/>
                <w:spacing w:val="-2"/>
                <w:sz w:val="24"/>
                <w:szCs w:val="24"/>
                <w:highlight w:val="none"/>
                <w:vertAlign w:val="baseline"/>
                <w:lang w:val="en-US" w:eastAsia="zh-CN"/>
              </w:rPr>
            </w:pPr>
            <w:r>
              <w:rPr>
                <w:rFonts w:hint="default" w:ascii="Times New Roman" w:hAnsi="Times New Roman" w:eastAsia="宋体" w:cs="Times New Roman"/>
                <w:i/>
                <w:iCs/>
                <w:color w:val="000000"/>
                <w:spacing w:val="-2"/>
                <w:sz w:val="24"/>
                <w:szCs w:val="24"/>
                <w:highlight w:val="none"/>
                <w:lang w:val="en-US" w:eastAsia="zh-CN"/>
              </w:rPr>
              <w:t>Lp</w:t>
            </w:r>
            <w:r>
              <w:rPr>
                <w:rFonts w:hint="default" w:ascii="Times New Roman" w:hAnsi="Times New Roman" w:eastAsia="宋体" w:cs="Times New Roman"/>
                <w:i/>
                <w:iCs/>
                <w:color w:val="000000"/>
                <w:spacing w:val="-2"/>
                <w:sz w:val="24"/>
                <w:szCs w:val="24"/>
                <w:highlight w:val="none"/>
                <w:vertAlign w:val="subscript"/>
                <w:lang w:val="en-US" w:eastAsia="zh-CN"/>
              </w:rPr>
              <w:t>2</w:t>
            </w:r>
            <w:r>
              <w:rPr>
                <w:rFonts w:hint="default" w:ascii="Times New Roman" w:hAnsi="Times New Roman" w:eastAsia="宋体" w:cs="Times New Roman"/>
                <w:i/>
                <w:iCs/>
                <w:color w:val="000000"/>
                <w:spacing w:val="-2"/>
                <w:sz w:val="24"/>
                <w:szCs w:val="24"/>
                <w:highlight w:val="none"/>
                <w:vertAlign w:val="baseline"/>
                <w:lang w:val="en-US" w:eastAsia="zh-CN"/>
              </w:rPr>
              <w:t>——</w:t>
            </w:r>
            <w:r>
              <w:rPr>
                <w:rFonts w:hint="default" w:ascii="Times New Roman" w:hAnsi="Times New Roman" w:eastAsia="宋体" w:cs="Times New Roman"/>
                <w:i w:val="0"/>
                <w:iCs w:val="0"/>
                <w:color w:val="000000"/>
                <w:spacing w:val="-2"/>
                <w:sz w:val="24"/>
                <w:szCs w:val="24"/>
                <w:highlight w:val="none"/>
                <w:vertAlign w:val="baseline"/>
                <w:lang w:val="en-US" w:eastAsia="zh-CN"/>
              </w:rPr>
              <w:t>靠近开口处（或窗户）室外某</w:t>
            </w:r>
            <w:r>
              <w:rPr>
                <w:rFonts w:hint="default" w:ascii="Times New Roman" w:hAnsi="Times New Roman" w:eastAsia="宋体" w:cs="Times New Roman"/>
                <w:color w:val="000000"/>
                <w:spacing w:val="5"/>
                <w:sz w:val="24"/>
                <w:szCs w:val="24"/>
                <w:highlight w:val="none"/>
              </w:rPr>
              <w:t>倍频带声压级或</w:t>
            </w:r>
            <w:r>
              <w:rPr>
                <w:rFonts w:hint="default" w:ascii="Times New Roman" w:hAnsi="Times New Roman" w:eastAsia="宋体" w:cs="Times New Roman"/>
                <w:color w:val="000000"/>
                <w:sz w:val="24"/>
                <w:szCs w:val="24"/>
                <w:highlight w:val="none"/>
              </w:rPr>
              <w:t>A</w:t>
            </w:r>
            <w:r>
              <w:rPr>
                <w:rFonts w:hint="default" w:ascii="Times New Roman" w:hAnsi="Times New Roman" w:eastAsia="宋体" w:cs="Times New Roman"/>
                <w:color w:val="000000"/>
                <w:spacing w:val="5"/>
                <w:sz w:val="24"/>
                <w:szCs w:val="24"/>
                <w:highlight w:val="none"/>
              </w:rPr>
              <w:t>声</w:t>
            </w:r>
            <w:r>
              <w:rPr>
                <w:rFonts w:hint="default" w:ascii="Times New Roman" w:hAnsi="Times New Roman" w:eastAsia="宋体" w:cs="Times New Roman"/>
                <w:color w:val="000000"/>
                <w:spacing w:val="-2"/>
                <w:sz w:val="24"/>
                <w:szCs w:val="24"/>
                <w:highlight w:val="none"/>
              </w:rPr>
              <w:t>级</w:t>
            </w:r>
            <w:r>
              <w:rPr>
                <w:rFonts w:hint="default" w:ascii="Times New Roman" w:hAnsi="Times New Roman" w:eastAsia="宋体" w:cs="Times New Roman"/>
                <w:color w:val="000000"/>
                <w:spacing w:val="-2"/>
                <w:sz w:val="24"/>
                <w:szCs w:val="24"/>
                <w:highlight w:val="none"/>
                <w:lang w:eastAsia="zh-CN"/>
              </w:rPr>
              <w:t>，</w:t>
            </w:r>
            <w:r>
              <w:rPr>
                <w:rFonts w:hint="default" w:ascii="Times New Roman" w:hAnsi="Times New Roman" w:eastAsia="宋体" w:cs="Times New Roman"/>
                <w:color w:val="000000"/>
                <w:spacing w:val="-2"/>
                <w:sz w:val="24"/>
                <w:szCs w:val="24"/>
                <w:highlight w:val="none"/>
                <w:lang w:val="en-US" w:eastAsia="zh-CN"/>
              </w:rPr>
              <w:t>dB；</w:t>
            </w:r>
          </w:p>
          <w:p w14:paraId="5ECA0061">
            <w:pPr>
              <w:pageBreakBefore w:val="0"/>
              <w:widowControl w:val="0"/>
              <w:numPr>
                <w:ilvl w:val="0"/>
                <w:numId w:val="0"/>
              </w:numPr>
              <w:kinsoku/>
              <w:wordWrap/>
              <w:overflowPunct/>
              <w:topLinePunct w:val="0"/>
              <w:bidi w:val="0"/>
              <w:adjustRightInd/>
              <w:snapToGrid/>
              <w:spacing w:line="360" w:lineRule="auto"/>
              <w:ind w:left="0" w:leftChars="0" w:firstLine="472" w:firstLineChars="200"/>
              <w:jc w:val="both"/>
              <w:textAlignment w:val="auto"/>
              <w:rPr>
                <w:rFonts w:hint="default" w:ascii="Times New Roman" w:hAnsi="Times New Roman" w:eastAsia="宋体" w:cs="Times New Roman"/>
                <w:i w:val="0"/>
                <w:iCs w:val="0"/>
                <w:color w:val="000000"/>
                <w:spacing w:val="-2"/>
                <w:sz w:val="24"/>
                <w:szCs w:val="24"/>
                <w:highlight w:val="none"/>
                <w:lang w:val="en-US" w:eastAsia="zh-CN"/>
              </w:rPr>
            </w:pPr>
            <w:r>
              <w:rPr>
                <w:rFonts w:hint="default" w:ascii="Times New Roman" w:hAnsi="Times New Roman" w:eastAsia="宋体" w:cs="Times New Roman"/>
                <w:i w:val="0"/>
                <w:iCs w:val="0"/>
                <w:color w:val="000000"/>
                <w:spacing w:val="-2"/>
                <w:sz w:val="24"/>
                <w:szCs w:val="24"/>
                <w:highlight w:val="none"/>
                <w:lang w:val="en-US" w:eastAsia="zh-CN"/>
              </w:rPr>
              <w:t>TL</w:t>
            </w:r>
            <w:r>
              <w:rPr>
                <w:rFonts w:hint="default" w:ascii="Times New Roman" w:hAnsi="Times New Roman" w:eastAsia="宋体" w:cs="Times New Roman"/>
                <w:i w:val="0"/>
                <w:iCs w:val="0"/>
                <w:color w:val="000000"/>
                <w:spacing w:val="-2"/>
                <w:sz w:val="24"/>
                <w:szCs w:val="24"/>
                <w:highlight w:val="none"/>
                <w:vertAlign w:val="baseline"/>
                <w:lang w:val="en-US" w:eastAsia="zh-CN"/>
              </w:rPr>
              <w:t>——隔墙（或窗户）倍频带或A声功率级的隔声量，dB。</w:t>
            </w:r>
          </w:p>
          <w:p w14:paraId="205D8FB4">
            <w:pPr>
              <w:pageBreakBefore w:val="0"/>
              <w:widowControl w:val="0"/>
              <w:numPr>
                <w:ilvl w:val="0"/>
                <w:numId w:val="0"/>
              </w:numPr>
              <w:kinsoku/>
              <w:wordWrap/>
              <w:overflowPunct/>
              <w:topLinePunct w:val="0"/>
              <w:bidi w:val="0"/>
              <w:adjustRightInd/>
              <w:snapToGrid/>
              <w:spacing w:line="360" w:lineRule="auto"/>
              <w:ind w:left="0" w:leftChars="0" w:firstLine="500" w:firstLineChars="200"/>
              <w:jc w:val="both"/>
              <w:textAlignment w:val="auto"/>
              <w:rPr>
                <w:rFonts w:hint="default" w:ascii="Times New Roman" w:hAnsi="Times New Roman" w:eastAsia="宋体" w:cs="Times New Roman"/>
                <w:color w:val="000000"/>
                <w:spacing w:val="5"/>
                <w:sz w:val="24"/>
                <w:szCs w:val="24"/>
                <w:highlight w:val="none"/>
                <w:lang w:eastAsia="zh-CN"/>
              </w:rPr>
            </w:pPr>
            <w:r>
              <w:rPr>
                <w:rFonts w:hint="default" w:ascii="Times New Roman" w:hAnsi="Times New Roman" w:eastAsia="宋体" w:cs="Times New Roman"/>
                <w:color w:val="000000"/>
                <w:spacing w:val="5"/>
                <w:sz w:val="24"/>
                <w:szCs w:val="24"/>
                <w:highlight w:val="none"/>
                <w:lang w:eastAsia="zh-CN"/>
              </w:rPr>
              <w:t>③将室外声源的声压级和透过面积换算成等效的室外声源，计算出中心位置位于透声面积（</w:t>
            </w:r>
            <w:r>
              <w:rPr>
                <w:rFonts w:hint="default" w:ascii="Times New Roman" w:hAnsi="Times New Roman" w:eastAsia="宋体" w:cs="Times New Roman"/>
                <w:color w:val="000000"/>
                <w:spacing w:val="5"/>
                <w:sz w:val="24"/>
                <w:szCs w:val="24"/>
                <w:highlight w:val="none"/>
                <w:lang w:val="en-US" w:eastAsia="zh-CN"/>
              </w:rPr>
              <w:t>S</w:t>
            </w:r>
            <w:r>
              <w:rPr>
                <w:rFonts w:hint="default" w:ascii="Times New Roman" w:hAnsi="Times New Roman" w:eastAsia="宋体" w:cs="Times New Roman"/>
                <w:color w:val="000000"/>
                <w:spacing w:val="5"/>
                <w:sz w:val="24"/>
                <w:szCs w:val="24"/>
                <w:highlight w:val="none"/>
                <w:lang w:eastAsia="zh-CN"/>
              </w:rPr>
              <w:t>）处的等效声源的倍频带声功率级。</w:t>
            </w:r>
          </w:p>
          <w:p w14:paraId="6A8D832E">
            <w:pPr>
              <w:pageBreakBefore w:val="0"/>
              <w:widowControl w:val="0"/>
              <w:kinsoku/>
              <w:wordWrap/>
              <w:overflowPunct/>
              <w:topLinePunct w:val="0"/>
              <w:bidi w:val="0"/>
              <w:adjustRightInd/>
              <w:snapToGrid/>
              <w:spacing w:after="0" w:line="360" w:lineRule="auto"/>
              <w:ind w:left="0" w:leftChars="0" w:firstLine="472" w:firstLineChars="200"/>
              <w:jc w:val="center"/>
              <w:textAlignment w:val="auto"/>
              <w:rPr>
                <w:rFonts w:hint="default" w:ascii="Times New Roman" w:hAnsi="Times New Roman" w:eastAsia="宋体" w:cs="Times New Roman"/>
                <w:color w:val="000000"/>
                <w:kern w:val="0"/>
                <w:sz w:val="24"/>
                <w:szCs w:val="24"/>
                <w:highlight w:val="none"/>
                <w:lang w:val="en-US" w:eastAsia="zh-CN" w:bidi="ar-SA"/>
              </w:rPr>
            </w:pPr>
            <w:r>
              <w:rPr>
                <w:rFonts w:hint="default" w:ascii="Times New Roman" w:hAnsi="Times New Roman" w:eastAsia="宋体" w:cs="Times New Roman"/>
                <w:color w:val="000000"/>
                <w:spacing w:val="-2"/>
                <w:kern w:val="0"/>
                <w:position w:val="-14"/>
                <w:sz w:val="24"/>
                <w:szCs w:val="24"/>
                <w:highlight w:val="none"/>
                <w:lang w:val="en-US" w:eastAsia="zh-CN" w:bidi="ar-SA"/>
              </w:rPr>
              <w:object>
                <v:shape id="_x0000_i1039" o:spt="75" type="#_x0000_t75" style="height:19pt;width:102pt;" o:ole="t" filled="f" o:preferrelative="t" stroked="f" coordsize="21600,21600">
                  <v:path/>
                  <v:fill on="f" focussize="0,0"/>
                  <v:stroke on="f"/>
                  <v:imagedata r:id="rId49" o:title=""/>
                  <o:lock v:ext="edit" aspectratio="t"/>
                  <w10:wrap type="none"/>
                  <w10:anchorlock/>
                </v:shape>
                <o:OLEObject Type="Embed" ProgID="Equation.KSEE3" ShapeID="_x0000_i1039" DrawAspect="Content" ObjectID="_1468075739" r:id="rId48">
                  <o:LockedField>false</o:LockedField>
                </o:OLEObject>
              </w:object>
            </w:r>
          </w:p>
          <w:p w14:paraId="1EE94826">
            <w:pPr>
              <w:pageBreakBefore w:val="0"/>
              <w:widowControl w:val="0"/>
              <w:kinsoku/>
              <w:wordWrap/>
              <w:overflowPunct/>
              <w:topLinePunct w:val="0"/>
              <w:bidi w:val="0"/>
              <w:adjustRightInd/>
              <w:snapToGrid/>
              <w:spacing w:after="0" w:line="360" w:lineRule="auto"/>
              <w:ind w:left="0" w:leftChars="0" w:firstLine="472" w:firstLineChars="200"/>
              <w:jc w:val="both"/>
              <w:textAlignment w:val="auto"/>
              <w:rPr>
                <w:rFonts w:hint="default" w:ascii="Times New Roman" w:hAnsi="Times New Roman" w:eastAsia="宋体" w:cs="Times New Roman"/>
                <w:i/>
                <w:iCs/>
                <w:color w:val="000000"/>
                <w:spacing w:val="-2"/>
                <w:kern w:val="0"/>
                <w:sz w:val="24"/>
                <w:szCs w:val="24"/>
                <w:highlight w:val="none"/>
                <w:vertAlign w:val="baseline"/>
                <w:lang w:val="en-US" w:eastAsia="zh-CN" w:bidi="ar-SA"/>
              </w:rPr>
            </w:pPr>
            <w:r>
              <w:rPr>
                <w:rFonts w:hint="default" w:ascii="Times New Roman" w:hAnsi="Times New Roman" w:eastAsia="宋体" w:cs="Times New Roman"/>
                <w:color w:val="000000"/>
                <w:spacing w:val="-2"/>
                <w:kern w:val="0"/>
                <w:sz w:val="24"/>
                <w:szCs w:val="24"/>
                <w:highlight w:val="none"/>
                <w:lang w:val="en-US" w:eastAsia="zh-CN" w:bidi="ar-SA"/>
              </w:rPr>
              <w:t>式中：</w:t>
            </w:r>
            <w:r>
              <w:rPr>
                <w:rFonts w:hint="default" w:ascii="Times New Roman" w:hAnsi="Times New Roman" w:eastAsia="宋体" w:cs="Times New Roman"/>
                <w:i/>
                <w:iCs/>
                <w:color w:val="000000"/>
                <w:spacing w:val="-2"/>
                <w:kern w:val="0"/>
                <w:sz w:val="24"/>
                <w:szCs w:val="24"/>
                <w:highlight w:val="none"/>
                <w:lang w:val="en-US" w:eastAsia="zh-CN" w:bidi="ar-SA"/>
              </w:rPr>
              <w:t>Lw</w:t>
            </w:r>
            <w:r>
              <w:rPr>
                <w:rFonts w:hint="default" w:ascii="Times New Roman" w:hAnsi="Times New Roman" w:eastAsia="宋体" w:cs="Times New Roman"/>
                <w:i/>
                <w:iCs/>
                <w:color w:val="000000"/>
                <w:spacing w:val="-2"/>
                <w:kern w:val="0"/>
                <w:sz w:val="24"/>
                <w:szCs w:val="24"/>
                <w:highlight w:val="none"/>
                <w:vertAlign w:val="baseline"/>
                <w:lang w:val="en-US" w:eastAsia="zh-CN" w:bidi="ar-SA"/>
              </w:rPr>
              <w:t>——</w:t>
            </w:r>
            <w:r>
              <w:rPr>
                <w:rFonts w:hint="default" w:ascii="Times New Roman" w:hAnsi="Times New Roman" w:eastAsia="宋体" w:cs="Times New Roman"/>
                <w:color w:val="000000"/>
                <w:spacing w:val="5"/>
                <w:kern w:val="0"/>
                <w:sz w:val="24"/>
                <w:szCs w:val="24"/>
                <w:highlight w:val="none"/>
                <w:lang w:val="en-US" w:eastAsia="zh-CN" w:bidi="ar-SA"/>
              </w:rPr>
              <w:t>中心位置位于透声面积（S）处的等效声源的倍频带声功率级</w:t>
            </w:r>
            <w:r>
              <w:rPr>
                <w:rFonts w:hint="default" w:ascii="Times New Roman" w:hAnsi="Times New Roman" w:eastAsia="宋体" w:cs="Times New Roman"/>
                <w:color w:val="000000"/>
                <w:spacing w:val="-2"/>
                <w:kern w:val="0"/>
                <w:sz w:val="24"/>
                <w:szCs w:val="24"/>
                <w:highlight w:val="none"/>
                <w:lang w:val="en-US" w:eastAsia="zh-CN" w:bidi="ar-SA"/>
              </w:rPr>
              <w:t>，dB；</w:t>
            </w:r>
          </w:p>
          <w:p w14:paraId="3B130097">
            <w:pPr>
              <w:pageBreakBefore w:val="0"/>
              <w:widowControl w:val="0"/>
              <w:numPr>
                <w:ilvl w:val="0"/>
                <w:numId w:val="0"/>
              </w:numPr>
              <w:kinsoku/>
              <w:wordWrap/>
              <w:overflowPunct/>
              <w:topLinePunct w:val="0"/>
              <w:bidi w:val="0"/>
              <w:adjustRightInd/>
              <w:snapToGrid/>
              <w:spacing w:line="360" w:lineRule="auto"/>
              <w:ind w:left="0" w:leftChars="0" w:firstLine="472" w:firstLineChars="200"/>
              <w:jc w:val="both"/>
              <w:textAlignment w:val="auto"/>
              <w:rPr>
                <w:rFonts w:hint="default" w:ascii="Times New Roman" w:hAnsi="Times New Roman" w:eastAsia="宋体" w:cs="Times New Roman"/>
                <w:i/>
                <w:iCs/>
                <w:color w:val="000000"/>
                <w:spacing w:val="-2"/>
                <w:sz w:val="24"/>
                <w:szCs w:val="24"/>
                <w:highlight w:val="none"/>
                <w:vertAlign w:val="baseline"/>
                <w:lang w:val="en-US" w:eastAsia="zh-CN"/>
              </w:rPr>
            </w:pPr>
            <w:r>
              <w:rPr>
                <w:rFonts w:hint="default" w:ascii="Times New Roman" w:hAnsi="Times New Roman" w:eastAsia="宋体" w:cs="Times New Roman"/>
                <w:i/>
                <w:iCs/>
                <w:color w:val="000000"/>
                <w:spacing w:val="-2"/>
                <w:sz w:val="24"/>
                <w:szCs w:val="24"/>
                <w:highlight w:val="none"/>
                <w:lang w:val="en-US" w:eastAsia="zh-CN"/>
              </w:rPr>
              <w:t>Lp</w:t>
            </w:r>
            <w:r>
              <w:rPr>
                <w:rFonts w:hint="default" w:ascii="Times New Roman" w:hAnsi="Times New Roman" w:eastAsia="宋体" w:cs="Times New Roman"/>
                <w:i/>
                <w:iCs/>
                <w:color w:val="000000"/>
                <w:spacing w:val="-2"/>
                <w:sz w:val="24"/>
                <w:szCs w:val="24"/>
                <w:highlight w:val="none"/>
                <w:vertAlign w:val="subscript"/>
                <w:lang w:val="en-US" w:eastAsia="zh-CN"/>
              </w:rPr>
              <w:t>2T</w:t>
            </w:r>
            <w:r>
              <w:rPr>
                <w:rFonts w:hint="default" w:ascii="Times New Roman" w:hAnsi="Times New Roman" w:eastAsia="宋体" w:cs="Times New Roman"/>
                <w:i/>
                <w:iCs/>
                <w:color w:val="000000"/>
                <w:spacing w:val="-2"/>
                <w:sz w:val="24"/>
                <w:szCs w:val="24"/>
                <w:highlight w:val="none"/>
                <w:vertAlign w:val="baseline"/>
                <w:lang w:val="en-US" w:eastAsia="zh-CN"/>
              </w:rPr>
              <w:t>（T）——</w:t>
            </w:r>
            <w:r>
              <w:rPr>
                <w:rFonts w:hint="default" w:ascii="Times New Roman" w:hAnsi="Times New Roman" w:eastAsia="宋体" w:cs="Times New Roman"/>
                <w:i w:val="0"/>
                <w:iCs w:val="0"/>
                <w:color w:val="000000"/>
                <w:spacing w:val="-2"/>
                <w:sz w:val="24"/>
                <w:szCs w:val="24"/>
                <w:highlight w:val="none"/>
                <w:vertAlign w:val="baseline"/>
                <w:lang w:val="en-US" w:eastAsia="zh-CN"/>
              </w:rPr>
              <w:t>靠近围护结构处室外声源的</w:t>
            </w:r>
            <w:r>
              <w:rPr>
                <w:rFonts w:hint="default" w:ascii="Times New Roman" w:hAnsi="Times New Roman" w:eastAsia="宋体" w:cs="Times New Roman"/>
                <w:color w:val="000000"/>
                <w:spacing w:val="5"/>
                <w:sz w:val="24"/>
                <w:szCs w:val="24"/>
                <w:highlight w:val="none"/>
              </w:rPr>
              <w:t>声压级</w:t>
            </w:r>
            <w:r>
              <w:rPr>
                <w:rFonts w:hint="default" w:ascii="Times New Roman" w:hAnsi="Times New Roman" w:eastAsia="宋体" w:cs="Times New Roman"/>
                <w:color w:val="000000"/>
                <w:spacing w:val="-2"/>
                <w:sz w:val="24"/>
                <w:szCs w:val="24"/>
                <w:highlight w:val="none"/>
                <w:lang w:eastAsia="zh-CN"/>
              </w:rPr>
              <w:t>，</w:t>
            </w:r>
            <w:r>
              <w:rPr>
                <w:rFonts w:hint="default" w:ascii="Times New Roman" w:hAnsi="Times New Roman" w:eastAsia="宋体" w:cs="Times New Roman"/>
                <w:color w:val="000000"/>
                <w:spacing w:val="-2"/>
                <w:sz w:val="24"/>
                <w:szCs w:val="24"/>
                <w:highlight w:val="none"/>
                <w:lang w:val="en-US" w:eastAsia="zh-CN"/>
              </w:rPr>
              <w:t>dB；</w:t>
            </w:r>
          </w:p>
          <w:p w14:paraId="71B094C4">
            <w:pPr>
              <w:pageBreakBefore w:val="0"/>
              <w:widowControl w:val="0"/>
              <w:numPr>
                <w:ilvl w:val="0"/>
                <w:numId w:val="0"/>
              </w:numPr>
              <w:kinsoku/>
              <w:wordWrap/>
              <w:overflowPunct/>
              <w:topLinePunct w:val="0"/>
              <w:bidi w:val="0"/>
              <w:adjustRightInd/>
              <w:snapToGrid/>
              <w:spacing w:line="360" w:lineRule="auto"/>
              <w:ind w:left="0" w:leftChars="0" w:firstLine="472" w:firstLineChars="200"/>
              <w:jc w:val="both"/>
              <w:textAlignment w:val="auto"/>
              <w:rPr>
                <w:rFonts w:hint="default" w:ascii="Times New Roman" w:hAnsi="Times New Roman" w:eastAsia="宋体" w:cs="Times New Roman"/>
                <w:i w:val="0"/>
                <w:iCs w:val="0"/>
                <w:color w:val="000000"/>
                <w:spacing w:val="-2"/>
                <w:sz w:val="24"/>
                <w:szCs w:val="24"/>
                <w:highlight w:val="none"/>
                <w:vertAlign w:val="baseline"/>
                <w:lang w:val="en-US" w:eastAsia="zh-CN"/>
              </w:rPr>
            </w:pPr>
            <w:r>
              <w:rPr>
                <w:rFonts w:hint="default" w:ascii="Times New Roman" w:hAnsi="Times New Roman" w:eastAsia="宋体" w:cs="Times New Roman"/>
                <w:i/>
                <w:iCs/>
                <w:color w:val="000000"/>
                <w:spacing w:val="-2"/>
                <w:sz w:val="24"/>
                <w:szCs w:val="24"/>
                <w:highlight w:val="none"/>
                <w:lang w:val="en-US" w:eastAsia="zh-CN"/>
              </w:rPr>
              <w:t>S</w:t>
            </w:r>
            <w:r>
              <w:rPr>
                <w:rFonts w:hint="default" w:ascii="Times New Roman" w:hAnsi="Times New Roman" w:eastAsia="宋体" w:cs="Times New Roman"/>
                <w:i/>
                <w:iCs/>
                <w:color w:val="000000"/>
                <w:spacing w:val="-2"/>
                <w:sz w:val="24"/>
                <w:szCs w:val="24"/>
                <w:highlight w:val="none"/>
                <w:vertAlign w:val="baseline"/>
                <w:lang w:val="en-US" w:eastAsia="zh-CN"/>
              </w:rPr>
              <w:t>——</w:t>
            </w:r>
            <w:r>
              <w:rPr>
                <w:rFonts w:hint="default" w:ascii="Times New Roman" w:hAnsi="Times New Roman" w:eastAsia="宋体" w:cs="Times New Roman"/>
                <w:i w:val="0"/>
                <w:iCs w:val="0"/>
                <w:color w:val="000000"/>
                <w:spacing w:val="-2"/>
                <w:sz w:val="24"/>
                <w:szCs w:val="24"/>
                <w:highlight w:val="none"/>
                <w:vertAlign w:val="baseline"/>
                <w:lang w:val="en-US" w:eastAsia="zh-CN"/>
              </w:rPr>
              <w:t>透声面积，m</w:t>
            </w:r>
            <w:r>
              <w:rPr>
                <w:rFonts w:hint="default" w:ascii="Times New Roman" w:hAnsi="Times New Roman" w:eastAsia="宋体" w:cs="Times New Roman"/>
                <w:i w:val="0"/>
                <w:iCs w:val="0"/>
                <w:color w:val="000000"/>
                <w:spacing w:val="-2"/>
                <w:sz w:val="24"/>
                <w:szCs w:val="24"/>
                <w:highlight w:val="none"/>
                <w:vertAlign w:val="superscript"/>
                <w:lang w:val="en-US" w:eastAsia="zh-CN"/>
              </w:rPr>
              <w:t>2</w:t>
            </w:r>
            <w:r>
              <w:rPr>
                <w:rFonts w:hint="default" w:ascii="Times New Roman" w:hAnsi="Times New Roman" w:eastAsia="宋体" w:cs="Times New Roman"/>
                <w:i w:val="0"/>
                <w:iCs w:val="0"/>
                <w:color w:val="000000"/>
                <w:spacing w:val="-2"/>
                <w:sz w:val="24"/>
                <w:szCs w:val="24"/>
                <w:highlight w:val="none"/>
                <w:vertAlign w:val="baseline"/>
                <w:lang w:val="en-US" w:eastAsia="zh-CN"/>
              </w:rPr>
              <w:t>。</w:t>
            </w:r>
          </w:p>
          <w:p w14:paraId="3CF8267D">
            <w:pPr>
              <w:pageBreakBefore w:val="0"/>
              <w:widowControl w:val="0"/>
              <w:kinsoku/>
              <w:wordWrap/>
              <w:overflowPunct/>
              <w:topLinePunct w:val="0"/>
              <w:bidi w:val="0"/>
              <w:adjustRightInd/>
              <w:snapToGrid/>
              <w:spacing w:line="360" w:lineRule="auto"/>
              <w:ind w:left="0" w:leftChars="0" w:firstLine="478" w:firstLineChars="200"/>
              <w:jc w:val="both"/>
              <w:textAlignment w:val="auto"/>
              <w:rPr>
                <w:rFonts w:hint="default" w:ascii="Times New Roman" w:hAnsi="Times New Roman" w:eastAsia="宋体" w:cs="Times New Roman"/>
                <w:b/>
                <w:bCs/>
                <w:color w:val="000000"/>
                <w:sz w:val="24"/>
                <w:szCs w:val="24"/>
                <w:highlight w:val="none"/>
              </w:rPr>
            </w:pPr>
            <w:r>
              <w:rPr>
                <w:rFonts w:hint="eastAsia" w:cs="Times New Roman"/>
                <w:b/>
                <w:bCs/>
                <w:color w:val="000000"/>
                <w:spacing w:val="-1"/>
                <w:position w:val="2"/>
                <w:sz w:val="24"/>
                <w:szCs w:val="24"/>
                <w:highlight w:val="none"/>
                <w:lang w:val="en-US" w:eastAsia="zh-CN"/>
              </w:rPr>
              <w:t>（4）</w:t>
            </w:r>
            <w:r>
              <w:rPr>
                <w:rFonts w:hint="default" w:ascii="Times New Roman" w:hAnsi="Times New Roman" w:eastAsia="宋体" w:cs="Times New Roman"/>
                <w:b/>
                <w:bCs/>
                <w:color w:val="000000"/>
                <w:spacing w:val="-1"/>
                <w:position w:val="2"/>
                <w:sz w:val="24"/>
                <w:szCs w:val="24"/>
                <w:highlight w:val="none"/>
              </w:rPr>
              <w:t>总声压级</w:t>
            </w:r>
          </w:p>
          <w:p w14:paraId="47346DAD">
            <w:pPr>
              <w:pageBreakBefore w:val="0"/>
              <w:widowControl w:val="0"/>
              <w:kinsoku/>
              <w:wordWrap/>
              <w:overflowPunct/>
              <w:topLinePunct w:val="0"/>
              <w:bidi w:val="0"/>
              <w:adjustRightInd/>
              <w:snapToGrid/>
              <w:spacing w:line="360" w:lineRule="auto"/>
              <w:ind w:left="0" w:leftChars="0" w:firstLine="488" w:firstLineChars="200"/>
              <w:jc w:val="both"/>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pacing w:val="2"/>
                <w:sz w:val="24"/>
                <w:szCs w:val="24"/>
                <w:highlight w:val="none"/>
              </w:rPr>
              <w:t>设第</w:t>
            </w:r>
            <w:r>
              <w:rPr>
                <w:rFonts w:hint="default" w:ascii="Times New Roman" w:hAnsi="Times New Roman" w:eastAsia="宋体" w:cs="Times New Roman"/>
                <w:i/>
                <w:iCs/>
                <w:color w:val="000000"/>
                <w:sz w:val="24"/>
                <w:szCs w:val="24"/>
                <w:highlight w:val="none"/>
              </w:rPr>
              <w:t>i</w:t>
            </w:r>
            <w:r>
              <w:rPr>
                <w:rFonts w:hint="default" w:ascii="Times New Roman" w:hAnsi="Times New Roman" w:eastAsia="宋体" w:cs="Times New Roman"/>
                <w:color w:val="000000"/>
                <w:spacing w:val="2"/>
                <w:sz w:val="24"/>
                <w:szCs w:val="24"/>
                <w:highlight w:val="none"/>
              </w:rPr>
              <w:t>个室外声源在预测点产生的</w:t>
            </w:r>
            <w:r>
              <w:rPr>
                <w:rFonts w:hint="default" w:ascii="Times New Roman" w:hAnsi="Times New Roman" w:eastAsia="宋体" w:cs="Times New Roman"/>
                <w:color w:val="000000"/>
                <w:sz w:val="24"/>
                <w:szCs w:val="24"/>
                <w:highlight w:val="none"/>
              </w:rPr>
              <w:t>A</w:t>
            </w:r>
            <w:r>
              <w:rPr>
                <w:rFonts w:hint="default" w:ascii="Times New Roman" w:hAnsi="Times New Roman" w:eastAsia="宋体" w:cs="Times New Roman"/>
                <w:color w:val="000000"/>
                <w:spacing w:val="2"/>
                <w:sz w:val="24"/>
                <w:szCs w:val="24"/>
                <w:highlight w:val="none"/>
              </w:rPr>
              <w:t>声级为</w:t>
            </w:r>
            <w:r>
              <w:rPr>
                <w:rFonts w:hint="default" w:ascii="Times New Roman" w:hAnsi="Times New Roman" w:eastAsia="宋体" w:cs="Times New Roman"/>
                <w:i/>
                <w:iCs/>
                <w:color w:val="000000"/>
                <w:sz w:val="24"/>
                <w:szCs w:val="24"/>
                <w:highlight w:val="none"/>
              </w:rPr>
              <w:t>L</w:t>
            </w:r>
            <w:r>
              <w:rPr>
                <w:rFonts w:hint="default" w:ascii="Times New Roman" w:hAnsi="Times New Roman" w:eastAsia="宋体" w:cs="Times New Roman"/>
                <w:i/>
                <w:iCs/>
                <w:color w:val="000000"/>
                <w:sz w:val="24"/>
                <w:szCs w:val="24"/>
                <w:highlight w:val="none"/>
                <w:vertAlign w:val="subscript"/>
              </w:rPr>
              <w:t>Ai</w:t>
            </w:r>
            <w:r>
              <w:rPr>
                <w:rFonts w:hint="default" w:ascii="Times New Roman" w:hAnsi="Times New Roman" w:eastAsia="宋体" w:cs="Times New Roman"/>
                <w:color w:val="000000"/>
                <w:spacing w:val="2"/>
                <w:sz w:val="24"/>
                <w:szCs w:val="24"/>
                <w:highlight w:val="none"/>
              </w:rPr>
              <w:t xml:space="preserve"> ，在</w:t>
            </w:r>
            <w:r>
              <w:rPr>
                <w:rFonts w:hint="default" w:ascii="Times New Roman" w:hAnsi="Times New Roman" w:eastAsia="宋体" w:cs="Times New Roman"/>
                <w:i/>
                <w:iCs/>
                <w:color w:val="000000"/>
                <w:sz w:val="24"/>
                <w:szCs w:val="24"/>
                <w:highlight w:val="none"/>
              </w:rPr>
              <w:t>T</w:t>
            </w:r>
            <w:r>
              <w:rPr>
                <w:rFonts w:hint="default" w:ascii="Times New Roman" w:hAnsi="Times New Roman" w:eastAsia="宋体" w:cs="Times New Roman"/>
                <w:color w:val="000000"/>
                <w:spacing w:val="2"/>
                <w:sz w:val="24"/>
                <w:szCs w:val="24"/>
                <w:highlight w:val="none"/>
              </w:rPr>
              <w:t>时间</w:t>
            </w:r>
            <w:r>
              <w:rPr>
                <w:rFonts w:hint="default" w:ascii="Times New Roman" w:hAnsi="Times New Roman" w:eastAsia="宋体" w:cs="Times New Roman"/>
                <w:color w:val="000000"/>
                <w:spacing w:val="1"/>
                <w:sz w:val="24"/>
                <w:szCs w:val="24"/>
                <w:highlight w:val="none"/>
              </w:rPr>
              <w:t>内该声源工作时间为</w:t>
            </w:r>
            <w:r>
              <w:rPr>
                <w:rFonts w:hint="default" w:ascii="Times New Roman" w:hAnsi="Times New Roman" w:eastAsia="宋体" w:cs="Times New Roman"/>
                <w:i/>
                <w:iCs/>
                <w:color w:val="000000"/>
                <w:sz w:val="24"/>
                <w:szCs w:val="24"/>
                <w:highlight w:val="none"/>
              </w:rPr>
              <w:t>t</w:t>
            </w:r>
            <w:r>
              <w:rPr>
                <w:rFonts w:hint="default" w:ascii="Times New Roman" w:hAnsi="Times New Roman" w:eastAsia="宋体" w:cs="Times New Roman"/>
                <w:i/>
                <w:iCs/>
                <w:color w:val="000000"/>
                <w:sz w:val="24"/>
                <w:szCs w:val="24"/>
                <w:highlight w:val="none"/>
                <w:vertAlign w:val="subscript"/>
              </w:rPr>
              <w:t>i</w:t>
            </w:r>
            <w:r>
              <w:rPr>
                <w:rFonts w:hint="default" w:ascii="Times New Roman" w:hAnsi="Times New Roman" w:eastAsia="宋体" w:cs="Times New Roman"/>
                <w:color w:val="000000"/>
                <w:spacing w:val="1"/>
                <w:sz w:val="24"/>
                <w:szCs w:val="24"/>
                <w:highlight w:val="none"/>
              </w:rPr>
              <w:t>；</w:t>
            </w:r>
            <w:r>
              <w:rPr>
                <w:rFonts w:hint="default" w:ascii="Times New Roman" w:hAnsi="Times New Roman" w:eastAsia="宋体" w:cs="Times New Roman"/>
                <w:color w:val="000000"/>
                <w:spacing w:val="10"/>
                <w:sz w:val="24"/>
                <w:szCs w:val="24"/>
                <w:highlight w:val="none"/>
              </w:rPr>
              <w:t>第</w:t>
            </w:r>
            <w:r>
              <w:rPr>
                <w:rFonts w:hint="default" w:ascii="Times New Roman" w:hAnsi="Times New Roman" w:eastAsia="宋体" w:cs="Times New Roman"/>
                <w:i/>
                <w:iCs/>
                <w:color w:val="000000"/>
                <w:sz w:val="24"/>
                <w:szCs w:val="24"/>
                <w:highlight w:val="none"/>
              </w:rPr>
              <w:t>j</w:t>
            </w:r>
            <w:r>
              <w:rPr>
                <w:rFonts w:hint="eastAsia" w:ascii="Times New Roman" w:hAnsi="Times New Roman" w:eastAsia="宋体" w:cs="Times New Roman"/>
                <w:i/>
                <w:iCs/>
                <w:color w:val="000000"/>
                <w:sz w:val="24"/>
                <w:szCs w:val="24"/>
                <w:highlight w:val="none"/>
                <w:lang w:eastAsia="zh-CN"/>
              </w:rPr>
              <w:t>级</w:t>
            </w:r>
            <w:r>
              <w:rPr>
                <w:rFonts w:hint="default" w:ascii="Times New Roman" w:hAnsi="Times New Roman" w:eastAsia="宋体" w:cs="Times New Roman"/>
                <w:color w:val="000000"/>
                <w:spacing w:val="10"/>
                <w:sz w:val="24"/>
                <w:szCs w:val="24"/>
                <w:highlight w:val="none"/>
              </w:rPr>
              <w:t>等</w:t>
            </w:r>
            <w:r>
              <w:rPr>
                <w:rFonts w:hint="default" w:ascii="Times New Roman" w:hAnsi="Times New Roman" w:eastAsia="宋体" w:cs="Times New Roman"/>
                <w:color w:val="000000"/>
                <w:spacing w:val="8"/>
                <w:sz w:val="24"/>
                <w:szCs w:val="24"/>
                <w:highlight w:val="none"/>
              </w:rPr>
              <w:t>效</w:t>
            </w:r>
            <w:r>
              <w:rPr>
                <w:rFonts w:hint="default" w:ascii="Times New Roman" w:hAnsi="Times New Roman" w:eastAsia="宋体" w:cs="Times New Roman"/>
                <w:color w:val="000000"/>
                <w:spacing w:val="5"/>
                <w:sz w:val="24"/>
                <w:szCs w:val="24"/>
                <w:highlight w:val="none"/>
              </w:rPr>
              <w:t>室外声源在预测点产生的</w:t>
            </w:r>
            <w:r>
              <w:rPr>
                <w:rFonts w:hint="default" w:ascii="Times New Roman" w:hAnsi="Times New Roman" w:eastAsia="宋体" w:cs="Times New Roman"/>
                <w:color w:val="000000"/>
                <w:sz w:val="24"/>
                <w:szCs w:val="24"/>
                <w:highlight w:val="none"/>
              </w:rPr>
              <w:t>A</w:t>
            </w:r>
            <w:r>
              <w:rPr>
                <w:rFonts w:hint="default" w:ascii="Times New Roman" w:hAnsi="Times New Roman" w:eastAsia="宋体" w:cs="Times New Roman"/>
                <w:color w:val="000000"/>
                <w:spacing w:val="5"/>
                <w:sz w:val="24"/>
                <w:szCs w:val="24"/>
                <w:highlight w:val="none"/>
              </w:rPr>
              <w:t>声级为</w:t>
            </w:r>
            <w:r>
              <w:rPr>
                <w:rFonts w:hint="default" w:ascii="Times New Roman" w:hAnsi="Times New Roman" w:eastAsia="宋体" w:cs="Times New Roman"/>
                <w:i/>
                <w:iCs/>
                <w:color w:val="000000"/>
                <w:sz w:val="24"/>
                <w:szCs w:val="24"/>
                <w:highlight w:val="none"/>
              </w:rPr>
              <w:t>L</w:t>
            </w:r>
            <w:r>
              <w:rPr>
                <w:rFonts w:hint="default" w:ascii="Times New Roman" w:hAnsi="Times New Roman" w:eastAsia="宋体" w:cs="Times New Roman"/>
                <w:i/>
                <w:iCs/>
                <w:color w:val="000000"/>
                <w:sz w:val="24"/>
                <w:szCs w:val="24"/>
                <w:highlight w:val="none"/>
                <w:vertAlign w:val="subscript"/>
              </w:rPr>
              <w:t>Aj</w:t>
            </w:r>
            <w:r>
              <w:rPr>
                <w:rFonts w:hint="default" w:ascii="Times New Roman" w:hAnsi="Times New Roman" w:eastAsia="宋体" w:cs="Times New Roman"/>
                <w:color w:val="000000"/>
                <w:spacing w:val="5"/>
                <w:sz w:val="24"/>
                <w:szCs w:val="24"/>
                <w:highlight w:val="none"/>
              </w:rPr>
              <w:t>，在</w:t>
            </w:r>
            <w:r>
              <w:rPr>
                <w:rFonts w:hint="default" w:ascii="Times New Roman" w:hAnsi="Times New Roman" w:eastAsia="宋体" w:cs="Times New Roman"/>
                <w:i/>
                <w:iCs/>
                <w:color w:val="000000"/>
                <w:sz w:val="24"/>
                <w:szCs w:val="24"/>
                <w:highlight w:val="none"/>
              </w:rPr>
              <w:t>T</w:t>
            </w:r>
            <w:r>
              <w:rPr>
                <w:rFonts w:hint="default" w:ascii="Times New Roman" w:hAnsi="Times New Roman" w:eastAsia="宋体" w:cs="Times New Roman"/>
                <w:color w:val="000000"/>
                <w:spacing w:val="5"/>
                <w:sz w:val="24"/>
                <w:szCs w:val="24"/>
                <w:highlight w:val="none"/>
              </w:rPr>
              <w:t>时间内该声源工作时间为</w:t>
            </w:r>
            <w:r>
              <w:rPr>
                <w:rFonts w:hint="default" w:ascii="Times New Roman" w:hAnsi="Times New Roman" w:eastAsia="宋体" w:cs="Times New Roman"/>
                <w:i/>
                <w:iCs/>
                <w:color w:val="000000"/>
                <w:sz w:val="24"/>
                <w:szCs w:val="24"/>
                <w:highlight w:val="none"/>
              </w:rPr>
              <w:t>t</w:t>
            </w:r>
            <w:r>
              <w:rPr>
                <w:rFonts w:hint="default" w:ascii="Times New Roman" w:hAnsi="Times New Roman" w:eastAsia="宋体" w:cs="Times New Roman"/>
                <w:i/>
                <w:iCs/>
                <w:color w:val="000000"/>
                <w:sz w:val="24"/>
                <w:szCs w:val="24"/>
                <w:highlight w:val="none"/>
                <w:vertAlign w:val="subscript"/>
              </w:rPr>
              <w:t>j</w:t>
            </w:r>
            <w:r>
              <w:rPr>
                <w:rFonts w:hint="default" w:ascii="Times New Roman" w:hAnsi="Times New Roman" w:eastAsia="宋体" w:cs="Times New Roman"/>
                <w:color w:val="000000"/>
                <w:spacing w:val="5"/>
                <w:sz w:val="24"/>
                <w:szCs w:val="24"/>
                <w:highlight w:val="none"/>
              </w:rPr>
              <w:t>，则</w:t>
            </w:r>
            <w:r>
              <w:rPr>
                <w:rFonts w:hint="default" w:ascii="Times New Roman" w:hAnsi="Times New Roman" w:eastAsia="宋体" w:cs="Times New Roman"/>
                <w:color w:val="000000"/>
                <w:spacing w:val="16"/>
                <w:sz w:val="24"/>
                <w:szCs w:val="24"/>
                <w:highlight w:val="none"/>
              </w:rPr>
              <w:t>拟</w:t>
            </w:r>
            <w:r>
              <w:rPr>
                <w:rFonts w:hint="default" w:ascii="Times New Roman" w:hAnsi="Times New Roman" w:eastAsia="宋体" w:cs="Times New Roman"/>
                <w:color w:val="000000"/>
                <w:spacing w:val="10"/>
                <w:sz w:val="24"/>
                <w:szCs w:val="24"/>
                <w:highlight w:val="none"/>
              </w:rPr>
              <w:t>建</w:t>
            </w:r>
            <w:r>
              <w:rPr>
                <w:rFonts w:hint="default" w:ascii="Times New Roman" w:hAnsi="Times New Roman" w:eastAsia="宋体" w:cs="Times New Roman"/>
                <w:color w:val="000000"/>
                <w:spacing w:val="8"/>
                <w:sz w:val="24"/>
                <w:szCs w:val="24"/>
                <w:highlight w:val="none"/>
              </w:rPr>
              <w:t>工程声源</w:t>
            </w:r>
            <w:r>
              <w:rPr>
                <w:rFonts w:hint="default" w:ascii="Times New Roman" w:hAnsi="Times New Roman" w:eastAsia="宋体" w:cs="Times New Roman"/>
                <w:color w:val="000000"/>
                <w:spacing w:val="8"/>
                <w:sz w:val="24"/>
                <w:szCs w:val="24"/>
                <w:highlight w:val="none"/>
                <w:lang w:eastAsia="zh-CN"/>
              </w:rPr>
              <w:t>在</w:t>
            </w:r>
            <w:r>
              <w:rPr>
                <w:rFonts w:hint="default" w:ascii="Times New Roman" w:hAnsi="Times New Roman" w:eastAsia="宋体" w:cs="Times New Roman"/>
                <w:color w:val="000000"/>
                <w:spacing w:val="8"/>
                <w:sz w:val="24"/>
                <w:szCs w:val="24"/>
                <w:highlight w:val="none"/>
                <w:lang w:val="en-US" w:eastAsia="zh-CN"/>
              </w:rPr>
              <w:t>T时间内</w:t>
            </w:r>
            <w:r>
              <w:rPr>
                <w:rFonts w:hint="default" w:ascii="Times New Roman" w:hAnsi="Times New Roman" w:eastAsia="宋体" w:cs="Times New Roman"/>
                <w:color w:val="000000"/>
                <w:spacing w:val="8"/>
                <w:sz w:val="24"/>
                <w:szCs w:val="24"/>
                <w:highlight w:val="none"/>
              </w:rPr>
              <w:t>对预测点产生的贡献值</w:t>
            </w:r>
            <w:r>
              <w:rPr>
                <w:rFonts w:hint="default" w:ascii="Times New Roman" w:hAnsi="Times New Roman" w:eastAsia="宋体" w:cs="Times New Roman"/>
                <w:i/>
                <w:iCs/>
                <w:color w:val="000000"/>
                <w:sz w:val="24"/>
                <w:szCs w:val="24"/>
                <w:highlight w:val="none"/>
              </w:rPr>
              <w:t>Leq</w:t>
            </w:r>
            <w:r>
              <w:rPr>
                <w:rFonts w:hint="default" w:ascii="Times New Roman" w:hAnsi="Times New Roman" w:eastAsia="宋体" w:cs="Times New Roman"/>
                <w:i/>
                <w:iCs/>
                <w:color w:val="000000"/>
                <w:sz w:val="24"/>
                <w:szCs w:val="24"/>
                <w:highlight w:val="none"/>
                <w:lang w:eastAsia="zh-CN"/>
              </w:rPr>
              <w:t>（</w:t>
            </w:r>
            <w:r>
              <w:rPr>
                <w:rFonts w:hint="default" w:ascii="Times New Roman" w:hAnsi="Times New Roman" w:eastAsia="宋体" w:cs="Times New Roman"/>
                <w:i/>
                <w:iCs/>
                <w:color w:val="000000"/>
                <w:sz w:val="24"/>
                <w:szCs w:val="24"/>
                <w:highlight w:val="none"/>
                <w:lang w:val="en-US" w:eastAsia="zh-CN"/>
              </w:rPr>
              <w:t>T</w:t>
            </w:r>
            <w:r>
              <w:rPr>
                <w:rFonts w:hint="default" w:ascii="Times New Roman" w:hAnsi="Times New Roman" w:eastAsia="宋体" w:cs="Times New Roman"/>
                <w:i/>
                <w:iCs/>
                <w:color w:val="000000"/>
                <w:sz w:val="24"/>
                <w:szCs w:val="24"/>
                <w:highlight w:val="none"/>
                <w:lang w:eastAsia="zh-CN"/>
              </w:rPr>
              <w:t>）</w:t>
            </w:r>
            <w:r>
              <w:rPr>
                <w:rFonts w:hint="default" w:ascii="Times New Roman" w:hAnsi="Times New Roman" w:eastAsia="宋体" w:cs="Times New Roman"/>
                <w:color w:val="000000"/>
                <w:spacing w:val="8"/>
                <w:sz w:val="24"/>
                <w:szCs w:val="24"/>
                <w:highlight w:val="none"/>
              </w:rPr>
              <w:t>为：</w:t>
            </w:r>
          </w:p>
          <w:p w14:paraId="67334A2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position w:val="-34"/>
                <w:sz w:val="24"/>
                <w:szCs w:val="24"/>
                <w:highlight w:val="none"/>
                <w:lang w:eastAsia="zh-CN"/>
              </w:rPr>
              <w:object>
                <v:shape id="_x0000_i1040" o:spt="75" type="#_x0000_t75" style="height:40pt;width:217pt;" o:ole="t" filled="f" o:preferrelative="t" stroked="f" coordsize="21600,21600">
                  <v:path/>
                  <v:fill on="f" focussize="0,0"/>
                  <v:stroke on="f"/>
                  <v:imagedata r:id="rId51" o:title=""/>
                  <o:lock v:ext="edit" aspectratio="t"/>
                  <w10:wrap type="none"/>
                  <w10:anchorlock/>
                </v:shape>
                <o:OLEObject Type="Embed" ProgID="Equation.KSEE3" ShapeID="_x0000_i1040" DrawAspect="Content" ObjectID="_1468075740" r:id="rId50">
                  <o:LockedField>false</o:LockedField>
                </o:OLEObject>
              </w:object>
            </w:r>
          </w:p>
          <w:p w14:paraId="74C76A3B">
            <w:pPr>
              <w:keepNext w:val="0"/>
              <w:keepLines w:val="0"/>
              <w:pageBreakBefore w:val="0"/>
              <w:widowControl w:val="0"/>
              <w:kinsoku/>
              <w:wordWrap/>
              <w:overflowPunct/>
              <w:topLinePunct w:val="0"/>
              <w:autoSpaceDE/>
              <w:autoSpaceDN/>
              <w:bidi w:val="0"/>
              <w:adjustRightInd/>
              <w:snapToGrid/>
              <w:spacing w:line="360" w:lineRule="auto"/>
              <w:ind w:left="0" w:leftChars="0" w:firstLine="488" w:firstLineChars="200"/>
              <w:jc w:val="both"/>
              <w:textAlignment w:val="auto"/>
              <w:rPr>
                <w:rFonts w:hint="default" w:ascii="Times New Roman" w:hAnsi="Times New Roman" w:eastAsia="宋体" w:cs="Times New Roman"/>
                <w:color w:val="000000"/>
                <w:spacing w:val="1"/>
                <w:sz w:val="24"/>
                <w:szCs w:val="24"/>
                <w:highlight w:val="none"/>
              </w:rPr>
            </w:pPr>
            <w:r>
              <w:rPr>
                <w:rFonts w:hint="default" w:ascii="Times New Roman" w:hAnsi="Times New Roman" w:eastAsia="宋体" w:cs="Times New Roman"/>
                <w:color w:val="000000"/>
                <w:spacing w:val="2"/>
                <w:sz w:val="24"/>
                <w:szCs w:val="24"/>
                <w:highlight w:val="none"/>
              </w:rPr>
              <w:t>式中</w:t>
            </w:r>
            <w:r>
              <w:rPr>
                <w:rFonts w:hint="default" w:ascii="Times New Roman" w:hAnsi="Times New Roman" w:eastAsia="宋体" w:cs="Times New Roman"/>
                <w:color w:val="000000"/>
                <w:spacing w:val="1"/>
                <w:sz w:val="24"/>
                <w:szCs w:val="24"/>
                <w:highlight w:val="none"/>
              </w:rPr>
              <w:t>：</w:t>
            </w:r>
          </w:p>
          <w:p w14:paraId="684A266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pacing w:val="10"/>
                <w:position w:val="19"/>
                <w:sz w:val="24"/>
                <w:szCs w:val="24"/>
                <w:highlight w:val="none"/>
              </w:rPr>
            </w:pPr>
            <w:r>
              <w:rPr>
                <w:rFonts w:hint="default" w:ascii="Times New Roman" w:hAnsi="Times New Roman" w:eastAsia="宋体" w:cs="Times New Roman"/>
                <w:i/>
                <w:iCs/>
                <w:color w:val="000000"/>
                <w:position w:val="19"/>
                <w:sz w:val="24"/>
                <w:szCs w:val="24"/>
                <w:highlight w:val="none"/>
              </w:rPr>
              <w:t>Leq</w:t>
            </w:r>
            <w:r>
              <w:rPr>
                <w:rFonts w:hint="default" w:ascii="Times New Roman" w:hAnsi="Times New Roman" w:eastAsia="宋体" w:cs="Times New Roman"/>
                <w:color w:val="000000"/>
                <w:spacing w:val="20"/>
                <w:position w:val="19"/>
                <w:sz w:val="24"/>
                <w:szCs w:val="24"/>
                <w:highlight w:val="none"/>
                <w:lang w:eastAsia="zh-CN"/>
              </w:rPr>
              <w:t>——</w:t>
            </w:r>
            <w:r>
              <w:rPr>
                <w:rFonts w:hint="default" w:ascii="Times New Roman" w:hAnsi="Times New Roman" w:eastAsia="宋体" w:cs="Times New Roman"/>
                <w:color w:val="000000"/>
                <w:spacing w:val="14"/>
                <w:position w:val="19"/>
                <w:sz w:val="24"/>
                <w:szCs w:val="24"/>
                <w:highlight w:val="none"/>
              </w:rPr>
              <w:t>建</w:t>
            </w:r>
            <w:r>
              <w:rPr>
                <w:rFonts w:hint="default" w:ascii="Times New Roman" w:hAnsi="Times New Roman" w:eastAsia="宋体" w:cs="Times New Roman"/>
                <w:color w:val="000000"/>
                <w:spacing w:val="10"/>
                <w:position w:val="19"/>
                <w:sz w:val="24"/>
                <w:szCs w:val="24"/>
                <w:highlight w:val="none"/>
              </w:rPr>
              <w:t>设项目声源在预测点产生的噪声贡献值，</w:t>
            </w:r>
            <w:r>
              <w:rPr>
                <w:rFonts w:hint="default" w:ascii="Times New Roman" w:hAnsi="Times New Roman" w:eastAsia="宋体" w:cs="Times New Roman"/>
                <w:color w:val="000000"/>
                <w:position w:val="19"/>
                <w:sz w:val="24"/>
                <w:szCs w:val="24"/>
                <w:highlight w:val="none"/>
              </w:rPr>
              <w:t>dB</w:t>
            </w:r>
            <w:r>
              <w:rPr>
                <w:rFonts w:hint="default" w:ascii="Times New Roman" w:hAnsi="Times New Roman" w:eastAsia="宋体" w:cs="Times New Roman"/>
                <w:color w:val="000000"/>
                <w:spacing w:val="10"/>
                <w:position w:val="19"/>
                <w:sz w:val="24"/>
                <w:szCs w:val="24"/>
                <w:highlight w:val="none"/>
              </w:rPr>
              <w:t>；</w:t>
            </w:r>
          </w:p>
          <w:p w14:paraId="3685F63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i/>
                <w:iCs/>
                <w:color w:val="000000"/>
                <w:sz w:val="24"/>
                <w:szCs w:val="24"/>
                <w:highlight w:val="none"/>
              </w:rPr>
              <w:t>T</w:t>
            </w:r>
            <w:r>
              <w:rPr>
                <w:rFonts w:hint="default" w:ascii="Times New Roman" w:hAnsi="Times New Roman" w:eastAsia="宋体" w:cs="Times New Roman"/>
                <w:color w:val="000000"/>
                <w:spacing w:val="9"/>
                <w:sz w:val="24"/>
                <w:szCs w:val="24"/>
                <w:highlight w:val="none"/>
                <w:lang w:eastAsia="zh-CN"/>
              </w:rPr>
              <w:t>——</w:t>
            </w:r>
            <w:r>
              <w:rPr>
                <w:rFonts w:hint="default" w:ascii="Times New Roman" w:hAnsi="Times New Roman" w:eastAsia="宋体" w:cs="Times New Roman"/>
                <w:color w:val="000000"/>
                <w:spacing w:val="9"/>
                <w:sz w:val="24"/>
                <w:szCs w:val="24"/>
                <w:highlight w:val="none"/>
              </w:rPr>
              <w:t>用于计算等效声级的时间，</w:t>
            </w:r>
            <w:r>
              <w:rPr>
                <w:rFonts w:hint="default" w:ascii="Times New Roman" w:hAnsi="Times New Roman" w:eastAsia="宋体" w:cs="Times New Roman"/>
                <w:color w:val="000000"/>
                <w:sz w:val="24"/>
                <w:szCs w:val="24"/>
                <w:highlight w:val="none"/>
              </w:rPr>
              <w:t>s</w:t>
            </w:r>
            <w:r>
              <w:rPr>
                <w:rFonts w:hint="default" w:ascii="Times New Roman" w:hAnsi="Times New Roman" w:eastAsia="宋体" w:cs="Times New Roman"/>
                <w:color w:val="000000"/>
                <w:spacing w:val="6"/>
                <w:sz w:val="24"/>
                <w:szCs w:val="24"/>
                <w:highlight w:val="none"/>
              </w:rPr>
              <w:t>；</w:t>
            </w:r>
          </w:p>
          <w:p w14:paraId="1F18518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i/>
                <w:iCs/>
                <w:color w:val="000000"/>
                <w:sz w:val="24"/>
                <w:szCs w:val="24"/>
                <w:highlight w:val="none"/>
              </w:rPr>
              <w:t>N</w:t>
            </w:r>
            <w:r>
              <w:rPr>
                <w:rFonts w:hint="default" w:ascii="Times New Roman" w:hAnsi="Times New Roman" w:eastAsia="宋体" w:cs="Times New Roman"/>
                <w:color w:val="000000"/>
                <w:spacing w:val="13"/>
                <w:sz w:val="24"/>
                <w:szCs w:val="24"/>
                <w:highlight w:val="none"/>
                <w:lang w:eastAsia="zh-CN"/>
              </w:rPr>
              <w:t>——</w:t>
            </w:r>
            <w:r>
              <w:rPr>
                <w:rFonts w:hint="default" w:ascii="Times New Roman" w:hAnsi="Times New Roman" w:eastAsia="宋体" w:cs="Times New Roman"/>
                <w:color w:val="000000"/>
                <w:spacing w:val="10"/>
                <w:sz w:val="24"/>
                <w:szCs w:val="24"/>
                <w:highlight w:val="none"/>
              </w:rPr>
              <w:t>室外声源个数；</w:t>
            </w:r>
          </w:p>
          <w:p w14:paraId="0EC46C9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i/>
                <w:iCs/>
                <w:color w:val="000000"/>
                <w:position w:val="1"/>
                <w:sz w:val="24"/>
                <w:szCs w:val="24"/>
                <w:highlight w:val="none"/>
                <w:lang w:val="en-US" w:eastAsia="zh-CN"/>
              </w:rPr>
              <w:t>t</w:t>
            </w:r>
            <w:r>
              <w:rPr>
                <w:rFonts w:hint="default" w:ascii="Times New Roman" w:hAnsi="Times New Roman" w:eastAsia="宋体" w:cs="Times New Roman"/>
                <w:i/>
                <w:iCs/>
                <w:color w:val="000000"/>
                <w:position w:val="1"/>
                <w:sz w:val="24"/>
                <w:szCs w:val="24"/>
                <w:highlight w:val="none"/>
                <w:vertAlign w:val="subscript"/>
              </w:rPr>
              <w:t>i</w:t>
            </w:r>
            <w:r>
              <w:rPr>
                <w:rFonts w:hint="default" w:ascii="Times New Roman" w:hAnsi="Times New Roman" w:eastAsia="宋体" w:cs="Times New Roman"/>
                <w:color w:val="000000"/>
                <w:spacing w:val="2"/>
                <w:position w:val="1"/>
                <w:sz w:val="24"/>
                <w:szCs w:val="24"/>
                <w:highlight w:val="none"/>
                <w:lang w:eastAsia="zh-CN"/>
              </w:rPr>
              <w:t>——</w:t>
            </w:r>
            <w:r>
              <w:rPr>
                <w:rFonts w:hint="default" w:ascii="Times New Roman" w:hAnsi="Times New Roman" w:eastAsia="宋体" w:cs="Times New Roman"/>
                <w:color w:val="000000"/>
                <w:spacing w:val="2"/>
                <w:position w:val="1"/>
                <w:sz w:val="24"/>
                <w:szCs w:val="24"/>
                <w:highlight w:val="none"/>
              </w:rPr>
              <w:t>在</w:t>
            </w:r>
            <w:r>
              <w:rPr>
                <w:rFonts w:hint="default" w:ascii="Times New Roman" w:hAnsi="Times New Roman" w:eastAsia="宋体" w:cs="Times New Roman"/>
                <w:i/>
                <w:iCs/>
                <w:color w:val="000000"/>
                <w:position w:val="1"/>
                <w:sz w:val="24"/>
                <w:szCs w:val="24"/>
                <w:highlight w:val="none"/>
              </w:rPr>
              <w:t>T</w:t>
            </w:r>
            <w:r>
              <w:rPr>
                <w:rFonts w:hint="default" w:ascii="Times New Roman" w:hAnsi="Times New Roman" w:eastAsia="宋体" w:cs="Times New Roman"/>
                <w:color w:val="000000"/>
                <w:spacing w:val="1"/>
                <w:position w:val="1"/>
                <w:sz w:val="24"/>
                <w:szCs w:val="24"/>
                <w:highlight w:val="none"/>
              </w:rPr>
              <w:t>时间内</w:t>
            </w:r>
            <w:r>
              <w:rPr>
                <w:rFonts w:hint="default" w:ascii="Times New Roman" w:hAnsi="Times New Roman" w:eastAsia="宋体" w:cs="Times New Roman"/>
                <w:i/>
                <w:iCs/>
                <w:color w:val="000000"/>
                <w:position w:val="1"/>
                <w:sz w:val="24"/>
                <w:szCs w:val="24"/>
                <w:highlight w:val="none"/>
              </w:rPr>
              <w:t>i</w:t>
            </w:r>
            <w:r>
              <w:rPr>
                <w:rFonts w:hint="default" w:ascii="Times New Roman" w:hAnsi="Times New Roman" w:eastAsia="宋体" w:cs="Times New Roman"/>
                <w:color w:val="000000"/>
                <w:spacing w:val="1"/>
                <w:position w:val="1"/>
                <w:sz w:val="24"/>
                <w:szCs w:val="24"/>
                <w:highlight w:val="none"/>
              </w:rPr>
              <w:t>声源工作时间，</w:t>
            </w:r>
            <w:r>
              <w:rPr>
                <w:rFonts w:hint="default" w:ascii="Times New Roman" w:hAnsi="Times New Roman" w:eastAsia="宋体" w:cs="Times New Roman"/>
                <w:color w:val="000000"/>
                <w:position w:val="1"/>
                <w:sz w:val="24"/>
                <w:szCs w:val="24"/>
                <w:highlight w:val="none"/>
              </w:rPr>
              <w:t>s</w:t>
            </w:r>
            <w:r>
              <w:rPr>
                <w:rFonts w:hint="default" w:ascii="Times New Roman" w:hAnsi="Times New Roman" w:eastAsia="宋体" w:cs="Times New Roman"/>
                <w:color w:val="000000"/>
                <w:spacing w:val="1"/>
                <w:position w:val="1"/>
                <w:sz w:val="24"/>
                <w:szCs w:val="24"/>
                <w:highlight w:val="none"/>
              </w:rPr>
              <w:t>；</w:t>
            </w:r>
          </w:p>
          <w:p w14:paraId="3587B64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i/>
                <w:iCs/>
                <w:color w:val="000000"/>
                <w:sz w:val="24"/>
                <w:szCs w:val="24"/>
                <w:highlight w:val="none"/>
              </w:rPr>
              <w:t>M</w:t>
            </w:r>
            <w:r>
              <w:rPr>
                <w:rFonts w:hint="default" w:ascii="Times New Roman" w:hAnsi="Times New Roman" w:eastAsia="宋体" w:cs="Times New Roman"/>
                <w:color w:val="000000"/>
                <w:spacing w:val="15"/>
                <w:sz w:val="24"/>
                <w:szCs w:val="24"/>
                <w:highlight w:val="none"/>
              </w:rPr>
              <w:t>—</w:t>
            </w:r>
            <w:r>
              <w:rPr>
                <w:rFonts w:hint="default" w:ascii="Times New Roman" w:hAnsi="Times New Roman" w:eastAsia="宋体" w:cs="Times New Roman"/>
                <w:color w:val="000000"/>
                <w:spacing w:val="10"/>
                <w:sz w:val="24"/>
                <w:szCs w:val="24"/>
                <w:highlight w:val="none"/>
              </w:rPr>
              <w:t>等效室外声源个数；</w:t>
            </w:r>
          </w:p>
          <w:p w14:paraId="2C3E0EA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i/>
                <w:iCs/>
                <w:color w:val="000000"/>
                <w:position w:val="1"/>
                <w:sz w:val="24"/>
                <w:szCs w:val="24"/>
                <w:highlight w:val="none"/>
                <w:lang w:val="en-US" w:eastAsia="zh-CN"/>
              </w:rPr>
              <w:t>t</w:t>
            </w:r>
            <w:r>
              <w:rPr>
                <w:rFonts w:hint="default" w:ascii="Times New Roman" w:hAnsi="Times New Roman" w:eastAsia="宋体" w:cs="Times New Roman"/>
                <w:i/>
                <w:iCs/>
                <w:color w:val="000000"/>
                <w:spacing w:val="12"/>
                <w:position w:val="1"/>
                <w:sz w:val="24"/>
                <w:szCs w:val="24"/>
                <w:highlight w:val="none"/>
                <w:vertAlign w:val="subscript"/>
                <w:lang w:val="en-US" w:eastAsia="zh-CN"/>
              </w:rPr>
              <w:t>j</w:t>
            </w:r>
            <w:r>
              <w:rPr>
                <w:rFonts w:hint="default" w:ascii="Times New Roman" w:hAnsi="Times New Roman" w:eastAsia="宋体" w:cs="Times New Roman"/>
                <w:i/>
                <w:iCs/>
                <w:color w:val="000000"/>
                <w:spacing w:val="12"/>
                <w:position w:val="1"/>
                <w:sz w:val="24"/>
                <w:szCs w:val="24"/>
                <w:highlight w:val="none"/>
                <w:vertAlign w:val="baseline"/>
                <w:lang w:val="en-US" w:eastAsia="zh-CN"/>
              </w:rPr>
              <w:t>——</w:t>
            </w:r>
            <w:r>
              <w:rPr>
                <w:rFonts w:hint="default" w:ascii="Times New Roman" w:hAnsi="Times New Roman" w:eastAsia="宋体" w:cs="Times New Roman"/>
                <w:color w:val="000000"/>
                <w:spacing w:val="6"/>
                <w:position w:val="1"/>
                <w:sz w:val="24"/>
                <w:szCs w:val="24"/>
                <w:highlight w:val="none"/>
              </w:rPr>
              <w:t>在</w:t>
            </w:r>
            <w:r>
              <w:rPr>
                <w:rFonts w:hint="default" w:ascii="Times New Roman" w:hAnsi="Times New Roman" w:eastAsia="宋体" w:cs="Times New Roman"/>
                <w:i/>
                <w:iCs/>
                <w:color w:val="000000"/>
                <w:position w:val="1"/>
                <w:sz w:val="24"/>
                <w:szCs w:val="24"/>
                <w:highlight w:val="none"/>
              </w:rPr>
              <w:t>T</w:t>
            </w:r>
            <w:r>
              <w:rPr>
                <w:rFonts w:hint="default" w:ascii="Times New Roman" w:hAnsi="Times New Roman" w:eastAsia="宋体" w:cs="Times New Roman"/>
                <w:color w:val="000000"/>
                <w:spacing w:val="6"/>
                <w:position w:val="1"/>
                <w:sz w:val="24"/>
                <w:szCs w:val="24"/>
                <w:highlight w:val="none"/>
              </w:rPr>
              <w:t>时间内</w:t>
            </w:r>
            <w:r>
              <w:rPr>
                <w:rFonts w:hint="default" w:ascii="Times New Roman" w:hAnsi="Times New Roman" w:eastAsia="宋体" w:cs="Times New Roman"/>
                <w:i/>
                <w:iCs/>
                <w:color w:val="000000"/>
                <w:spacing w:val="6"/>
                <w:position w:val="1"/>
                <w:sz w:val="24"/>
                <w:szCs w:val="24"/>
                <w:highlight w:val="none"/>
                <w:lang w:val="en-US" w:eastAsia="zh-CN"/>
              </w:rPr>
              <w:t>j</w:t>
            </w:r>
            <w:r>
              <w:rPr>
                <w:rFonts w:hint="default" w:ascii="Times New Roman" w:hAnsi="Times New Roman" w:eastAsia="宋体" w:cs="Times New Roman"/>
                <w:color w:val="000000"/>
                <w:spacing w:val="6"/>
                <w:position w:val="1"/>
                <w:sz w:val="24"/>
                <w:szCs w:val="24"/>
                <w:highlight w:val="none"/>
              </w:rPr>
              <w:t>声源工作时间，</w:t>
            </w:r>
            <w:r>
              <w:rPr>
                <w:rFonts w:hint="default" w:ascii="Times New Roman" w:hAnsi="Times New Roman" w:eastAsia="宋体" w:cs="Times New Roman"/>
                <w:color w:val="000000"/>
                <w:position w:val="1"/>
                <w:sz w:val="24"/>
                <w:szCs w:val="24"/>
                <w:highlight w:val="none"/>
              </w:rPr>
              <w:t>s</w:t>
            </w:r>
            <w:r>
              <w:rPr>
                <w:rFonts w:hint="default" w:ascii="Times New Roman" w:hAnsi="Times New Roman" w:eastAsia="宋体" w:cs="Times New Roman"/>
                <w:color w:val="000000"/>
                <w:spacing w:val="6"/>
                <w:position w:val="1"/>
                <w:sz w:val="24"/>
                <w:szCs w:val="24"/>
                <w:highlight w:val="none"/>
              </w:rPr>
              <w:t>。</w:t>
            </w:r>
          </w:p>
          <w:p w14:paraId="0BC82EE5">
            <w:pPr>
              <w:keepNext/>
              <w:keepLines/>
              <w:pageBreakBefore w:val="0"/>
              <w:widowControl w:val="0"/>
              <w:numPr>
                <w:ilvl w:val="2"/>
                <w:numId w:val="0"/>
              </w:numPr>
              <w:kinsoku/>
              <w:wordWrap/>
              <w:overflowPunct/>
              <w:topLinePunct w:val="0"/>
              <w:autoSpaceDE/>
              <w:autoSpaceDN/>
              <w:bidi w:val="0"/>
              <w:adjustRightInd/>
              <w:snapToGrid/>
              <w:spacing w:before="0" w:after="0" w:line="360" w:lineRule="auto"/>
              <w:ind w:left="0" w:leftChars="0" w:firstLine="482" w:firstLineChars="200"/>
              <w:jc w:val="both"/>
              <w:textAlignment w:val="auto"/>
              <w:outlineLvl w:val="2"/>
              <w:rPr>
                <w:rFonts w:hint="default" w:ascii="Times New Roman" w:hAnsi="Times New Roman" w:eastAsia="宋体" w:cs="Times New Roman"/>
                <w:b/>
                <w:bCs w:val="0"/>
                <w:color w:val="000000"/>
                <w:spacing w:val="0"/>
                <w:kern w:val="2"/>
                <w:position w:val="0"/>
                <w:sz w:val="24"/>
                <w:szCs w:val="24"/>
                <w:highlight w:val="none"/>
                <w:lang w:val="zh-CN" w:eastAsia="zh-CN" w:bidi="ar-SA"/>
              </w:rPr>
            </w:pPr>
            <w:bookmarkStart w:id="29" w:name="_Toc24133"/>
            <w:r>
              <w:rPr>
                <w:rFonts w:hint="eastAsia" w:cs="Times New Roman"/>
                <w:b/>
                <w:bCs w:val="0"/>
                <w:color w:val="000000"/>
                <w:spacing w:val="0"/>
                <w:kern w:val="2"/>
                <w:position w:val="0"/>
                <w:sz w:val="24"/>
                <w:szCs w:val="24"/>
                <w:highlight w:val="none"/>
                <w:lang w:val="en-US" w:eastAsia="zh-CN" w:bidi="ar-SA"/>
              </w:rPr>
              <w:t>（5</w:t>
            </w:r>
            <w:r>
              <w:rPr>
                <w:rFonts w:hint="eastAsia" w:ascii="Times New Roman" w:hAnsi="Times New Roman" w:eastAsia="宋体" w:cs="Times New Roman"/>
                <w:b/>
                <w:bCs w:val="0"/>
                <w:color w:val="000000"/>
                <w:spacing w:val="0"/>
                <w:kern w:val="2"/>
                <w:position w:val="0"/>
                <w:sz w:val="24"/>
                <w:szCs w:val="24"/>
                <w:highlight w:val="none"/>
                <w:lang w:val="en-US" w:eastAsia="zh-CN" w:bidi="ar-SA"/>
              </w:rPr>
              <w:t>）</w:t>
            </w:r>
            <w:r>
              <w:rPr>
                <w:rFonts w:hint="default" w:ascii="Times New Roman" w:hAnsi="Times New Roman" w:eastAsia="宋体" w:cs="Times New Roman"/>
                <w:b/>
                <w:bCs w:val="0"/>
                <w:color w:val="000000"/>
                <w:spacing w:val="0"/>
                <w:kern w:val="2"/>
                <w:position w:val="0"/>
                <w:sz w:val="24"/>
                <w:szCs w:val="24"/>
                <w:highlight w:val="none"/>
                <w:lang w:val="zh-CN" w:eastAsia="zh-CN" w:bidi="ar-SA"/>
              </w:rPr>
              <w:t>预测因子、预测时段、预测方案</w:t>
            </w:r>
            <w:bookmarkEnd w:id="29"/>
          </w:p>
          <w:p w14:paraId="563D57C2">
            <w:pPr>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pacing w:val="0"/>
                <w:position w:val="0"/>
                <w:sz w:val="24"/>
                <w:szCs w:val="24"/>
                <w:highlight w:val="none"/>
                <w:lang w:val="zh-CN" w:bidi="zh-CN"/>
              </w:rPr>
            </w:pPr>
            <w:r>
              <w:rPr>
                <w:rFonts w:hint="default" w:ascii="Times New Roman" w:hAnsi="Times New Roman" w:eastAsia="宋体" w:cs="Times New Roman"/>
                <w:color w:val="000000"/>
                <w:spacing w:val="0"/>
                <w:position w:val="0"/>
                <w:sz w:val="24"/>
                <w:szCs w:val="24"/>
                <w:highlight w:val="none"/>
                <w:lang w:val="zh-CN" w:bidi="zh-CN"/>
              </w:rPr>
              <w:t>预测因子：等效连续A声级Leq（A）。</w:t>
            </w:r>
          </w:p>
          <w:p w14:paraId="037831EC">
            <w:pPr>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pacing w:val="0"/>
                <w:position w:val="0"/>
                <w:sz w:val="24"/>
                <w:szCs w:val="24"/>
                <w:highlight w:val="none"/>
                <w:lang w:val="zh-CN" w:bidi="zh-CN"/>
              </w:rPr>
            </w:pPr>
            <w:r>
              <w:rPr>
                <w:rFonts w:hint="default" w:ascii="Times New Roman" w:hAnsi="Times New Roman" w:eastAsia="宋体" w:cs="Times New Roman"/>
                <w:color w:val="000000"/>
                <w:spacing w:val="0"/>
                <w:position w:val="0"/>
                <w:sz w:val="24"/>
                <w:szCs w:val="24"/>
                <w:highlight w:val="none"/>
                <w:lang w:val="zh-CN" w:bidi="zh-CN"/>
              </w:rPr>
              <w:t>预测时段：固定声源投产运行期。</w:t>
            </w:r>
          </w:p>
          <w:p w14:paraId="28D474F6">
            <w:pPr>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pacing w:val="0"/>
                <w:position w:val="0"/>
                <w:sz w:val="24"/>
                <w:szCs w:val="24"/>
                <w:highlight w:val="none"/>
                <w:lang w:val="zh-CN" w:bidi="zh-CN"/>
              </w:rPr>
            </w:pPr>
            <w:r>
              <w:rPr>
                <w:rFonts w:hint="default" w:ascii="Times New Roman" w:hAnsi="Times New Roman" w:eastAsia="宋体" w:cs="Times New Roman"/>
                <w:color w:val="000000"/>
                <w:spacing w:val="0"/>
                <w:position w:val="0"/>
                <w:sz w:val="24"/>
                <w:szCs w:val="24"/>
                <w:highlight w:val="none"/>
                <w:lang w:val="zh-CN" w:bidi="zh-CN"/>
              </w:rPr>
              <w:t>预测方案：本次预测按照最不利情况考虑，即所有设备同时连续运行的情况进行预测，预测厂界噪声的达标情况。</w:t>
            </w:r>
          </w:p>
          <w:p w14:paraId="7AE3EF7C">
            <w:pPr>
              <w:keepNext w:val="0"/>
              <w:keepLines w:val="0"/>
              <w:pageBreakBefore w:val="0"/>
              <w:widowControl w:val="0"/>
              <w:kinsoku/>
              <w:wordWrap/>
              <w:overflowPunct/>
              <w:topLinePunct w:val="0"/>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000000"/>
                <w:sz w:val="24"/>
                <w:szCs w:val="24"/>
                <w:highlight w:val="none"/>
              </w:rPr>
            </w:pPr>
            <w:r>
              <w:rPr>
                <w:rFonts w:hint="eastAsia" w:cs="Times New Roman"/>
                <w:b/>
                <w:bCs/>
                <w:color w:val="000000"/>
                <w:sz w:val="24"/>
                <w:szCs w:val="24"/>
                <w:highlight w:val="none"/>
                <w:lang w:val="en-US" w:eastAsia="zh-CN"/>
              </w:rPr>
              <w:t>（6</w:t>
            </w:r>
            <w:r>
              <w:rPr>
                <w:rFonts w:hint="eastAsia" w:ascii="Times New Roman" w:hAnsi="Times New Roman" w:eastAsia="宋体" w:cs="Times New Roman"/>
                <w:b/>
                <w:bCs/>
                <w:color w:val="000000"/>
                <w:sz w:val="24"/>
                <w:szCs w:val="24"/>
                <w:highlight w:val="none"/>
                <w:lang w:val="en-US" w:eastAsia="zh-CN"/>
              </w:rPr>
              <w:t>）</w:t>
            </w:r>
            <w:r>
              <w:rPr>
                <w:rFonts w:hint="default" w:ascii="Times New Roman" w:hAnsi="Times New Roman" w:eastAsia="宋体" w:cs="Times New Roman"/>
                <w:b/>
                <w:bCs/>
                <w:color w:val="000000"/>
                <w:sz w:val="24"/>
                <w:szCs w:val="24"/>
                <w:highlight w:val="none"/>
              </w:rPr>
              <w:t>噪声预测结果</w:t>
            </w:r>
          </w:p>
          <w:p w14:paraId="175973E6">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本次环评采用环安噪声环境影响评价系统进行预测，</w:t>
            </w:r>
            <w:r>
              <w:rPr>
                <w:rFonts w:hint="eastAsia" w:ascii="Times New Roman" w:hAnsi="Times New Roman" w:eastAsia="宋体" w:cs="Times New Roman"/>
                <w:color w:val="000000"/>
                <w:sz w:val="24"/>
                <w:szCs w:val="24"/>
                <w:highlight w:val="none"/>
                <w:lang w:val="en-US" w:eastAsia="zh-CN"/>
              </w:rPr>
              <w:t>项目年运行</w:t>
            </w:r>
            <w:r>
              <w:rPr>
                <w:rFonts w:hint="eastAsia" w:cs="Times New Roman"/>
                <w:color w:val="000000"/>
                <w:sz w:val="24"/>
                <w:szCs w:val="24"/>
                <w:highlight w:val="none"/>
                <w:lang w:val="en-US" w:eastAsia="zh-CN"/>
              </w:rPr>
              <w:t>330</w:t>
            </w:r>
            <w:r>
              <w:rPr>
                <w:rFonts w:hint="eastAsia" w:ascii="Times New Roman" w:hAnsi="Times New Roman" w:eastAsia="宋体" w:cs="Times New Roman"/>
                <w:color w:val="000000"/>
                <w:sz w:val="24"/>
                <w:szCs w:val="24"/>
                <w:highlight w:val="none"/>
                <w:lang w:val="en-US" w:eastAsia="zh-CN"/>
              </w:rPr>
              <w:t>天，每天运行24小时，</w:t>
            </w:r>
            <w:r>
              <w:rPr>
                <w:rFonts w:hint="default" w:ascii="Times New Roman" w:hAnsi="Times New Roman" w:eastAsia="宋体" w:cs="Times New Roman"/>
                <w:color w:val="000000"/>
                <w:sz w:val="24"/>
                <w:szCs w:val="24"/>
                <w:highlight w:val="none"/>
              </w:rPr>
              <w:t>预测结果见</w:t>
            </w:r>
            <w:r>
              <w:rPr>
                <w:rFonts w:hint="eastAsia" w:ascii="Times New Roman" w:hAnsi="Times New Roman" w:eastAsia="宋体" w:cs="Times New Roman"/>
                <w:color w:val="000000"/>
                <w:sz w:val="24"/>
                <w:szCs w:val="24"/>
                <w:highlight w:val="none"/>
                <w:lang w:val="en-US" w:eastAsia="zh-CN"/>
              </w:rPr>
              <w:t>下表4-</w:t>
            </w:r>
            <w:r>
              <w:rPr>
                <w:rFonts w:hint="eastAsia" w:cs="Times New Roman"/>
                <w:color w:val="000000"/>
                <w:sz w:val="24"/>
                <w:szCs w:val="24"/>
                <w:highlight w:val="none"/>
                <w:lang w:val="en-US" w:eastAsia="zh-CN"/>
              </w:rPr>
              <w:t>15</w:t>
            </w:r>
            <w:r>
              <w:rPr>
                <w:rFonts w:hint="default" w:ascii="Times New Roman" w:hAnsi="Times New Roman" w:eastAsia="宋体" w:cs="Times New Roman"/>
                <w:color w:val="000000"/>
                <w:sz w:val="24"/>
                <w:szCs w:val="24"/>
                <w:highlight w:val="none"/>
              </w:rPr>
              <w:t>。</w:t>
            </w:r>
          </w:p>
          <w:p w14:paraId="7FCA9C44">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before="0" w:after="0" w:line="240" w:lineRule="auto"/>
              <w:ind w:right="0" w:firstLine="0" w:firstLineChars="0"/>
              <w:jc w:val="center"/>
              <w:textAlignment w:val="auto"/>
              <w:rPr>
                <w:rFonts w:hint="eastAsia" w:ascii="Times New Roman" w:hAnsi="Times New Roman" w:eastAsia="宋体" w:cs="Times New Roman"/>
                <w:b/>
                <w:color w:val="000000"/>
                <w:kern w:val="0"/>
                <w:sz w:val="21"/>
                <w:szCs w:val="16"/>
                <w:highlight w:val="none"/>
                <w:lang w:val="en-US" w:eastAsia="zh-CN" w:bidi="ar-SA"/>
              </w:rPr>
            </w:pPr>
            <w:r>
              <w:rPr>
                <w:rFonts w:hint="default" w:ascii="Times New Roman" w:hAnsi="Times New Roman" w:eastAsia="宋体" w:cs="Times New Roman"/>
                <w:b/>
                <w:color w:val="000000"/>
                <w:kern w:val="0"/>
                <w:sz w:val="21"/>
                <w:szCs w:val="16"/>
                <w:highlight w:val="none"/>
                <w:lang w:val="en-US" w:eastAsia="zh-CN" w:bidi="ar-SA"/>
              </w:rPr>
              <w:t>表</w:t>
            </w:r>
            <w:r>
              <w:rPr>
                <w:rFonts w:hint="eastAsia" w:ascii="Times New Roman" w:hAnsi="Times New Roman" w:eastAsia="宋体" w:cs="Times New Roman"/>
                <w:b/>
                <w:color w:val="000000"/>
                <w:kern w:val="0"/>
                <w:sz w:val="21"/>
                <w:szCs w:val="16"/>
                <w:highlight w:val="none"/>
                <w:lang w:val="en-US" w:eastAsia="zh-CN" w:bidi="ar-SA"/>
              </w:rPr>
              <w:t>4-</w:t>
            </w:r>
            <w:r>
              <w:rPr>
                <w:rFonts w:hint="eastAsia" w:cs="Times New Roman"/>
                <w:b/>
                <w:color w:val="000000"/>
                <w:kern w:val="0"/>
                <w:sz w:val="21"/>
                <w:szCs w:val="16"/>
                <w:highlight w:val="none"/>
                <w:lang w:val="en-US" w:eastAsia="zh-CN" w:bidi="ar-SA"/>
              </w:rPr>
              <w:t>15</w:t>
            </w:r>
            <w:r>
              <w:rPr>
                <w:rFonts w:hint="default" w:ascii="Times New Roman" w:hAnsi="Times New Roman" w:eastAsia="宋体" w:cs="Times New Roman"/>
                <w:b/>
                <w:color w:val="000000"/>
                <w:kern w:val="0"/>
                <w:sz w:val="21"/>
                <w:szCs w:val="16"/>
                <w:highlight w:val="none"/>
                <w:lang w:val="en-US" w:eastAsia="zh-CN" w:bidi="ar-SA"/>
              </w:rPr>
              <w:t xml:space="preserve">   噪声预测结果统计表  单位dB</w:t>
            </w:r>
            <w:r>
              <w:rPr>
                <w:rFonts w:hint="eastAsia" w:ascii="Times New Roman" w:hAnsi="Times New Roman" w:eastAsia="宋体" w:cs="Times New Roman"/>
                <w:b/>
                <w:color w:val="000000"/>
                <w:kern w:val="0"/>
                <w:sz w:val="21"/>
                <w:szCs w:val="16"/>
                <w:highlight w:val="none"/>
                <w:lang w:val="en-US" w:eastAsia="zh-CN" w:bidi="ar-SA"/>
              </w:rPr>
              <w:t>（</w:t>
            </w:r>
            <w:r>
              <w:rPr>
                <w:rFonts w:hint="default" w:ascii="Times New Roman" w:hAnsi="Times New Roman" w:eastAsia="宋体" w:cs="Times New Roman"/>
                <w:b/>
                <w:color w:val="000000"/>
                <w:kern w:val="0"/>
                <w:sz w:val="21"/>
                <w:szCs w:val="16"/>
                <w:highlight w:val="none"/>
                <w:lang w:val="en-US" w:eastAsia="zh-CN" w:bidi="ar-SA"/>
              </w:rPr>
              <w:t>A</w:t>
            </w:r>
            <w:r>
              <w:rPr>
                <w:rFonts w:hint="eastAsia" w:ascii="Times New Roman" w:hAnsi="Times New Roman" w:eastAsia="宋体" w:cs="Times New Roman"/>
                <w:b/>
                <w:color w:val="000000"/>
                <w:kern w:val="0"/>
                <w:sz w:val="21"/>
                <w:szCs w:val="16"/>
                <w:highlight w:val="none"/>
                <w:lang w:val="en-US" w:eastAsia="zh-CN" w:bidi="ar-SA"/>
              </w:rPr>
              <w:t>）</w:t>
            </w:r>
          </w:p>
          <w:tbl>
            <w:tblPr>
              <w:tblStyle w:val="3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1589"/>
              <w:gridCol w:w="1038"/>
              <w:gridCol w:w="1279"/>
              <w:gridCol w:w="1170"/>
              <w:gridCol w:w="1004"/>
              <w:gridCol w:w="1042"/>
              <w:gridCol w:w="1024"/>
            </w:tblGrid>
            <w:tr w14:paraId="0D1D62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975" w:type="pct"/>
                  <w:vMerge w:val="restart"/>
                  <w:tcBorders>
                    <w:tl2br w:val="nil"/>
                    <w:tr2bl w:val="nil"/>
                  </w:tcBorders>
                  <w:noWrap w:val="0"/>
                  <w:vAlign w:val="center"/>
                </w:tcPr>
                <w:p w14:paraId="4BCC51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评价点位置</w:t>
                  </w:r>
                </w:p>
              </w:tc>
              <w:tc>
                <w:tcPr>
                  <w:tcW w:w="1422" w:type="pct"/>
                  <w:gridSpan w:val="2"/>
                  <w:tcBorders>
                    <w:tl2br w:val="nil"/>
                    <w:tr2bl w:val="nil"/>
                  </w:tcBorders>
                  <w:noWrap w:val="0"/>
                  <w:vAlign w:val="center"/>
                </w:tcPr>
                <w:p w14:paraId="3C292A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噪声</w:t>
                  </w:r>
                  <w:r>
                    <w:rPr>
                      <w:rFonts w:hint="eastAsia" w:ascii="Times New Roman" w:hAnsi="Times New Roman" w:eastAsia="宋体" w:cs="Times New Roman"/>
                      <w:b/>
                      <w:bCs/>
                      <w:color w:val="000000"/>
                      <w:kern w:val="0"/>
                      <w:sz w:val="21"/>
                      <w:szCs w:val="21"/>
                      <w:highlight w:val="none"/>
                      <w:lang w:val="en-US" w:eastAsia="zh-CN" w:bidi="ar-SA"/>
                    </w:rPr>
                    <w:t>背景</w:t>
                  </w:r>
                  <w:r>
                    <w:rPr>
                      <w:rFonts w:hint="default" w:ascii="Times New Roman" w:hAnsi="Times New Roman" w:eastAsia="宋体" w:cs="Times New Roman"/>
                      <w:b/>
                      <w:bCs/>
                      <w:color w:val="000000"/>
                      <w:kern w:val="0"/>
                      <w:sz w:val="21"/>
                      <w:szCs w:val="21"/>
                      <w:highlight w:val="none"/>
                      <w:lang w:val="en-US" w:eastAsia="zh-CN" w:bidi="ar-SA"/>
                    </w:rPr>
                    <w:t>值</w:t>
                  </w:r>
                </w:p>
              </w:tc>
              <w:tc>
                <w:tcPr>
                  <w:tcW w:w="1334" w:type="pct"/>
                  <w:gridSpan w:val="2"/>
                  <w:tcBorders>
                    <w:tl2br w:val="nil"/>
                    <w:tr2bl w:val="nil"/>
                  </w:tcBorders>
                  <w:noWrap w:val="0"/>
                  <w:vAlign w:val="center"/>
                </w:tcPr>
                <w:p w14:paraId="7DF494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噪声贡献值</w:t>
                  </w:r>
                </w:p>
              </w:tc>
              <w:tc>
                <w:tcPr>
                  <w:tcW w:w="1268" w:type="pct"/>
                  <w:gridSpan w:val="2"/>
                  <w:tcBorders>
                    <w:tl2br w:val="nil"/>
                    <w:tr2bl w:val="nil"/>
                  </w:tcBorders>
                  <w:noWrap w:val="0"/>
                  <w:vAlign w:val="center"/>
                </w:tcPr>
                <w:p w14:paraId="2FED25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噪声预测值</w:t>
                  </w:r>
                </w:p>
              </w:tc>
            </w:tr>
            <w:tr w14:paraId="123EDE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975" w:type="pct"/>
                  <w:vMerge w:val="continue"/>
                  <w:tcBorders>
                    <w:tl2br w:val="nil"/>
                    <w:tr2bl w:val="nil"/>
                  </w:tcBorders>
                  <w:noWrap w:val="0"/>
                  <w:vAlign w:val="center"/>
                </w:tcPr>
                <w:p w14:paraId="6CE798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kern w:val="0"/>
                      <w:sz w:val="21"/>
                      <w:szCs w:val="21"/>
                      <w:highlight w:val="none"/>
                      <w:lang w:val="en-US" w:eastAsia="zh-CN" w:bidi="ar-SA"/>
                    </w:rPr>
                  </w:pPr>
                </w:p>
              </w:tc>
              <w:tc>
                <w:tcPr>
                  <w:tcW w:w="637" w:type="pct"/>
                  <w:tcBorders>
                    <w:tl2br w:val="nil"/>
                    <w:tr2bl w:val="nil"/>
                  </w:tcBorders>
                  <w:noWrap w:val="0"/>
                  <w:vAlign w:val="center"/>
                </w:tcPr>
                <w:p w14:paraId="3FD98D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昼间</w:t>
                  </w:r>
                </w:p>
              </w:tc>
              <w:tc>
                <w:tcPr>
                  <w:tcW w:w="785" w:type="pct"/>
                  <w:tcBorders>
                    <w:tl2br w:val="nil"/>
                    <w:tr2bl w:val="nil"/>
                  </w:tcBorders>
                  <w:noWrap w:val="0"/>
                  <w:vAlign w:val="center"/>
                </w:tcPr>
                <w:p w14:paraId="2E290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夜间</w:t>
                  </w:r>
                </w:p>
              </w:tc>
              <w:tc>
                <w:tcPr>
                  <w:tcW w:w="718" w:type="pct"/>
                  <w:tcBorders>
                    <w:tl2br w:val="nil"/>
                    <w:tr2bl w:val="nil"/>
                  </w:tcBorders>
                  <w:noWrap w:val="0"/>
                  <w:vAlign w:val="center"/>
                </w:tcPr>
                <w:p w14:paraId="21B02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昼间</w:t>
                  </w:r>
                </w:p>
              </w:tc>
              <w:tc>
                <w:tcPr>
                  <w:tcW w:w="616" w:type="pct"/>
                  <w:tcBorders>
                    <w:tl2br w:val="nil"/>
                    <w:tr2bl w:val="nil"/>
                  </w:tcBorders>
                  <w:noWrap w:val="0"/>
                  <w:vAlign w:val="center"/>
                </w:tcPr>
                <w:p w14:paraId="011D7E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夜间</w:t>
                  </w:r>
                </w:p>
              </w:tc>
              <w:tc>
                <w:tcPr>
                  <w:tcW w:w="639" w:type="pct"/>
                  <w:tcBorders>
                    <w:tl2br w:val="nil"/>
                    <w:tr2bl w:val="nil"/>
                  </w:tcBorders>
                  <w:noWrap w:val="0"/>
                  <w:vAlign w:val="center"/>
                </w:tcPr>
                <w:p w14:paraId="10DAD1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昼间</w:t>
                  </w:r>
                </w:p>
              </w:tc>
              <w:tc>
                <w:tcPr>
                  <w:tcW w:w="628" w:type="pct"/>
                  <w:tcBorders>
                    <w:tl2br w:val="nil"/>
                    <w:tr2bl w:val="nil"/>
                  </w:tcBorders>
                  <w:noWrap w:val="0"/>
                  <w:vAlign w:val="center"/>
                </w:tcPr>
                <w:p w14:paraId="359C2C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夜间</w:t>
                  </w:r>
                </w:p>
              </w:tc>
            </w:tr>
            <w:tr w14:paraId="238431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975" w:type="pct"/>
                  <w:tcBorders>
                    <w:tl2br w:val="nil"/>
                    <w:tr2bl w:val="nil"/>
                  </w:tcBorders>
                  <w:noWrap w:val="0"/>
                  <w:vAlign w:val="center"/>
                </w:tcPr>
                <w:p w14:paraId="1B2FC7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厂界东侧</w:t>
                  </w:r>
                </w:p>
              </w:tc>
              <w:tc>
                <w:tcPr>
                  <w:tcW w:w="637" w:type="pct"/>
                  <w:tcBorders>
                    <w:tl2br w:val="nil"/>
                    <w:tr2bl w:val="nil"/>
                  </w:tcBorders>
                  <w:noWrap w:val="0"/>
                  <w:vAlign w:val="center"/>
                </w:tcPr>
                <w:p w14:paraId="29A48C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785" w:type="pct"/>
                  <w:tcBorders>
                    <w:tl2br w:val="nil"/>
                    <w:tr2bl w:val="nil"/>
                  </w:tcBorders>
                  <w:noWrap w:val="0"/>
                  <w:vAlign w:val="center"/>
                </w:tcPr>
                <w:p w14:paraId="64E59C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718" w:type="pct"/>
                  <w:tcBorders>
                    <w:tl2br w:val="nil"/>
                    <w:tr2bl w:val="nil"/>
                  </w:tcBorders>
                  <w:noWrap w:val="0"/>
                  <w:vAlign w:val="center"/>
                </w:tcPr>
                <w:p w14:paraId="1E8B74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56</w:t>
                  </w:r>
                </w:p>
              </w:tc>
              <w:tc>
                <w:tcPr>
                  <w:tcW w:w="616" w:type="pct"/>
                  <w:tcBorders>
                    <w:tl2br w:val="nil"/>
                    <w:tr2bl w:val="nil"/>
                  </w:tcBorders>
                  <w:noWrap w:val="0"/>
                  <w:vAlign w:val="center"/>
                </w:tcPr>
                <w:p w14:paraId="36DF39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56</w:t>
                  </w:r>
                </w:p>
              </w:tc>
              <w:tc>
                <w:tcPr>
                  <w:tcW w:w="639" w:type="pct"/>
                  <w:tcBorders>
                    <w:tl2br w:val="nil"/>
                    <w:tr2bl w:val="nil"/>
                  </w:tcBorders>
                  <w:noWrap w:val="0"/>
                  <w:vAlign w:val="center"/>
                </w:tcPr>
                <w:p w14:paraId="02BEFA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628" w:type="pct"/>
                  <w:tcBorders>
                    <w:tl2br w:val="nil"/>
                    <w:tr2bl w:val="nil"/>
                  </w:tcBorders>
                  <w:noWrap w:val="0"/>
                  <w:vAlign w:val="center"/>
                </w:tcPr>
                <w:p w14:paraId="235031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r>
            <w:tr w14:paraId="46A30A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975" w:type="pct"/>
                  <w:tcBorders>
                    <w:tl2br w:val="nil"/>
                    <w:tr2bl w:val="nil"/>
                  </w:tcBorders>
                  <w:noWrap w:val="0"/>
                  <w:vAlign w:val="center"/>
                </w:tcPr>
                <w:p w14:paraId="5327FE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厂界南侧</w:t>
                  </w:r>
                </w:p>
              </w:tc>
              <w:tc>
                <w:tcPr>
                  <w:tcW w:w="637" w:type="pct"/>
                  <w:tcBorders>
                    <w:tl2br w:val="nil"/>
                    <w:tr2bl w:val="nil"/>
                  </w:tcBorders>
                  <w:noWrap w:val="0"/>
                  <w:vAlign w:val="center"/>
                </w:tcPr>
                <w:p w14:paraId="5FC475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785" w:type="pct"/>
                  <w:tcBorders>
                    <w:tl2br w:val="nil"/>
                    <w:tr2bl w:val="nil"/>
                  </w:tcBorders>
                  <w:noWrap w:val="0"/>
                  <w:vAlign w:val="center"/>
                </w:tcPr>
                <w:p w14:paraId="698F6B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718" w:type="pct"/>
                  <w:tcBorders>
                    <w:tl2br w:val="nil"/>
                    <w:tr2bl w:val="nil"/>
                  </w:tcBorders>
                  <w:noWrap w:val="0"/>
                  <w:vAlign w:val="center"/>
                </w:tcPr>
                <w:p w14:paraId="3F698F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57</w:t>
                  </w:r>
                </w:p>
              </w:tc>
              <w:tc>
                <w:tcPr>
                  <w:tcW w:w="616" w:type="pct"/>
                  <w:tcBorders>
                    <w:tl2br w:val="nil"/>
                    <w:tr2bl w:val="nil"/>
                  </w:tcBorders>
                  <w:noWrap w:val="0"/>
                  <w:vAlign w:val="center"/>
                </w:tcPr>
                <w:p w14:paraId="3D75BD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57</w:t>
                  </w:r>
                </w:p>
              </w:tc>
              <w:tc>
                <w:tcPr>
                  <w:tcW w:w="639" w:type="pct"/>
                  <w:tcBorders>
                    <w:tl2br w:val="nil"/>
                    <w:tr2bl w:val="nil"/>
                  </w:tcBorders>
                  <w:noWrap w:val="0"/>
                  <w:vAlign w:val="center"/>
                </w:tcPr>
                <w:p w14:paraId="5FC79A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628" w:type="pct"/>
                  <w:tcBorders>
                    <w:tl2br w:val="nil"/>
                    <w:tr2bl w:val="nil"/>
                  </w:tcBorders>
                  <w:noWrap w:val="0"/>
                  <w:vAlign w:val="center"/>
                </w:tcPr>
                <w:p w14:paraId="5CDF82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r>
            <w:tr w14:paraId="4AB9F9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975" w:type="pct"/>
                  <w:tcBorders>
                    <w:tl2br w:val="nil"/>
                    <w:tr2bl w:val="nil"/>
                  </w:tcBorders>
                  <w:noWrap w:val="0"/>
                  <w:vAlign w:val="center"/>
                </w:tcPr>
                <w:p w14:paraId="2B17E0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厂界西侧</w:t>
                  </w:r>
                </w:p>
              </w:tc>
              <w:tc>
                <w:tcPr>
                  <w:tcW w:w="637" w:type="pct"/>
                  <w:tcBorders>
                    <w:tl2br w:val="nil"/>
                    <w:tr2bl w:val="nil"/>
                  </w:tcBorders>
                  <w:noWrap w:val="0"/>
                  <w:vAlign w:val="center"/>
                </w:tcPr>
                <w:p w14:paraId="2C4825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785" w:type="pct"/>
                  <w:tcBorders>
                    <w:tl2br w:val="nil"/>
                    <w:tr2bl w:val="nil"/>
                  </w:tcBorders>
                  <w:noWrap w:val="0"/>
                  <w:vAlign w:val="center"/>
                </w:tcPr>
                <w:p w14:paraId="22057C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718" w:type="pct"/>
                  <w:tcBorders>
                    <w:tl2br w:val="nil"/>
                    <w:tr2bl w:val="nil"/>
                  </w:tcBorders>
                  <w:noWrap w:val="0"/>
                  <w:vAlign w:val="center"/>
                </w:tcPr>
                <w:p w14:paraId="112FCD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50</w:t>
                  </w:r>
                </w:p>
              </w:tc>
              <w:tc>
                <w:tcPr>
                  <w:tcW w:w="616" w:type="pct"/>
                  <w:tcBorders>
                    <w:tl2br w:val="nil"/>
                    <w:tr2bl w:val="nil"/>
                  </w:tcBorders>
                  <w:noWrap w:val="0"/>
                  <w:vAlign w:val="center"/>
                </w:tcPr>
                <w:p w14:paraId="709810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50</w:t>
                  </w:r>
                </w:p>
              </w:tc>
              <w:tc>
                <w:tcPr>
                  <w:tcW w:w="639" w:type="pct"/>
                  <w:tcBorders>
                    <w:tl2br w:val="nil"/>
                    <w:tr2bl w:val="nil"/>
                  </w:tcBorders>
                  <w:noWrap w:val="0"/>
                  <w:vAlign w:val="center"/>
                </w:tcPr>
                <w:p w14:paraId="6F656C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628" w:type="pct"/>
                  <w:tcBorders>
                    <w:tl2br w:val="nil"/>
                    <w:tr2bl w:val="nil"/>
                  </w:tcBorders>
                  <w:noWrap w:val="0"/>
                  <w:vAlign w:val="center"/>
                </w:tcPr>
                <w:p w14:paraId="490436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r>
            <w:tr w14:paraId="16C6F8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975" w:type="pct"/>
                  <w:tcBorders>
                    <w:tl2br w:val="nil"/>
                    <w:tr2bl w:val="nil"/>
                  </w:tcBorders>
                  <w:noWrap w:val="0"/>
                  <w:vAlign w:val="center"/>
                </w:tcPr>
                <w:p w14:paraId="3904AD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厂界北侧</w:t>
                  </w:r>
                </w:p>
              </w:tc>
              <w:tc>
                <w:tcPr>
                  <w:tcW w:w="637" w:type="pct"/>
                  <w:tcBorders>
                    <w:tl2br w:val="nil"/>
                    <w:tr2bl w:val="nil"/>
                  </w:tcBorders>
                  <w:noWrap w:val="0"/>
                  <w:vAlign w:val="center"/>
                </w:tcPr>
                <w:p w14:paraId="46F92B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785" w:type="pct"/>
                  <w:tcBorders>
                    <w:tl2br w:val="nil"/>
                    <w:tr2bl w:val="nil"/>
                  </w:tcBorders>
                  <w:noWrap w:val="0"/>
                  <w:vAlign w:val="center"/>
                </w:tcPr>
                <w:p w14:paraId="6DA38E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718" w:type="pct"/>
                  <w:tcBorders>
                    <w:tl2br w:val="nil"/>
                    <w:tr2bl w:val="nil"/>
                  </w:tcBorders>
                  <w:noWrap w:val="0"/>
                  <w:vAlign w:val="center"/>
                </w:tcPr>
                <w:p w14:paraId="11F7D7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45</w:t>
                  </w:r>
                </w:p>
              </w:tc>
              <w:tc>
                <w:tcPr>
                  <w:tcW w:w="616" w:type="pct"/>
                  <w:tcBorders>
                    <w:tl2br w:val="nil"/>
                    <w:tr2bl w:val="nil"/>
                  </w:tcBorders>
                  <w:noWrap w:val="0"/>
                  <w:vAlign w:val="center"/>
                </w:tcPr>
                <w:p w14:paraId="48C838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45</w:t>
                  </w:r>
                </w:p>
              </w:tc>
              <w:tc>
                <w:tcPr>
                  <w:tcW w:w="639" w:type="pct"/>
                  <w:tcBorders>
                    <w:tl2br w:val="nil"/>
                    <w:tr2bl w:val="nil"/>
                  </w:tcBorders>
                  <w:noWrap w:val="0"/>
                  <w:vAlign w:val="center"/>
                </w:tcPr>
                <w:p w14:paraId="29AFEC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c>
                <w:tcPr>
                  <w:tcW w:w="628" w:type="pct"/>
                  <w:tcBorders>
                    <w:tl2br w:val="nil"/>
                    <w:tr2bl w:val="nil"/>
                  </w:tcBorders>
                  <w:noWrap w:val="0"/>
                  <w:vAlign w:val="center"/>
                </w:tcPr>
                <w:p w14:paraId="5D1736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w:t>
                  </w:r>
                </w:p>
              </w:tc>
            </w:tr>
            <w:tr w14:paraId="1898B9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5000" w:type="pct"/>
                  <w:gridSpan w:val="7"/>
                  <w:tcBorders>
                    <w:tl2br w:val="nil"/>
                    <w:tr2bl w:val="nil"/>
                  </w:tcBorders>
                  <w:noWrap w:val="0"/>
                  <w:vAlign w:val="center"/>
                </w:tcPr>
                <w:p w14:paraId="455574D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备注：西、北侧为公共厂界</w:t>
                  </w:r>
                </w:p>
              </w:tc>
            </w:tr>
          </w:tbl>
          <w:p w14:paraId="33B1B8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color w:val="000000"/>
                <w:spacing w:val="0"/>
                <w:position w:val="0"/>
                <w:sz w:val="24"/>
                <w:lang w:val="en-US" w:eastAsia="zh-CN"/>
              </w:rPr>
              <w:t>对噪声源采取有效的降噪措施后，项目各厂界噪声贡献值能达到《工业企业厂界环境噪声排放标准》（GB12348-2008）3类标准，评价范围内无声环境保护目标。因此本项目的设备噪声经采取有效降噪措施后，对项目周边的声环境影响较小。</w:t>
            </w:r>
          </w:p>
          <w:p w14:paraId="2880B96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sz w:val="24"/>
                <w:szCs w:val="24"/>
                <w:highlight w:val="none"/>
              </w:rPr>
            </w:pPr>
            <w:r>
              <w:rPr>
                <w:rFonts w:hint="eastAsia" w:cs="Times New Roman"/>
                <w:b/>
                <w:bCs/>
                <w:color w:val="000000"/>
                <w:sz w:val="24"/>
                <w:szCs w:val="24"/>
                <w:highlight w:val="none"/>
                <w:lang w:val="en-US" w:eastAsia="zh-CN"/>
              </w:rPr>
              <w:t>4、</w:t>
            </w:r>
            <w:r>
              <w:rPr>
                <w:rFonts w:hint="eastAsia" w:ascii="Times New Roman" w:hAnsi="Times New Roman" w:eastAsia="宋体" w:cs="Times New Roman"/>
                <w:b/>
                <w:bCs/>
                <w:color w:val="000000"/>
                <w:sz w:val="24"/>
                <w:szCs w:val="24"/>
                <w:highlight w:val="none"/>
                <w:lang w:val="en-US" w:eastAsia="zh-CN"/>
              </w:rPr>
              <w:t>噪声</w:t>
            </w:r>
            <w:r>
              <w:rPr>
                <w:rFonts w:hint="default" w:ascii="Times New Roman" w:hAnsi="Times New Roman" w:eastAsia="宋体" w:cs="Times New Roman"/>
                <w:b/>
                <w:bCs/>
                <w:color w:val="000000"/>
                <w:sz w:val="24"/>
                <w:szCs w:val="24"/>
                <w:highlight w:val="none"/>
              </w:rPr>
              <w:t>监测计划</w:t>
            </w:r>
          </w:p>
          <w:p w14:paraId="03BF14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根据《排污单位自行监测技术指南 总则》（HJ819-2017）</w:t>
            </w:r>
            <w:r>
              <w:rPr>
                <w:rFonts w:hint="eastAsia" w:ascii="Times New Roman" w:hAnsi="Times New Roman" w:eastAsia="宋体" w:cs="Times New Roman"/>
                <w:color w:val="000000"/>
                <w:sz w:val="24"/>
                <w:szCs w:val="24"/>
                <w:highlight w:val="none"/>
                <w:lang w:val="en-US" w:eastAsia="zh-CN"/>
              </w:rPr>
              <w:t>及《排污许可证申请与核发技术规范 工业噪声》（HJ1301-2023）</w:t>
            </w:r>
            <w:r>
              <w:rPr>
                <w:rFonts w:hint="default" w:ascii="Times New Roman" w:hAnsi="Times New Roman" w:eastAsia="宋体" w:cs="Times New Roman"/>
                <w:color w:val="000000"/>
                <w:sz w:val="24"/>
                <w:szCs w:val="24"/>
                <w:highlight w:val="none"/>
              </w:rPr>
              <w:t>，制定本项目噪声监测计划如下</w:t>
            </w:r>
            <w:r>
              <w:rPr>
                <w:rFonts w:hint="eastAsia" w:ascii="Times New Roman" w:hAnsi="Times New Roman" w:eastAsia="宋体" w:cs="Times New Roman"/>
                <w:color w:val="000000"/>
                <w:sz w:val="24"/>
                <w:szCs w:val="24"/>
                <w:highlight w:val="none"/>
                <w:lang w:val="en-US" w:eastAsia="zh-CN"/>
              </w:rPr>
              <w:t>表4-</w:t>
            </w:r>
            <w:r>
              <w:rPr>
                <w:rFonts w:hint="eastAsia" w:cs="Times New Roman"/>
                <w:color w:val="000000"/>
                <w:sz w:val="24"/>
                <w:szCs w:val="24"/>
                <w:highlight w:val="none"/>
                <w:lang w:val="en-US" w:eastAsia="zh-CN"/>
              </w:rPr>
              <w:t>16</w:t>
            </w:r>
            <w:r>
              <w:rPr>
                <w:rFonts w:hint="default" w:ascii="Times New Roman" w:hAnsi="Times New Roman" w:eastAsia="宋体" w:cs="Times New Roman"/>
                <w:color w:val="000000"/>
                <w:sz w:val="24"/>
                <w:szCs w:val="24"/>
                <w:highlight w:val="none"/>
              </w:rPr>
              <w:t>：</w:t>
            </w:r>
          </w:p>
          <w:p w14:paraId="250667A6">
            <w:pPr>
              <w:keepNext w:val="0"/>
              <w:keepLines w:val="0"/>
              <w:pageBreakBefore w:val="0"/>
              <w:widowControl/>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before="0" w:after="0" w:line="240" w:lineRule="auto"/>
              <w:ind w:right="0" w:firstLine="0" w:firstLineChars="0"/>
              <w:jc w:val="center"/>
              <w:textAlignment w:val="auto"/>
              <w:rPr>
                <w:rFonts w:hint="default" w:ascii="Times New Roman" w:hAnsi="Times New Roman" w:eastAsia="宋体" w:cs="Times New Roman"/>
                <w:b/>
                <w:bCs/>
                <w:color w:val="000000"/>
                <w:kern w:val="0"/>
                <w:sz w:val="21"/>
                <w:szCs w:val="16"/>
                <w:highlight w:val="none"/>
                <w:lang w:val="en-US" w:eastAsia="zh-CN" w:bidi="ar-SA"/>
              </w:rPr>
            </w:pPr>
            <w:r>
              <w:rPr>
                <w:rFonts w:hint="default" w:ascii="Times New Roman" w:hAnsi="Times New Roman" w:eastAsia="宋体" w:cs="Times New Roman"/>
                <w:b/>
                <w:color w:val="000000"/>
                <w:kern w:val="0"/>
                <w:sz w:val="21"/>
                <w:szCs w:val="16"/>
                <w:highlight w:val="none"/>
                <w:lang w:val="en-US" w:eastAsia="zh-CN" w:bidi="ar-SA"/>
              </w:rPr>
              <w:t>表</w:t>
            </w:r>
            <w:r>
              <w:rPr>
                <w:rFonts w:hint="eastAsia" w:ascii="Times New Roman" w:hAnsi="Times New Roman" w:eastAsia="宋体" w:cs="Times New Roman"/>
                <w:b/>
                <w:color w:val="000000"/>
                <w:kern w:val="0"/>
                <w:sz w:val="21"/>
                <w:szCs w:val="16"/>
                <w:highlight w:val="none"/>
                <w:lang w:val="en-US" w:eastAsia="zh-CN" w:bidi="ar-SA"/>
              </w:rPr>
              <w:t>4-</w:t>
            </w:r>
            <w:r>
              <w:rPr>
                <w:rFonts w:hint="eastAsia" w:cs="Times New Roman"/>
                <w:b/>
                <w:color w:val="000000"/>
                <w:kern w:val="0"/>
                <w:sz w:val="21"/>
                <w:szCs w:val="16"/>
                <w:highlight w:val="none"/>
                <w:lang w:val="en-US" w:eastAsia="zh-CN" w:bidi="ar-SA"/>
              </w:rPr>
              <w:t>16</w:t>
            </w:r>
            <w:r>
              <w:rPr>
                <w:rFonts w:hint="eastAsia" w:ascii="Times New Roman" w:hAnsi="Times New Roman" w:eastAsia="宋体" w:cs="Times New Roman"/>
                <w:b/>
                <w:color w:val="000000"/>
                <w:kern w:val="0"/>
                <w:sz w:val="21"/>
                <w:szCs w:val="16"/>
                <w:highlight w:val="none"/>
                <w:lang w:val="en-US" w:eastAsia="zh-CN" w:bidi="ar-SA"/>
              </w:rPr>
              <w:t xml:space="preserve">   </w:t>
            </w:r>
            <w:r>
              <w:rPr>
                <w:rFonts w:hint="default" w:ascii="Times New Roman" w:hAnsi="Times New Roman" w:eastAsia="宋体" w:cs="Times New Roman"/>
                <w:b/>
                <w:color w:val="000000"/>
                <w:kern w:val="0"/>
                <w:sz w:val="21"/>
                <w:szCs w:val="16"/>
                <w:highlight w:val="none"/>
                <w:lang w:val="en-US" w:eastAsia="zh-CN" w:bidi="ar-SA"/>
              </w:rPr>
              <w:t>项目噪声监测计划表</w:t>
            </w:r>
          </w:p>
          <w:tbl>
            <w:tblPr>
              <w:tblStyle w:val="31"/>
              <w:tblW w:w="821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42"/>
              <w:gridCol w:w="1410"/>
              <w:gridCol w:w="1370"/>
              <w:gridCol w:w="3691"/>
            </w:tblGrid>
            <w:tr w14:paraId="3D6862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2" w:type="dxa"/>
                  <w:tcBorders>
                    <w:tl2br w:val="nil"/>
                    <w:tr2bl w:val="nil"/>
                  </w:tcBorders>
                  <w:noWrap w:val="0"/>
                  <w:vAlign w:val="center"/>
                </w:tcPr>
                <w:p w14:paraId="5CAF2F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监测点位</w:t>
                  </w:r>
                </w:p>
              </w:tc>
              <w:tc>
                <w:tcPr>
                  <w:tcW w:w="1410" w:type="dxa"/>
                  <w:tcBorders>
                    <w:tl2br w:val="nil"/>
                    <w:tr2bl w:val="nil"/>
                  </w:tcBorders>
                  <w:noWrap w:val="0"/>
                  <w:vAlign w:val="center"/>
                </w:tcPr>
                <w:p w14:paraId="3A1446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监测项目</w:t>
                  </w:r>
                </w:p>
              </w:tc>
              <w:tc>
                <w:tcPr>
                  <w:tcW w:w="1370" w:type="dxa"/>
                  <w:tcBorders>
                    <w:tl2br w:val="nil"/>
                    <w:tr2bl w:val="nil"/>
                  </w:tcBorders>
                  <w:noWrap w:val="0"/>
                  <w:vAlign w:val="center"/>
                </w:tcPr>
                <w:p w14:paraId="238177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kern w:val="0"/>
                      <w:sz w:val="21"/>
                      <w:szCs w:val="21"/>
                      <w:highlight w:val="none"/>
                      <w:lang w:val="en-US" w:eastAsia="zh-CN" w:bidi="ar-SA"/>
                    </w:rPr>
                  </w:pPr>
                  <w:r>
                    <w:rPr>
                      <w:rFonts w:hint="default" w:ascii="Times New Roman" w:hAnsi="Times New Roman" w:eastAsia="宋体" w:cs="Times New Roman"/>
                      <w:b/>
                      <w:bCs/>
                      <w:color w:val="000000"/>
                      <w:kern w:val="0"/>
                      <w:sz w:val="21"/>
                      <w:szCs w:val="21"/>
                      <w:highlight w:val="none"/>
                      <w:lang w:val="en-US" w:eastAsia="zh-CN" w:bidi="ar-SA"/>
                    </w:rPr>
                    <w:t>监测</w:t>
                  </w:r>
                  <w:r>
                    <w:rPr>
                      <w:rFonts w:hint="eastAsia" w:ascii="Times New Roman" w:hAnsi="Times New Roman" w:eastAsia="宋体" w:cs="Times New Roman"/>
                      <w:b/>
                      <w:bCs/>
                      <w:color w:val="000000"/>
                      <w:kern w:val="0"/>
                      <w:sz w:val="21"/>
                      <w:szCs w:val="21"/>
                      <w:highlight w:val="none"/>
                      <w:lang w:val="en-US" w:eastAsia="zh-CN" w:bidi="ar-SA"/>
                    </w:rPr>
                    <w:t>频次</w:t>
                  </w:r>
                </w:p>
              </w:tc>
              <w:tc>
                <w:tcPr>
                  <w:tcW w:w="3691" w:type="dxa"/>
                  <w:tcBorders>
                    <w:tl2br w:val="nil"/>
                    <w:tr2bl w:val="nil"/>
                  </w:tcBorders>
                  <w:noWrap w:val="0"/>
                  <w:vAlign w:val="center"/>
                </w:tcPr>
                <w:p w14:paraId="6DF7B6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执行标准</w:t>
                  </w:r>
                </w:p>
              </w:tc>
            </w:tr>
            <w:tr w14:paraId="39AD10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2" w:type="dxa"/>
                  <w:tcBorders>
                    <w:tl2br w:val="nil"/>
                    <w:tr2bl w:val="nil"/>
                  </w:tcBorders>
                  <w:noWrap w:val="0"/>
                  <w:vAlign w:val="center"/>
                </w:tcPr>
                <w:p w14:paraId="0A7767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厂界</w:t>
                  </w:r>
                  <w:r>
                    <w:rPr>
                      <w:rFonts w:hint="eastAsia" w:ascii="Times New Roman" w:hAnsi="Times New Roman" w:eastAsia="宋体" w:cs="Times New Roman"/>
                      <w:color w:val="000000"/>
                      <w:kern w:val="0"/>
                      <w:sz w:val="21"/>
                      <w:szCs w:val="21"/>
                      <w:highlight w:val="none"/>
                      <w:lang w:val="en-US" w:eastAsia="zh-CN" w:bidi="ar-SA"/>
                    </w:rPr>
                    <w:t>外1米</w:t>
                  </w:r>
                </w:p>
              </w:tc>
              <w:tc>
                <w:tcPr>
                  <w:tcW w:w="1410" w:type="dxa"/>
                  <w:tcBorders>
                    <w:tl2br w:val="nil"/>
                    <w:tr2bl w:val="nil"/>
                  </w:tcBorders>
                  <w:noWrap w:val="0"/>
                  <w:vAlign w:val="center"/>
                </w:tcPr>
                <w:p w14:paraId="2ED178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等效连续A声级</w:t>
                  </w:r>
                </w:p>
              </w:tc>
              <w:tc>
                <w:tcPr>
                  <w:tcW w:w="1370" w:type="dxa"/>
                  <w:tcBorders>
                    <w:tl2br w:val="nil"/>
                    <w:tr2bl w:val="nil"/>
                  </w:tcBorders>
                  <w:noWrap w:val="0"/>
                  <w:vAlign w:val="center"/>
                </w:tcPr>
                <w:p w14:paraId="6F1096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1次/季度</w:t>
                  </w:r>
                  <w:r>
                    <w:rPr>
                      <w:rFonts w:hint="eastAsia" w:ascii="Times New Roman" w:hAnsi="Times New Roman" w:eastAsia="宋体" w:cs="Times New Roman"/>
                      <w:color w:val="000000"/>
                      <w:kern w:val="0"/>
                      <w:sz w:val="21"/>
                      <w:szCs w:val="21"/>
                      <w:highlight w:val="none"/>
                      <w:lang w:val="en-US" w:eastAsia="zh-CN" w:bidi="ar-SA"/>
                    </w:rPr>
                    <w:t>、昼间及夜间</w:t>
                  </w:r>
                </w:p>
              </w:tc>
              <w:tc>
                <w:tcPr>
                  <w:tcW w:w="3691" w:type="dxa"/>
                  <w:tcBorders>
                    <w:tl2br w:val="nil"/>
                    <w:tr2bl w:val="nil"/>
                  </w:tcBorders>
                  <w:noWrap w:val="0"/>
                  <w:vAlign w:val="center"/>
                </w:tcPr>
                <w:p w14:paraId="7A5CEA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《工业企业厂界环境噪声排放标准》（GB12348-2008）</w:t>
                  </w:r>
                  <w:r>
                    <w:rPr>
                      <w:rFonts w:hint="eastAsia" w:ascii="Times New Roman" w:hAnsi="Times New Roman" w:eastAsia="宋体" w:cs="Times New Roman"/>
                      <w:color w:val="000000"/>
                      <w:kern w:val="0"/>
                      <w:sz w:val="21"/>
                      <w:szCs w:val="21"/>
                      <w:highlight w:val="none"/>
                      <w:lang w:val="en-US" w:eastAsia="zh-CN" w:bidi="ar-SA"/>
                    </w:rPr>
                    <w:t>3</w:t>
                  </w:r>
                  <w:r>
                    <w:rPr>
                      <w:rFonts w:hint="default" w:ascii="Times New Roman" w:hAnsi="Times New Roman" w:eastAsia="宋体" w:cs="Times New Roman"/>
                      <w:color w:val="000000"/>
                      <w:kern w:val="0"/>
                      <w:sz w:val="21"/>
                      <w:szCs w:val="21"/>
                      <w:highlight w:val="none"/>
                      <w:lang w:val="en-US" w:eastAsia="zh-CN" w:bidi="ar-SA"/>
                    </w:rPr>
                    <w:t>类限值要求</w:t>
                  </w:r>
                </w:p>
              </w:tc>
            </w:tr>
          </w:tbl>
          <w:p w14:paraId="0BAD2F7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四</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rPr>
              <w:t>固体废物</w:t>
            </w:r>
          </w:p>
          <w:p w14:paraId="13DDF73A">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本项目营运期产生的固体废物主要包括一般工业</w:t>
            </w:r>
            <w:r>
              <w:rPr>
                <w:rFonts w:hint="eastAsia" w:cs="Times New Roman"/>
                <w:color w:val="auto"/>
                <w:kern w:val="0"/>
                <w:sz w:val="24"/>
                <w:szCs w:val="24"/>
                <w:lang w:val="en-US" w:eastAsia="zh-CN"/>
              </w:rPr>
              <w:t>固体废物</w:t>
            </w:r>
            <w:r>
              <w:rPr>
                <w:rFonts w:hint="eastAsia" w:ascii="Times New Roman" w:hAnsi="Times New Roman" w:eastAsia="宋体" w:cs="Times New Roman"/>
                <w:color w:val="auto"/>
                <w:kern w:val="0"/>
                <w:sz w:val="24"/>
                <w:szCs w:val="24"/>
                <w:lang w:val="en-US" w:eastAsia="zh-CN"/>
              </w:rPr>
              <w:t>、危险废物和生活垃圾。</w:t>
            </w:r>
          </w:p>
          <w:p w14:paraId="72B6E2DA">
            <w:pPr>
              <w:spacing w:line="360" w:lineRule="auto"/>
              <w:ind w:firstLine="482" w:firstLineChars="200"/>
              <w:rPr>
                <w:rFonts w:hint="eastAsia"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1、</w:t>
            </w:r>
            <w:r>
              <w:rPr>
                <w:rFonts w:hint="eastAsia" w:ascii="Times New Roman" w:hAnsi="Times New Roman" w:eastAsia="宋体" w:cs="Times New Roman"/>
                <w:b/>
                <w:bCs/>
                <w:color w:val="auto"/>
                <w:kern w:val="0"/>
                <w:sz w:val="24"/>
                <w:szCs w:val="24"/>
                <w:lang w:val="en-US" w:eastAsia="zh-CN"/>
              </w:rPr>
              <w:t>固体废物类别</w:t>
            </w:r>
          </w:p>
          <w:p w14:paraId="13964862">
            <w:pPr>
              <w:spacing w:line="360" w:lineRule="auto"/>
              <w:ind w:firstLine="482" w:firstLineChars="200"/>
              <w:rPr>
                <w:rFonts w:hint="default"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w:t>
            </w:r>
            <w:r>
              <w:rPr>
                <w:rFonts w:hint="eastAsia" w:ascii="Times New Roman" w:hAnsi="Times New Roman" w:eastAsia="宋体" w:cs="Times New Roman"/>
                <w:b/>
                <w:bCs/>
                <w:color w:val="auto"/>
                <w:kern w:val="0"/>
                <w:sz w:val="24"/>
                <w:szCs w:val="24"/>
                <w:lang w:val="en-US" w:eastAsia="zh-CN"/>
              </w:rPr>
              <w:t>1）一般工业</w:t>
            </w:r>
            <w:r>
              <w:rPr>
                <w:rFonts w:hint="eastAsia" w:cs="Times New Roman"/>
                <w:b/>
                <w:bCs/>
                <w:color w:val="auto"/>
                <w:kern w:val="0"/>
                <w:sz w:val="24"/>
                <w:szCs w:val="24"/>
                <w:lang w:val="en-US" w:eastAsia="zh-CN"/>
              </w:rPr>
              <w:t>固体废物</w:t>
            </w:r>
          </w:p>
          <w:p w14:paraId="73C43BD4">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①废旧滤筒</w:t>
            </w:r>
          </w:p>
          <w:p w14:paraId="018F82E2">
            <w:pPr>
              <w:spacing w:line="360" w:lineRule="auto"/>
              <w:ind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自洁式空气过滤器的滤筒平均每</w:t>
            </w:r>
            <w:r>
              <w:rPr>
                <w:rFonts w:hint="eastAsia" w:cs="Times New Roman"/>
                <w:color w:val="auto"/>
                <w:kern w:val="0"/>
                <w:sz w:val="24"/>
                <w:szCs w:val="24"/>
                <w:highlight w:val="none"/>
                <w:lang w:val="en-US" w:eastAsia="zh-CN"/>
              </w:rPr>
              <w:t>四</w:t>
            </w:r>
            <w:r>
              <w:rPr>
                <w:rFonts w:hint="eastAsia" w:ascii="Times New Roman" w:hAnsi="Times New Roman" w:eastAsia="宋体" w:cs="Times New Roman"/>
                <w:color w:val="auto"/>
                <w:kern w:val="0"/>
                <w:sz w:val="24"/>
                <w:szCs w:val="24"/>
                <w:highlight w:val="none"/>
                <w:lang w:val="en-US" w:eastAsia="zh-CN"/>
              </w:rPr>
              <w:t>年更换一次，每次更换16组，空气过滤器更换的废旧滤筒约</w:t>
            </w:r>
            <w:r>
              <w:rPr>
                <w:rFonts w:hint="eastAsia" w:cs="Times New Roman"/>
                <w:color w:val="auto"/>
                <w:kern w:val="0"/>
                <w:sz w:val="24"/>
                <w:szCs w:val="24"/>
                <w:highlight w:val="none"/>
                <w:lang w:val="en-US" w:eastAsia="zh-CN"/>
              </w:rPr>
              <w:t>1.25</w:t>
            </w:r>
            <w:r>
              <w:rPr>
                <w:rFonts w:hint="eastAsia" w:ascii="Times New Roman" w:hAnsi="Times New Roman" w:eastAsia="宋体" w:cs="Times New Roman"/>
                <w:color w:val="auto"/>
                <w:kern w:val="0"/>
                <w:sz w:val="24"/>
                <w:szCs w:val="24"/>
                <w:highlight w:val="none"/>
                <w:lang w:val="en-US" w:eastAsia="zh-CN"/>
              </w:rPr>
              <w:t>t/次，更换前提前联系废旧物资回收公司进行回收处置，厂内不暂存。</w:t>
            </w:r>
          </w:p>
          <w:p w14:paraId="7E07727C">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②</w:t>
            </w:r>
            <w:r>
              <w:rPr>
                <w:rFonts w:hint="eastAsia" w:ascii="Times New Roman" w:hAnsi="Times New Roman" w:eastAsia="宋体" w:cs="Times New Roman"/>
                <w:color w:val="auto"/>
                <w:kern w:val="0"/>
                <w:sz w:val="24"/>
                <w:szCs w:val="24"/>
                <w:highlight w:val="none"/>
                <w:lang w:val="en-US" w:eastAsia="zh-CN"/>
              </w:rPr>
              <w:t>废吸附剂和废珠光砂</w:t>
            </w:r>
          </w:p>
          <w:p w14:paraId="40F19D4E">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highlight w:val="none"/>
                <w:lang w:val="en-US" w:eastAsia="zh-CN"/>
              </w:rPr>
              <w:t>分子筛纯化系统使用的吸附剂包括球形分子筛</w:t>
            </w:r>
            <w:r>
              <w:rPr>
                <w:rFonts w:hint="eastAsia" w:cs="Times New Roman"/>
                <w:color w:val="auto"/>
                <w:kern w:val="0"/>
                <w:sz w:val="24"/>
                <w:szCs w:val="24"/>
                <w:highlight w:val="none"/>
                <w:lang w:val="en-US" w:eastAsia="zh-CN"/>
              </w:rPr>
              <w:t>和</w:t>
            </w:r>
            <w:r>
              <w:rPr>
                <w:rFonts w:hint="eastAsia" w:ascii="Times New Roman" w:hAnsi="Times New Roman" w:eastAsia="宋体" w:cs="Times New Roman"/>
                <w:color w:val="auto"/>
                <w:kern w:val="0"/>
                <w:sz w:val="24"/>
                <w:szCs w:val="24"/>
                <w:highlight w:val="none"/>
                <w:lang w:val="en-US" w:eastAsia="zh-CN"/>
              </w:rPr>
              <w:t>氧化铝。吸附剂</w:t>
            </w:r>
            <w:r>
              <w:rPr>
                <w:rFonts w:hint="eastAsia" w:cs="Times New Roman"/>
                <w:color w:val="auto"/>
                <w:kern w:val="0"/>
                <w:sz w:val="24"/>
                <w:szCs w:val="24"/>
                <w:highlight w:val="none"/>
                <w:lang w:val="en-US" w:eastAsia="zh-CN"/>
              </w:rPr>
              <w:t>包括</w:t>
            </w:r>
            <w:r>
              <w:rPr>
                <w:rFonts w:hint="eastAsia" w:ascii="Times New Roman" w:hAnsi="Times New Roman" w:eastAsia="宋体" w:cs="Times New Roman"/>
                <w:color w:val="auto"/>
                <w:kern w:val="0"/>
                <w:sz w:val="24"/>
                <w:szCs w:val="24"/>
                <w:highlight w:val="none"/>
                <w:lang w:val="en-US" w:eastAsia="zh-CN"/>
              </w:rPr>
              <w:t>新型分子筛和活性氧化铝，其中分子筛是结晶态的硅酸盐或硅铝酸盐，</w:t>
            </w:r>
            <w:r>
              <w:rPr>
                <w:rFonts w:hint="eastAsia" w:cs="Times New Roman"/>
                <w:color w:val="auto"/>
                <w:kern w:val="0"/>
                <w:sz w:val="24"/>
                <w:szCs w:val="24"/>
                <w:highlight w:val="none"/>
                <w:lang w:val="en-US" w:eastAsia="zh-CN"/>
              </w:rPr>
              <w:t>平均</w:t>
            </w:r>
            <w:r>
              <w:rPr>
                <w:rFonts w:hint="eastAsia" w:ascii="Times New Roman" w:hAnsi="Times New Roman" w:eastAsia="宋体" w:cs="Times New Roman"/>
                <w:color w:val="auto"/>
                <w:kern w:val="0"/>
                <w:sz w:val="24"/>
                <w:szCs w:val="24"/>
                <w:highlight w:val="none"/>
                <w:lang w:val="en-US" w:eastAsia="zh-CN"/>
              </w:rPr>
              <w:t>每</w:t>
            </w:r>
            <w:r>
              <w:rPr>
                <w:rFonts w:hint="eastAsia" w:cs="Times New Roman"/>
                <w:color w:val="auto"/>
                <w:kern w:val="0"/>
                <w:sz w:val="24"/>
                <w:szCs w:val="24"/>
                <w:highlight w:val="none"/>
                <w:lang w:val="en-US" w:eastAsia="zh-CN"/>
              </w:rPr>
              <w:t>8</w:t>
            </w:r>
            <w:r>
              <w:rPr>
                <w:rFonts w:hint="eastAsia" w:ascii="Times New Roman" w:hAnsi="Times New Roman" w:eastAsia="宋体" w:cs="Times New Roman"/>
                <w:color w:val="auto"/>
                <w:kern w:val="0"/>
                <w:sz w:val="24"/>
                <w:szCs w:val="24"/>
                <w:highlight w:val="none"/>
                <w:lang w:val="en-US" w:eastAsia="zh-CN"/>
              </w:rPr>
              <w:t>年更换一次，纯化系统失活废吸附剂为一般固废，无毒、无放射性，不会对环境造成污染。</w:t>
            </w:r>
            <w:r>
              <w:rPr>
                <w:rFonts w:hint="eastAsia" w:cs="Times New Roman"/>
                <w:color w:val="auto"/>
                <w:kern w:val="0"/>
                <w:sz w:val="24"/>
                <w:szCs w:val="24"/>
                <w:highlight w:val="none"/>
                <w:lang w:val="en-US" w:eastAsia="zh-CN"/>
              </w:rPr>
              <w:t>项目冷箱内（温度约-190~-180℃）加入</w:t>
            </w:r>
            <w:r>
              <w:rPr>
                <w:rFonts w:hint="eastAsia" w:ascii="Times New Roman" w:hAnsi="Times New Roman" w:eastAsia="宋体" w:cs="Times New Roman"/>
                <w:color w:val="auto"/>
                <w:kern w:val="0"/>
                <w:sz w:val="24"/>
                <w:szCs w:val="24"/>
                <w:highlight w:val="none"/>
                <w:lang w:val="en-US" w:eastAsia="zh-CN"/>
              </w:rPr>
              <w:t>珠光砂</w:t>
            </w:r>
            <w:r>
              <w:rPr>
                <w:rFonts w:hint="eastAsia" w:cs="Times New Roman"/>
                <w:color w:val="auto"/>
                <w:kern w:val="0"/>
                <w:sz w:val="24"/>
                <w:szCs w:val="24"/>
                <w:highlight w:val="none"/>
                <w:lang w:val="en-US" w:eastAsia="zh-CN"/>
              </w:rPr>
              <w:t>用于保冷，珠光砂受潮失活后结块，保冷效果变差后须及时更换。</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珠光砂主要成分为SiO</w:t>
            </w:r>
            <w:r>
              <w:rPr>
                <w:rFonts w:hint="eastAsia"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和Al</w:t>
            </w:r>
            <w:r>
              <w:rPr>
                <w:rFonts w:hint="eastAsia"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O</w:t>
            </w:r>
            <w:r>
              <w:rPr>
                <w:rFonts w:hint="eastAsia" w:ascii="Times New Roman" w:hAnsi="Times New Roman" w:eastAsia="宋体" w:cs="Times New Roman"/>
                <w:color w:val="000000" w:themeColor="text1"/>
                <w:kern w:val="0"/>
                <w:sz w:val="24"/>
                <w:szCs w:val="24"/>
                <w:highlight w:val="none"/>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等无机盐，</w:t>
            </w:r>
            <w:r>
              <w:rPr>
                <w:rFonts w:hint="eastAsia" w:cs="Times New Roman"/>
                <w:color w:val="auto"/>
                <w:kern w:val="0"/>
                <w:sz w:val="24"/>
                <w:szCs w:val="24"/>
                <w:highlight w:val="none"/>
                <w:lang w:val="en-US" w:eastAsia="zh-CN"/>
              </w:rPr>
              <w:t>平均</w:t>
            </w:r>
            <w:r>
              <w:rPr>
                <w:rFonts w:hint="eastAsia" w:ascii="Times New Roman" w:hAnsi="Times New Roman" w:eastAsia="宋体" w:cs="Times New Roman"/>
                <w:color w:val="auto"/>
                <w:kern w:val="0"/>
                <w:sz w:val="24"/>
                <w:szCs w:val="24"/>
                <w:highlight w:val="none"/>
                <w:lang w:val="en-US" w:eastAsia="zh-CN"/>
              </w:rPr>
              <w:t>每</w:t>
            </w:r>
            <w:r>
              <w:rPr>
                <w:rFonts w:hint="eastAsia" w:cs="Times New Roman"/>
                <w:color w:val="auto"/>
                <w:kern w:val="0"/>
                <w:sz w:val="24"/>
                <w:szCs w:val="24"/>
                <w:highlight w:val="none"/>
                <w:lang w:val="en-US" w:eastAsia="zh-CN"/>
              </w:rPr>
              <w:t>8</w:t>
            </w:r>
            <w:r>
              <w:rPr>
                <w:rFonts w:hint="eastAsia" w:ascii="Times New Roman" w:hAnsi="Times New Roman" w:eastAsia="宋体" w:cs="Times New Roman"/>
                <w:color w:val="auto"/>
                <w:kern w:val="0"/>
                <w:sz w:val="24"/>
                <w:szCs w:val="24"/>
                <w:highlight w:val="none"/>
                <w:lang w:val="en-US" w:eastAsia="zh-CN"/>
              </w:rPr>
              <w:t>年更换一次，失活废珠光砂属于一般固废</w:t>
            </w:r>
            <w:r>
              <w:rPr>
                <w:rFonts w:hint="eastAsia"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纯化系统失活会产生废吸附剂</w:t>
            </w:r>
            <w:r>
              <w:rPr>
                <w:rFonts w:hint="eastAsia" w:cs="Times New Roman"/>
                <w:color w:val="000000" w:themeColor="text1"/>
                <w:kern w:val="0"/>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auto"/>
                <w:kern w:val="0"/>
                <w:sz w:val="24"/>
                <w:szCs w:val="24"/>
                <w:highlight w:val="none"/>
                <w:lang w:val="en-US" w:eastAsia="zh-CN"/>
              </w:rPr>
              <w:t>每次更换下来的分子筛和氧化铝约为</w:t>
            </w:r>
            <w:r>
              <w:rPr>
                <w:rFonts w:hint="eastAsia" w:cs="Times New Roman"/>
                <w:color w:val="auto"/>
                <w:kern w:val="0"/>
                <w:sz w:val="24"/>
                <w:szCs w:val="24"/>
                <w:highlight w:val="none"/>
                <w:lang w:val="en-US" w:eastAsia="zh-CN"/>
              </w:rPr>
              <w:t>14.7</w:t>
            </w:r>
            <w:r>
              <w:rPr>
                <w:rFonts w:hint="eastAsia" w:ascii="Times New Roman" w:hAnsi="Times New Roman" w:eastAsia="宋体" w:cs="Times New Roman"/>
                <w:color w:val="auto"/>
                <w:kern w:val="0"/>
                <w:sz w:val="24"/>
                <w:szCs w:val="24"/>
                <w:highlight w:val="none"/>
                <w:lang w:val="en-US" w:eastAsia="zh-CN"/>
              </w:rPr>
              <w:t>t/次，</w:t>
            </w:r>
            <w:r>
              <w:rPr>
                <w:rFonts w:hint="eastAsia" w:ascii="Times New Roman" w:hAnsi="Times New Roman" w:eastAsia="宋体" w:cs="Times New Roman"/>
                <w:color w:val="auto"/>
                <w:kern w:val="0"/>
                <w:sz w:val="24"/>
                <w:szCs w:val="24"/>
                <w:lang w:val="en-US" w:eastAsia="zh-CN"/>
              </w:rPr>
              <w:t>废珠光砂约10t/次，均属无毒、无害固体，每次更换前提前联系</w:t>
            </w:r>
            <w:r>
              <w:rPr>
                <w:rFonts w:hint="eastAsia" w:cs="Times New Roman"/>
                <w:color w:val="auto"/>
                <w:kern w:val="0"/>
                <w:sz w:val="24"/>
                <w:szCs w:val="24"/>
                <w:lang w:val="en-US" w:eastAsia="zh-CN"/>
              </w:rPr>
              <w:t>厂家上门更换并回收处理，</w:t>
            </w:r>
            <w:r>
              <w:rPr>
                <w:rFonts w:hint="eastAsia" w:ascii="Times New Roman" w:hAnsi="Times New Roman" w:eastAsia="宋体" w:cs="Times New Roman"/>
                <w:color w:val="auto"/>
                <w:kern w:val="0"/>
                <w:sz w:val="24"/>
                <w:szCs w:val="24"/>
                <w:lang w:val="en-US" w:eastAsia="zh-CN"/>
              </w:rPr>
              <w:t>不在厂区内暂存。</w:t>
            </w:r>
          </w:p>
          <w:p w14:paraId="04AD36C0">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③</w:t>
            </w:r>
            <w:r>
              <w:rPr>
                <w:rFonts w:hint="eastAsia" w:ascii="Times New Roman" w:hAnsi="Times New Roman" w:eastAsia="宋体" w:cs="Times New Roman"/>
                <w:color w:val="auto"/>
                <w:kern w:val="0"/>
                <w:sz w:val="24"/>
                <w:szCs w:val="24"/>
                <w:highlight w:val="none"/>
                <w:lang w:val="en-US" w:eastAsia="zh-CN"/>
              </w:rPr>
              <w:t>废</w:t>
            </w:r>
            <w:r>
              <w:rPr>
                <w:rFonts w:hint="eastAsia" w:cs="Times New Roman"/>
                <w:color w:val="auto"/>
                <w:kern w:val="0"/>
                <w:sz w:val="24"/>
                <w:szCs w:val="24"/>
                <w:highlight w:val="none"/>
                <w:lang w:val="en-US" w:eastAsia="zh-CN"/>
              </w:rPr>
              <w:t>钢</w:t>
            </w:r>
            <w:r>
              <w:rPr>
                <w:rFonts w:hint="eastAsia" w:ascii="Times New Roman" w:hAnsi="Times New Roman" w:eastAsia="宋体" w:cs="Times New Roman"/>
                <w:color w:val="auto"/>
                <w:kern w:val="0"/>
                <w:sz w:val="24"/>
                <w:szCs w:val="24"/>
                <w:highlight w:val="none"/>
                <w:lang w:val="en-US" w:eastAsia="zh-CN"/>
              </w:rPr>
              <w:t>瓶</w:t>
            </w:r>
          </w:p>
          <w:p w14:paraId="3D44B8DF">
            <w:pPr>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本项目在充装、运输中或搬运</w:t>
            </w:r>
            <w:r>
              <w:rPr>
                <w:rFonts w:hint="eastAsia" w:cs="Times New Roman"/>
                <w:color w:val="auto"/>
                <w:kern w:val="0"/>
                <w:sz w:val="24"/>
                <w:szCs w:val="24"/>
                <w:lang w:val="en-US" w:eastAsia="zh-CN"/>
              </w:rPr>
              <w:t>过程中</w:t>
            </w:r>
            <w:r>
              <w:rPr>
                <w:rFonts w:hint="eastAsia" w:ascii="Times New Roman" w:hAnsi="Times New Roman" w:eastAsia="宋体" w:cs="Times New Roman"/>
                <w:color w:val="auto"/>
                <w:kern w:val="0"/>
                <w:sz w:val="24"/>
                <w:szCs w:val="24"/>
                <w:lang w:val="en-US" w:eastAsia="zh-CN"/>
              </w:rPr>
              <w:t>可能产生钢瓶损坏</w:t>
            </w:r>
            <w:r>
              <w:rPr>
                <w:rFonts w:hint="eastAsia" w:cs="Times New Roman"/>
                <w:color w:val="auto"/>
                <w:kern w:val="0"/>
                <w:sz w:val="24"/>
                <w:szCs w:val="24"/>
                <w:lang w:val="en-US" w:eastAsia="zh-CN"/>
              </w:rPr>
              <w:t>及</w:t>
            </w:r>
            <w:r>
              <w:rPr>
                <w:rFonts w:hint="eastAsia" w:ascii="Times New Roman" w:hAnsi="Times New Roman" w:eastAsia="宋体" w:cs="Times New Roman"/>
                <w:bCs/>
                <w:color w:val="auto"/>
                <w:sz w:val="24"/>
                <w:lang w:val="en-US" w:eastAsia="zh-CN"/>
              </w:rPr>
              <w:t>强制报废</w:t>
            </w:r>
            <w:r>
              <w:rPr>
                <w:rFonts w:hint="eastAsia"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项目用气瓶在厂内进行外观和使用年限检查，检查出来的外观有问题及到达使用年限的废钢瓶</w:t>
            </w:r>
            <w:r>
              <w:rPr>
                <w:rFonts w:hint="eastAsia" w:ascii="Times New Roman" w:hAnsi="Times New Roman" w:eastAsia="宋体" w:cs="Times New Roman"/>
                <w:color w:val="auto"/>
                <w:kern w:val="0"/>
                <w:sz w:val="24"/>
                <w:szCs w:val="24"/>
                <w:lang w:val="en-US" w:eastAsia="zh-CN"/>
              </w:rPr>
              <w:t>暂存于一般工业固废暂存间内</w:t>
            </w:r>
            <w:r>
              <w:rPr>
                <w:rFonts w:hint="eastAsia" w:cs="Times New Roman"/>
                <w:color w:val="auto"/>
                <w:kern w:val="0"/>
                <w:sz w:val="24"/>
                <w:szCs w:val="24"/>
                <w:lang w:val="en-US" w:eastAsia="zh-CN"/>
              </w:rPr>
              <w:t>，定期送至当地有资质的钢瓶检验站进行检验、</w:t>
            </w:r>
            <w:r>
              <w:rPr>
                <w:rFonts w:hint="eastAsia" w:ascii="Times New Roman" w:hAnsi="Times New Roman" w:eastAsia="宋体" w:cs="Times New Roman"/>
                <w:color w:val="auto"/>
                <w:kern w:val="0"/>
                <w:sz w:val="24"/>
                <w:szCs w:val="24"/>
                <w:lang w:val="en-US" w:eastAsia="zh-CN"/>
              </w:rPr>
              <w:t>报废</w:t>
            </w:r>
            <w:r>
              <w:rPr>
                <w:rFonts w:hint="eastAsia" w:cs="Times New Roman"/>
                <w:color w:val="auto"/>
                <w:kern w:val="0"/>
                <w:sz w:val="24"/>
                <w:szCs w:val="24"/>
                <w:lang w:val="en-US" w:eastAsia="zh-CN"/>
              </w:rPr>
              <w:t>。</w:t>
            </w:r>
            <w:r>
              <w:rPr>
                <w:rFonts w:hint="eastAsia" w:ascii="Times New Roman" w:hAnsi="Times New Roman" w:eastAsia="宋体" w:cs="Times New Roman"/>
                <w:bCs/>
                <w:color w:val="auto"/>
                <w:sz w:val="24"/>
                <w:lang w:val="en-US" w:eastAsia="zh-CN"/>
              </w:rPr>
              <w:t>类比同类型项目及与建设</w:t>
            </w:r>
            <w:r>
              <w:rPr>
                <w:rFonts w:hint="eastAsia" w:cs="Times New Roman"/>
                <w:bCs/>
                <w:color w:val="auto"/>
                <w:sz w:val="24"/>
                <w:lang w:val="en-US" w:eastAsia="zh-CN"/>
              </w:rPr>
              <w:t>单位</w:t>
            </w:r>
            <w:r>
              <w:rPr>
                <w:rFonts w:hint="eastAsia" w:ascii="Times New Roman" w:hAnsi="Times New Roman" w:eastAsia="宋体" w:cs="Times New Roman"/>
                <w:bCs/>
                <w:color w:val="auto"/>
                <w:sz w:val="24"/>
                <w:lang w:val="en-US" w:eastAsia="zh-CN"/>
              </w:rPr>
              <w:t>核实，报废钢瓶约</w:t>
            </w:r>
            <w:r>
              <w:rPr>
                <w:rFonts w:hint="eastAsia" w:cs="Times New Roman"/>
                <w:bCs/>
                <w:color w:val="auto"/>
                <w:sz w:val="24"/>
                <w:lang w:val="en-US" w:eastAsia="zh-CN"/>
              </w:rPr>
              <w:t>4</w:t>
            </w:r>
            <w:r>
              <w:rPr>
                <w:rFonts w:hint="eastAsia" w:ascii="Times New Roman" w:hAnsi="Times New Roman" w:eastAsia="宋体" w:cs="Times New Roman"/>
                <w:bCs/>
                <w:color w:val="auto"/>
                <w:sz w:val="24"/>
                <w:lang w:val="en-US" w:eastAsia="zh-CN"/>
              </w:rPr>
              <w:t>个/年，计重约</w:t>
            </w:r>
            <w:r>
              <w:rPr>
                <w:rFonts w:hint="eastAsia" w:cs="Times New Roman"/>
                <w:bCs/>
                <w:color w:val="auto"/>
                <w:sz w:val="24"/>
                <w:lang w:val="en-US" w:eastAsia="zh-CN"/>
              </w:rPr>
              <w:t>0.0</w:t>
            </w:r>
            <w:r>
              <w:rPr>
                <w:rFonts w:hint="eastAsia" w:ascii="Times New Roman" w:hAnsi="Times New Roman" w:eastAsia="宋体" w:cs="Times New Roman"/>
                <w:bCs/>
                <w:color w:val="auto"/>
                <w:sz w:val="24"/>
                <w:lang w:val="en-US" w:eastAsia="zh-CN"/>
              </w:rPr>
              <w:t>4t</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a</w:t>
            </w:r>
            <w:r>
              <w:rPr>
                <w:rFonts w:hint="eastAsia" w:cs="Times New Roman"/>
                <w:color w:val="auto"/>
                <w:kern w:val="0"/>
                <w:sz w:val="24"/>
                <w:szCs w:val="24"/>
                <w:lang w:val="en-US" w:eastAsia="zh-CN"/>
              </w:rPr>
              <w:t>，废钢瓶</w:t>
            </w:r>
            <w:r>
              <w:rPr>
                <w:rFonts w:hint="eastAsia" w:ascii="Times New Roman" w:hAnsi="Times New Roman" w:eastAsia="宋体" w:cs="Times New Roman"/>
                <w:color w:val="auto"/>
                <w:kern w:val="0"/>
                <w:sz w:val="24"/>
                <w:szCs w:val="24"/>
                <w:lang w:val="en-US" w:eastAsia="zh-CN"/>
              </w:rPr>
              <w:t>不在本厂区维护或报废。</w:t>
            </w:r>
          </w:p>
          <w:p w14:paraId="4DF4BB82">
            <w:pPr>
              <w:spacing w:line="360" w:lineRule="auto"/>
              <w:ind w:firstLine="482" w:firstLineChars="200"/>
              <w:rPr>
                <w:rFonts w:hint="eastAsia"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w:t>
            </w:r>
            <w:r>
              <w:rPr>
                <w:rFonts w:hint="eastAsia" w:ascii="Times New Roman" w:hAnsi="Times New Roman" w:eastAsia="宋体" w:cs="Times New Roman"/>
                <w:b/>
                <w:bCs/>
                <w:color w:val="auto"/>
                <w:kern w:val="0"/>
                <w:sz w:val="24"/>
                <w:szCs w:val="24"/>
                <w:lang w:val="en-US" w:eastAsia="zh-CN"/>
              </w:rPr>
              <w:t>2）危险废物</w:t>
            </w:r>
          </w:p>
          <w:p w14:paraId="65D312AE">
            <w:pPr>
              <w:spacing w:line="360" w:lineRule="auto"/>
              <w:ind w:firstLine="480" w:firstLineChars="200"/>
              <w:rPr>
                <w:rFonts w:hint="eastAsia" w:ascii="Times New Roman" w:hAnsi="Times New Roman" w:eastAsia="宋体" w:cs="Times New Roman"/>
                <w:color w:val="FF0000"/>
                <w:kern w:val="0"/>
                <w:sz w:val="24"/>
                <w:szCs w:val="24"/>
                <w:lang w:val="en-US" w:eastAsia="zh-CN"/>
              </w:rPr>
            </w:pPr>
            <w:r>
              <w:rPr>
                <w:rFonts w:hint="eastAsia" w:ascii="Times New Roman" w:hAnsi="Times New Roman" w:eastAsia="宋体" w:cs="Times New Roman"/>
                <w:color w:val="auto"/>
                <w:kern w:val="0"/>
                <w:sz w:val="24"/>
                <w:szCs w:val="24"/>
                <w:lang w:val="en-US" w:eastAsia="zh-CN"/>
              </w:rPr>
              <w:t>①液化石油气残液：液化气罐在用户使用完毕后，会有部分不能气化的液体，主要是C5及以上的组分及部分沥青渣（主要成分为油分、胶质、沥青质），这部分液体就是液化气残液。C5及以上的组分沸点较高，在常温下，不易气化，易留在钢瓶里。</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钢瓶中的残液通过倒残装置，将残液转移至残液罐暂存，定期将残液罐中的残液，通过卸车作业的反过程，转移至汽车槽罐内运送至液化石油气供应单位进行回收处理。对照《国家危险废物名录（2021年版）》，</w:t>
            </w:r>
            <w:r>
              <w:rPr>
                <w:rFonts w:hint="eastAsia" w:ascii="Times New Roman" w:hAnsi="Times New Roman" w:eastAsia="宋体" w:cs="Times New Roman"/>
                <w:bCs/>
                <w:color w:val="000000" w:themeColor="text1"/>
                <w:sz w:val="24"/>
                <w14:textFill>
                  <w14:solidFill>
                    <w14:schemeClr w14:val="tx1"/>
                  </w14:solidFill>
                </w14:textFill>
              </w:rPr>
              <w:t>废物类别</w:t>
            </w:r>
            <w:r>
              <w:rPr>
                <w:rFonts w:hint="eastAsia" w:cs="Times New Roman"/>
                <w:bCs/>
                <w:color w:val="000000" w:themeColor="text1"/>
                <w:sz w:val="24"/>
                <w:lang w:val="en-US" w:eastAsia="zh-CN"/>
                <w14:textFill>
                  <w14:solidFill>
                    <w14:schemeClr w14:val="tx1"/>
                  </w14:solidFill>
                </w14:textFill>
              </w:rPr>
              <w:t>为</w:t>
            </w:r>
            <w:r>
              <w:rPr>
                <w:rFonts w:hint="eastAsia" w:ascii="Times New Roman" w:hAnsi="Times New Roman" w:eastAsia="宋体" w:cs="Times New Roman"/>
                <w:bCs/>
                <w:color w:val="000000" w:themeColor="text1"/>
                <w:sz w:val="24"/>
                <w14:textFill>
                  <w14:solidFill>
                    <w14:schemeClr w14:val="tx1"/>
                  </w14:solidFill>
                </w14:textFill>
              </w:rPr>
              <w:t>HW0</w:t>
            </w:r>
            <w:r>
              <w:rPr>
                <w:rFonts w:hint="eastAsia" w:ascii="Times New Roman" w:hAnsi="Times New Roman" w:eastAsia="宋体" w:cs="Times New Roman"/>
                <w:bCs/>
                <w:color w:val="000000" w:themeColor="text1"/>
                <w:sz w:val="24"/>
                <w:lang w:val="en-US" w:eastAsia="zh-CN"/>
                <w14:textFill>
                  <w14:solidFill>
                    <w14:schemeClr w14:val="tx1"/>
                  </w14:solidFill>
                </w14:textFill>
              </w:rPr>
              <w:t>9</w:t>
            </w:r>
            <w:r>
              <w:rPr>
                <w:rFonts w:hint="eastAsia" w:ascii="Times New Roman" w:hAnsi="Times New Roman" w:eastAsia="宋体" w:cs="Times New Roman"/>
                <w:bCs/>
                <w:color w:val="000000" w:themeColor="text1"/>
                <w:sz w:val="24"/>
                <w14:textFill>
                  <w14:solidFill>
                    <w14:schemeClr w14:val="tx1"/>
                  </w14:solidFill>
                </w14:textFill>
              </w:rPr>
              <w:t>，</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危废代码为900-007-09，将其暂存在残</w:t>
            </w:r>
            <w:r>
              <w:rPr>
                <w:rFonts w:hint="eastAsia" w:cs="Times New Roman"/>
                <w:color w:val="000000" w:themeColor="text1"/>
                <w:kern w:val="0"/>
                <w:sz w:val="24"/>
                <w:szCs w:val="24"/>
                <w:lang w:val="en-US" w:eastAsia="zh-CN"/>
                <w14:textFill>
                  <w14:solidFill>
                    <w14:schemeClr w14:val="tx1"/>
                  </w14:solidFill>
                </w14:textFill>
              </w:rPr>
              <w:t>液储罐内</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，定期委托液化石油气供应单位进行回收处理。</w:t>
            </w:r>
          </w:p>
          <w:p w14:paraId="07613332">
            <w:pPr>
              <w:adjustRightInd w:val="0"/>
              <w:snapToGrid w:val="0"/>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②</w:t>
            </w:r>
            <w:r>
              <w:rPr>
                <w:rFonts w:hint="eastAsia" w:ascii="Times New Roman" w:hAnsi="Times New Roman" w:eastAsia="宋体" w:cs="Times New Roman"/>
                <w:bCs/>
                <w:color w:val="auto"/>
                <w:sz w:val="24"/>
                <w:highlight w:val="none"/>
                <w:lang w:val="en-US" w:eastAsia="zh-CN"/>
              </w:rPr>
              <w:t>报废</w:t>
            </w:r>
            <w:r>
              <w:rPr>
                <w:rFonts w:hint="eastAsia" w:cs="Times New Roman"/>
                <w:bCs/>
                <w:color w:val="auto"/>
                <w:sz w:val="24"/>
                <w:highlight w:val="none"/>
                <w:lang w:val="en-US" w:eastAsia="zh-CN"/>
              </w:rPr>
              <w:t>乙炔及液化石油气</w:t>
            </w:r>
            <w:r>
              <w:rPr>
                <w:rFonts w:hint="eastAsia" w:ascii="Times New Roman" w:hAnsi="Times New Roman" w:eastAsia="宋体" w:cs="Times New Roman"/>
                <w:bCs/>
                <w:color w:val="auto"/>
                <w:sz w:val="24"/>
                <w:highlight w:val="none"/>
                <w:lang w:val="en-US" w:eastAsia="zh-CN"/>
              </w:rPr>
              <w:t>钢瓶</w:t>
            </w:r>
            <w:r>
              <w:rPr>
                <w:rFonts w:hint="eastAsia" w:cs="Times New Roman"/>
                <w:bCs/>
                <w:color w:val="auto"/>
                <w:sz w:val="24"/>
                <w:highlight w:val="none"/>
                <w:lang w:val="en-US" w:eastAsia="zh-CN"/>
              </w:rPr>
              <w:t>：</w:t>
            </w:r>
            <w:r>
              <w:rPr>
                <w:rFonts w:hint="eastAsia" w:ascii="Times New Roman" w:hAnsi="Times New Roman" w:eastAsia="宋体" w:cs="Times New Roman"/>
                <w:bCs/>
                <w:color w:val="auto"/>
                <w:sz w:val="24"/>
                <w:lang w:val="en-US" w:eastAsia="zh-CN"/>
              </w:rPr>
              <w:t>所购</w:t>
            </w:r>
            <w:r>
              <w:rPr>
                <w:rFonts w:hint="eastAsia" w:cs="Times New Roman"/>
                <w:bCs/>
                <w:color w:val="auto"/>
                <w:sz w:val="24"/>
                <w:lang w:val="en-US" w:eastAsia="zh-CN"/>
              </w:rPr>
              <w:t>乙炔及液化石油气</w:t>
            </w:r>
            <w:r>
              <w:rPr>
                <w:rFonts w:hint="eastAsia" w:ascii="Times New Roman" w:hAnsi="Times New Roman" w:eastAsia="宋体" w:cs="Times New Roman"/>
                <w:bCs/>
                <w:color w:val="auto"/>
                <w:sz w:val="24"/>
                <w:lang w:val="en-US" w:eastAsia="zh-CN"/>
              </w:rPr>
              <w:t>新瓶在入库前验收核对时，发现有缺陷的不合格瓶作退回钢瓶厂处理，不得继续使用，并要求钢瓶生产厂家进行相应规格数量的更换</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然后把从用户收回的钢瓶进行检查，检查钢瓶的安全性</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漆色、字体、有无合格证、气阀、钢印、瓶体特征等，不合格的钢瓶需返回钢瓶厂维修后再次进行充装。按照国家标准《液化石油气钢瓶》</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GB5842-2006</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规定制造的钢瓶，从出厂之日起设计使用年限为8年，8年后予以强制报废。类比同类型项目及与建设</w:t>
            </w:r>
            <w:r>
              <w:rPr>
                <w:rFonts w:hint="eastAsia" w:cs="Times New Roman"/>
                <w:bCs/>
                <w:color w:val="auto"/>
                <w:sz w:val="24"/>
                <w:lang w:val="en-US" w:eastAsia="zh-CN"/>
              </w:rPr>
              <w:t>单位</w:t>
            </w:r>
            <w:r>
              <w:rPr>
                <w:rFonts w:hint="eastAsia" w:ascii="Times New Roman" w:hAnsi="Times New Roman" w:eastAsia="宋体" w:cs="Times New Roman"/>
                <w:bCs/>
                <w:color w:val="auto"/>
                <w:sz w:val="24"/>
                <w:lang w:val="en-US" w:eastAsia="zh-CN"/>
              </w:rPr>
              <w:t>核实，报废乙炔及液化石油气钢瓶约</w:t>
            </w:r>
            <w:r>
              <w:rPr>
                <w:rFonts w:hint="eastAsia" w:cs="Times New Roman"/>
                <w:bCs/>
                <w:color w:val="auto"/>
                <w:sz w:val="24"/>
                <w:lang w:val="en-US" w:eastAsia="zh-CN"/>
              </w:rPr>
              <w:t>2</w:t>
            </w:r>
            <w:r>
              <w:rPr>
                <w:rFonts w:hint="eastAsia" w:ascii="Times New Roman" w:hAnsi="Times New Roman" w:eastAsia="宋体" w:cs="Times New Roman"/>
                <w:bCs/>
                <w:color w:val="auto"/>
                <w:sz w:val="24"/>
                <w:lang w:val="en-US" w:eastAsia="zh-CN"/>
              </w:rPr>
              <w:t>个/年，计重约</w:t>
            </w:r>
            <w:r>
              <w:rPr>
                <w:rFonts w:hint="eastAsia" w:cs="Times New Roman"/>
                <w:bCs/>
                <w:color w:val="auto"/>
                <w:sz w:val="24"/>
                <w:lang w:val="en-US" w:eastAsia="zh-CN"/>
              </w:rPr>
              <w:t>0.0</w:t>
            </w:r>
            <w:r>
              <w:rPr>
                <w:rFonts w:hint="eastAsia" w:ascii="Times New Roman" w:hAnsi="Times New Roman" w:eastAsia="宋体" w:cs="Times New Roman"/>
                <w:bCs/>
                <w:color w:val="auto"/>
                <w:sz w:val="24"/>
                <w:lang w:val="en-US" w:eastAsia="zh-CN"/>
              </w:rPr>
              <w:t>2t</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a，报废</w:t>
            </w:r>
            <w:r>
              <w:rPr>
                <w:rFonts w:hint="eastAsia" w:cs="Times New Roman"/>
                <w:bCs/>
                <w:color w:val="auto"/>
                <w:sz w:val="24"/>
                <w:lang w:val="en-US" w:eastAsia="zh-CN"/>
              </w:rPr>
              <w:t>乙炔及液化石油气</w:t>
            </w:r>
            <w:r>
              <w:rPr>
                <w:rFonts w:hint="eastAsia" w:ascii="Times New Roman" w:hAnsi="Times New Roman" w:eastAsia="宋体" w:cs="Times New Roman"/>
                <w:bCs/>
                <w:color w:val="auto"/>
                <w:sz w:val="24"/>
                <w:lang w:val="en-US" w:eastAsia="zh-CN"/>
              </w:rPr>
              <w:t>钢瓶</w:t>
            </w:r>
            <w:r>
              <w:rPr>
                <w:rFonts w:hint="eastAsia" w:ascii="Times New Roman" w:hAnsi="Times New Roman" w:eastAsia="宋体" w:cs="Times New Roman"/>
                <w:bCs/>
                <w:color w:val="auto"/>
                <w:sz w:val="24"/>
                <w:szCs w:val="24"/>
                <w:lang w:val="en-US" w:eastAsia="zh-CN"/>
              </w:rPr>
              <w:t>属于危险废物（HW49其他废物</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废物代码</w:t>
            </w:r>
            <w:r>
              <w:rPr>
                <w:rFonts w:hint="eastAsia" w:ascii="Times New Roman" w:hAnsi="Times New Roman" w:eastAsia="宋体" w:cs="Times New Roman"/>
                <w:bCs/>
                <w:color w:val="auto"/>
                <w:sz w:val="24"/>
                <w:szCs w:val="24"/>
              </w:rPr>
              <w:t>900-041-49</w:t>
            </w:r>
            <w:r>
              <w:rPr>
                <w:rFonts w:hint="eastAsia"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lang w:val="en-US" w:eastAsia="zh-CN"/>
              </w:rPr>
              <w:t>报废乙炔及液化石油气钢瓶</w:t>
            </w:r>
            <w:r>
              <w:rPr>
                <w:rFonts w:hint="eastAsia" w:ascii="Times New Roman" w:hAnsi="Times New Roman" w:eastAsia="宋体" w:cs="Times New Roman"/>
                <w:color w:val="auto"/>
                <w:kern w:val="0"/>
                <w:sz w:val="24"/>
                <w:szCs w:val="24"/>
                <w:lang w:val="en-US" w:eastAsia="zh-CN"/>
              </w:rPr>
              <w:t>暂存于</w:t>
            </w:r>
            <w:r>
              <w:rPr>
                <w:rFonts w:hint="eastAsia" w:cs="Times New Roman"/>
                <w:color w:val="auto"/>
                <w:kern w:val="0"/>
                <w:sz w:val="24"/>
                <w:szCs w:val="24"/>
                <w:lang w:val="en-US" w:eastAsia="zh-CN"/>
              </w:rPr>
              <w:t>危废贮存库，定期送至当地有资质的钢瓶检验站进行检验、</w:t>
            </w:r>
            <w:r>
              <w:rPr>
                <w:rFonts w:hint="eastAsia" w:ascii="Times New Roman" w:hAnsi="Times New Roman" w:eastAsia="宋体" w:cs="Times New Roman"/>
                <w:color w:val="auto"/>
                <w:kern w:val="0"/>
                <w:sz w:val="24"/>
                <w:szCs w:val="24"/>
                <w:lang w:val="en-US" w:eastAsia="zh-CN"/>
              </w:rPr>
              <w:t>报废</w:t>
            </w:r>
            <w:r>
              <w:rPr>
                <w:rFonts w:hint="eastAsia" w:cs="Times New Roman"/>
                <w:color w:val="auto"/>
                <w:kern w:val="0"/>
                <w:sz w:val="24"/>
                <w:szCs w:val="24"/>
                <w:lang w:val="en-US" w:eastAsia="zh-CN"/>
              </w:rPr>
              <w:t>，废</w:t>
            </w:r>
            <w:r>
              <w:rPr>
                <w:rFonts w:hint="eastAsia" w:ascii="Times New Roman" w:hAnsi="Times New Roman" w:eastAsia="宋体" w:cs="Times New Roman"/>
                <w:bCs/>
                <w:color w:val="auto"/>
                <w:sz w:val="24"/>
                <w:lang w:val="en-US" w:eastAsia="zh-CN"/>
              </w:rPr>
              <w:t>乙炔及液化石油气钢瓶</w:t>
            </w:r>
            <w:r>
              <w:rPr>
                <w:rFonts w:hint="eastAsia" w:ascii="Times New Roman" w:hAnsi="Times New Roman" w:eastAsia="宋体" w:cs="Times New Roman"/>
                <w:color w:val="auto"/>
                <w:kern w:val="0"/>
                <w:sz w:val="24"/>
                <w:szCs w:val="24"/>
                <w:lang w:val="en-US" w:eastAsia="zh-CN"/>
              </w:rPr>
              <w:t>不在本厂区维护或报废。</w:t>
            </w:r>
          </w:p>
          <w:p w14:paraId="0DDBA59E">
            <w:pPr>
              <w:adjustRightInd w:val="0"/>
              <w:snapToGrid w:val="0"/>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color w:val="auto"/>
                <w:kern w:val="0"/>
                <w:sz w:val="24"/>
                <w:szCs w:val="24"/>
                <w:lang w:val="en-US" w:eastAsia="zh-CN"/>
              </w:rPr>
              <w:t>③</w:t>
            </w:r>
            <w:r>
              <w:rPr>
                <w:rFonts w:hint="eastAsia" w:ascii="Times New Roman" w:hAnsi="Times New Roman" w:eastAsia="宋体" w:cs="Times New Roman"/>
                <w:bCs/>
                <w:color w:val="auto"/>
                <w:sz w:val="24"/>
                <w:lang w:val="en-US" w:eastAsia="zh-CN"/>
              </w:rPr>
              <w:t>废润滑油：</w:t>
            </w:r>
            <w:r>
              <w:rPr>
                <w:rFonts w:ascii="Times New Roman" w:hAnsi="Times New Roman" w:eastAsia="宋体" w:cs="Times New Roman"/>
                <w:bCs/>
                <w:color w:val="auto"/>
                <w:sz w:val="24"/>
              </w:rPr>
              <w:t>项目设备检修及维护期间产生的</w:t>
            </w:r>
            <w:r>
              <w:rPr>
                <w:rFonts w:hint="eastAsia" w:ascii="Times New Roman" w:hAnsi="Times New Roman" w:eastAsia="宋体" w:cs="Times New Roman"/>
                <w:bCs/>
                <w:color w:val="auto"/>
                <w:sz w:val="24"/>
              </w:rPr>
              <w:t>废润滑油，</w:t>
            </w:r>
            <w:r>
              <w:rPr>
                <w:rFonts w:ascii="Times New Roman" w:hAnsi="Times New Roman" w:eastAsia="宋体" w:cs="Times New Roman"/>
                <w:bCs/>
                <w:color w:val="auto"/>
                <w:sz w:val="24"/>
              </w:rPr>
              <w:t>产生量约</w:t>
            </w:r>
            <w:r>
              <w:rPr>
                <w:rFonts w:hint="eastAsia" w:ascii="Times New Roman" w:hAnsi="Times New Roman" w:eastAsia="宋体" w:cs="Times New Roman"/>
                <w:bCs/>
                <w:color w:val="auto"/>
                <w:sz w:val="24"/>
                <w:lang w:val="en-US" w:eastAsia="zh-CN"/>
              </w:rPr>
              <w:t>1.2</w:t>
            </w:r>
            <w:r>
              <w:rPr>
                <w:rFonts w:ascii="Times New Roman" w:hAnsi="Times New Roman" w:eastAsia="宋体" w:cs="Times New Roman"/>
                <w:bCs/>
                <w:color w:val="auto"/>
                <w:sz w:val="24"/>
              </w:rPr>
              <w:t>t/a，</w:t>
            </w:r>
            <w:r>
              <w:rPr>
                <w:rFonts w:hint="eastAsia" w:ascii="Times New Roman" w:hAnsi="Times New Roman" w:eastAsia="宋体" w:cs="Times New Roman"/>
                <w:bCs/>
                <w:color w:val="auto"/>
                <w:sz w:val="24"/>
              </w:rPr>
              <w:t>属于危险废物（废物类别HW08，危废代码900-217-08）</w:t>
            </w:r>
            <w:r>
              <w:rPr>
                <w:rFonts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用带盖高密度聚氯乙烯桶或铁桶盛装，</w:t>
            </w:r>
            <w:r>
              <w:rPr>
                <w:rFonts w:hint="eastAsia" w:ascii="Times New Roman" w:hAnsi="Times New Roman" w:eastAsia="宋体" w:cs="Times New Roman"/>
                <w:bCs/>
                <w:color w:val="auto"/>
                <w:sz w:val="24"/>
              </w:rPr>
              <w:t>暂存于</w:t>
            </w:r>
            <w:r>
              <w:rPr>
                <w:rFonts w:hint="eastAsia" w:ascii="Times New Roman" w:hAnsi="Times New Roman" w:eastAsia="宋体" w:cs="Times New Roman"/>
                <w:bCs/>
                <w:color w:val="auto"/>
                <w:sz w:val="24"/>
                <w:lang w:eastAsia="zh-CN"/>
              </w:rPr>
              <w:t>危废贮存库</w:t>
            </w:r>
            <w:r>
              <w:rPr>
                <w:rFonts w:hint="eastAsia" w:ascii="Times New Roman" w:hAnsi="Times New Roman" w:eastAsia="宋体" w:cs="Times New Roman"/>
                <w:bCs/>
                <w:color w:val="auto"/>
                <w:sz w:val="24"/>
              </w:rPr>
              <w:t>，定期</w:t>
            </w:r>
            <w:r>
              <w:rPr>
                <w:rFonts w:ascii="Times New Roman" w:hAnsi="Times New Roman" w:eastAsia="宋体" w:cs="Times New Roman"/>
                <w:bCs/>
                <w:color w:val="auto"/>
                <w:sz w:val="24"/>
              </w:rPr>
              <w:t>交由有危废处置资质的单位处理。</w:t>
            </w:r>
          </w:p>
          <w:p w14:paraId="596363EE">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④</w:t>
            </w:r>
            <w:r>
              <w:rPr>
                <w:rFonts w:hint="eastAsia" w:ascii="Times New Roman" w:hAnsi="Times New Roman" w:eastAsia="宋体" w:cs="Times New Roman"/>
                <w:color w:val="auto"/>
                <w:kern w:val="0"/>
                <w:sz w:val="24"/>
                <w:szCs w:val="24"/>
                <w:lang w:val="en-US" w:eastAsia="zh-CN"/>
              </w:rPr>
              <w:t>存储废润滑油的废油桶，产生量约为0.5t/a，</w:t>
            </w:r>
            <w:r>
              <w:rPr>
                <w:rFonts w:hint="eastAsia" w:ascii="Times New Roman" w:hAnsi="Times New Roman" w:eastAsia="宋体" w:cs="Times New Roman"/>
                <w:bCs/>
                <w:color w:val="auto"/>
                <w:sz w:val="24"/>
              </w:rPr>
              <w:t>属于危险废物（废物类别HW</w:t>
            </w:r>
            <w:r>
              <w:rPr>
                <w:rFonts w:hint="eastAsia" w:ascii="Times New Roman" w:hAnsi="Times New Roman" w:eastAsia="宋体" w:cs="Times New Roman"/>
                <w:bCs/>
                <w:color w:val="auto"/>
                <w:sz w:val="24"/>
                <w:lang w:val="en-US" w:eastAsia="zh-CN"/>
              </w:rPr>
              <w:t>08</w:t>
            </w:r>
            <w:r>
              <w:rPr>
                <w:rFonts w:hint="eastAsia" w:ascii="Times New Roman" w:hAnsi="Times New Roman" w:eastAsia="宋体" w:cs="Times New Roman"/>
                <w:bCs/>
                <w:color w:val="auto"/>
                <w:sz w:val="24"/>
              </w:rPr>
              <w:t>，危废代码</w:t>
            </w:r>
            <w:r>
              <w:rPr>
                <w:rFonts w:hint="eastAsia" w:ascii="Times New Roman" w:hAnsi="Times New Roman" w:eastAsia="宋体" w:cs="Times New Roman"/>
                <w:bCs/>
                <w:color w:val="auto"/>
                <w:sz w:val="24"/>
                <w:szCs w:val="24"/>
              </w:rPr>
              <w:t>900-</w:t>
            </w:r>
            <w:r>
              <w:rPr>
                <w:rFonts w:hint="eastAsia" w:ascii="Times New Roman" w:hAnsi="Times New Roman" w:eastAsia="宋体" w:cs="Times New Roman"/>
                <w:bCs/>
                <w:color w:val="auto"/>
                <w:sz w:val="24"/>
                <w:szCs w:val="24"/>
                <w:lang w:val="en-US" w:eastAsia="zh-CN"/>
              </w:rPr>
              <w:t>249</w:t>
            </w:r>
            <w:r>
              <w:rPr>
                <w:rFonts w:hint="eastAsia"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lang w:val="en-US" w:eastAsia="zh-CN"/>
              </w:rPr>
              <w:t>08</w:t>
            </w:r>
            <w:r>
              <w:rPr>
                <w:rFonts w:hint="eastAsia" w:ascii="Times New Roman" w:hAnsi="Times New Roman" w:eastAsia="宋体" w:cs="Times New Roman"/>
                <w:bCs/>
                <w:color w:val="auto"/>
                <w:sz w:val="24"/>
              </w:rPr>
              <w:t>）</w:t>
            </w:r>
            <w:r>
              <w:rPr>
                <w:rFonts w:hint="eastAsia" w:cs="Times New Roman"/>
                <w:bCs/>
                <w:color w:val="auto"/>
                <w:sz w:val="24"/>
                <w:lang w:eastAsia="zh-CN"/>
              </w:rPr>
              <w:t>，</w:t>
            </w:r>
            <w:r>
              <w:rPr>
                <w:rFonts w:hint="eastAsia" w:ascii="Times New Roman" w:hAnsi="Times New Roman" w:eastAsia="宋体" w:cs="Times New Roman"/>
                <w:color w:val="auto"/>
                <w:kern w:val="0"/>
                <w:sz w:val="24"/>
                <w:szCs w:val="24"/>
                <w:lang w:val="en-US" w:eastAsia="zh-CN"/>
              </w:rPr>
              <w:t>产生后暂存于危废贮存库，和废润滑油一起定期交由有危废资质的单位处理。</w:t>
            </w:r>
          </w:p>
          <w:p w14:paraId="6E64DC0E">
            <w:pPr>
              <w:spacing w:line="360" w:lineRule="auto"/>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④含油抹布、手套：设备</w:t>
            </w:r>
            <w:r>
              <w:rPr>
                <w:rFonts w:hint="eastAsia" w:ascii="Times New Roman" w:hAnsi="Times New Roman" w:eastAsia="宋体" w:cs="Times New Roman"/>
                <w:bCs/>
                <w:color w:val="auto"/>
                <w:sz w:val="24"/>
                <w:szCs w:val="24"/>
              </w:rPr>
              <w:t>检修时产生的含油废物</w:t>
            </w:r>
            <w:r>
              <w:rPr>
                <w:rFonts w:hint="eastAsia" w:ascii="Times New Roman" w:hAnsi="Times New Roman" w:eastAsia="宋体" w:cs="Times New Roman"/>
                <w:bCs/>
                <w:color w:val="auto"/>
                <w:sz w:val="24"/>
                <w:szCs w:val="24"/>
                <w:lang w:val="en-US" w:eastAsia="zh-CN"/>
              </w:rPr>
              <w:t>主要为含油抹布、手套等，产生量约10kg/a，属于危险废物（HW49其他废物</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废物代码</w:t>
            </w:r>
            <w:r>
              <w:rPr>
                <w:rFonts w:hint="eastAsia" w:ascii="Times New Roman" w:hAnsi="Times New Roman" w:eastAsia="宋体" w:cs="Times New Roman"/>
                <w:bCs/>
                <w:color w:val="auto"/>
                <w:sz w:val="24"/>
                <w:szCs w:val="24"/>
              </w:rPr>
              <w:t>900-041-49</w:t>
            </w:r>
            <w:r>
              <w:rPr>
                <w:rFonts w:hint="eastAsia"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rPr>
              <w:t>收集后暂存</w:t>
            </w:r>
            <w:r>
              <w:rPr>
                <w:rFonts w:hint="eastAsia" w:ascii="Times New Roman" w:hAnsi="Times New Roman" w:eastAsia="宋体" w:cs="Times New Roman"/>
                <w:bCs/>
                <w:color w:val="auto"/>
                <w:sz w:val="24"/>
                <w:szCs w:val="24"/>
                <w:lang w:val="en-US" w:eastAsia="zh-CN"/>
              </w:rPr>
              <w:t>在</w:t>
            </w:r>
            <w:r>
              <w:rPr>
                <w:rFonts w:hint="eastAsia" w:ascii="Times New Roman" w:hAnsi="Times New Roman" w:eastAsia="宋体" w:cs="Times New Roman"/>
                <w:bCs/>
                <w:color w:val="auto"/>
                <w:sz w:val="24"/>
                <w:szCs w:val="24"/>
              </w:rPr>
              <w:t>厂区</w:t>
            </w:r>
            <w:r>
              <w:rPr>
                <w:rFonts w:hint="eastAsia" w:ascii="Times New Roman" w:hAnsi="Times New Roman" w:eastAsia="宋体" w:cs="Times New Roman"/>
                <w:bCs/>
                <w:color w:val="auto"/>
                <w:sz w:val="24"/>
                <w:szCs w:val="24"/>
                <w:lang w:eastAsia="zh-CN"/>
              </w:rPr>
              <w:t>危废贮存库</w:t>
            </w:r>
            <w:r>
              <w:rPr>
                <w:rFonts w:hint="eastAsia"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lang w:val="en-US" w:eastAsia="zh-CN"/>
              </w:rPr>
              <w:t>定期交由</w:t>
            </w:r>
            <w:r>
              <w:rPr>
                <w:rFonts w:hint="eastAsia" w:ascii="Times New Roman" w:hAnsi="Times New Roman" w:eastAsia="宋体" w:cs="Times New Roman"/>
                <w:bCs/>
                <w:color w:val="auto"/>
                <w:sz w:val="24"/>
                <w:szCs w:val="24"/>
              </w:rPr>
              <w:t>有</w:t>
            </w:r>
            <w:r>
              <w:rPr>
                <w:rFonts w:ascii="Times New Roman" w:hAnsi="Times New Roman" w:eastAsia="宋体" w:cs="Times New Roman"/>
                <w:bCs/>
                <w:color w:val="auto"/>
                <w:sz w:val="24"/>
              </w:rPr>
              <w:t>危废处置</w:t>
            </w:r>
            <w:r>
              <w:rPr>
                <w:rFonts w:hint="eastAsia" w:ascii="Times New Roman" w:hAnsi="Times New Roman" w:eastAsia="宋体" w:cs="Times New Roman"/>
                <w:bCs/>
                <w:color w:val="auto"/>
                <w:sz w:val="24"/>
                <w:szCs w:val="24"/>
              </w:rPr>
              <w:t>资质</w:t>
            </w:r>
            <w:r>
              <w:rPr>
                <w:rFonts w:hint="eastAsia" w:ascii="Times New Roman" w:hAnsi="Times New Roman" w:eastAsia="宋体" w:cs="Times New Roman"/>
                <w:bCs/>
                <w:color w:val="auto"/>
                <w:sz w:val="24"/>
                <w:szCs w:val="24"/>
                <w:lang w:eastAsia="zh-CN"/>
              </w:rPr>
              <w:t>的</w:t>
            </w:r>
            <w:r>
              <w:rPr>
                <w:rFonts w:hint="eastAsia" w:ascii="Times New Roman" w:hAnsi="Times New Roman" w:eastAsia="宋体" w:cs="Times New Roman"/>
                <w:bCs/>
                <w:color w:val="auto"/>
                <w:sz w:val="24"/>
                <w:szCs w:val="24"/>
              </w:rPr>
              <w:t>单位处置。</w:t>
            </w:r>
          </w:p>
          <w:p w14:paraId="3BC7798F">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项目危险废物产生情况见下表</w:t>
            </w:r>
            <w:r>
              <w:rPr>
                <w:rFonts w:hint="eastAsia" w:cs="Times New Roman"/>
                <w:color w:val="auto"/>
                <w:kern w:val="0"/>
                <w:sz w:val="24"/>
                <w:szCs w:val="24"/>
                <w:lang w:val="en-US" w:eastAsia="zh-CN"/>
              </w:rPr>
              <w:t>4-17</w:t>
            </w:r>
            <w:r>
              <w:rPr>
                <w:rFonts w:hint="eastAsia" w:ascii="Times New Roman" w:hAnsi="Times New Roman" w:eastAsia="宋体" w:cs="Times New Roman"/>
                <w:color w:val="auto"/>
                <w:kern w:val="0"/>
                <w:sz w:val="24"/>
                <w:szCs w:val="24"/>
                <w:lang w:val="en-US" w:eastAsia="zh-CN"/>
              </w:rPr>
              <w:t>。</w:t>
            </w:r>
          </w:p>
          <w:p w14:paraId="7BF56A10">
            <w:pPr>
              <w:pStyle w:val="106"/>
              <w:adjustRightInd w:val="0"/>
              <w:snapToGrid w:val="0"/>
              <w:spacing w:line="240" w:lineRule="auto"/>
              <w:ind w:firstLine="0" w:firstLineChars="0"/>
              <w:jc w:val="center"/>
              <w:rPr>
                <w:rFonts w:ascii="Times New Roman" w:hAnsi="Times New Roman" w:eastAsia="宋体" w:cs="Times New Roman"/>
                <w:b/>
                <w:color w:val="auto"/>
                <w:sz w:val="21"/>
                <w:szCs w:val="21"/>
              </w:rPr>
            </w:pPr>
            <w:r>
              <w:rPr>
                <w:rFonts w:ascii="Times New Roman" w:hAnsi="宋体" w:eastAsia="宋体" w:cs="Times New Roman"/>
                <w:b/>
                <w:color w:val="auto"/>
                <w:sz w:val="21"/>
                <w:szCs w:val="21"/>
              </w:rPr>
              <w:t>表</w:t>
            </w:r>
            <w:r>
              <w:rPr>
                <w:rFonts w:hint="eastAsia" w:ascii="Times New Roman" w:hAnsi="Times New Roman" w:eastAsia="宋体" w:cs="Times New Roman"/>
                <w:b/>
                <w:color w:val="auto"/>
                <w:sz w:val="21"/>
                <w:szCs w:val="21"/>
              </w:rPr>
              <w:t>4</w:t>
            </w:r>
            <w:r>
              <w:rPr>
                <w:rFonts w:ascii="Times New Roman" w:hAnsi="Times New Roman" w:eastAsia="宋体" w:cs="Times New Roman"/>
                <w:b/>
                <w:color w:val="auto"/>
                <w:sz w:val="21"/>
                <w:szCs w:val="21"/>
              </w:rPr>
              <w:t>-</w:t>
            </w:r>
            <w:r>
              <w:rPr>
                <w:rFonts w:hint="eastAsia" w:ascii="Times New Roman" w:hAnsi="Times New Roman" w:eastAsia="宋体" w:cs="Times New Roman"/>
                <w:b/>
                <w:color w:val="auto"/>
                <w:sz w:val="21"/>
                <w:szCs w:val="21"/>
                <w:lang w:val="en-US" w:eastAsia="zh-CN"/>
              </w:rPr>
              <w:t>1</w:t>
            </w:r>
            <w:r>
              <w:rPr>
                <w:rFonts w:hint="eastAsia" w:cs="Times New Roman"/>
                <w:b/>
                <w:color w:val="auto"/>
                <w:sz w:val="21"/>
                <w:szCs w:val="21"/>
                <w:lang w:val="en-US" w:eastAsia="zh-CN"/>
              </w:rPr>
              <w:t>7</w:t>
            </w:r>
            <w:r>
              <w:rPr>
                <w:rFonts w:ascii="Times New Roman" w:hAnsi="Times New Roman" w:eastAsia="宋体" w:cs="Times New Roman"/>
                <w:b/>
                <w:color w:val="auto"/>
                <w:sz w:val="21"/>
                <w:szCs w:val="21"/>
              </w:rPr>
              <w:t xml:space="preserve">  </w:t>
            </w:r>
            <w:r>
              <w:rPr>
                <w:rFonts w:ascii="Times New Roman" w:hAnsi="宋体" w:eastAsia="宋体" w:cs="Times New Roman"/>
                <w:b/>
                <w:color w:val="auto"/>
                <w:sz w:val="21"/>
                <w:szCs w:val="21"/>
              </w:rPr>
              <w:t>项目危险废物特性表</w:t>
            </w:r>
          </w:p>
          <w:tbl>
            <w:tblPr>
              <w:tblStyle w:val="30"/>
              <w:tblW w:w="81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940"/>
              <w:gridCol w:w="1150"/>
              <w:gridCol w:w="810"/>
              <w:gridCol w:w="990"/>
              <w:gridCol w:w="710"/>
              <w:gridCol w:w="660"/>
              <w:gridCol w:w="1916"/>
            </w:tblGrid>
            <w:tr w14:paraId="79784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980" w:type="dxa"/>
                  <w:tcBorders>
                    <w:tl2br w:val="nil"/>
                    <w:tr2bl w:val="nil"/>
                  </w:tcBorders>
                  <w:noWrap/>
                  <w:vAlign w:val="center"/>
                </w:tcPr>
                <w:p w14:paraId="44D98FCE">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18"/>
                      <w:szCs w:val="18"/>
                    </w:rPr>
                  </w:pPr>
                  <w:r>
                    <w:rPr>
                      <w:rFonts w:ascii="Times New Roman" w:hAnsi="宋体" w:eastAsia="宋体" w:cs="Times New Roman"/>
                      <w:b/>
                      <w:color w:val="auto"/>
                      <w:kern w:val="0"/>
                      <w:sz w:val="18"/>
                      <w:szCs w:val="18"/>
                    </w:rPr>
                    <w:t>危险废物名称</w:t>
                  </w:r>
                </w:p>
              </w:tc>
              <w:tc>
                <w:tcPr>
                  <w:tcW w:w="940" w:type="dxa"/>
                  <w:tcBorders>
                    <w:tl2br w:val="nil"/>
                    <w:tr2bl w:val="nil"/>
                  </w:tcBorders>
                  <w:noWrap/>
                  <w:vAlign w:val="center"/>
                </w:tcPr>
                <w:p w14:paraId="093EBB32">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18"/>
                      <w:szCs w:val="18"/>
                    </w:rPr>
                  </w:pPr>
                  <w:r>
                    <w:rPr>
                      <w:rFonts w:ascii="Times New Roman" w:hAnsi="宋体" w:eastAsia="宋体" w:cs="Times New Roman"/>
                      <w:b/>
                      <w:color w:val="auto"/>
                      <w:kern w:val="0"/>
                      <w:sz w:val="18"/>
                      <w:szCs w:val="18"/>
                    </w:rPr>
                    <w:t>危险废物类别</w:t>
                  </w:r>
                </w:p>
              </w:tc>
              <w:tc>
                <w:tcPr>
                  <w:tcW w:w="1150" w:type="dxa"/>
                  <w:tcBorders>
                    <w:tl2br w:val="nil"/>
                    <w:tr2bl w:val="nil"/>
                  </w:tcBorders>
                  <w:noWrap/>
                  <w:vAlign w:val="center"/>
                </w:tcPr>
                <w:p w14:paraId="4F5A6DB5">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18"/>
                      <w:szCs w:val="18"/>
                    </w:rPr>
                  </w:pPr>
                  <w:r>
                    <w:rPr>
                      <w:rFonts w:ascii="Times New Roman" w:hAnsi="宋体" w:eastAsia="宋体" w:cs="Times New Roman"/>
                      <w:b/>
                      <w:color w:val="auto"/>
                      <w:kern w:val="0"/>
                      <w:sz w:val="18"/>
                      <w:szCs w:val="18"/>
                    </w:rPr>
                    <w:t>危险废物代码</w:t>
                  </w:r>
                </w:p>
              </w:tc>
              <w:tc>
                <w:tcPr>
                  <w:tcW w:w="810" w:type="dxa"/>
                  <w:tcBorders>
                    <w:tl2br w:val="nil"/>
                    <w:tr2bl w:val="nil"/>
                  </w:tcBorders>
                  <w:noWrap/>
                  <w:vAlign w:val="center"/>
                </w:tcPr>
                <w:p w14:paraId="15E74382">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18"/>
                      <w:szCs w:val="18"/>
                    </w:rPr>
                  </w:pPr>
                  <w:r>
                    <w:rPr>
                      <w:rFonts w:ascii="Times New Roman" w:hAnsi="宋体" w:eastAsia="宋体" w:cs="Times New Roman"/>
                      <w:b/>
                      <w:color w:val="auto"/>
                      <w:kern w:val="0"/>
                      <w:sz w:val="18"/>
                      <w:szCs w:val="18"/>
                    </w:rPr>
                    <w:t>产生量（</w:t>
                  </w:r>
                  <w:r>
                    <w:rPr>
                      <w:rFonts w:ascii="Times New Roman" w:hAnsi="Times New Roman" w:eastAsia="宋体" w:cs="Times New Roman"/>
                      <w:b/>
                      <w:color w:val="auto"/>
                      <w:kern w:val="0"/>
                      <w:sz w:val="18"/>
                      <w:szCs w:val="18"/>
                    </w:rPr>
                    <w:t>t/a</w:t>
                  </w:r>
                  <w:r>
                    <w:rPr>
                      <w:rFonts w:ascii="Times New Roman" w:hAnsi="宋体" w:eastAsia="宋体" w:cs="Times New Roman"/>
                      <w:b/>
                      <w:color w:val="auto"/>
                      <w:kern w:val="0"/>
                      <w:sz w:val="18"/>
                      <w:szCs w:val="18"/>
                    </w:rPr>
                    <w:t>）</w:t>
                  </w:r>
                </w:p>
              </w:tc>
              <w:tc>
                <w:tcPr>
                  <w:tcW w:w="990" w:type="dxa"/>
                  <w:tcBorders>
                    <w:tl2br w:val="nil"/>
                    <w:tr2bl w:val="nil"/>
                  </w:tcBorders>
                  <w:noWrap/>
                  <w:vAlign w:val="center"/>
                </w:tcPr>
                <w:p w14:paraId="5AB419A7">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18"/>
                      <w:szCs w:val="18"/>
                    </w:rPr>
                  </w:pPr>
                  <w:r>
                    <w:rPr>
                      <w:rFonts w:ascii="Times New Roman" w:hAnsi="宋体" w:eastAsia="宋体" w:cs="Times New Roman"/>
                      <w:b/>
                      <w:color w:val="auto"/>
                      <w:kern w:val="0"/>
                      <w:sz w:val="18"/>
                      <w:szCs w:val="18"/>
                    </w:rPr>
                    <w:t>产生工序及装置</w:t>
                  </w:r>
                </w:p>
              </w:tc>
              <w:tc>
                <w:tcPr>
                  <w:tcW w:w="710" w:type="dxa"/>
                  <w:tcBorders>
                    <w:tl2br w:val="nil"/>
                    <w:tr2bl w:val="nil"/>
                  </w:tcBorders>
                  <w:noWrap/>
                  <w:vAlign w:val="center"/>
                </w:tcPr>
                <w:p w14:paraId="785825D5">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18"/>
                      <w:szCs w:val="18"/>
                    </w:rPr>
                  </w:pPr>
                  <w:r>
                    <w:rPr>
                      <w:rFonts w:ascii="Times New Roman" w:hAnsi="宋体" w:eastAsia="宋体" w:cs="Times New Roman"/>
                      <w:b/>
                      <w:color w:val="auto"/>
                      <w:kern w:val="0"/>
                      <w:sz w:val="18"/>
                      <w:szCs w:val="18"/>
                    </w:rPr>
                    <w:t>形态</w:t>
                  </w:r>
                </w:p>
              </w:tc>
              <w:tc>
                <w:tcPr>
                  <w:tcW w:w="660" w:type="dxa"/>
                  <w:tcBorders>
                    <w:tl2br w:val="nil"/>
                    <w:tr2bl w:val="nil"/>
                  </w:tcBorders>
                  <w:noWrap/>
                  <w:vAlign w:val="center"/>
                </w:tcPr>
                <w:p w14:paraId="5C8F4A41">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18"/>
                      <w:szCs w:val="18"/>
                    </w:rPr>
                  </w:pPr>
                  <w:r>
                    <w:rPr>
                      <w:rFonts w:ascii="Times New Roman" w:hAnsi="宋体" w:eastAsia="宋体" w:cs="Times New Roman"/>
                      <w:b/>
                      <w:color w:val="auto"/>
                      <w:kern w:val="0"/>
                      <w:sz w:val="18"/>
                      <w:szCs w:val="18"/>
                    </w:rPr>
                    <w:t>危险</w:t>
                  </w:r>
                </w:p>
                <w:p w14:paraId="1C0CA6E0">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18"/>
                      <w:szCs w:val="18"/>
                    </w:rPr>
                  </w:pPr>
                  <w:r>
                    <w:rPr>
                      <w:rFonts w:ascii="Times New Roman" w:hAnsi="宋体" w:eastAsia="宋体" w:cs="Times New Roman"/>
                      <w:b/>
                      <w:color w:val="auto"/>
                      <w:kern w:val="0"/>
                      <w:sz w:val="18"/>
                      <w:szCs w:val="18"/>
                    </w:rPr>
                    <w:t>特性</w:t>
                  </w:r>
                </w:p>
              </w:tc>
              <w:tc>
                <w:tcPr>
                  <w:tcW w:w="1916" w:type="dxa"/>
                  <w:tcBorders>
                    <w:tl2br w:val="nil"/>
                    <w:tr2bl w:val="nil"/>
                  </w:tcBorders>
                  <w:noWrap/>
                  <w:vAlign w:val="center"/>
                </w:tcPr>
                <w:p w14:paraId="2CFBC942">
                  <w:pPr>
                    <w:autoSpaceDE w:val="0"/>
                    <w:autoSpaceDN w:val="0"/>
                    <w:adjustRightInd w:val="0"/>
                    <w:snapToGrid w:val="0"/>
                    <w:spacing w:line="240" w:lineRule="auto"/>
                    <w:ind w:firstLine="0" w:firstLineChars="0"/>
                    <w:jc w:val="center"/>
                    <w:rPr>
                      <w:rFonts w:ascii="Times New Roman" w:hAnsi="Times New Roman" w:eastAsia="宋体" w:cs="Times New Roman"/>
                      <w:b/>
                      <w:color w:val="auto"/>
                      <w:kern w:val="0"/>
                      <w:sz w:val="18"/>
                      <w:szCs w:val="18"/>
                    </w:rPr>
                  </w:pPr>
                  <w:r>
                    <w:rPr>
                      <w:rFonts w:ascii="Times New Roman" w:hAnsi="宋体" w:eastAsia="宋体" w:cs="Times New Roman"/>
                      <w:b/>
                      <w:color w:val="auto"/>
                      <w:kern w:val="0"/>
                      <w:sz w:val="18"/>
                      <w:szCs w:val="18"/>
                    </w:rPr>
                    <w:t>污染防治措施</w:t>
                  </w:r>
                </w:p>
              </w:tc>
            </w:tr>
            <w:tr w14:paraId="0C97F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980" w:type="dxa"/>
                  <w:tcBorders>
                    <w:tl2br w:val="nil"/>
                    <w:tr2bl w:val="nil"/>
                  </w:tcBorders>
                  <w:noWrap/>
                  <w:vAlign w:val="center"/>
                </w:tcPr>
                <w:p w14:paraId="54717997">
                  <w:pPr>
                    <w:autoSpaceDE w:val="0"/>
                    <w:autoSpaceDN w:val="0"/>
                    <w:adjustRightInd w:val="0"/>
                    <w:snapToGrid w:val="0"/>
                    <w:spacing w:line="240" w:lineRule="auto"/>
                    <w:ind w:firstLine="0" w:firstLineChars="0"/>
                    <w:jc w:val="center"/>
                    <w:rPr>
                      <w:rFonts w:ascii="Times New Roman" w:hAnsi="宋体" w:eastAsia="宋体" w:cs="Times New Roman"/>
                      <w:b/>
                      <w:color w:val="auto"/>
                      <w:kern w:val="0"/>
                      <w:sz w:val="18"/>
                      <w:szCs w:val="18"/>
                    </w:rPr>
                  </w:pPr>
                  <w:r>
                    <w:rPr>
                      <w:rFonts w:hint="eastAsia" w:ascii="Times New Roman" w:hAnsi="宋体" w:eastAsia="宋体" w:cs="Times New Roman"/>
                      <w:b w:val="0"/>
                      <w:bCs/>
                      <w:color w:val="auto"/>
                      <w:kern w:val="0"/>
                      <w:sz w:val="18"/>
                      <w:szCs w:val="18"/>
                    </w:rPr>
                    <w:t>液化石油气残液</w:t>
                  </w:r>
                </w:p>
              </w:tc>
              <w:tc>
                <w:tcPr>
                  <w:tcW w:w="940" w:type="dxa"/>
                  <w:tcBorders>
                    <w:tl2br w:val="nil"/>
                    <w:tr2bl w:val="nil"/>
                  </w:tcBorders>
                  <w:noWrap/>
                  <w:vAlign w:val="center"/>
                </w:tcPr>
                <w:p w14:paraId="7CF0333C">
                  <w:pPr>
                    <w:autoSpaceDE w:val="0"/>
                    <w:autoSpaceDN w:val="0"/>
                    <w:adjustRightInd w:val="0"/>
                    <w:snapToGrid w:val="0"/>
                    <w:spacing w:line="240" w:lineRule="auto"/>
                    <w:ind w:firstLine="0" w:firstLineChars="0"/>
                    <w:jc w:val="center"/>
                    <w:rPr>
                      <w:rFonts w:ascii="Times New Roman" w:hAnsi="宋体" w:eastAsia="宋体" w:cs="Times New Roman"/>
                      <w:b/>
                      <w:color w:val="auto"/>
                      <w:kern w:val="0"/>
                      <w:sz w:val="18"/>
                      <w:szCs w:val="18"/>
                    </w:rPr>
                  </w:pPr>
                  <w:r>
                    <w:rPr>
                      <w:rFonts w:hint="eastAsia" w:ascii="Times New Roman" w:hAnsi="Times New Roman" w:eastAsia="宋体" w:cs="Times New Roman"/>
                      <w:color w:val="auto"/>
                      <w:kern w:val="0"/>
                      <w:sz w:val="18"/>
                      <w:szCs w:val="18"/>
                    </w:rPr>
                    <w:t>HW09</w:t>
                  </w:r>
                </w:p>
              </w:tc>
              <w:tc>
                <w:tcPr>
                  <w:tcW w:w="1150" w:type="dxa"/>
                  <w:tcBorders>
                    <w:tl2br w:val="nil"/>
                    <w:tr2bl w:val="nil"/>
                  </w:tcBorders>
                  <w:noWrap/>
                  <w:vAlign w:val="center"/>
                </w:tcPr>
                <w:p w14:paraId="6533FF49">
                  <w:pPr>
                    <w:autoSpaceDE w:val="0"/>
                    <w:autoSpaceDN w:val="0"/>
                    <w:adjustRightInd w:val="0"/>
                    <w:snapToGrid w:val="0"/>
                    <w:spacing w:line="240" w:lineRule="auto"/>
                    <w:ind w:firstLine="0" w:firstLineChars="0"/>
                    <w:jc w:val="center"/>
                    <w:rPr>
                      <w:rFonts w:ascii="Times New Roman" w:hAnsi="宋体" w:eastAsia="宋体" w:cs="Times New Roman"/>
                      <w:b w:val="0"/>
                      <w:bCs/>
                      <w:color w:val="auto"/>
                      <w:kern w:val="0"/>
                      <w:sz w:val="18"/>
                      <w:szCs w:val="18"/>
                    </w:rPr>
                  </w:pPr>
                  <w:r>
                    <w:rPr>
                      <w:rFonts w:hint="eastAsia" w:ascii="Times New Roman" w:hAnsi="宋体" w:eastAsia="宋体" w:cs="Times New Roman"/>
                      <w:b w:val="0"/>
                      <w:bCs/>
                      <w:color w:val="auto"/>
                      <w:kern w:val="0"/>
                      <w:sz w:val="18"/>
                      <w:szCs w:val="18"/>
                    </w:rPr>
                    <w:t>900-007-09</w:t>
                  </w:r>
                </w:p>
              </w:tc>
              <w:tc>
                <w:tcPr>
                  <w:tcW w:w="810" w:type="dxa"/>
                  <w:tcBorders>
                    <w:tl2br w:val="nil"/>
                    <w:tr2bl w:val="nil"/>
                  </w:tcBorders>
                  <w:noWrap/>
                  <w:vAlign w:val="center"/>
                </w:tcPr>
                <w:p w14:paraId="3B88CD81">
                  <w:pPr>
                    <w:autoSpaceDE w:val="0"/>
                    <w:autoSpaceDN w:val="0"/>
                    <w:adjustRightInd w:val="0"/>
                    <w:snapToGrid w:val="0"/>
                    <w:spacing w:line="240" w:lineRule="auto"/>
                    <w:ind w:firstLine="0" w:firstLineChars="0"/>
                    <w:jc w:val="center"/>
                    <w:rPr>
                      <w:rFonts w:hint="default" w:ascii="Times New Roman" w:hAnsi="宋体" w:eastAsia="宋体" w:cs="Times New Roman"/>
                      <w:b/>
                      <w:color w:val="auto"/>
                      <w:kern w:val="0"/>
                      <w:sz w:val="18"/>
                      <w:szCs w:val="18"/>
                      <w:lang w:val="en-US" w:eastAsia="zh-CN"/>
                    </w:rPr>
                  </w:pPr>
                  <w:r>
                    <w:rPr>
                      <w:rFonts w:hint="eastAsia" w:ascii="Times New Roman" w:hAnsi="宋体" w:eastAsia="宋体" w:cs="Times New Roman"/>
                      <w:b w:val="0"/>
                      <w:bCs/>
                      <w:color w:val="auto"/>
                      <w:kern w:val="0"/>
                      <w:sz w:val="18"/>
                      <w:szCs w:val="18"/>
                      <w:lang w:val="en-US" w:eastAsia="zh-CN"/>
                    </w:rPr>
                    <w:t>0.06</w:t>
                  </w:r>
                </w:p>
              </w:tc>
              <w:tc>
                <w:tcPr>
                  <w:tcW w:w="990" w:type="dxa"/>
                  <w:tcBorders>
                    <w:tl2br w:val="nil"/>
                    <w:tr2bl w:val="nil"/>
                  </w:tcBorders>
                  <w:noWrap/>
                  <w:vAlign w:val="center"/>
                </w:tcPr>
                <w:p w14:paraId="3FE6B6A1">
                  <w:pPr>
                    <w:autoSpaceDE w:val="0"/>
                    <w:autoSpaceDN w:val="0"/>
                    <w:adjustRightInd w:val="0"/>
                    <w:snapToGrid w:val="0"/>
                    <w:spacing w:line="240" w:lineRule="auto"/>
                    <w:ind w:firstLine="0" w:firstLineChars="0"/>
                    <w:jc w:val="center"/>
                    <w:rPr>
                      <w:rFonts w:hint="default" w:ascii="Times New Roman" w:hAnsi="宋体" w:eastAsia="宋体" w:cs="Times New Roman"/>
                      <w:b/>
                      <w:color w:val="auto"/>
                      <w:kern w:val="0"/>
                      <w:sz w:val="18"/>
                      <w:szCs w:val="18"/>
                      <w:lang w:val="en-US" w:eastAsia="zh-CN"/>
                    </w:rPr>
                  </w:pPr>
                  <w:r>
                    <w:rPr>
                      <w:rFonts w:hint="eastAsia" w:ascii="Times New Roman" w:hAnsi="宋体" w:eastAsia="宋体" w:cs="Times New Roman"/>
                      <w:b w:val="0"/>
                      <w:bCs/>
                      <w:color w:val="auto"/>
                      <w:kern w:val="0"/>
                      <w:sz w:val="18"/>
                      <w:szCs w:val="18"/>
                      <w:lang w:val="en-US" w:eastAsia="zh-CN"/>
                    </w:rPr>
                    <w:t>液化石油气充装</w:t>
                  </w:r>
                </w:p>
              </w:tc>
              <w:tc>
                <w:tcPr>
                  <w:tcW w:w="710" w:type="dxa"/>
                  <w:tcBorders>
                    <w:tl2br w:val="nil"/>
                    <w:tr2bl w:val="nil"/>
                  </w:tcBorders>
                  <w:shd w:val="clear" w:color="auto" w:fill="auto"/>
                  <w:noWrap/>
                  <w:vAlign w:val="center"/>
                </w:tcPr>
                <w:p w14:paraId="7140AA9B">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ascii="Times New Roman" w:hAnsi="宋体" w:eastAsia="宋体" w:cs="Times New Roman"/>
                      <w:color w:val="auto"/>
                      <w:kern w:val="0"/>
                      <w:sz w:val="18"/>
                      <w:szCs w:val="18"/>
                    </w:rPr>
                    <w:t>液态</w:t>
                  </w:r>
                </w:p>
              </w:tc>
              <w:tc>
                <w:tcPr>
                  <w:tcW w:w="660" w:type="dxa"/>
                  <w:tcBorders>
                    <w:tl2br w:val="nil"/>
                    <w:tr2bl w:val="nil"/>
                  </w:tcBorders>
                  <w:shd w:val="clear" w:color="auto" w:fill="auto"/>
                  <w:noWrap/>
                  <w:vAlign w:val="center"/>
                </w:tcPr>
                <w:p w14:paraId="618A19ED">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宋体"/>
                      <w:color w:val="auto"/>
                      <w:kern w:val="0"/>
                      <w:sz w:val="18"/>
                      <w:szCs w:val="18"/>
                      <w:lang w:bidi="ar"/>
                    </w:rPr>
                    <w:t>T/I</w:t>
                  </w:r>
                  <w:r>
                    <w:rPr>
                      <w:rFonts w:hint="eastAsia" w:ascii="Times New Roman" w:hAnsi="Times New Roman" w:eastAsia="宋体" w:cs="宋体"/>
                      <w:color w:val="auto"/>
                      <w:kern w:val="0"/>
                      <w:sz w:val="18"/>
                      <w:szCs w:val="18"/>
                      <w:lang w:val="en-US" w:eastAsia="zh-CN" w:bidi="ar"/>
                    </w:rPr>
                    <w:t>n</w:t>
                  </w:r>
                </w:p>
              </w:tc>
              <w:tc>
                <w:tcPr>
                  <w:tcW w:w="1916" w:type="dxa"/>
                  <w:tcBorders>
                    <w:tl2br w:val="nil"/>
                    <w:tr2bl w:val="nil"/>
                  </w:tcBorders>
                  <w:noWrap/>
                  <w:vAlign w:val="center"/>
                </w:tcPr>
                <w:p w14:paraId="32CE871E">
                  <w:pPr>
                    <w:autoSpaceDE w:val="0"/>
                    <w:autoSpaceDN w:val="0"/>
                    <w:adjustRightInd w:val="0"/>
                    <w:snapToGrid w:val="0"/>
                    <w:spacing w:line="240" w:lineRule="auto"/>
                    <w:ind w:firstLine="0" w:firstLineChars="0"/>
                    <w:jc w:val="center"/>
                    <w:rPr>
                      <w:rFonts w:hint="eastAsia" w:ascii="Times New Roman" w:hAnsi="宋体" w:eastAsia="宋体" w:cs="Times New Roman"/>
                      <w:b/>
                      <w:color w:val="auto"/>
                      <w:kern w:val="0"/>
                      <w:sz w:val="18"/>
                      <w:szCs w:val="18"/>
                      <w:lang w:eastAsia="zh-CN"/>
                    </w:rPr>
                  </w:pPr>
                  <w:r>
                    <w:rPr>
                      <w:rFonts w:hint="eastAsia" w:ascii="Times New Roman" w:hAnsi="宋体" w:eastAsia="宋体" w:cs="Times New Roman"/>
                      <w:b w:val="0"/>
                      <w:bCs/>
                      <w:color w:val="000000" w:themeColor="text1"/>
                      <w:kern w:val="0"/>
                      <w:sz w:val="18"/>
                      <w:szCs w:val="18"/>
                      <w14:textFill>
                        <w14:solidFill>
                          <w14:schemeClr w14:val="tx1"/>
                        </w14:solidFill>
                      </w14:textFill>
                    </w:rPr>
                    <w:t>收集至残液</w:t>
                  </w:r>
                  <w:r>
                    <w:rPr>
                      <w:rFonts w:hint="eastAsia" w:hAnsi="宋体" w:cs="Times New Roman"/>
                      <w:b w:val="0"/>
                      <w:bCs/>
                      <w:color w:val="000000" w:themeColor="text1"/>
                      <w:kern w:val="0"/>
                      <w:sz w:val="18"/>
                      <w:szCs w:val="18"/>
                      <w:lang w:val="en-US" w:eastAsia="zh-CN"/>
                      <w14:textFill>
                        <w14:solidFill>
                          <w14:schemeClr w14:val="tx1"/>
                        </w14:solidFill>
                      </w14:textFill>
                    </w:rPr>
                    <w:t>储罐</w:t>
                  </w:r>
                  <w:r>
                    <w:rPr>
                      <w:rFonts w:hint="eastAsia" w:ascii="Times New Roman" w:hAnsi="宋体" w:eastAsia="宋体" w:cs="Times New Roman"/>
                      <w:b w:val="0"/>
                      <w:bCs/>
                      <w:color w:val="000000" w:themeColor="text1"/>
                      <w:kern w:val="0"/>
                      <w:sz w:val="18"/>
                      <w:szCs w:val="18"/>
                      <w14:textFill>
                        <w14:solidFill>
                          <w14:schemeClr w14:val="tx1"/>
                        </w14:solidFill>
                      </w14:textFill>
                    </w:rPr>
                    <w:t>暂存</w:t>
                  </w:r>
                  <w:r>
                    <w:rPr>
                      <w:rFonts w:hint="eastAsia" w:ascii="Times New Roman" w:hAnsi="宋体" w:eastAsia="宋体" w:cs="Times New Roman"/>
                      <w:b w:val="0"/>
                      <w:bCs/>
                      <w:color w:val="000000" w:themeColor="text1"/>
                      <w:kern w:val="0"/>
                      <w:sz w:val="18"/>
                      <w:szCs w:val="18"/>
                      <w:lang w:eastAsia="zh-CN"/>
                      <w14:textFill>
                        <w14:solidFill>
                          <w14:schemeClr w14:val="tx1"/>
                        </w14:solidFill>
                      </w14:textFill>
                    </w:rPr>
                    <w:t>，</w:t>
                  </w:r>
                  <w:r>
                    <w:rPr>
                      <w:rFonts w:hint="eastAsia" w:ascii="宋体" w:hAnsi="宋体" w:eastAsia="宋体" w:cs="宋体"/>
                      <w:color w:val="000000" w:themeColor="text1"/>
                      <w:kern w:val="0"/>
                      <w:sz w:val="18"/>
                      <w:szCs w:val="18"/>
                      <w:lang w:bidi="ar"/>
                      <w14:textFill>
                        <w14:solidFill>
                          <w14:schemeClr w14:val="tx1"/>
                        </w14:solidFill>
                      </w14:textFill>
                    </w:rPr>
                    <w:t>定期委托液化石油气供应单位进行回收处理</w:t>
                  </w:r>
                </w:p>
              </w:tc>
            </w:tr>
            <w:tr w14:paraId="026C5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980" w:type="dxa"/>
                  <w:tcBorders>
                    <w:tl2br w:val="nil"/>
                    <w:tr2bl w:val="nil"/>
                  </w:tcBorders>
                  <w:noWrap/>
                  <w:vAlign w:val="center"/>
                </w:tcPr>
                <w:p w14:paraId="68177CF1">
                  <w:pPr>
                    <w:autoSpaceDE w:val="0"/>
                    <w:autoSpaceDN w:val="0"/>
                    <w:adjustRightInd w:val="0"/>
                    <w:snapToGrid w:val="0"/>
                    <w:spacing w:line="240" w:lineRule="auto"/>
                    <w:ind w:firstLine="0" w:firstLineChars="0"/>
                    <w:jc w:val="center"/>
                    <w:rPr>
                      <w:rFonts w:hint="eastAsia" w:ascii="Times New Roman" w:hAnsi="宋体" w:eastAsia="宋体" w:cs="Times New Roman"/>
                      <w:b w:val="0"/>
                      <w:bCs/>
                      <w:color w:val="auto"/>
                      <w:kern w:val="0"/>
                      <w:sz w:val="18"/>
                      <w:szCs w:val="18"/>
                    </w:rPr>
                  </w:pPr>
                  <w:r>
                    <w:rPr>
                      <w:rFonts w:hint="eastAsia" w:ascii="Times New Roman" w:hAnsi="宋体" w:eastAsia="宋体" w:cs="Times New Roman"/>
                      <w:b w:val="0"/>
                      <w:bCs/>
                      <w:color w:val="auto"/>
                      <w:kern w:val="0"/>
                      <w:sz w:val="18"/>
                      <w:szCs w:val="18"/>
                    </w:rPr>
                    <w:t>报废乙炔及液化石油气钢瓶</w:t>
                  </w:r>
                </w:p>
              </w:tc>
              <w:tc>
                <w:tcPr>
                  <w:tcW w:w="940" w:type="dxa"/>
                  <w:tcBorders>
                    <w:tl2br w:val="nil"/>
                    <w:tr2bl w:val="nil"/>
                  </w:tcBorders>
                  <w:shd w:val="clear" w:color="auto" w:fill="auto"/>
                  <w:noWrap/>
                  <w:vAlign w:val="center"/>
                </w:tcPr>
                <w:p w14:paraId="5A5CEE84">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rPr>
                    <w:t>HW49</w:t>
                  </w:r>
                </w:p>
              </w:tc>
              <w:tc>
                <w:tcPr>
                  <w:tcW w:w="1150" w:type="dxa"/>
                  <w:tcBorders>
                    <w:tl2br w:val="nil"/>
                    <w:tr2bl w:val="nil"/>
                  </w:tcBorders>
                  <w:shd w:val="clear" w:color="auto" w:fill="auto"/>
                  <w:noWrap/>
                  <w:vAlign w:val="center"/>
                </w:tcPr>
                <w:p w14:paraId="3489B0EF">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rPr>
                    <w:t>900-041-49</w:t>
                  </w:r>
                </w:p>
              </w:tc>
              <w:tc>
                <w:tcPr>
                  <w:tcW w:w="810" w:type="dxa"/>
                  <w:tcBorders>
                    <w:tl2br w:val="nil"/>
                    <w:tr2bl w:val="nil"/>
                  </w:tcBorders>
                  <w:shd w:val="clear" w:color="auto" w:fill="auto"/>
                  <w:noWrap/>
                  <w:vAlign w:val="center"/>
                </w:tcPr>
                <w:p w14:paraId="36225419">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rPr>
                    <w:t>0.</w:t>
                  </w:r>
                  <w:r>
                    <w:rPr>
                      <w:rFonts w:hint="eastAsia" w:ascii="Times New Roman" w:hAnsi="Times New Roman" w:eastAsia="宋体" w:cs="Times New Roman"/>
                      <w:color w:val="auto"/>
                      <w:kern w:val="0"/>
                      <w:sz w:val="18"/>
                      <w:szCs w:val="18"/>
                      <w:lang w:val="en-US" w:eastAsia="zh-CN"/>
                    </w:rPr>
                    <w:t>01</w:t>
                  </w:r>
                </w:p>
              </w:tc>
              <w:tc>
                <w:tcPr>
                  <w:tcW w:w="990" w:type="dxa"/>
                  <w:tcBorders>
                    <w:tl2br w:val="nil"/>
                    <w:tr2bl w:val="nil"/>
                  </w:tcBorders>
                  <w:shd w:val="clear" w:color="auto" w:fill="auto"/>
                  <w:noWrap/>
                  <w:vAlign w:val="center"/>
                </w:tcPr>
                <w:p w14:paraId="0177A480">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rPr>
                    <w:t>设备维修</w:t>
                  </w:r>
                </w:p>
              </w:tc>
              <w:tc>
                <w:tcPr>
                  <w:tcW w:w="710" w:type="dxa"/>
                  <w:tcBorders>
                    <w:tl2br w:val="nil"/>
                    <w:tr2bl w:val="nil"/>
                  </w:tcBorders>
                  <w:shd w:val="clear" w:color="auto" w:fill="auto"/>
                  <w:noWrap/>
                  <w:vAlign w:val="center"/>
                </w:tcPr>
                <w:p w14:paraId="2DA6AA1A">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rPr>
                    <w:t>固态</w:t>
                  </w:r>
                </w:p>
              </w:tc>
              <w:tc>
                <w:tcPr>
                  <w:tcW w:w="660" w:type="dxa"/>
                  <w:tcBorders>
                    <w:tl2br w:val="nil"/>
                    <w:tr2bl w:val="nil"/>
                  </w:tcBorders>
                  <w:shd w:val="clear" w:color="auto" w:fill="auto"/>
                  <w:noWrap/>
                  <w:vAlign w:val="center"/>
                </w:tcPr>
                <w:p w14:paraId="46273EEC">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宋体"/>
                      <w:color w:val="auto"/>
                      <w:kern w:val="0"/>
                      <w:sz w:val="18"/>
                      <w:szCs w:val="18"/>
                      <w:lang w:bidi="ar"/>
                    </w:rPr>
                    <w:t>T/I</w:t>
                  </w:r>
                  <w:r>
                    <w:rPr>
                      <w:rFonts w:hint="eastAsia" w:ascii="Times New Roman" w:hAnsi="Times New Roman" w:eastAsia="宋体" w:cs="宋体"/>
                      <w:color w:val="auto"/>
                      <w:kern w:val="0"/>
                      <w:sz w:val="18"/>
                      <w:szCs w:val="18"/>
                      <w:lang w:val="en-US" w:eastAsia="zh-CN" w:bidi="ar"/>
                    </w:rPr>
                    <w:t>n</w:t>
                  </w:r>
                </w:p>
              </w:tc>
              <w:tc>
                <w:tcPr>
                  <w:tcW w:w="1916" w:type="dxa"/>
                  <w:tcBorders>
                    <w:tl2br w:val="nil"/>
                    <w:tr2bl w:val="nil"/>
                  </w:tcBorders>
                  <w:noWrap/>
                  <w:vAlign w:val="center"/>
                </w:tcPr>
                <w:p w14:paraId="36990FBE">
                  <w:pPr>
                    <w:autoSpaceDE w:val="0"/>
                    <w:autoSpaceDN w:val="0"/>
                    <w:adjustRightInd w:val="0"/>
                    <w:snapToGrid w:val="0"/>
                    <w:spacing w:line="240" w:lineRule="auto"/>
                    <w:ind w:firstLine="0" w:firstLineChars="0"/>
                    <w:jc w:val="center"/>
                    <w:rPr>
                      <w:rFonts w:hint="eastAsia" w:ascii="Times New Roman" w:hAnsi="宋体" w:eastAsia="宋体" w:cs="Times New Roman"/>
                      <w:b w:val="0"/>
                      <w:bCs/>
                      <w:color w:val="auto"/>
                      <w:kern w:val="0"/>
                      <w:sz w:val="18"/>
                      <w:szCs w:val="18"/>
                    </w:rPr>
                  </w:pPr>
                  <w:r>
                    <w:rPr>
                      <w:rFonts w:hint="eastAsia" w:ascii="Times New Roman" w:hAnsi="宋体" w:eastAsia="宋体" w:cs="Times New Roman"/>
                      <w:b w:val="0"/>
                      <w:bCs/>
                      <w:color w:val="auto"/>
                      <w:kern w:val="0"/>
                      <w:sz w:val="18"/>
                      <w:szCs w:val="18"/>
                    </w:rPr>
                    <w:t>统一收集暂存于危废贮存库，定期送至当地有资质的钢瓶检验站进行检验、报废。</w:t>
                  </w:r>
                </w:p>
              </w:tc>
            </w:tr>
            <w:tr w14:paraId="360B5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80" w:type="dxa"/>
                  <w:tcBorders>
                    <w:tl2br w:val="nil"/>
                    <w:tr2bl w:val="nil"/>
                  </w:tcBorders>
                  <w:noWrap/>
                  <w:vAlign w:val="center"/>
                </w:tcPr>
                <w:p w14:paraId="1E677572">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ascii="Times New Roman" w:hAnsi="宋体" w:eastAsia="宋体" w:cs="Times New Roman"/>
                      <w:color w:val="auto"/>
                      <w:kern w:val="0"/>
                      <w:sz w:val="18"/>
                      <w:szCs w:val="18"/>
                    </w:rPr>
                    <w:t>废</w:t>
                  </w:r>
                  <w:r>
                    <w:rPr>
                      <w:rFonts w:hint="eastAsia" w:ascii="Times New Roman" w:hAnsi="宋体" w:eastAsia="宋体" w:cs="Times New Roman"/>
                      <w:color w:val="auto"/>
                      <w:kern w:val="0"/>
                      <w:sz w:val="18"/>
                      <w:szCs w:val="18"/>
                      <w:lang w:val="en-US" w:eastAsia="zh-CN"/>
                    </w:rPr>
                    <w:t>润滑</w:t>
                  </w:r>
                  <w:r>
                    <w:rPr>
                      <w:rFonts w:ascii="Times New Roman" w:hAnsi="宋体" w:eastAsia="宋体" w:cs="Times New Roman"/>
                      <w:color w:val="auto"/>
                      <w:kern w:val="0"/>
                      <w:sz w:val="18"/>
                      <w:szCs w:val="18"/>
                    </w:rPr>
                    <w:t>油</w:t>
                  </w:r>
                </w:p>
              </w:tc>
              <w:tc>
                <w:tcPr>
                  <w:tcW w:w="940" w:type="dxa"/>
                  <w:tcBorders>
                    <w:tl2br w:val="nil"/>
                    <w:tr2bl w:val="nil"/>
                  </w:tcBorders>
                  <w:noWrap/>
                  <w:vAlign w:val="center"/>
                </w:tcPr>
                <w:p w14:paraId="7D8CA60B">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ascii="Times New Roman" w:hAnsi="Times New Roman" w:eastAsia="宋体" w:cs="Times New Roman"/>
                      <w:color w:val="auto"/>
                      <w:kern w:val="0"/>
                      <w:sz w:val="18"/>
                      <w:szCs w:val="18"/>
                    </w:rPr>
                    <w:t>HW08</w:t>
                  </w:r>
                </w:p>
              </w:tc>
              <w:tc>
                <w:tcPr>
                  <w:tcW w:w="1150" w:type="dxa"/>
                  <w:tcBorders>
                    <w:tl2br w:val="nil"/>
                    <w:tr2bl w:val="nil"/>
                  </w:tcBorders>
                  <w:noWrap/>
                  <w:vAlign w:val="center"/>
                </w:tcPr>
                <w:p w14:paraId="1422DE87">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ascii="Times New Roman" w:hAnsi="Times New Roman" w:eastAsia="宋体" w:cs="Times New Roman"/>
                      <w:bCs/>
                      <w:color w:val="auto"/>
                      <w:kern w:val="0"/>
                      <w:sz w:val="18"/>
                      <w:szCs w:val="18"/>
                    </w:rPr>
                    <w:t>900-217-08</w:t>
                  </w:r>
                </w:p>
              </w:tc>
              <w:tc>
                <w:tcPr>
                  <w:tcW w:w="810" w:type="dxa"/>
                  <w:tcBorders>
                    <w:tl2br w:val="nil"/>
                    <w:tr2bl w:val="nil"/>
                  </w:tcBorders>
                  <w:noWrap/>
                  <w:vAlign w:val="center"/>
                </w:tcPr>
                <w:p w14:paraId="16EA961A">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rPr>
                    <w:t>1.2</w:t>
                  </w:r>
                </w:p>
              </w:tc>
              <w:tc>
                <w:tcPr>
                  <w:tcW w:w="990" w:type="dxa"/>
                  <w:tcBorders>
                    <w:tl2br w:val="nil"/>
                    <w:tr2bl w:val="nil"/>
                  </w:tcBorders>
                  <w:noWrap/>
                  <w:vAlign w:val="center"/>
                </w:tcPr>
                <w:p w14:paraId="1CED920A">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rPr>
                    <w:t>设备维修</w:t>
                  </w:r>
                </w:p>
              </w:tc>
              <w:tc>
                <w:tcPr>
                  <w:tcW w:w="710" w:type="dxa"/>
                  <w:tcBorders>
                    <w:tl2br w:val="nil"/>
                    <w:tr2bl w:val="nil"/>
                  </w:tcBorders>
                  <w:noWrap/>
                  <w:vAlign w:val="center"/>
                </w:tcPr>
                <w:p w14:paraId="57656F6D">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ascii="Times New Roman" w:hAnsi="宋体" w:eastAsia="宋体" w:cs="Times New Roman"/>
                      <w:color w:val="auto"/>
                      <w:kern w:val="0"/>
                      <w:sz w:val="18"/>
                      <w:szCs w:val="18"/>
                    </w:rPr>
                    <w:t>液态</w:t>
                  </w:r>
                </w:p>
              </w:tc>
              <w:tc>
                <w:tcPr>
                  <w:tcW w:w="660" w:type="dxa"/>
                  <w:tcBorders>
                    <w:tl2br w:val="nil"/>
                    <w:tr2bl w:val="nil"/>
                  </w:tcBorders>
                  <w:noWrap/>
                  <w:vAlign w:val="center"/>
                </w:tcPr>
                <w:p w14:paraId="711AC9AF">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宋体"/>
                      <w:color w:val="auto"/>
                      <w:kern w:val="0"/>
                      <w:sz w:val="18"/>
                      <w:szCs w:val="18"/>
                      <w:lang w:bidi="ar"/>
                    </w:rPr>
                    <w:t>T/I</w:t>
                  </w:r>
                </w:p>
              </w:tc>
              <w:tc>
                <w:tcPr>
                  <w:tcW w:w="1916" w:type="dxa"/>
                  <w:vMerge w:val="restart"/>
                  <w:tcBorders>
                    <w:tl2br w:val="nil"/>
                    <w:tr2bl w:val="nil"/>
                  </w:tcBorders>
                  <w:noWrap/>
                  <w:vAlign w:val="center"/>
                </w:tcPr>
                <w:p w14:paraId="0128A936">
                  <w:pPr>
                    <w:widowControl/>
                    <w:spacing w:line="240" w:lineRule="auto"/>
                    <w:ind w:firstLine="0" w:firstLineChars="0"/>
                    <w:jc w:val="left"/>
                    <w:rPr>
                      <w:rFonts w:ascii="Times New Roman" w:hAnsi="宋体" w:eastAsia="宋体" w:cs="Times New Roman"/>
                      <w:color w:val="auto"/>
                      <w:kern w:val="0"/>
                      <w:sz w:val="18"/>
                      <w:szCs w:val="18"/>
                    </w:rPr>
                  </w:pPr>
                  <w:r>
                    <w:rPr>
                      <w:rFonts w:hint="eastAsia" w:ascii="宋体" w:hAnsi="宋体" w:eastAsia="宋体" w:cs="宋体"/>
                      <w:color w:val="auto"/>
                      <w:kern w:val="0"/>
                      <w:sz w:val="18"/>
                      <w:szCs w:val="18"/>
                      <w:lang w:bidi="ar"/>
                    </w:rPr>
                    <w:t>密封桶装，暂存于</w:t>
                  </w:r>
                  <w:r>
                    <w:rPr>
                      <w:rFonts w:hint="eastAsia" w:ascii="宋体" w:hAnsi="宋体" w:eastAsia="宋体" w:cs="宋体"/>
                      <w:color w:val="auto"/>
                      <w:kern w:val="0"/>
                      <w:sz w:val="18"/>
                      <w:szCs w:val="18"/>
                      <w:lang w:eastAsia="zh-CN" w:bidi="ar"/>
                    </w:rPr>
                    <w:t>危废贮存库</w:t>
                  </w:r>
                  <w:r>
                    <w:rPr>
                      <w:rFonts w:hint="eastAsia" w:ascii="宋体" w:hAnsi="宋体" w:eastAsia="宋体" w:cs="宋体"/>
                      <w:color w:val="auto"/>
                      <w:kern w:val="0"/>
                      <w:sz w:val="18"/>
                      <w:szCs w:val="18"/>
                      <w:lang w:bidi="ar"/>
                    </w:rPr>
                    <w:t>，定期交有资质的危废处置单位处置。</w:t>
                  </w:r>
                </w:p>
              </w:tc>
            </w:tr>
            <w:tr w14:paraId="68BED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80" w:type="dxa"/>
                  <w:tcBorders>
                    <w:tl2br w:val="nil"/>
                    <w:tr2bl w:val="nil"/>
                  </w:tcBorders>
                  <w:noWrap/>
                  <w:vAlign w:val="center"/>
                </w:tcPr>
                <w:p w14:paraId="68FCA3F9">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废油桶</w:t>
                  </w:r>
                </w:p>
              </w:tc>
              <w:tc>
                <w:tcPr>
                  <w:tcW w:w="940" w:type="dxa"/>
                  <w:tcBorders>
                    <w:tl2br w:val="nil"/>
                    <w:tr2bl w:val="nil"/>
                  </w:tcBorders>
                  <w:noWrap/>
                  <w:vAlign w:val="center"/>
                </w:tcPr>
                <w:p w14:paraId="225B70B4">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rPr>
                    <w:t>HW</w:t>
                  </w:r>
                  <w:r>
                    <w:rPr>
                      <w:rFonts w:hint="eastAsia" w:ascii="Times New Roman" w:hAnsi="Times New Roman" w:eastAsia="宋体" w:cs="Times New Roman"/>
                      <w:color w:val="auto"/>
                      <w:kern w:val="0"/>
                      <w:sz w:val="18"/>
                      <w:szCs w:val="18"/>
                      <w:lang w:val="en-US" w:eastAsia="zh-CN"/>
                    </w:rPr>
                    <w:t>08</w:t>
                  </w:r>
                </w:p>
              </w:tc>
              <w:tc>
                <w:tcPr>
                  <w:tcW w:w="1150" w:type="dxa"/>
                  <w:tcBorders>
                    <w:tl2br w:val="nil"/>
                    <w:tr2bl w:val="nil"/>
                  </w:tcBorders>
                  <w:noWrap/>
                  <w:vAlign w:val="center"/>
                </w:tcPr>
                <w:p w14:paraId="395DDEE7">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rPr>
                    <w:t>900-249-08</w:t>
                  </w:r>
                </w:p>
              </w:tc>
              <w:tc>
                <w:tcPr>
                  <w:tcW w:w="810" w:type="dxa"/>
                  <w:tcBorders>
                    <w:tl2br w:val="nil"/>
                    <w:tr2bl w:val="nil"/>
                  </w:tcBorders>
                  <w:noWrap/>
                  <w:vAlign w:val="center"/>
                </w:tcPr>
                <w:p w14:paraId="5C6D8113">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0.5</w:t>
                  </w:r>
                </w:p>
              </w:tc>
              <w:tc>
                <w:tcPr>
                  <w:tcW w:w="990" w:type="dxa"/>
                  <w:tcBorders>
                    <w:tl2br w:val="nil"/>
                    <w:tr2bl w:val="nil"/>
                  </w:tcBorders>
                  <w:noWrap/>
                  <w:vAlign w:val="center"/>
                </w:tcPr>
                <w:p w14:paraId="4AF1706F">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18"/>
                      <w:szCs w:val="18"/>
                    </w:rPr>
                  </w:pPr>
                  <w:r>
                    <w:rPr>
                      <w:rFonts w:hint="eastAsia" w:ascii="Times New Roman" w:hAnsi="宋体" w:eastAsia="宋体" w:cs="Times New Roman"/>
                      <w:color w:val="auto"/>
                      <w:kern w:val="0"/>
                      <w:sz w:val="18"/>
                      <w:szCs w:val="18"/>
                    </w:rPr>
                    <w:t>设备维修</w:t>
                  </w:r>
                </w:p>
              </w:tc>
              <w:tc>
                <w:tcPr>
                  <w:tcW w:w="710" w:type="dxa"/>
                  <w:tcBorders>
                    <w:tl2br w:val="nil"/>
                    <w:tr2bl w:val="nil"/>
                  </w:tcBorders>
                  <w:noWrap/>
                  <w:vAlign w:val="center"/>
                </w:tcPr>
                <w:p w14:paraId="323225A4">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rPr>
                    <w:t>固态</w:t>
                  </w:r>
                </w:p>
              </w:tc>
              <w:tc>
                <w:tcPr>
                  <w:tcW w:w="660" w:type="dxa"/>
                  <w:tcBorders>
                    <w:tl2br w:val="nil"/>
                    <w:tr2bl w:val="nil"/>
                  </w:tcBorders>
                  <w:noWrap/>
                  <w:vAlign w:val="center"/>
                </w:tcPr>
                <w:p w14:paraId="3B459FB3">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宋体"/>
                      <w:color w:val="auto"/>
                      <w:kern w:val="0"/>
                      <w:sz w:val="18"/>
                      <w:szCs w:val="18"/>
                      <w:lang w:bidi="ar"/>
                    </w:rPr>
                    <w:t>T/I</w:t>
                  </w:r>
                </w:p>
              </w:tc>
              <w:tc>
                <w:tcPr>
                  <w:tcW w:w="1916" w:type="dxa"/>
                  <w:vMerge w:val="continue"/>
                  <w:tcBorders>
                    <w:tl2br w:val="nil"/>
                    <w:tr2bl w:val="nil"/>
                  </w:tcBorders>
                  <w:noWrap/>
                  <w:vAlign w:val="center"/>
                </w:tcPr>
                <w:p w14:paraId="511384FC">
                  <w:pPr>
                    <w:widowControl/>
                    <w:spacing w:line="240" w:lineRule="auto"/>
                    <w:ind w:firstLine="0" w:firstLineChars="0"/>
                    <w:jc w:val="left"/>
                    <w:rPr>
                      <w:rFonts w:hint="eastAsia" w:ascii="宋体" w:hAnsi="宋体" w:eastAsia="宋体" w:cs="宋体"/>
                      <w:color w:val="auto"/>
                      <w:kern w:val="0"/>
                      <w:sz w:val="18"/>
                      <w:szCs w:val="18"/>
                      <w:lang w:bidi="ar"/>
                    </w:rPr>
                  </w:pPr>
                </w:p>
              </w:tc>
            </w:tr>
            <w:tr w14:paraId="2177B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80" w:type="dxa"/>
                  <w:tcBorders>
                    <w:tl2br w:val="nil"/>
                    <w:tr2bl w:val="nil"/>
                  </w:tcBorders>
                  <w:noWrap/>
                  <w:vAlign w:val="center"/>
                </w:tcPr>
                <w:p w14:paraId="4B855412">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rPr>
                    <w:t>含油抹布、手套</w:t>
                  </w:r>
                </w:p>
              </w:tc>
              <w:tc>
                <w:tcPr>
                  <w:tcW w:w="940" w:type="dxa"/>
                  <w:tcBorders>
                    <w:tl2br w:val="nil"/>
                    <w:tr2bl w:val="nil"/>
                  </w:tcBorders>
                  <w:noWrap/>
                  <w:vAlign w:val="center"/>
                </w:tcPr>
                <w:p w14:paraId="67439FEE">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rPr>
                    <w:t>HW49</w:t>
                  </w:r>
                </w:p>
              </w:tc>
              <w:tc>
                <w:tcPr>
                  <w:tcW w:w="1150" w:type="dxa"/>
                  <w:tcBorders>
                    <w:tl2br w:val="nil"/>
                    <w:tr2bl w:val="nil"/>
                  </w:tcBorders>
                  <w:noWrap/>
                  <w:vAlign w:val="center"/>
                </w:tcPr>
                <w:p w14:paraId="6E61898D">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rPr>
                    <w:t>900-041-49</w:t>
                  </w:r>
                </w:p>
              </w:tc>
              <w:tc>
                <w:tcPr>
                  <w:tcW w:w="810" w:type="dxa"/>
                  <w:tcBorders>
                    <w:tl2br w:val="nil"/>
                    <w:tr2bl w:val="nil"/>
                  </w:tcBorders>
                  <w:noWrap/>
                  <w:vAlign w:val="center"/>
                </w:tcPr>
                <w:p w14:paraId="5E1924A0">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rPr>
                    <w:t>0.</w:t>
                  </w:r>
                  <w:r>
                    <w:rPr>
                      <w:rFonts w:hint="eastAsia" w:ascii="Times New Roman" w:hAnsi="Times New Roman" w:eastAsia="宋体" w:cs="Times New Roman"/>
                      <w:color w:val="auto"/>
                      <w:kern w:val="0"/>
                      <w:sz w:val="18"/>
                      <w:szCs w:val="18"/>
                      <w:lang w:val="en-US" w:eastAsia="zh-CN"/>
                    </w:rPr>
                    <w:t>01</w:t>
                  </w:r>
                </w:p>
              </w:tc>
              <w:tc>
                <w:tcPr>
                  <w:tcW w:w="990" w:type="dxa"/>
                  <w:tcBorders>
                    <w:tl2br w:val="nil"/>
                    <w:tr2bl w:val="nil"/>
                  </w:tcBorders>
                  <w:noWrap/>
                  <w:vAlign w:val="center"/>
                </w:tcPr>
                <w:p w14:paraId="27DA76F8">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宋体" w:eastAsia="宋体" w:cs="Times New Roman"/>
                      <w:color w:val="auto"/>
                      <w:kern w:val="0"/>
                      <w:sz w:val="18"/>
                      <w:szCs w:val="18"/>
                    </w:rPr>
                    <w:t>设备维修</w:t>
                  </w:r>
                </w:p>
              </w:tc>
              <w:tc>
                <w:tcPr>
                  <w:tcW w:w="710" w:type="dxa"/>
                  <w:tcBorders>
                    <w:tl2br w:val="nil"/>
                    <w:tr2bl w:val="nil"/>
                  </w:tcBorders>
                  <w:noWrap/>
                  <w:vAlign w:val="center"/>
                </w:tcPr>
                <w:p w14:paraId="5F122A69">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rPr>
                    <w:t>固态</w:t>
                  </w:r>
                </w:p>
              </w:tc>
              <w:tc>
                <w:tcPr>
                  <w:tcW w:w="660" w:type="dxa"/>
                  <w:tcBorders>
                    <w:tl2br w:val="nil"/>
                    <w:tr2bl w:val="nil"/>
                  </w:tcBorders>
                  <w:noWrap/>
                  <w:vAlign w:val="center"/>
                </w:tcPr>
                <w:p w14:paraId="1795316A">
                  <w:pPr>
                    <w:autoSpaceDE w:val="0"/>
                    <w:autoSpaceDN w:val="0"/>
                    <w:adjustRightInd w:val="0"/>
                    <w:snapToGrid w:val="0"/>
                    <w:spacing w:line="240" w:lineRule="auto"/>
                    <w:ind w:firstLine="0" w:firstLineChars="0"/>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宋体"/>
                      <w:color w:val="auto"/>
                      <w:kern w:val="0"/>
                      <w:sz w:val="18"/>
                      <w:szCs w:val="18"/>
                      <w:lang w:bidi="ar"/>
                    </w:rPr>
                    <w:t>T/I</w:t>
                  </w:r>
                  <w:r>
                    <w:rPr>
                      <w:rFonts w:hint="eastAsia" w:ascii="Times New Roman" w:hAnsi="Times New Roman" w:eastAsia="宋体" w:cs="宋体"/>
                      <w:color w:val="auto"/>
                      <w:kern w:val="0"/>
                      <w:sz w:val="18"/>
                      <w:szCs w:val="18"/>
                      <w:lang w:val="en-US" w:eastAsia="zh-CN" w:bidi="ar"/>
                    </w:rPr>
                    <w:t>n</w:t>
                  </w:r>
                </w:p>
              </w:tc>
              <w:tc>
                <w:tcPr>
                  <w:tcW w:w="1916" w:type="dxa"/>
                  <w:vMerge w:val="continue"/>
                  <w:tcBorders>
                    <w:tl2br w:val="nil"/>
                    <w:tr2bl w:val="nil"/>
                  </w:tcBorders>
                  <w:noWrap/>
                  <w:vAlign w:val="center"/>
                </w:tcPr>
                <w:p w14:paraId="6DD02201">
                  <w:pPr>
                    <w:autoSpaceDE w:val="0"/>
                    <w:autoSpaceDN w:val="0"/>
                    <w:adjustRightInd w:val="0"/>
                    <w:snapToGrid w:val="0"/>
                    <w:spacing w:line="240" w:lineRule="auto"/>
                    <w:ind w:firstLine="0" w:firstLineChars="0"/>
                    <w:jc w:val="center"/>
                    <w:rPr>
                      <w:rFonts w:ascii="Times New Roman" w:hAnsi="Times New Roman" w:eastAsia="宋体" w:cs="Times New Roman"/>
                      <w:color w:val="auto"/>
                      <w:kern w:val="0"/>
                      <w:sz w:val="18"/>
                      <w:szCs w:val="18"/>
                    </w:rPr>
                  </w:pPr>
                </w:p>
              </w:tc>
            </w:tr>
          </w:tbl>
          <w:p w14:paraId="2A44162A">
            <w:pPr>
              <w:spacing w:line="360" w:lineRule="auto"/>
              <w:ind w:firstLine="482" w:firstLineChars="200"/>
              <w:rPr>
                <w:rFonts w:hint="default"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w:t>
            </w:r>
            <w:r>
              <w:rPr>
                <w:rFonts w:hint="eastAsia" w:ascii="Times New Roman" w:hAnsi="Times New Roman" w:eastAsia="宋体" w:cs="Times New Roman"/>
                <w:b/>
                <w:bCs/>
                <w:color w:val="auto"/>
                <w:kern w:val="0"/>
                <w:sz w:val="24"/>
                <w:szCs w:val="24"/>
                <w:lang w:val="en-US" w:eastAsia="zh-CN"/>
              </w:rPr>
              <w:t>3）生活垃圾</w:t>
            </w:r>
          </w:p>
          <w:p w14:paraId="592B2AB2">
            <w:pPr>
              <w:bidi w:val="0"/>
              <w:rPr>
                <w:rFonts w:hint="default"/>
                <w:color w:val="auto"/>
                <w:highlight w:val="none"/>
              </w:rPr>
            </w:pPr>
            <w:r>
              <w:rPr>
                <w:rFonts w:hint="default" w:ascii="Times New Roman" w:hAnsi="Times New Roman" w:eastAsia="宋体" w:cs="Times New Roman"/>
                <w:color w:val="auto"/>
                <w:spacing w:val="0"/>
                <w:position w:val="0"/>
                <w:sz w:val="24"/>
              </w:rPr>
              <w:t>项目生活垃圾主要为办公区管理者及厂区工人日常产生的生活垃圾。项目全员共计</w:t>
            </w:r>
            <w:r>
              <w:rPr>
                <w:rFonts w:hint="eastAsia" w:ascii="Times New Roman" w:hAnsi="Times New Roman" w:eastAsia="宋体" w:cs="Times New Roman"/>
                <w:color w:val="auto"/>
                <w:spacing w:val="0"/>
                <w:position w:val="0"/>
                <w:sz w:val="24"/>
                <w:lang w:val="en-US" w:eastAsia="zh-CN"/>
              </w:rPr>
              <w:t>60</w:t>
            </w:r>
            <w:r>
              <w:rPr>
                <w:rFonts w:hint="default" w:ascii="Times New Roman" w:hAnsi="Times New Roman" w:eastAsia="宋体" w:cs="Times New Roman"/>
                <w:color w:val="auto"/>
                <w:spacing w:val="0"/>
                <w:position w:val="0"/>
                <w:sz w:val="24"/>
              </w:rPr>
              <w:t>人，年工作3</w:t>
            </w:r>
            <w:r>
              <w:rPr>
                <w:rFonts w:hint="eastAsia" w:ascii="Times New Roman" w:hAnsi="Times New Roman" w:eastAsia="宋体" w:cs="Times New Roman"/>
                <w:color w:val="auto"/>
                <w:spacing w:val="0"/>
                <w:position w:val="0"/>
                <w:sz w:val="24"/>
                <w:lang w:val="en-US" w:eastAsia="zh-CN"/>
              </w:rPr>
              <w:t>3</w:t>
            </w:r>
            <w:r>
              <w:rPr>
                <w:rFonts w:hint="default" w:ascii="Times New Roman" w:hAnsi="Times New Roman" w:eastAsia="宋体" w:cs="Times New Roman"/>
                <w:color w:val="auto"/>
                <w:spacing w:val="0"/>
                <w:position w:val="0"/>
                <w:sz w:val="24"/>
              </w:rPr>
              <w:t>0天，生活垃圾产生量按0.44kg/d•人计（《排放源统计调查产排污核算方法和系数手册》公告2021年第24号中生活源产排污系数手册），则项目生活垃圾产生量为</w:t>
            </w:r>
            <w:r>
              <w:rPr>
                <w:rFonts w:hint="eastAsia" w:ascii="Times New Roman" w:hAnsi="Times New Roman" w:eastAsia="宋体" w:cs="Times New Roman"/>
                <w:color w:val="auto"/>
                <w:spacing w:val="0"/>
                <w:position w:val="0"/>
                <w:sz w:val="24"/>
                <w:lang w:val="en-US" w:eastAsia="zh-CN"/>
              </w:rPr>
              <w:t>8.712</w:t>
            </w:r>
            <w:r>
              <w:rPr>
                <w:rFonts w:hint="default" w:ascii="Times New Roman" w:hAnsi="Times New Roman" w:eastAsia="宋体" w:cs="Times New Roman"/>
                <w:color w:val="auto"/>
                <w:spacing w:val="0"/>
                <w:position w:val="0"/>
                <w:sz w:val="24"/>
              </w:rPr>
              <w:t>t/a。</w:t>
            </w:r>
            <w:r>
              <w:rPr>
                <w:rFonts w:hint="eastAsia" w:ascii="Times New Roman" w:hAnsi="Times New Roman" w:eastAsia="宋体" w:cs="Times New Roman"/>
                <w:color w:val="auto"/>
                <w:spacing w:val="0"/>
                <w:position w:val="0"/>
                <w:sz w:val="24"/>
                <w:lang w:val="en-US" w:eastAsia="zh-CN"/>
              </w:rPr>
              <w:t>厂区设生活垃圾桶，</w:t>
            </w:r>
            <w:r>
              <w:rPr>
                <w:rFonts w:hint="default" w:ascii="Times New Roman" w:hAnsi="Times New Roman" w:eastAsia="宋体" w:cs="Times New Roman"/>
                <w:color w:val="auto"/>
                <w:spacing w:val="0"/>
                <w:position w:val="0"/>
                <w:sz w:val="24"/>
              </w:rPr>
              <w:t>生活垃圾交当地环卫部门定时清运并统一处理。</w:t>
            </w:r>
          </w:p>
          <w:p w14:paraId="7DF2EA87">
            <w:pPr>
              <w:adjustRightInd w:val="0"/>
              <w:snapToGrid w:val="0"/>
              <w:spacing w:line="360" w:lineRule="auto"/>
              <w:ind w:firstLine="480" w:firstLineChars="200"/>
              <w:jc w:val="left"/>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综上所述，本项目运营期固体废物产生及排放情况见下表</w:t>
            </w:r>
            <w:r>
              <w:rPr>
                <w:rFonts w:hint="eastAsia" w:cs="Times New Roman"/>
                <w:bCs/>
                <w:color w:val="auto"/>
                <w:sz w:val="24"/>
                <w:lang w:val="en-US" w:eastAsia="zh-CN"/>
              </w:rPr>
              <w:t>4-18</w:t>
            </w:r>
            <w:r>
              <w:rPr>
                <w:rFonts w:hint="eastAsia" w:ascii="Times New Roman" w:hAnsi="Times New Roman" w:eastAsia="宋体" w:cs="Times New Roman"/>
                <w:bCs/>
                <w:color w:val="auto"/>
                <w:sz w:val="24"/>
              </w:rPr>
              <w:t>。</w:t>
            </w:r>
          </w:p>
          <w:p w14:paraId="4511143D">
            <w:pPr>
              <w:adjustRightInd w:val="0"/>
              <w:snapToGrid w:val="0"/>
              <w:spacing w:line="240" w:lineRule="auto"/>
              <w:ind w:firstLine="0" w:firstLineChars="0"/>
              <w:jc w:val="center"/>
              <w:rPr>
                <w:rFonts w:hint="eastAsia" w:ascii="Times New Roman" w:hAnsi="Times New Roman" w:eastAsia="宋体" w:cs="Times New Roman"/>
                <w:b/>
                <w:snapToGrid w:val="0"/>
                <w:color w:val="auto"/>
                <w:kern w:val="0"/>
                <w:sz w:val="21"/>
                <w:szCs w:val="21"/>
              </w:rPr>
            </w:pPr>
            <w:r>
              <w:rPr>
                <w:rFonts w:hint="eastAsia" w:ascii="Times New Roman" w:hAnsi="Times New Roman" w:eastAsia="宋体" w:cs="Times New Roman"/>
                <w:b/>
                <w:snapToGrid w:val="0"/>
                <w:color w:val="auto"/>
                <w:kern w:val="0"/>
                <w:sz w:val="21"/>
                <w:szCs w:val="21"/>
              </w:rPr>
              <w:t>表4</w:t>
            </w:r>
            <w:r>
              <w:rPr>
                <w:rFonts w:ascii="Times New Roman" w:hAnsi="Times New Roman" w:eastAsia="宋体" w:cs="Times New Roman"/>
                <w:b/>
                <w:snapToGrid w:val="0"/>
                <w:color w:val="auto"/>
                <w:kern w:val="0"/>
                <w:sz w:val="21"/>
                <w:szCs w:val="21"/>
              </w:rPr>
              <w:t>-</w:t>
            </w:r>
            <w:r>
              <w:rPr>
                <w:rFonts w:hint="eastAsia" w:cs="Times New Roman"/>
                <w:b/>
                <w:snapToGrid w:val="0"/>
                <w:color w:val="auto"/>
                <w:kern w:val="0"/>
                <w:sz w:val="21"/>
                <w:szCs w:val="21"/>
                <w:lang w:val="en-US" w:eastAsia="zh-CN"/>
              </w:rPr>
              <w:t>18</w:t>
            </w:r>
            <w:r>
              <w:rPr>
                <w:rFonts w:ascii="Times New Roman" w:hAnsi="Times New Roman" w:eastAsia="宋体" w:cs="Times New Roman"/>
                <w:b/>
                <w:snapToGrid w:val="0"/>
                <w:color w:val="auto"/>
                <w:kern w:val="0"/>
                <w:sz w:val="21"/>
                <w:szCs w:val="21"/>
              </w:rPr>
              <w:t xml:space="preserve">  </w:t>
            </w:r>
            <w:r>
              <w:rPr>
                <w:rFonts w:hint="eastAsia" w:ascii="Times New Roman" w:hAnsi="Times New Roman" w:eastAsia="宋体" w:cs="Times New Roman"/>
                <w:b/>
                <w:snapToGrid w:val="0"/>
                <w:color w:val="auto"/>
                <w:kern w:val="0"/>
                <w:sz w:val="21"/>
                <w:szCs w:val="21"/>
              </w:rPr>
              <w:t>本项目</w:t>
            </w:r>
            <w:r>
              <w:rPr>
                <w:rFonts w:hint="eastAsia" w:ascii="Times New Roman" w:hAnsi="Times New Roman" w:eastAsia="宋体" w:cs="Times New Roman"/>
                <w:b/>
                <w:snapToGrid w:val="0"/>
                <w:color w:val="auto"/>
                <w:kern w:val="0"/>
                <w:sz w:val="21"/>
                <w:szCs w:val="21"/>
                <w:lang w:val="en-US" w:eastAsia="zh-CN"/>
              </w:rPr>
              <w:t>运营期</w:t>
            </w:r>
            <w:r>
              <w:rPr>
                <w:rFonts w:hint="eastAsia" w:ascii="Times New Roman" w:hAnsi="Times New Roman" w:eastAsia="宋体" w:cs="Times New Roman"/>
                <w:b/>
                <w:snapToGrid w:val="0"/>
                <w:color w:val="auto"/>
                <w:kern w:val="0"/>
                <w:sz w:val="21"/>
                <w:szCs w:val="21"/>
              </w:rPr>
              <w:t>固体废物的产生及处置情况    （单位：t/a）</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58"/>
              <w:gridCol w:w="1513"/>
              <w:gridCol w:w="1368"/>
              <w:gridCol w:w="1323"/>
              <w:gridCol w:w="829"/>
              <w:gridCol w:w="2151"/>
            </w:tblGrid>
            <w:tr w14:paraId="145F6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6" w:hRule="atLeast"/>
                <w:jc w:val="center"/>
              </w:trPr>
              <w:tc>
                <w:tcPr>
                  <w:tcW w:w="588" w:type="pct"/>
                  <w:tcBorders>
                    <w:tl2br w:val="nil"/>
                    <w:tr2bl w:val="nil"/>
                  </w:tcBorders>
                  <w:noWrap w:val="0"/>
                  <w:vAlign w:val="center"/>
                </w:tcPr>
                <w:p w14:paraId="7C87F6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lang w:val="en-US" w:eastAsia="zh-CN" w:bidi="ar-SA"/>
                    </w:rPr>
                  </w:pPr>
                  <w:r>
                    <w:rPr>
                      <w:rFonts w:ascii="Times New Roman" w:hAnsi="宋体" w:eastAsia="宋体" w:cs="Times New Roman"/>
                      <w:b/>
                      <w:color w:val="auto"/>
                      <w:kern w:val="0"/>
                      <w:sz w:val="21"/>
                      <w:szCs w:val="21"/>
                      <w:lang w:val="en-US" w:eastAsia="zh-CN" w:bidi="ar-SA"/>
                    </w:rPr>
                    <w:t>分类</w:t>
                  </w:r>
                </w:p>
              </w:tc>
              <w:tc>
                <w:tcPr>
                  <w:tcW w:w="929" w:type="pct"/>
                  <w:tcBorders>
                    <w:tl2br w:val="nil"/>
                    <w:tr2bl w:val="nil"/>
                  </w:tcBorders>
                  <w:noWrap w:val="0"/>
                  <w:vAlign w:val="center"/>
                </w:tcPr>
                <w:p w14:paraId="555E1A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lang w:val="en-US" w:eastAsia="zh-CN" w:bidi="ar-SA"/>
                    </w:rPr>
                  </w:pPr>
                  <w:r>
                    <w:rPr>
                      <w:rFonts w:ascii="Times New Roman" w:hAnsi="宋体" w:eastAsia="宋体" w:cs="Times New Roman"/>
                      <w:b/>
                      <w:color w:val="auto"/>
                      <w:kern w:val="0"/>
                      <w:sz w:val="21"/>
                      <w:szCs w:val="21"/>
                      <w:lang w:val="en-US" w:eastAsia="zh-CN" w:bidi="ar-SA"/>
                    </w:rPr>
                    <w:t>固废名称</w:t>
                  </w:r>
                </w:p>
              </w:tc>
              <w:tc>
                <w:tcPr>
                  <w:tcW w:w="840" w:type="pct"/>
                  <w:tcBorders>
                    <w:tl2br w:val="nil"/>
                    <w:tr2bl w:val="nil"/>
                  </w:tcBorders>
                  <w:noWrap w:val="0"/>
                  <w:vAlign w:val="center"/>
                </w:tcPr>
                <w:p w14:paraId="57616A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lang w:val="en-US" w:eastAsia="zh-CN" w:bidi="ar-SA"/>
                    </w:rPr>
                  </w:pPr>
                  <w:r>
                    <w:rPr>
                      <w:rFonts w:ascii="Times New Roman" w:hAnsi="宋体" w:eastAsia="宋体" w:cs="Times New Roman"/>
                      <w:b/>
                      <w:color w:val="auto"/>
                      <w:kern w:val="0"/>
                      <w:sz w:val="21"/>
                      <w:szCs w:val="21"/>
                      <w:lang w:val="en-US" w:eastAsia="zh-CN" w:bidi="ar-SA"/>
                    </w:rPr>
                    <w:t>产生量</w:t>
                  </w:r>
                </w:p>
              </w:tc>
              <w:tc>
                <w:tcPr>
                  <w:tcW w:w="812" w:type="pct"/>
                  <w:tcBorders>
                    <w:tl2br w:val="nil"/>
                    <w:tr2bl w:val="nil"/>
                  </w:tcBorders>
                  <w:noWrap w:val="0"/>
                  <w:vAlign w:val="center"/>
                </w:tcPr>
                <w:p w14:paraId="52BBCB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lang w:val="en-US" w:eastAsia="zh-CN" w:bidi="ar-SA"/>
                    </w:rPr>
                  </w:pPr>
                  <w:r>
                    <w:rPr>
                      <w:rFonts w:ascii="Times New Roman" w:hAnsi="宋体" w:eastAsia="宋体" w:cs="Times New Roman"/>
                      <w:b/>
                      <w:color w:val="auto"/>
                      <w:kern w:val="0"/>
                      <w:sz w:val="21"/>
                      <w:szCs w:val="21"/>
                      <w:lang w:val="en-US" w:eastAsia="zh-CN" w:bidi="ar-SA"/>
                    </w:rPr>
                    <w:t>利用</w:t>
                  </w:r>
                  <w:r>
                    <w:rPr>
                      <w:rFonts w:ascii="Times New Roman" w:hAnsi="Times New Roman" w:eastAsia="宋体" w:cs="Times New Roman"/>
                      <w:b/>
                      <w:color w:val="auto"/>
                      <w:kern w:val="0"/>
                      <w:sz w:val="21"/>
                      <w:szCs w:val="21"/>
                      <w:lang w:val="en-US" w:eastAsia="zh-CN" w:bidi="ar-SA"/>
                    </w:rPr>
                    <w:t>/</w:t>
                  </w:r>
                  <w:r>
                    <w:rPr>
                      <w:rFonts w:ascii="Times New Roman" w:hAnsi="宋体" w:eastAsia="宋体" w:cs="Times New Roman"/>
                      <w:b/>
                      <w:color w:val="auto"/>
                      <w:kern w:val="0"/>
                      <w:sz w:val="21"/>
                      <w:szCs w:val="21"/>
                      <w:lang w:val="en-US" w:eastAsia="zh-CN" w:bidi="ar-SA"/>
                    </w:rPr>
                    <w:t>处置量</w:t>
                  </w:r>
                </w:p>
              </w:tc>
              <w:tc>
                <w:tcPr>
                  <w:tcW w:w="509" w:type="pct"/>
                  <w:tcBorders>
                    <w:tl2br w:val="nil"/>
                    <w:tr2bl w:val="nil"/>
                  </w:tcBorders>
                  <w:noWrap w:val="0"/>
                  <w:vAlign w:val="center"/>
                </w:tcPr>
                <w:p w14:paraId="157FF7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lang w:val="en-US" w:eastAsia="zh-CN" w:bidi="ar-SA"/>
                    </w:rPr>
                  </w:pPr>
                  <w:r>
                    <w:rPr>
                      <w:rFonts w:ascii="Times New Roman" w:hAnsi="宋体" w:eastAsia="宋体" w:cs="Times New Roman"/>
                      <w:b/>
                      <w:color w:val="auto"/>
                      <w:kern w:val="0"/>
                      <w:sz w:val="21"/>
                      <w:szCs w:val="21"/>
                      <w:lang w:val="en-US" w:eastAsia="zh-CN" w:bidi="ar-SA"/>
                    </w:rPr>
                    <w:t>排放量</w:t>
                  </w:r>
                </w:p>
              </w:tc>
              <w:tc>
                <w:tcPr>
                  <w:tcW w:w="1320" w:type="pct"/>
                  <w:tcBorders>
                    <w:tl2br w:val="nil"/>
                    <w:tr2bl w:val="nil"/>
                  </w:tcBorders>
                  <w:noWrap w:val="0"/>
                  <w:vAlign w:val="center"/>
                </w:tcPr>
                <w:p w14:paraId="70DF59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color w:val="auto"/>
                      <w:kern w:val="0"/>
                      <w:sz w:val="21"/>
                      <w:szCs w:val="21"/>
                      <w:lang w:val="en-US" w:eastAsia="zh-CN" w:bidi="ar-SA"/>
                    </w:rPr>
                  </w:pPr>
                  <w:r>
                    <w:rPr>
                      <w:rFonts w:ascii="Times New Roman" w:hAnsi="宋体" w:eastAsia="宋体" w:cs="Times New Roman"/>
                      <w:b/>
                      <w:color w:val="auto"/>
                      <w:kern w:val="0"/>
                      <w:sz w:val="21"/>
                      <w:szCs w:val="21"/>
                      <w:lang w:val="en-US" w:eastAsia="zh-CN" w:bidi="ar-SA"/>
                    </w:rPr>
                    <w:t>利用</w:t>
                  </w:r>
                  <w:r>
                    <w:rPr>
                      <w:rFonts w:ascii="Times New Roman" w:hAnsi="Times New Roman" w:eastAsia="宋体" w:cs="Times New Roman"/>
                      <w:b/>
                      <w:color w:val="auto"/>
                      <w:kern w:val="0"/>
                      <w:sz w:val="21"/>
                      <w:szCs w:val="21"/>
                      <w:lang w:val="en-US" w:eastAsia="zh-CN" w:bidi="ar-SA"/>
                    </w:rPr>
                    <w:t>/</w:t>
                  </w:r>
                  <w:r>
                    <w:rPr>
                      <w:rFonts w:ascii="Times New Roman" w:hAnsi="宋体" w:eastAsia="宋体" w:cs="Times New Roman"/>
                      <w:b/>
                      <w:color w:val="auto"/>
                      <w:kern w:val="0"/>
                      <w:sz w:val="21"/>
                      <w:szCs w:val="21"/>
                      <w:lang w:val="en-US" w:eastAsia="zh-CN" w:bidi="ar-SA"/>
                    </w:rPr>
                    <w:t>处置途径</w:t>
                  </w:r>
                </w:p>
              </w:tc>
            </w:tr>
            <w:tr w14:paraId="1294F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6" w:hRule="atLeast"/>
                <w:jc w:val="center"/>
              </w:trPr>
              <w:tc>
                <w:tcPr>
                  <w:tcW w:w="588" w:type="pct"/>
                  <w:vMerge w:val="restart"/>
                  <w:tcBorders>
                    <w:tl2br w:val="nil"/>
                    <w:tr2bl w:val="nil"/>
                  </w:tcBorders>
                  <w:noWrap w:val="0"/>
                  <w:vAlign w:val="center"/>
                </w:tcPr>
                <w:p w14:paraId="1A2BC9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一般工业固废</w:t>
                  </w:r>
                </w:p>
              </w:tc>
              <w:tc>
                <w:tcPr>
                  <w:tcW w:w="929" w:type="pct"/>
                  <w:tcBorders>
                    <w:tl2br w:val="nil"/>
                    <w:tr2bl w:val="nil"/>
                  </w:tcBorders>
                  <w:noWrap w:val="0"/>
                  <w:vAlign w:val="center"/>
                </w:tcPr>
                <w:p w14:paraId="5AA3EF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废旧滤筒</w:t>
                  </w:r>
                </w:p>
              </w:tc>
              <w:tc>
                <w:tcPr>
                  <w:tcW w:w="840" w:type="pct"/>
                  <w:tcBorders>
                    <w:tl2br w:val="nil"/>
                    <w:tr2bl w:val="nil"/>
                  </w:tcBorders>
                  <w:noWrap w:val="0"/>
                  <w:vAlign w:val="center"/>
                </w:tcPr>
                <w:p w14:paraId="40711B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1.25</w:t>
                  </w:r>
                  <w:r>
                    <w:rPr>
                      <w:rFonts w:hint="eastAsia" w:ascii="Times New Roman" w:hAnsi="Times New Roman" w:eastAsia="宋体" w:cs="Times New Roman"/>
                      <w:b w:val="0"/>
                      <w:bCs w:val="0"/>
                      <w:snapToGrid w:val="0"/>
                      <w:color w:val="auto"/>
                      <w:kern w:val="21"/>
                      <w:sz w:val="21"/>
                      <w:szCs w:val="21"/>
                      <w:highlight w:val="none"/>
                      <w:lang w:val="en-US" w:eastAsia="zh-CN" w:bidi="ar-SA"/>
                    </w:rPr>
                    <w:t>t/</w:t>
                  </w:r>
                  <w:r>
                    <w:rPr>
                      <w:rFonts w:hint="eastAsia" w:cs="Times New Roman"/>
                      <w:b w:val="0"/>
                      <w:bCs w:val="0"/>
                      <w:snapToGrid w:val="0"/>
                      <w:color w:val="auto"/>
                      <w:kern w:val="21"/>
                      <w:sz w:val="21"/>
                      <w:szCs w:val="21"/>
                      <w:highlight w:val="none"/>
                      <w:lang w:val="en-US" w:eastAsia="zh-CN" w:bidi="ar-SA"/>
                    </w:rPr>
                    <w:t>4年·</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c>
                <w:tcPr>
                  <w:tcW w:w="1323" w:type="dxa"/>
                  <w:tcBorders>
                    <w:tl2br w:val="nil"/>
                    <w:tr2bl w:val="nil"/>
                  </w:tcBorders>
                  <w:noWrap w:val="0"/>
                  <w:vAlign w:val="center"/>
                </w:tcPr>
                <w:p w14:paraId="7C583F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rPr>
                  </w:pPr>
                  <w:r>
                    <w:rPr>
                      <w:rFonts w:hint="eastAsia" w:cs="Times New Roman"/>
                      <w:color w:val="auto"/>
                      <w:kern w:val="0"/>
                      <w:sz w:val="21"/>
                      <w:szCs w:val="21"/>
                      <w:lang w:val="en-US" w:eastAsia="zh-CN"/>
                    </w:rPr>
                    <w:t>1.25</w:t>
                  </w:r>
                  <w:r>
                    <w:rPr>
                      <w:rFonts w:hint="eastAsia" w:ascii="Times New Roman" w:hAnsi="Times New Roman" w:eastAsia="宋体" w:cs="Times New Roman"/>
                      <w:b w:val="0"/>
                      <w:bCs w:val="0"/>
                      <w:snapToGrid w:val="0"/>
                      <w:color w:val="auto"/>
                      <w:kern w:val="21"/>
                      <w:sz w:val="21"/>
                      <w:szCs w:val="21"/>
                      <w:highlight w:val="none"/>
                      <w:lang w:val="en-US" w:eastAsia="zh-CN" w:bidi="ar-SA"/>
                    </w:rPr>
                    <w:t>t/</w:t>
                  </w:r>
                  <w:r>
                    <w:rPr>
                      <w:rFonts w:hint="eastAsia" w:cs="Times New Roman"/>
                      <w:b w:val="0"/>
                      <w:bCs w:val="0"/>
                      <w:snapToGrid w:val="0"/>
                      <w:color w:val="auto"/>
                      <w:kern w:val="21"/>
                      <w:sz w:val="21"/>
                      <w:szCs w:val="21"/>
                      <w:highlight w:val="none"/>
                      <w:lang w:val="en-US" w:eastAsia="zh-CN" w:bidi="ar-SA"/>
                    </w:rPr>
                    <w:t>4年·</w:t>
                  </w:r>
                  <w:r>
                    <w:rPr>
                      <w:rFonts w:hint="eastAsia" w:ascii="Times New Roman" w:hAnsi="Times New Roman" w:eastAsia="宋体" w:cs="Times New Roman"/>
                      <w:b w:val="0"/>
                      <w:bCs w:val="0"/>
                      <w:snapToGrid w:val="0"/>
                      <w:color w:val="auto"/>
                      <w:kern w:val="21"/>
                      <w:sz w:val="21"/>
                      <w:szCs w:val="21"/>
                      <w:highlight w:val="none"/>
                      <w:lang w:val="en-US" w:eastAsia="zh-CN" w:bidi="ar-SA"/>
                    </w:rPr>
                    <w:t>a</w:t>
                  </w:r>
                </w:p>
              </w:tc>
              <w:tc>
                <w:tcPr>
                  <w:tcW w:w="509" w:type="pct"/>
                  <w:tcBorders>
                    <w:tl2br w:val="nil"/>
                    <w:tr2bl w:val="nil"/>
                  </w:tcBorders>
                  <w:noWrap w:val="0"/>
                  <w:vAlign w:val="center"/>
                </w:tcPr>
                <w:p w14:paraId="44DD9D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0</w:t>
                  </w:r>
                </w:p>
              </w:tc>
              <w:tc>
                <w:tcPr>
                  <w:tcW w:w="1320" w:type="pct"/>
                  <w:vMerge w:val="restart"/>
                  <w:tcBorders>
                    <w:tl2br w:val="nil"/>
                    <w:tr2bl w:val="nil"/>
                  </w:tcBorders>
                  <w:noWrap w:val="0"/>
                  <w:vAlign w:val="center"/>
                </w:tcPr>
                <w:p w14:paraId="7A4621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统一收集至一般固废暂存区暂存，由</w:t>
                  </w:r>
                  <w:r>
                    <w:rPr>
                      <w:rFonts w:hint="eastAsia" w:ascii="Times New Roman" w:hAnsi="宋体" w:eastAsia="宋体" w:cs="Times New Roman"/>
                      <w:color w:val="auto"/>
                      <w:kern w:val="0"/>
                      <w:sz w:val="21"/>
                      <w:szCs w:val="21"/>
                      <w:lang w:val="en-US" w:eastAsia="zh-CN" w:bidi="ar-SA"/>
                    </w:rPr>
                    <w:t>厂家更换后回收</w:t>
                  </w:r>
                </w:p>
              </w:tc>
            </w:tr>
            <w:tr w14:paraId="21364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6" w:hRule="atLeast"/>
                <w:jc w:val="center"/>
              </w:trPr>
              <w:tc>
                <w:tcPr>
                  <w:tcW w:w="588" w:type="pct"/>
                  <w:vMerge w:val="continue"/>
                  <w:tcBorders>
                    <w:tl2br w:val="nil"/>
                    <w:tr2bl w:val="nil"/>
                  </w:tcBorders>
                  <w:noWrap w:val="0"/>
                  <w:vAlign w:val="center"/>
                </w:tcPr>
                <w:p w14:paraId="2A3D2A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929" w:type="pct"/>
                  <w:tcBorders>
                    <w:tl2br w:val="nil"/>
                    <w:tr2bl w:val="nil"/>
                  </w:tcBorders>
                  <w:shd w:val="clear" w:color="auto" w:fill="auto"/>
                  <w:noWrap w:val="0"/>
                  <w:vAlign w:val="center"/>
                </w:tcPr>
                <w:p w14:paraId="690EE0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废吸附剂</w:t>
                  </w:r>
                  <w:r>
                    <w:rPr>
                      <w:rFonts w:hint="eastAsia" w:ascii="Times New Roman" w:hAnsi="Times New Roman" w:eastAsia="宋体" w:cs="Times New Roman"/>
                      <w:color w:val="auto"/>
                      <w:kern w:val="0"/>
                      <w:sz w:val="21"/>
                      <w:szCs w:val="21"/>
                      <w:highlight w:val="none"/>
                      <w:lang w:val="en-US" w:eastAsia="zh-CN" w:bidi="ar-SA"/>
                    </w:rPr>
                    <w:t>（分子筛和氧化铝）</w:t>
                  </w:r>
                </w:p>
              </w:tc>
              <w:tc>
                <w:tcPr>
                  <w:tcW w:w="840" w:type="pct"/>
                  <w:tcBorders>
                    <w:tl2br w:val="nil"/>
                    <w:tr2bl w:val="nil"/>
                  </w:tcBorders>
                  <w:shd w:val="clear" w:color="auto" w:fill="auto"/>
                  <w:noWrap w:val="0"/>
                  <w:vAlign w:val="center"/>
                </w:tcPr>
                <w:p w14:paraId="284ABF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lang w:val="en-US" w:eastAsia="zh-CN"/>
                    </w:rPr>
                    <w:t>14.7</w:t>
                  </w:r>
                  <w:r>
                    <w:rPr>
                      <w:rFonts w:hint="eastAsia" w:ascii="Times New Roman" w:hAnsi="Times New Roman" w:eastAsia="宋体" w:cs="Times New Roman"/>
                      <w:color w:val="auto"/>
                      <w:kern w:val="0"/>
                      <w:sz w:val="21"/>
                      <w:szCs w:val="21"/>
                      <w:lang w:val="en-US" w:eastAsia="zh-CN"/>
                    </w:rPr>
                    <w:t>t/</w:t>
                  </w:r>
                  <w:r>
                    <w:rPr>
                      <w:rFonts w:hint="eastAsia" w:cs="Times New Roman"/>
                      <w:color w:val="auto"/>
                      <w:kern w:val="0"/>
                      <w:sz w:val="21"/>
                      <w:szCs w:val="21"/>
                      <w:lang w:val="en-US" w:eastAsia="zh-CN"/>
                    </w:rPr>
                    <w:t>8年·</w:t>
                  </w:r>
                  <w:r>
                    <w:rPr>
                      <w:rFonts w:hint="eastAsia" w:ascii="Times New Roman" w:hAnsi="Times New Roman" w:eastAsia="宋体" w:cs="Times New Roman"/>
                      <w:color w:val="auto"/>
                      <w:kern w:val="0"/>
                      <w:sz w:val="21"/>
                      <w:szCs w:val="21"/>
                      <w:lang w:val="en-US" w:eastAsia="zh-CN"/>
                    </w:rPr>
                    <w:t>次</w:t>
                  </w:r>
                </w:p>
              </w:tc>
              <w:tc>
                <w:tcPr>
                  <w:tcW w:w="1323" w:type="dxa"/>
                  <w:tcBorders>
                    <w:tl2br w:val="nil"/>
                    <w:tr2bl w:val="nil"/>
                  </w:tcBorders>
                  <w:shd w:val="clear" w:color="auto" w:fill="auto"/>
                  <w:noWrap w:val="0"/>
                  <w:vAlign w:val="center"/>
                </w:tcPr>
                <w:p w14:paraId="51BEAA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lang w:val="en-US" w:eastAsia="zh-CN"/>
                    </w:rPr>
                    <w:t>14.7</w:t>
                  </w:r>
                  <w:r>
                    <w:rPr>
                      <w:rFonts w:hint="eastAsia" w:ascii="Times New Roman" w:hAnsi="Times New Roman" w:eastAsia="宋体" w:cs="Times New Roman"/>
                      <w:color w:val="auto"/>
                      <w:kern w:val="0"/>
                      <w:sz w:val="21"/>
                      <w:szCs w:val="21"/>
                      <w:lang w:val="en-US" w:eastAsia="zh-CN"/>
                    </w:rPr>
                    <w:t>t/</w:t>
                  </w:r>
                  <w:r>
                    <w:rPr>
                      <w:rFonts w:hint="eastAsia" w:cs="Times New Roman"/>
                      <w:color w:val="auto"/>
                      <w:kern w:val="0"/>
                      <w:sz w:val="21"/>
                      <w:szCs w:val="21"/>
                      <w:lang w:val="en-US" w:eastAsia="zh-CN"/>
                    </w:rPr>
                    <w:t>8年·</w:t>
                  </w:r>
                  <w:r>
                    <w:rPr>
                      <w:rFonts w:hint="eastAsia" w:ascii="Times New Roman" w:hAnsi="Times New Roman" w:eastAsia="宋体" w:cs="Times New Roman"/>
                      <w:color w:val="auto"/>
                      <w:kern w:val="0"/>
                      <w:sz w:val="21"/>
                      <w:szCs w:val="21"/>
                      <w:lang w:val="en-US" w:eastAsia="zh-CN"/>
                    </w:rPr>
                    <w:t>次</w:t>
                  </w:r>
                </w:p>
              </w:tc>
              <w:tc>
                <w:tcPr>
                  <w:tcW w:w="509" w:type="pct"/>
                  <w:tcBorders>
                    <w:tl2br w:val="nil"/>
                    <w:tr2bl w:val="nil"/>
                  </w:tcBorders>
                  <w:shd w:val="clear" w:color="auto" w:fill="auto"/>
                  <w:noWrap w:val="0"/>
                  <w:vAlign w:val="center"/>
                </w:tcPr>
                <w:p w14:paraId="0B181F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w:t>
                  </w:r>
                </w:p>
              </w:tc>
              <w:tc>
                <w:tcPr>
                  <w:tcW w:w="1320" w:type="pct"/>
                  <w:vMerge w:val="continue"/>
                  <w:tcBorders>
                    <w:tl2br w:val="nil"/>
                    <w:tr2bl w:val="nil"/>
                  </w:tcBorders>
                  <w:noWrap w:val="0"/>
                  <w:vAlign w:val="center"/>
                </w:tcPr>
                <w:p w14:paraId="09D88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宋体" w:eastAsia="宋体" w:cs="Times New Roman"/>
                      <w:color w:val="auto"/>
                      <w:kern w:val="0"/>
                      <w:sz w:val="21"/>
                      <w:szCs w:val="21"/>
                      <w:lang w:val="en-US" w:eastAsia="zh-CN" w:bidi="ar-SA"/>
                    </w:rPr>
                  </w:pPr>
                </w:p>
              </w:tc>
            </w:tr>
            <w:tr w14:paraId="33C87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6" w:hRule="atLeast"/>
                <w:jc w:val="center"/>
              </w:trPr>
              <w:tc>
                <w:tcPr>
                  <w:tcW w:w="588" w:type="pct"/>
                  <w:vMerge w:val="continue"/>
                  <w:tcBorders>
                    <w:tl2br w:val="nil"/>
                    <w:tr2bl w:val="nil"/>
                  </w:tcBorders>
                  <w:noWrap w:val="0"/>
                  <w:vAlign w:val="center"/>
                </w:tcPr>
                <w:p w14:paraId="2E565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929" w:type="pct"/>
                  <w:tcBorders>
                    <w:tl2br w:val="nil"/>
                    <w:tr2bl w:val="nil"/>
                  </w:tcBorders>
                  <w:noWrap w:val="0"/>
                  <w:vAlign w:val="center"/>
                </w:tcPr>
                <w:p w14:paraId="520F2A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废珠光砂</w:t>
                  </w:r>
                </w:p>
              </w:tc>
              <w:tc>
                <w:tcPr>
                  <w:tcW w:w="840" w:type="pct"/>
                  <w:tcBorders>
                    <w:tl2br w:val="nil"/>
                    <w:tr2bl w:val="nil"/>
                  </w:tcBorders>
                  <w:noWrap w:val="0"/>
                  <w:vAlign w:val="center"/>
                </w:tcPr>
                <w:p w14:paraId="308427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lang w:val="en-US" w:eastAsia="zh-CN"/>
                    </w:rPr>
                    <w:t>10t/</w:t>
                  </w:r>
                  <w:r>
                    <w:rPr>
                      <w:rFonts w:hint="eastAsia" w:cs="Times New Roman"/>
                      <w:color w:val="auto"/>
                      <w:kern w:val="0"/>
                      <w:sz w:val="21"/>
                      <w:szCs w:val="21"/>
                      <w:lang w:val="en-US" w:eastAsia="zh-CN"/>
                    </w:rPr>
                    <w:t>8年·</w:t>
                  </w:r>
                  <w:r>
                    <w:rPr>
                      <w:rFonts w:hint="eastAsia" w:ascii="Times New Roman" w:hAnsi="Times New Roman" w:eastAsia="宋体" w:cs="Times New Roman"/>
                      <w:color w:val="auto"/>
                      <w:kern w:val="0"/>
                      <w:sz w:val="21"/>
                      <w:szCs w:val="21"/>
                      <w:lang w:val="en-US" w:eastAsia="zh-CN"/>
                    </w:rPr>
                    <w:t>次</w:t>
                  </w:r>
                </w:p>
              </w:tc>
              <w:tc>
                <w:tcPr>
                  <w:tcW w:w="1323" w:type="dxa"/>
                  <w:tcBorders>
                    <w:tl2br w:val="nil"/>
                    <w:tr2bl w:val="nil"/>
                  </w:tcBorders>
                  <w:noWrap w:val="0"/>
                  <w:vAlign w:val="center"/>
                </w:tcPr>
                <w:p w14:paraId="4426A8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lang w:val="en-US" w:eastAsia="zh-CN"/>
                    </w:rPr>
                    <w:t>10t/</w:t>
                  </w:r>
                  <w:r>
                    <w:rPr>
                      <w:rFonts w:hint="eastAsia" w:cs="Times New Roman"/>
                      <w:color w:val="auto"/>
                      <w:kern w:val="0"/>
                      <w:sz w:val="21"/>
                      <w:szCs w:val="21"/>
                      <w:lang w:val="en-US" w:eastAsia="zh-CN"/>
                    </w:rPr>
                    <w:t>8年·</w:t>
                  </w:r>
                  <w:r>
                    <w:rPr>
                      <w:rFonts w:hint="eastAsia" w:ascii="Times New Roman" w:hAnsi="Times New Roman" w:eastAsia="宋体" w:cs="Times New Roman"/>
                      <w:color w:val="auto"/>
                      <w:kern w:val="0"/>
                      <w:sz w:val="21"/>
                      <w:szCs w:val="21"/>
                      <w:lang w:val="en-US" w:eastAsia="zh-CN"/>
                    </w:rPr>
                    <w:t>次</w:t>
                  </w:r>
                </w:p>
              </w:tc>
              <w:tc>
                <w:tcPr>
                  <w:tcW w:w="509" w:type="pct"/>
                  <w:tcBorders>
                    <w:tl2br w:val="nil"/>
                    <w:tr2bl w:val="nil"/>
                  </w:tcBorders>
                  <w:noWrap w:val="0"/>
                  <w:vAlign w:val="center"/>
                </w:tcPr>
                <w:p w14:paraId="3D80E3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w:t>
                  </w:r>
                </w:p>
              </w:tc>
              <w:tc>
                <w:tcPr>
                  <w:tcW w:w="1320" w:type="pct"/>
                  <w:vMerge w:val="continue"/>
                  <w:tcBorders>
                    <w:tl2br w:val="nil"/>
                    <w:tr2bl w:val="nil"/>
                  </w:tcBorders>
                  <w:noWrap w:val="0"/>
                  <w:vAlign w:val="center"/>
                </w:tcPr>
                <w:p w14:paraId="2B9E4E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宋体" w:eastAsia="宋体" w:cs="Times New Roman"/>
                      <w:color w:val="auto"/>
                      <w:kern w:val="0"/>
                      <w:sz w:val="21"/>
                      <w:szCs w:val="21"/>
                      <w:lang w:val="en-US" w:eastAsia="zh-CN" w:bidi="ar-SA"/>
                    </w:rPr>
                  </w:pPr>
                </w:p>
              </w:tc>
            </w:tr>
            <w:tr w14:paraId="10815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6" w:hRule="atLeast"/>
                <w:jc w:val="center"/>
              </w:trPr>
              <w:tc>
                <w:tcPr>
                  <w:tcW w:w="588" w:type="pct"/>
                  <w:vMerge w:val="continue"/>
                  <w:tcBorders>
                    <w:tl2br w:val="nil"/>
                    <w:tr2bl w:val="nil"/>
                  </w:tcBorders>
                  <w:noWrap w:val="0"/>
                  <w:vAlign w:val="center"/>
                </w:tcPr>
                <w:p w14:paraId="50A478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929" w:type="pct"/>
                  <w:tcBorders>
                    <w:tl2br w:val="nil"/>
                    <w:tr2bl w:val="nil"/>
                  </w:tcBorders>
                  <w:noWrap w:val="0"/>
                  <w:vAlign w:val="center"/>
                </w:tcPr>
                <w:p w14:paraId="22905F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废钢瓶</w:t>
                  </w:r>
                </w:p>
              </w:tc>
              <w:tc>
                <w:tcPr>
                  <w:tcW w:w="840" w:type="pct"/>
                  <w:tcBorders>
                    <w:tl2br w:val="nil"/>
                    <w:tr2bl w:val="nil"/>
                  </w:tcBorders>
                  <w:noWrap w:val="0"/>
                  <w:vAlign w:val="center"/>
                </w:tcPr>
                <w:p w14:paraId="1A1F3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04</w:t>
                  </w:r>
                </w:p>
              </w:tc>
              <w:tc>
                <w:tcPr>
                  <w:tcW w:w="812" w:type="pct"/>
                  <w:tcBorders>
                    <w:tl2br w:val="nil"/>
                    <w:tr2bl w:val="nil"/>
                  </w:tcBorders>
                  <w:noWrap w:val="0"/>
                  <w:vAlign w:val="center"/>
                </w:tcPr>
                <w:p w14:paraId="5A1974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0.</w:t>
                  </w:r>
                  <w:r>
                    <w:rPr>
                      <w:rFonts w:hint="eastAsia" w:cs="Times New Roman"/>
                      <w:color w:val="auto"/>
                      <w:kern w:val="0"/>
                      <w:sz w:val="21"/>
                      <w:szCs w:val="21"/>
                      <w:lang w:val="en-US" w:eastAsia="zh-CN"/>
                    </w:rPr>
                    <w:t>04</w:t>
                  </w:r>
                </w:p>
              </w:tc>
              <w:tc>
                <w:tcPr>
                  <w:tcW w:w="509" w:type="pct"/>
                  <w:tcBorders>
                    <w:tl2br w:val="nil"/>
                    <w:tr2bl w:val="nil"/>
                  </w:tcBorders>
                  <w:noWrap w:val="0"/>
                  <w:vAlign w:val="center"/>
                </w:tcPr>
                <w:p w14:paraId="087EA8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w:t>
                  </w:r>
                </w:p>
              </w:tc>
              <w:tc>
                <w:tcPr>
                  <w:tcW w:w="1320" w:type="pct"/>
                  <w:tcBorders>
                    <w:tl2br w:val="nil"/>
                    <w:tr2bl w:val="nil"/>
                  </w:tcBorders>
                  <w:noWrap w:val="0"/>
                  <w:vAlign w:val="center"/>
                </w:tcPr>
                <w:p w14:paraId="02C8D6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统一收集暂存于</w:t>
                  </w:r>
                  <w:r>
                    <w:rPr>
                      <w:rFonts w:hint="eastAsia" w:hAnsi="宋体" w:cs="Times New Roman"/>
                      <w:color w:val="auto"/>
                      <w:kern w:val="0"/>
                      <w:sz w:val="21"/>
                      <w:szCs w:val="21"/>
                      <w:lang w:val="en-US" w:eastAsia="zh-CN" w:bidi="ar-SA"/>
                    </w:rPr>
                    <w:t>一般固废暂存区</w:t>
                  </w:r>
                  <w:r>
                    <w:rPr>
                      <w:rFonts w:hint="eastAsia" w:ascii="Times New Roman" w:hAnsi="宋体" w:eastAsia="宋体" w:cs="Times New Roman"/>
                      <w:color w:val="auto"/>
                      <w:kern w:val="0"/>
                      <w:sz w:val="21"/>
                      <w:szCs w:val="21"/>
                      <w:lang w:val="en-US" w:eastAsia="zh-CN" w:bidi="ar-SA"/>
                    </w:rPr>
                    <w:t>，定期送至当地有资质的钢瓶检验站进行检验、报废</w:t>
                  </w:r>
                </w:p>
              </w:tc>
            </w:tr>
            <w:tr w14:paraId="5BCE8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6" w:hRule="atLeast"/>
                <w:jc w:val="center"/>
              </w:trPr>
              <w:tc>
                <w:tcPr>
                  <w:tcW w:w="588" w:type="pct"/>
                  <w:vMerge w:val="restart"/>
                  <w:tcBorders>
                    <w:tl2br w:val="nil"/>
                    <w:tr2bl w:val="nil"/>
                  </w:tcBorders>
                  <w:noWrap w:val="0"/>
                  <w:vAlign w:val="center"/>
                </w:tcPr>
                <w:p w14:paraId="3EE756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危险废物</w:t>
                  </w:r>
                </w:p>
              </w:tc>
              <w:tc>
                <w:tcPr>
                  <w:tcW w:w="929" w:type="pct"/>
                  <w:tcBorders>
                    <w:tl2br w:val="nil"/>
                    <w:tr2bl w:val="nil"/>
                  </w:tcBorders>
                  <w:noWrap w:val="0"/>
                  <w:vAlign w:val="center"/>
                </w:tcPr>
                <w:p w14:paraId="6583FA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报废乙炔及液化石油气钢瓶</w:t>
                  </w:r>
                </w:p>
              </w:tc>
              <w:tc>
                <w:tcPr>
                  <w:tcW w:w="840" w:type="pct"/>
                  <w:tcBorders>
                    <w:tl2br w:val="nil"/>
                    <w:tr2bl w:val="nil"/>
                  </w:tcBorders>
                  <w:noWrap w:val="0"/>
                  <w:vAlign w:val="center"/>
                </w:tcPr>
                <w:p w14:paraId="0D80BB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0.02</w:t>
                  </w:r>
                </w:p>
              </w:tc>
              <w:tc>
                <w:tcPr>
                  <w:tcW w:w="812" w:type="pct"/>
                  <w:tcBorders>
                    <w:tl2br w:val="nil"/>
                    <w:tr2bl w:val="nil"/>
                  </w:tcBorders>
                  <w:noWrap w:val="0"/>
                  <w:vAlign w:val="center"/>
                </w:tcPr>
                <w:p w14:paraId="009818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0.02</w:t>
                  </w:r>
                </w:p>
              </w:tc>
              <w:tc>
                <w:tcPr>
                  <w:tcW w:w="509" w:type="pct"/>
                  <w:tcBorders>
                    <w:tl2br w:val="nil"/>
                    <w:tr2bl w:val="nil"/>
                  </w:tcBorders>
                  <w:noWrap w:val="0"/>
                  <w:vAlign w:val="center"/>
                </w:tcPr>
                <w:p w14:paraId="063D6B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320" w:type="pct"/>
                  <w:tcBorders>
                    <w:tl2br w:val="nil"/>
                    <w:tr2bl w:val="nil"/>
                  </w:tcBorders>
                  <w:noWrap w:val="0"/>
                  <w:vAlign w:val="center"/>
                </w:tcPr>
                <w:p w14:paraId="68A234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统一收集暂存于危废贮存库，定期送至当地有资质的钢瓶检验站进行检验、报废</w:t>
                  </w:r>
                </w:p>
              </w:tc>
            </w:tr>
            <w:tr w14:paraId="13141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6" w:hRule="atLeast"/>
                <w:jc w:val="center"/>
              </w:trPr>
              <w:tc>
                <w:tcPr>
                  <w:tcW w:w="588" w:type="pct"/>
                  <w:vMerge w:val="continue"/>
                  <w:tcBorders>
                    <w:tl2br w:val="nil"/>
                    <w:tr2bl w:val="nil"/>
                  </w:tcBorders>
                  <w:noWrap w:val="0"/>
                  <w:vAlign w:val="center"/>
                </w:tcPr>
                <w:p w14:paraId="45F685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929" w:type="pct"/>
                  <w:tcBorders>
                    <w:tl2br w:val="nil"/>
                    <w:tr2bl w:val="nil"/>
                  </w:tcBorders>
                  <w:noWrap w:val="0"/>
                  <w:vAlign w:val="center"/>
                </w:tcPr>
                <w:p w14:paraId="50C291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液化石油气残液</w:t>
                  </w:r>
                </w:p>
              </w:tc>
              <w:tc>
                <w:tcPr>
                  <w:tcW w:w="840" w:type="pct"/>
                  <w:tcBorders>
                    <w:tl2br w:val="nil"/>
                    <w:tr2bl w:val="nil"/>
                  </w:tcBorders>
                  <w:noWrap w:val="0"/>
                  <w:vAlign w:val="center"/>
                </w:tcPr>
                <w:p w14:paraId="17D8640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0.06</w:t>
                  </w:r>
                </w:p>
              </w:tc>
              <w:tc>
                <w:tcPr>
                  <w:tcW w:w="812" w:type="pct"/>
                  <w:tcBorders>
                    <w:tl2br w:val="nil"/>
                    <w:tr2bl w:val="nil"/>
                  </w:tcBorders>
                  <w:noWrap w:val="0"/>
                  <w:vAlign w:val="center"/>
                </w:tcPr>
                <w:p w14:paraId="1676DD8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0.06</w:t>
                  </w:r>
                </w:p>
              </w:tc>
              <w:tc>
                <w:tcPr>
                  <w:tcW w:w="509" w:type="pct"/>
                  <w:tcBorders>
                    <w:tl2br w:val="nil"/>
                    <w:tr2bl w:val="nil"/>
                  </w:tcBorders>
                  <w:noWrap w:val="0"/>
                  <w:vAlign w:val="center"/>
                </w:tcPr>
                <w:p w14:paraId="49B8E8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0</w:t>
                  </w:r>
                </w:p>
              </w:tc>
              <w:tc>
                <w:tcPr>
                  <w:tcW w:w="1320" w:type="pct"/>
                  <w:tcBorders>
                    <w:tl2br w:val="nil"/>
                    <w:tr2bl w:val="nil"/>
                  </w:tcBorders>
                  <w:noWrap w:val="0"/>
                  <w:vAlign w:val="center"/>
                </w:tcPr>
                <w:p w14:paraId="49EB47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0"/>
                      <w:sz w:val="21"/>
                      <w:szCs w:val="21"/>
                      <w:highlight w:val="yellow"/>
                      <w:lang w:val="en-US" w:eastAsia="zh-CN" w:bidi="ar-SA"/>
                    </w:rPr>
                  </w:pPr>
                  <w:r>
                    <w:rPr>
                      <w:rFonts w:hint="eastAsia" w:ascii="Times New Roman" w:hAnsi="宋体" w:eastAsia="宋体" w:cs="Times New Roman"/>
                      <w:b w:val="0"/>
                      <w:bCs/>
                      <w:color w:val="auto"/>
                      <w:kern w:val="0"/>
                      <w:sz w:val="21"/>
                      <w:szCs w:val="21"/>
                    </w:rPr>
                    <w:t>收集至残液</w:t>
                  </w:r>
                  <w:r>
                    <w:rPr>
                      <w:rFonts w:hint="eastAsia" w:hAnsi="宋体" w:cs="Times New Roman"/>
                      <w:b w:val="0"/>
                      <w:bCs/>
                      <w:color w:val="auto"/>
                      <w:kern w:val="0"/>
                      <w:sz w:val="21"/>
                      <w:szCs w:val="21"/>
                      <w:lang w:val="en-US" w:eastAsia="zh-CN"/>
                    </w:rPr>
                    <w:t>储罐</w:t>
                  </w:r>
                  <w:r>
                    <w:rPr>
                      <w:rFonts w:hint="eastAsia" w:ascii="Times New Roman" w:hAnsi="宋体" w:eastAsia="宋体" w:cs="Times New Roman"/>
                      <w:b w:val="0"/>
                      <w:bCs/>
                      <w:color w:val="auto"/>
                      <w:kern w:val="0"/>
                      <w:sz w:val="21"/>
                      <w:szCs w:val="21"/>
                    </w:rPr>
                    <w:t>暂存</w:t>
                  </w:r>
                  <w:r>
                    <w:rPr>
                      <w:rFonts w:hint="eastAsia" w:ascii="Times New Roman" w:hAnsi="宋体" w:eastAsia="宋体" w:cs="Times New Roman"/>
                      <w:b w:val="0"/>
                      <w:bCs/>
                      <w:color w:val="auto"/>
                      <w:kern w:val="0"/>
                      <w:sz w:val="21"/>
                      <w:szCs w:val="21"/>
                      <w:lang w:eastAsia="zh-CN"/>
                    </w:rPr>
                    <w:t>，</w:t>
                  </w:r>
                  <w:r>
                    <w:rPr>
                      <w:rFonts w:hint="eastAsia" w:ascii="Times New Roman" w:hAnsi="Times New Roman" w:eastAsia="宋体" w:cs="Times New Roman"/>
                      <w:color w:val="auto"/>
                      <w:kern w:val="0"/>
                      <w:sz w:val="21"/>
                      <w:szCs w:val="21"/>
                      <w:lang w:val="en-US" w:eastAsia="zh-CN" w:bidi="ar-SA"/>
                    </w:rPr>
                    <w:t>定期委托液化石油气供应单位进行回收处理</w:t>
                  </w:r>
                </w:p>
              </w:tc>
            </w:tr>
            <w:tr w14:paraId="435F0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6" w:hRule="atLeast"/>
                <w:jc w:val="center"/>
              </w:trPr>
              <w:tc>
                <w:tcPr>
                  <w:tcW w:w="588" w:type="pct"/>
                  <w:vMerge w:val="continue"/>
                  <w:tcBorders>
                    <w:tl2br w:val="nil"/>
                    <w:tr2bl w:val="nil"/>
                  </w:tcBorders>
                  <w:noWrap w:val="0"/>
                  <w:vAlign w:val="center"/>
                </w:tcPr>
                <w:p w14:paraId="3ABFEB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929" w:type="pct"/>
                  <w:tcBorders>
                    <w:tl2br w:val="nil"/>
                    <w:tr2bl w:val="nil"/>
                  </w:tcBorders>
                  <w:shd w:val="clear" w:color="auto" w:fill="auto"/>
                  <w:noWrap w:val="0"/>
                  <w:vAlign w:val="center"/>
                </w:tcPr>
                <w:p w14:paraId="0EB7B0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kern w:val="0"/>
                      <w:sz w:val="21"/>
                      <w:szCs w:val="21"/>
                      <w:lang w:val="en-US" w:eastAsia="zh-CN" w:bidi="ar-SA"/>
                    </w:rPr>
                  </w:pPr>
                  <w:r>
                    <w:rPr>
                      <w:rFonts w:ascii="Times New Roman" w:hAnsi="宋体" w:eastAsia="宋体" w:cs="Times New Roman"/>
                      <w:bCs/>
                      <w:color w:val="auto"/>
                      <w:kern w:val="0"/>
                      <w:sz w:val="21"/>
                      <w:szCs w:val="21"/>
                      <w:lang w:val="en-US" w:eastAsia="zh-CN" w:bidi="ar-SA"/>
                    </w:rPr>
                    <w:t>废</w:t>
                  </w:r>
                  <w:r>
                    <w:rPr>
                      <w:rFonts w:hint="eastAsia" w:ascii="Times New Roman" w:hAnsi="宋体" w:eastAsia="宋体" w:cs="Times New Roman"/>
                      <w:bCs/>
                      <w:color w:val="auto"/>
                      <w:kern w:val="0"/>
                      <w:sz w:val="21"/>
                      <w:szCs w:val="21"/>
                      <w:lang w:val="en-US" w:eastAsia="zh-CN" w:bidi="ar-SA"/>
                    </w:rPr>
                    <w:t>润滑油</w:t>
                  </w:r>
                </w:p>
              </w:tc>
              <w:tc>
                <w:tcPr>
                  <w:tcW w:w="840" w:type="pct"/>
                  <w:tcBorders>
                    <w:tl2br w:val="nil"/>
                    <w:tr2bl w:val="nil"/>
                  </w:tcBorders>
                  <w:shd w:val="clear" w:color="auto" w:fill="auto"/>
                  <w:noWrap w:val="0"/>
                  <w:vAlign w:val="center"/>
                </w:tcPr>
                <w:p w14:paraId="35DAF5A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rPr>
                    <w:t>1.2</w:t>
                  </w:r>
                </w:p>
              </w:tc>
              <w:tc>
                <w:tcPr>
                  <w:tcW w:w="812" w:type="pct"/>
                  <w:tcBorders>
                    <w:tl2br w:val="nil"/>
                    <w:tr2bl w:val="nil"/>
                  </w:tcBorders>
                  <w:shd w:val="clear" w:color="auto" w:fill="auto"/>
                  <w:noWrap w:val="0"/>
                  <w:vAlign w:val="center"/>
                </w:tcPr>
                <w:p w14:paraId="72343AA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rPr>
                    <w:t>1.2</w:t>
                  </w:r>
                </w:p>
              </w:tc>
              <w:tc>
                <w:tcPr>
                  <w:tcW w:w="509" w:type="pct"/>
                  <w:tcBorders>
                    <w:tl2br w:val="nil"/>
                    <w:tr2bl w:val="nil"/>
                  </w:tcBorders>
                  <w:shd w:val="clear" w:color="auto" w:fill="auto"/>
                  <w:noWrap w:val="0"/>
                  <w:vAlign w:val="center"/>
                </w:tcPr>
                <w:p w14:paraId="6C99A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0</w:t>
                  </w:r>
                </w:p>
              </w:tc>
              <w:tc>
                <w:tcPr>
                  <w:tcW w:w="1320" w:type="pct"/>
                  <w:vMerge w:val="restart"/>
                  <w:tcBorders>
                    <w:tl2br w:val="nil"/>
                    <w:tr2bl w:val="nil"/>
                  </w:tcBorders>
                  <w:noWrap w:val="0"/>
                  <w:vAlign w:val="center"/>
                </w:tcPr>
                <w:p w14:paraId="4A7E0F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0"/>
                      <w:sz w:val="21"/>
                      <w:szCs w:val="21"/>
                      <w:highlight w:val="yellow"/>
                      <w:lang w:val="en-US" w:eastAsia="zh-CN" w:bidi="ar-SA"/>
                    </w:rPr>
                  </w:pPr>
                  <w:r>
                    <w:rPr>
                      <w:rFonts w:hint="eastAsia" w:cs="Times New Roman"/>
                      <w:color w:val="auto"/>
                      <w:kern w:val="0"/>
                      <w:sz w:val="21"/>
                      <w:szCs w:val="21"/>
                      <w:lang w:val="en-US" w:eastAsia="zh-CN" w:bidi="ar-SA"/>
                    </w:rPr>
                    <w:t>分类收集</w:t>
                  </w:r>
                  <w:r>
                    <w:rPr>
                      <w:rFonts w:hint="eastAsia" w:ascii="Times New Roman" w:hAnsi="宋体" w:eastAsia="宋体" w:cs="Times New Roman"/>
                      <w:color w:val="auto"/>
                      <w:kern w:val="0"/>
                      <w:sz w:val="21"/>
                      <w:szCs w:val="21"/>
                      <w:lang w:val="en-US" w:eastAsia="zh-CN" w:bidi="ar-SA"/>
                    </w:rPr>
                    <w:t>暂存于危废贮存库，</w:t>
                  </w:r>
                  <w:r>
                    <w:rPr>
                      <w:rFonts w:hint="eastAsia" w:ascii="Times New Roman" w:hAnsi="Times New Roman" w:eastAsia="宋体" w:cs="Times New Roman"/>
                      <w:color w:val="auto"/>
                      <w:kern w:val="0"/>
                      <w:sz w:val="21"/>
                      <w:szCs w:val="21"/>
                      <w:lang w:val="en-US" w:eastAsia="zh-CN" w:bidi="ar-SA"/>
                    </w:rPr>
                    <w:t>交有危险废物处置资质的单位收集处置</w:t>
                  </w:r>
                </w:p>
              </w:tc>
            </w:tr>
            <w:tr w14:paraId="125AE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96" w:hRule="atLeast"/>
                <w:jc w:val="center"/>
              </w:trPr>
              <w:tc>
                <w:tcPr>
                  <w:tcW w:w="588" w:type="pct"/>
                  <w:vMerge w:val="continue"/>
                  <w:tcBorders>
                    <w:tl2br w:val="nil"/>
                    <w:tr2bl w:val="nil"/>
                  </w:tcBorders>
                  <w:noWrap w:val="0"/>
                  <w:vAlign w:val="center"/>
                </w:tcPr>
                <w:p w14:paraId="5DEC4D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929" w:type="pct"/>
                  <w:tcBorders>
                    <w:tl2br w:val="nil"/>
                    <w:tr2bl w:val="nil"/>
                  </w:tcBorders>
                  <w:shd w:val="clear" w:color="auto" w:fill="auto"/>
                  <w:noWrap w:val="0"/>
                  <w:vAlign w:val="center"/>
                </w:tcPr>
                <w:p w14:paraId="62DCD7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含油抹布、手套</w:t>
                  </w:r>
                </w:p>
              </w:tc>
              <w:tc>
                <w:tcPr>
                  <w:tcW w:w="840" w:type="pct"/>
                  <w:tcBorders>
                    <w:tl2br w:val="nil"/>
                    <w:tr2bl w:val="nil"/>
                  </w:tcBorders>
                  <w:shd w:val="clear" w:color="auto" w:fill="auto"/>
                  <w:noWrap w:val="0"/>
                  <w:vAlign w:val="center"/>
                </w:tcPr>
                <w:p w14:paraId="72BC9BD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rPr>
                    <w:t>0.01</w:t>
                  </w:r>
                </w:p>
              </w:tc>
              <w:tc>
                <w:tcPr>
                  <w:tcW w:w="812" w:type="pct"/>
                  <w:tcBorders>
                    <w:tl2br w:val="nil"/>
                    <w:tr2bl w:val="nil"/>
                  </w:tcBorders>
                  <w:shd w:val="clear" w:color="auto" w:fill="auto"/>
                  <w:noWrap w:val="0"/>
                  <w:vAlign w:val="center"/>
                </w:tcPr>
                <w:p w14:paraId="2A682F3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rPr>
                    <w:t>0.01</w:t>
                  </w:r>
                </w:p>
              </w:tc>
              <w:tc>
                <w:tcPr>
                  <w:tcW w:w="509" w:type="pct"/>
                  <w:tcBorders>
                    <w:tl2br w:val="nil"/>
                    <w:tr2bl w:val="nil"/>
                  </w:tcBorders>
                  <w:shd w:val="clear" w:color="auto" w:fill="auto"/>
                  <w:noWrap w:val="0"/>
                  <w:vAlign w:val="center"/>
                </w:tcPr>
                <w:p w14:paraId="0B5DF4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0</w:t>
                  </w:r>
                </w:p>
              </w:tc>
              <w:tc>
                <w:tcPr>
                  <w:tcW w:w="1320" w:type="pct"/>
                  <w:vMerge w:val="continue"/>
                  <w:tcBorders>
                    <w:tl2br w:val="nil"/>
                    <w:tr2bl w:val="nil"/>
                  </w:tcBorders>
                  <w:noWrap w:val="0"/>
                  <w:vAlign w:val="center"/>
                </w:tcPr>
                <w:p w14:paraId="4F17A2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r>
            <w:tr w14:paraId="44F90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55" w:hRule="atLeast"/>
                <w:jc w:val="center"/>
              </w:trPr>
              <w:tc>
                <w:tcPr>
                  <w:tcW w:w="588" w:type="pct"/>
                  <w:vMerge w:val="continue"/>
                  <w:tcBorders>
                    <w:tl2br w:val="nil"/>
                    <w:tr2bl w:val="nil"/>
                  </w:tcBorders>
                  <w:noWrap w:val="0"/>
                  <w:vAlign w:val="center"/>
                </w:tcPr>
                <w:p w14:paraId="13EA31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0"/>
                      <w:sz w:val="21"/>
                      <w:szCs w:val="21"/>
                      <w:lang w:val="en-US" w:eastAsia="zh-CN" w:bidi="ar-SA"/>
                    </w:rPr>
                  </w:pPr>
                </w:p>
              </w:tc>
              <w:tc>
                <w:tcPr>
                  <w:tcW w:w="929" w:type="pct"/>
                  <w:tcBorders>
                    <w:tl2br w:val="nil"/>
                    <w:tr2bl w:val="nil"/>
                  </w:tcBorders>
                  <w:noWrap w:val="0"/>
                  <w:vAlign w:val="center"/>
                </w:tcPr>
                <w:p w14:paraId="1CF269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废油桶</w:t>
                  </w:r>
                </w:p>
              </w:tc>
              <w:tc>
                <w:tcPr>
                  <w:tcW w:w="840" w:type="pct"/>
                  <w:tcBorders>
                    <w:tl2br w:val="nil"/>
                    <w:tr2bl w:val="nil"/>
                  </w:tcBorders>
                  <w:noWrap w:val="0"/>
                  <w:vAlign w:val="center"/>
                </w:tcPr>
                <w:p w14:paraId="4087009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0.5</w:t>
                  </w:r>
                </w:p>
              </w:tc>
              <w:tc>
                <w:tcPr>
                  <w:tcW w:w="812" w:type="pct"/>
                  <w:tcBorders>
                    <w:tl2br w:val="nil"/>
                    <w:tr2bl w:val="nil"/>
                  </w:tcBorders>
                  <w:noWrap w:val="0"/>
                  <w:vAlign w:val="center"/>
                </w:tcPr>
                <w:p w14:paraId="31C947A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ascii="Times New Roman" w:hAnsi="Times New Roman" w:eastAsia="宋体" w:cs="Times New Roman"/>
                      <w:bCs/>
                      <w:color w:val="auto"/>
                      <w:kern w:val="0"/>
                      <w:sz w:val="21"/>
                      <w:szCs w:val="21"/>
                    </w:rPr>
                  </w:pPr>
                  <w:r>
                    <w:rPr>
                      <w:rFonts w:hint="eastAsia" w:ascii="Times New Roman" w:hAnsi="Times New Roman" w:eastAsia="宋体" w:cs="Times New Roman"/>
                      <w:bCs/>
                      <w:color w:val="auto"/>
                      <w:kern w:val="0"/>
                      <w:sz w:val="21"/>
                      <w:szCs w:val="21"/>
                      <w:lang w:val="en-US" w:eastAsia="zh-CN"/>
                    </w:rPr>
                    <w:t>0.5</w:t>
                  </w:r>
                </w:p>
              </w:tc>
              <w:tc>
                <w:tcPr>
                  <w:tcW w:w="509" w:type="pct"/>
                  <w:tcBorders>
                    <w:tl2br w:val="nil"/>
                    <w:tr2bl w:val="nil"/>
                  </w:tcBorders>
                  <w:noWrap w:val="0"/>
                  <w:vAlign w:val="center"/>
                </w:tcPr>
                <w:p w14:paraId="5C53EA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0</w:t>
                  </w:r>
                </w:p>
              </w:tc>
              <w:tc>
                <w:tcPr>
                  <w:tcW w:w="1320" w:type="pct"/>
                  <w:vMerge w:val="continue"/>
                  <w:tcBorders>
                    <w:tl2br w:val="nil"/>
                    <w:tr2bl w:val="nil"/>
                  </w:tcBorders>
                  <w:noWrap w:val="0"/>
                  <w:vAlign w:val="center"/>
                </w:tcPr>
                <w:p w14:paraId="43C83E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kern w:val="0"/>
                      <w:sz w:val="21"/>
                      <w:szCs w:val="21"/>
                      <w:highlight w:val="yellow"/>
                      <w:lang w:val="en-US" w:eastAsia="zh-CN" w:bidi="ar-SA"/>
                    </w:rPr>
                  </w:pPr>
                </w:p>
              </w:tc>
            </w:tr>
          </w:tbl>
          <w:p w14:paraId="14DA096C">
            <w:pPr>
              <w:keepNext w:val="0"/>
              <w:keepLines w:val="0"/>
              <w:pageBreakBefore w:val="0"/>
              <w:widowControl w:val="0"/>
              <w:tabs>
                <w:tab w:val="left" w:pos="3645"/>
              </w:tabs>
              <w:kinsoku/>
              <w:wordWrap/>
              <w:overflowPunct/>
              <w:topLinePunct w:val="0"/>
              <w:autoSpaceDE/>
              <w:autoSpaceDN/>
              <w:bidi w:val="0"/>
              <w:adjustRightInd/>
              <w:snapToGrid/>
              <w:spacing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2、固体废物环境管理要求</w:t>
            </w:r>
          </w:p>
          <w:p w14:paraId="545F9319">
            <w:pPr>
              <w:keepNext w:val="0"/>
              <w:keepLines w:val="0"/>
              <w:pageBreakBefore w:val="0"/>
              <w:widowControl w:val="0"/>
              <w:tabs>
                <w:tab w:val="left" w:pos="3645"/>
              </w:tabs>
              <w:kinsoku/>
              <w:wordWrap/>
              <w:overflowPunct/>
              <w:topLinePunct w:val="0"/>
              <w:autoSpaceDE/>
              <w:autoSpaceDN/>
              <w:bidi w:val="0"/>
              <w:adjustRightInd/>
              <w:snapToGrid/>
              <w:spacing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（1）一般固体废物的环境管理</w:t>
            </w:r>
          </w:p>
          <w:p w14:paraId="121A86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项目产生的废钢瓶为一般固废，暂存于厂区一般固废贮存场所。厂内一般固废临时贮存应注意：①对固体废物实行从产生、收集、运输、贮存直至最终处理实行全过程管理，加强固体废物运输过程的事故风险防范，按照有关法律、法规的要求，对固体废弃物全过程管理应报当地环保行政主管部门等批准。</w:t>
            </w:r>
          </w:p>
          <w:p w14:paraId="220A53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②加强固体废物规范化管理，固体废物分类定点堆放，</w:t>
            </w:r>
            <w:r>
              <w:rPr>
                <w:rFonts w:hint="eastAsia"/>
                <w:color w:val="auto"/>
                <w:lang w:val="en-US" w:eastAsia="zh-CN"/>
              </w:rPr>
              <w:t>一般工业固体废物贮存过程的污染控制应满足防渗漏、防雨淋、防扬尘等环境保护要求</w:t>
            </w:r>
            <w:r>
              <w:rPr>
                <w:rFonts w:hint="eastAsia"/>
                <w:b w:val="0"/>
                <w:bCs w:val="0"/>
                <w:color w:val="auto"/>
                <w:sz w:val="24"/>
                <w:szCs w:val="24"/>
                <w:highlight w:val="none"/>
                <w:lang w:val="en-US" w:eastAsia="zh-CN"/>
              </w:rPr>
              <w:t>。</w:t>
            </w:r>
          </w:p>
          <w:p w14:paraId="353148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综上，通过落实本环评提出的各项措施，项目产生的固废能够达到减量化、资源化、无害化的效果，不会对周围环境产生明显不利的影响。</w:t>
            </w:r>
          </w:p>
          <w:p w14:paraId="4E145F2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lang w:val="en-US"/>
              </w:rPr>
            </w:pPr>
            <w:r>
              <w:rPr>
                <w:rFonts w:hint="eastAsia" w:cs="Times New Roman"/>
                <w:b/>
                <w:bCs w:val="0"/>
                <w:color w:val="auto"/>
                <w:sz w:val="24"/>
                <w:szCs w:val="24"/>
                <w:lang w:val="en-US" w:eastAsia="zh-CN"/>
              </w:rPr>
              <w:t>（</w:t>
            </w:r>
            <w:r>
              <w:rPr>
                <w:rFonts w:hint="eastAsia" w:ascii="Times New Roman" w:hAnsi="Times New Roman" w:eastAsia="宋体" w:cs="Times New Roman"/>
                <w:b/>
                <w:bCs w:val="0"/>
                <w:color w:val="auto"/>
                <w:sz w:val="24"/>
                <w:szCs w:val="24"/>
                <w:lang w:val="en-US" w:eastAsia="zh-CN"/>
              </w:rPr>
              <w:t>2）危险废物管理</w:t>
            </w:r>
          </w:p>
          <w:p w14:paraId="033D95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rPr>
            </w:pPr>
            <w:r>
              <w:rPr>
                <w:rFonts w:hint="eastAsia" w:cs="Times New Roman"/>
                <w:b w:val="0"/>
                <w:bCs w:val="0"/>
                <w:color w:val="auto"/>
                <w:sz w:val="24"/>
                <w:szCs w:val="24"/>
                <w:lang w:eastAsia="zh-CN"/>
              </w:rPr>
              <w:t>（</w:t>
            </w:r>
            <w:r>
              <w:rPr>
                <w:rFonts w:hint="eastAsia" w:cs="Times New Roman"/>
                <w:b w:val="0"/>
                <w:bCs w:val="0"/>
                <w:color w:val="auto"/>
                <w:sz w:val="24"/>
                <w:szCs w:val="24"/>
                <w:lang w:val="en-US" w:eastAsia="zh-CN"/>
              </w:rPr>
              <w:t>1</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危险废物贮存场所环境影响分析</w:t>
            </w:r>
          </w:p>
          <w:p w14:paraId="5F21E3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①选址可行性分析</w:t>
            </w:r>
          </w:p>
          <w:p w14:paraId="226830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根据</w:t>
            </w:r>
            <w:r>
              <w:rPr>
                <w:rFonts w:hint="eastAsia" w:cs="Times New Roman"/>
                <w:b w:val="0"/>
                <w:bCs w:val="0"/>
                <w:color w:val="auto"/>
                <w:sz w:val="24"/>
                <w:szCs w:val="24"/>
                <w:lang w:val="en-US" w:eastAsia="zh-CN"/>
              </w:rPr>
              <w:t>本项目岩土工程勘察报告（详勘阶段），</w:t>
            </w:r>
            <w:r>
              <w:rPr>
                <w:rFonts w:hint="eastAsia" w:ascii="Times New Roman" w:hAnsi="Times New Roman" w:eastAsia="宋体" w:cs="Times New Roman"/>
                <w:b w:val="0"/>
                <w:bCs w:val="0"/>
                <w:color w:val="auto"/>
                <w:sz w:val="24"/>
                <w:szCs w:val="24"/>
              </w:rPr>
              <w:t>项目所在区域地质结构稳定</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项目危险废物贮存场所底部高于地下水最高水位</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项目危险废物贮存</w:t>
            </w:r>
            <w:r>
              <w:rPr>
                <w:rFonts w:hint="eastAsia" w:cs="Times New Roman"/>
                <w:b w:val="0"/>
                <w:bCs w:val="0"/>
                <w:color w:val="auto"/>
                <w:sz w:val="24"/>
                <w:szCs w:val="24"/>
                <w:lang w:val="en-US" w:eastAsia="zh-CN"/>
              </w:rPr>
              <w:t>库</w:t>
            </w:r>
            <w:r>
              <w:rPr>
                <w:rFonts w:hint="eastAsia" w:ascii="Times New Roman" w:hAnsi="Times New Roman" w:eastAsia="宋体" w:cs="Times New Roman"/>
                <w:b w:val="0"/>
                <w:bCs w:val="0"/>
                <w:color w:val="auto"/>
                <w:sz w:val="24"/>
                <w:szCs w:val="24"/>
              </w:rPr>
              <w:t>位于厂区西北侧，远离本项目办公区</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项目危险废物贮存场所设在厂区内，为平原地带。</w:t>
            </w:r>
          </w:p>
          <w:p w14:paraId="541D13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本次危废暂存间建筑面积</w:t>
            </w:r>
            <w:r>
              <w:rPr>
                <w:rFonts w:hint="eastAsia" w:cs="Times New Roman"/>
                <w:b w:val="0"/>
                <w:bCs w:val="0"/>
                <w:color w:val="auto"/>
                <w:sz w:val="24"/>
                <w:szCs w:val="24"/>
                <w:lang w:val="en-US" w:eastAsia="zh-CN"/>
              </w:rPr>
              <w:t>15</w:t>
            </w:r>
            <w:r>
              <w:rPr>
                <w:rFonts w:hint="eastAsia" w:ascii="Times New Roman" w:hAnsi="Times New Roman" w:eastAsia="宋体" w:cs="Times New Roman"/>
                <w:b w:val="0"/>
                <w:bCs w:val="0"/>
                <w:color w:val="auto"/>
                <w:sz w:val="24"/>
                <w:szCs w:val="24"/>
              </w:rPr>
              <w:t>m</w:t>
            </w:r>
            <w:r>
              <w:rPr>
                <w:rFonts w:hint="eastAsia" w:cs="Times New Roman"/>
                <w:b w:val="0"/>
                <w:bCs w:val="0"/>
                <w:color w:val="auto"/>
                <w:sz w:val="24"/>
                <w:szCs w:val="24"/>
                <w:vertAlign w:val="superscript"/>
                <w:lang w:val="en-US" w:eastAsia="zh-CN"/>
              </w:rPr>
              <w:t>2</w:t>
            </w:r>
            <w:r>
              <w:rPr>
                <w:rFonts w:hint="eastAsia" w:ascii="Times New Roman" w:hAnsi="Times New Roman" w:eastAsia="宋体" w:cs="Times New Roman"/>
                <w:b w:val="0"/>
                <w:bCs w:val="0"/>
                <w:color w:val="auto"/>
                <w:sz w:val="24"/>
                <w:szCs w:val="24"/>
              </w:rPr>
              <w:t>，一次最大存储量为</w:t>
            </w:r>
            <w:r>
              <w:rPr>
                <w:rFonts w:hint="eastAsia" w:cs="Times New Roman"/>
                <w:b w:val="0"/>
                <w:bCs w:val="0"/>
                <w:color w:val="auto"/>
                <w:sz w:val="24"/>
                <w:szCs w:val="24"/>
                <w:lang w:val="en-US" w:eastAsia="zh-CN"/>
              </w:rPr>
              <w:t>15</w:t>
            </w:r>
            <w:r>
              <w:rPr>
                <w:rFonts w:hint="eastAsia" w:ascii="Times New Roman" w:hAnsi="Times New Roman" w:eastAsia="宋体" w:cs="Times New Roman"/>
                <w:b w:val="0"/>
                <w:bCs w:val="0"/>
                <w:color w:val="auto"/>
                <w:sz w:val="24"/>
                <w:szCs w:val="24"/>
              </w:rPr>
              <w:t>t</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本项目危废产生量</w:t>
            </w:r>
            <w:r>
              <w:rPr>
                <w:rFonts w:hint="eastAsia" w:cs="Times New Roman"/>
                <w:b w:val="0"/>
                <w:bCs w:val="0"/>
                <w:color w:val="auto"/>
                <w:sz w:val="24"/>
                <w:szCs w:val="24"/>
                <w:lang w:val="en-US" w:eastAsia="zh-CN"/>
              </w:rPr>
              <w:t>约1.79</w:t>
            </w:r>
            <w:r>
              <w:rPr>
                <w:rFonts w:hint="eastAsia" w:ascii="Times New Roman" w:hAnsi="Times New Roman" w:eastAsia="宋体" w:cs="Times New Roman"/>
                <w:b w:val="0"/>
                <w:bCs w:val="0"/>
                <w:color w:val="auto"/>
                <w:sz w:val="24"/>
                <w:szCs w:val="24"/>
              </w:rPr>
              <w:t>t</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rPr>
              <w:t>a，故危废暂存场所可以满足本项目危废暂存要求。做到危险废物分类收集、分区存放，并设置危险废物标识</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危险废物储存场所做到“防”</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即防雨、防腐、防渗、防漏、防盗、防风</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，防止二次污染</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危险废物交由专人负责，同时作好危险废物储存及处理情况记录。危险废物贮存设施应配备通讯设备、照明设施、安全防护服装及工具，必须定期对所贮存的危险废物包装容器及贮存设施进行检查，发现破损，应及时采取措施清理更换。</w:t>
            </w:r>
          </w:p>
          <w:p w14:paraId="29C14A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综合分析，项目危险废物贮存场所符合要求。</w:t>
            </w:r>
          </w:p>
          <w:p w14:paraId="4F88AC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rPr>
            </w:pPr>
            <w:r>
              <w:rPr>
                <w:rFonts w:hint="eastAsia" w:cs="Times New Roman"/>
                <w:b w:val="0"/>
                <w:bCs w:val="0"/>
                <w:color w:val="auto"/>
                <w:sz w:val="24"/>
                <w:szCs w:val="24"/>
                <w:lang w:val="en-US" w:eastAsia="zh-CN"/>
              </w:rPr>
              <w:t>②危险废物贮存库</w:t>
            </w:r>
            <w:r>
              <w:rPr>
                <w:rFonts w:hint="eastAsia" w:ascii="Times New Roman" w:hAnsi="Times New Roman" w:eastAsia="宋体" w:cs="Times New Roman"/>
                <w:b w:val="0"/>
                <w:bCs w:val="0"/>
                <w:color w:val="auto"/>
                <w:sz w:val="24"/>
                <w:szCs w:val="24"/>
              </w:rPr>
              <w:t>环境影响分析</w:t>
            </w:r>
          </w:p>
          <w:p w14:paraId="3EA8509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项目</w:t>
            </w:r>
            <w:r>
              <w:rPr>
                <w:rFonts w:hint="eastAsia" w:cs="Times New Roman"/>
                <w:b w:val="0"/>
                <w:bCs w:val="0"/>
                <w:color w:val="auto"/>
                <w:sz w:val="24"/>
                <w:szCs w:val="24"/>
                <w:lang w:val="en-US" w:eastAsia="zh-CN"/>
              </w:rPr>
              <w:t>危险废物贮存库</w:t>
            </w:r>
            <w:r>
              <w:rPr>
                <w:rFonts w:hint="eastAsia" w:ascii="Times New Roman" w:hAnsi="Times New Roman" w:eastAsia="宋体" w:cs="Times New Roman"/>
                <w:b w:val="0"/>
                <w:bCs w:val="0"/>
                <w:color w:val="auto"/>
                <w:sz w:val="24"/>
                <w:szCs w:val="24"/>
              </w:rPr>
              <w:t>贮存危废为废</w:t>
            </w:r>
            <w:r>
              <w:rPr>
                <w:rFonts w:hint="eastAsia" w:cs="Times New Roman"/>
                <w:b w:val="0"/>
                <w:bCs w:val="0"/>
                <w:color w:val="auto"/>
                <w:sz w:val="24"/>
                <w:szCs w:val="24"/>
                <w:lang w:val="en-US" w:eastAsia="zh-CN"/>
              </w:rPr>
              <w:t>润滑</w:t>
            </w:r>
            <w:r>
              <w:rPr>
                <w:rFonts w:hint="eastAsia" w:ascii="Times New Roman" w:hAnsi="Times New Roman" w:eastAsia="宋体" w:cs="Times New Roman"/>
                <w:b w:val="0"/>
                <w:bCs w:val="0"/>
                <w:color w:val="auto"/>
                <w:sz w:val="24"/>
                <w:szCs w:val="24"/>
              </w:rPr>
              <w:t>油等，理化性质稳定，对大气环境影响很小。厂区内危废临时贮存场所应按照《危险废物贮存污染控制标准》</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GB18597-2023</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的相关要求</w:t>
            </w:r>
            <w:r>
              <w:rPr>
                <w:rFonts w:hint="eastAsia" w:cs="Times New Roman"/>
                <w:b w:val="0"/>
                <w:bCs w:val="0"/>
                <w:color w:val="auto"/>
                <w:sz w:val="24"/>
                <w:szCs w:val="24"/>
                <w:lang w:val="en-US" w:eastAsia="zh-CN"/>
              </w:rPr>
              <w:t>执行</w:t>
            </w:r>
            <w:r>
              <w:rPr>
                <w:rFonts w:hint="eastAsia" w:ascii="Times New Roman" w:hAnsi="Times New Roman" w:eastAsia="宋体" w:cs="Times New Roman"/>
                <w:b w:val="0"/>
                <w:bCs w:val="0"/>
                <w:color w:val="auto"/>
                <w:sz w:val="24"/>
                <w:szCs w:val="24"/>
              </w:rPr>
              <w:t>。</w:t>
            </w:r>
          </w:p>
          <w:p w14:paraId="27CB43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1</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安全防护</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危险废物贮存设施都必须按GB15562.2的规定设置警示标志。危险废物贮存设施周围应设置围墙或其他防护栅栏。危险废物贮存设施应配备通讯设备、照明设施、安全防护服装及工具，并设有应急防护设施。危险废物贮存设施内清理出来的泄漏物，一律按危险废物处理。</w:t>
            </w:r>
          </w:p>
          <w:p w14:paraId="20274D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按国家污染源管理要求对危险废物贮存设施进行检测。本项目危险固体废物处理交由资质的单位进行处置，但厂区内必须建立一个危险废物暂存点，危废暂存处基础按照《危险废物贮存污染控制标准》</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GB18597-2023</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的要求进行防腐防渗，</w:t>
            </w:r>
            <w:r>
              <w:rPr>
                <w:rFonts w:hint="eastAsia" w:ascii="Times New Roman" w:hAnsi="Times New Roman" w:eastAsia="宋体" w:cs="Times New Roman"/>
                <w:bCs/>
                <w:color w:val="auto"/>
                <w:sz w:val="24"/>
                <w:szCs w:val="24"/>
                <w:lang w:val="en-US" w:eastAsia="zh-CN"/>
              </w:rPr>
              <w:t>危废贮存库地面及墙裙、地坑</w:t>
            </w:r>
            <w:r>
              <w:rPr>
                <w:rFonts w:hint="eastAsia" w:ascii="Times New Roman" w:hAnsi="Times New Roman" w:eastAsia="宋体" w:cs="Times New Roman"/>
                <w:bCs/>
                <w:color w:val="auto"/>
                <w:sz w:val="24"/>
                <w:szCs w:val="24"/>
              </w:rPr>
              <w:t>采用抗渗混凝土结构+1mm厚水泥基渗结晶型防水涂料进行重点防渗处理</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lang w:val="en-US" w:eastAsia="zh-CN"/>
              </w:rPr>
              <w:t>渗透系数K≤1×10</w:t>
            </w:r>
            <w:r>
              <w:rPr>
                <w:rFonts w:hint="eastAsia" w:ascii="Times New Roman" w:hAnsi="Times New Roman" w:eastAsia="宋体" w:cs="Times New Roman"/>
                <w:bCs/>
                <w:color w:val="auto"/>
                <w:sz w:val="24"/>
                <w:vertAlign w:val="superscript"/>
                <w:lang w:val="en-US" w:eastAsia="zh-CN"/>
              </w:rPr>
              <w:t>-10</w:t>
            </w:r>
            <w:r>
              <w:rPr>
                <w:rFonts w:hint="eastAsia" w:ascii="Times New Roman" w:hAnsi="Times New Roman" w:eastAsia="宋体" w:cs="Times New Roman"/>
                <w:bCs/>
                <w:color w:val="auto"/>
                <w:sz w:val="24"/>
                <w:lang w:val="en-US" w:eastAsia="zh-CN"/>
              </w:rPr>
              <w:t>cm/s</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 w:val="0"/>
                <w:bCs w:val="0"/>
                <w:color w:val="auto"/>
                <w:sz w:val="24"/>
                <w:szCs w:val="24"/>
              </w:rPr>
              <w:t>。</w:t>
            </w:r>
          </w:p>
          <w:p w14:paraId="275A9CAC">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rPr>
              <w:t>分类放置</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危险废物贮存要求严格按照《危险废物贮存污染控制标准》</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GB18597-2023</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要求执行，项目需根据危险废物成分，将其用符合国家标准的专门容器分类盛装，容器必须完好无损，材质应与危险废物相容，设立危险废物标志。暂存库内的危险废物必须分类堆放，并设有隔离间隔断。禁止将不相容</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相互反应</w:t>
            </w:r>
            <w:r>
              <w:rPr>
                <w:rFonts w:hint="eastAsia" w:cs="Times New Roman"/>
                <w:b w:val="0"/>
                <w:bCs w:val="0"/>
                <w:color w:val="auto"/>
                <w:sz w:val="24"/>
                <w:szCs w:val="24"/>
                <w:lang w:eastAsia="zh-CN"/>
              </w:rPr>
              <w:t>）</w:t>
            </w:r>
            <w:r>
              <w:rPr>
                <w:rFonts w:hint="eastAsia" w:ascii="Times New Roman" w:hAnsi="Times New Roman" w:eastAsia="宋体" w:cs="Times New Roman"/>
                <w:b w:val="0"/>
                <w:bCs w:val="0"/>
                <w:color w:val="auto"/>
                <w:sz w:val="24"/>
                <w:szCs w:val="24"/>
              </w:rPr>
              <w:t>的危险废物在同一容器内混装。危险废物暂存库内清理出来的泄漏物，一律按危险废物处理。</w:t>
            </w:r>
          </w:p>
          <w:p w14:paraId="498B1735">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rPr>
            </w:pPr>
            <w:r>
              <w:rPr>
                <w:rFonts w:hint="eastAsia" w:ascii="Times New Roman" w:hAnsi="Times New Roman" w:eastAsia="宋体" w:cs="Times New Roman"/>
                <w:b w:val="0"/>
                <w:bCs w:val="0"/>
                <w:color w:val="auto"/>
                <w:sz w:val="24"/>
                <w:szCs w:val="24"/>
              </w:rPr>
              <w:t>危险废物暂存库管理员须做好危险废物情况的记录，记录上须注明危险废物的名称、来源、数量、特性和包装容器的类别、入库日期、存放库位、废物出库日期及委托处置接收单位名称。危险废物的记录和货单在危险废物回取后应继续保留三年。</w:t>
            </w:r>
          </w:p>
          <w:p w14:paraId="14058F26">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rPr>
            </w:pPr>
            <w:r>
              <w:rPr>
                <w:rFonts w:hint="eastAsia" w:ascii="Times New Roman" w:hAnsi="Times New Roman" w:eastAsia="宋体" w:cs="Times New Roman"/>
                <w:b w:val="0"/>
                <w:bCs w:val="0"/>
                <w:color w:val="auto"/>
                <w:sz w:val="24"/>
                <w:szCs w:val="24"/>
              </w:rPr>
              <w:t>贮存周期贮存期限不得超过国家规定，不允许在厂区内长期堆存，要定期运出，运输方式可采用汽车运输，在运输过程中要加强运输管理，运输人与交接人应填写交接单，严禁在途中</w:t>
            </w:r>
            <w:r>
              <w:rPr>
                <w:rFonts w:hint="eastAsia" w:cs="Times New Roman"/>
                <w:b w:val="0"/>
                <w:bCs w:val="0"/>
                <w:color w:val="auto"/>
                <w:sz w:val="24"/>
                <w:szCs w:val="24"/>
                <w:lang w:val="en-US" w:eastAsia="zh-CN"/>
              </w:rPr>
              <w:t>抛洒</w:t>
            </w:r>
            <w:r>
              <w:rPr>
                <w:rFonts w:hint="eastAsia" w:ascii="Times New Roman" w:hAnsi="Times New Roman" w:eastAsia="宋体" w:cs="Times New Roman"/>
                <w:b w:val="0"/>
                <w:bCs w:val="0"/>
                <w:color w:val="auto"/>
                <w:sz w:val="24"/>
                <w:szCs w:val="24"/>
              </w:rPr>
              <w:t>。</w:t>
            </w:r>
          </w:p>
          <w:p w14:paraId="46B2E349">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建设单位在关于危废暂存、交付危险废物</w:t>
            </w:r>
            <w:r>
              <w:rPr>
                <w:rFonts w:hint="eastAsia" w:cs="Times New Roman"/>
                <w:bCs/>
                <w:color w:val="auto"/>
                <w:sz w:val="24"/>
                <w:szCs w:val="24"/>
                <w:lang w:eastAsia="zh-CN"/>
              </w:rPr>
              <w:t>（</w:t>
            </w:r>
            <w:r>
              <w:rPr>
                <w:rFonts w:hint="eastAsia" w:ascii="Times New Roman" w:hAnsi="Times New Roman" w:eastAsia="宋体" w:cs="Times New Roman"/>
                <w:bCs/>
                <w:color w:val="auto"/>
                <w:sz w:val="24"/>
                <w:szCs w:val="24"/>
              </w:rPr>
              <w:t>包括含有或直接沾染危险废物的包装物、容器用于原始用途</w:t>
            </w:r>
            <w:r>
              <w:rPr>
                <w:rFonts w:hint="eastAsia" w:cs="Times New Roman"/>
                <w:bCs/>
                <w:color w:val="auto"/>
                <w:sz w:val="24"/>
                <w:szCs w:val="24"/>
                <w:lang w:eastAsia="zh-CN"/>
              </w:rPr>
              <w:t>）</w:t>
            </w:r>
            <w:r>
              <w:rPr>
                <w:rFonts w:hint="eastAsia" w:ascii="Times New Roman" w:hAnsi="Times New Roman" w:eastAsia="宋体" w:cs="Times New Roman"/>
                <w:bCs/>
                <w:color w:val="auto"/>
                <w:sz w:val="24"/>
                <w:szCs w:val="24"/>
              </w:rPr>
              <w:t>应着重做好以下几项工作</w:t>
            </w:r>
            <w:r>
              <w:rPr>
                <w:rFonts w:hint="eastAsia" w:cs="Times New Roman"/>
                <w:bCs/>
                <w:color w:val="auto"/>
                <w:sz w:val="24"/>
                <w:szCs w:val="24"/>
                <w:lang w:eastAsia="zh-CN"/>
              </w:rPr>
              <w:t>：</w:t>
            </w:r>
            <w:r>
              <w:rPr>
                <w:rFonts w:hint="eastAsia" w:ascii="Times New Roman" w:hAnsi="Times New Roman" w:eastAsia="宋体" w:cs="Times New Roman"/>
                <w:bCs/>
                <w:color w:val="auto"/>
                <w:sz w:val="24"/>
                <w:szCs w:val="24"/>
              </w:rPr>
              <w:t>做好日常台账工作，比如危废出入库记录、供应商回收记录等</w:t>
            </w:r>
            <w:r>
              <w:rPr>
                <w:rFonts w:hint="eastAsia" w:cs="Times New Roman"/>
                <w:bCs/>
                <w:color w:val="auto"/>
                <w:sz w:val="24"/>
                <w:szCs w:val="24"/>
                <w:lang w:eastAsia="zh-CN"/>
              </w:rPr>
              <w:t>；</w:t>
            </w:r>
            <w:r>
              <w:rPr>
                <w:rFonts w:hint="eastAsia" w:ascii="Times New Roman" w:hAnsi="Times New Roman" w:eastAsia="宋体" w:cs="Times New Roman"/>
                <w:bCs/>
                <w:color w:val="auto"/>
                <w:sz w:val="24"/>
                <w:szCs w:val="24"/>
              </w:rPr>
              <w:t>与供应商签订合同时，要在合同中明确标明含有或直接沾染危险废物</w:t>
            </w:r>
            <w:r>
              <w:rPr>
                <w:rFonts w:hint="eastAsia" w:cs="Times New Roman"/>
                <w:bCs/>
                <w:color w:val="auto"/>
                <w:sz w:val="24"/>
                <w:szCs w:val="24"/>
                <w:lang w:val="en-US" w:eastAsia="zh-CN"/>
              </w:rPr>
              <w:t>的</w:t>
            </w:r>
            <w:r>
              <w:rPr>
                <w:rFonts w:hint="eastAsia" w:ascii="Times New Roman" w:hAnsi="Times New Roman" w:eastAsia="宋体" w:cs="Times New Roman"/>
                <w:bCs/>
                <w:color w:val="auto"/>
                <w:sz w:val="24"/>
                <w:szCs w:val="24"/>
              </w:rPr>
              <w:t>原包装物、容器的归属及责任主体。</w:t>
            </w:r>
          </w:p>
          <w:p w14:paraId="1E47E3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综上，项目落实危废贮存场所的防雨、防风、防腐、防渗、导流以及收集措施后，对周边环境影响较小。</w:t>
            </w:r>
          </w:p>
          <w:p w14:paraId="6B4BEFC4">
            <w:pPr>
              <w:adjustRightInd w:val="0"/>
              <w:snapToGrid w:val="0"/>
              <w:spacing w:line="360" w:lineRule="auto"/>
              <w:ind w:firstLine="480" w:firstLineChars="200"/>
              <w:rPr>
                <w:rFonts w:hint="eastAsia" w:ascii="Times New Roman" w:hAnsi="Times New Roman" w:eastAsia="宋体" w:cs="Times New Roman"/>
                <w:bCs/>
                <w:color w:val="auto"/>
                <w:sz w:val="24"/>
                <w:szCs w:val="24"/>
              </w:rPr>
            </w:pPr>
            <w:r>
              <w:rPr>
                <w:rFonts w:hint="eastAsia" w:cs="Times New Roman"/>
                <w:bCs/>
                <w:color w:val="auto"/>
                <w:sz w:val="24"/>
                <w:szCs w:val="24"/>
                <w:lang w:eastAsia="zh-CN"/>
              </w:rPr>
              <w:t>（</w:t>
            </w:r>
            <w:r>
              <w:rPr>
                <w:rFonts w:hint="eastAsia" w:cs="Times New Roman"/>
                <w:bCs/>
                <w:color w:val="auto"/>
                <w:sz w:val="24"/>
                <w:szCs w:val="24"/>
                <w:lang w:val="en-US" w:eastAsia="zh-CN"/>
              </w:rPr>
              <w:t>2</w:t>
            </w:r>
            <w:r>
              <w:rPr>
                <w:rFonts w:hint="eastAsia" w:cs="Times New Roman"/>
                <w:bCs/>
                <w:color w:val="auto"/>
                <w:sz w:val="24"/>
                <w:szCs w:val="24"/>
                <w:lang w:eastAsia="zh-CN"/>
              </w:rPr>
              <w:t>）</w:t>
            </w:r>
            <w:r>
              <w:rPr>
                <w:rFonts w:hint="eastAsia" w:ascii="Times New Roman" w:hAnsi="Times New Roman" w:eastAsia="宋体" w:cs="Times New Roman"/>
                <w:bCs/>
                <w:color w:val="auto"/>
                <w:sz w:val="24"/>
                <w:szCs w:val="24"/>
              </w:rPr>
              <w:t>运输过程</w:t>
            </w:r>
            <w:r>
              <w:rPr>
                <w:rFonts w:hint="eastAsia" w:cs="Times New Roman"/>
                <w:bCs/>
                <w:color w:val="auto"/>
                <w:sz w:val="24"/>
                <w:szCs w:val="24"/>
                <w:lang w:val="en-US" w:eastAsia="zh-CN"/>
              </w:rPr>
              <w:t>中</w:t>
            </w:r>
            <w:r>
              <w:rPr>
                <w:rFonts w:hint="eastAsia" w:ascii="Times New Roman" w:hAnsi="Times New Roman" w:eastAsia="宋体" w:cs="Times New Roman"/>
                <w:bCs/>
                <w:color w:val="auto"/>
                <w:sz w:val="24"/>
                <w:szCs w:val="24"/>
              </w:rPr>
              <w:t>的环境影响分析</w:t>
            </w:r>
          </w:p>
          <w:p w14:paraId="120BA6CB">
            <w:pPr>
              <w:adjustRightInd w:val="0"/>
              <w:snapToGrid w:val="0"/>
              <w:spacing w:line="360" w:lineRule="auto"/>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项目危险废物的运输仅涉及从产生环节运输到危废</w:t>
            </w:r>
            <w:r>
              <w:rPr>
                <w:rFonts w:hint="eastAsia" w:cs="Times New Roman"/>
                <w:bCs/>
                <w:color w:val="auto"/>
                <w:sz w:val="24"/>
                <w:szCs w:val="24"/>
                <w:lang w:val="en-US" w:eastAsia="zh-CN"/>
              </w:rPr>
              <w:t>贮存</w:t>
            </w:r>
            <w:r>
              <w:rPr>
                <w:rFonts w:hint="eastAsia" w:ascii="Times New Roman" w:hAnsi="Times New Roman" w:eastAsia="宋体" w:cs="Times New Roman"/>
                <w:bCs/>
                <w:color w:val="auto"/>
                <w:sz w:val="24"/>
                <w:szCs w:val="24"/>
              </w:rPr>
              <w:t>库的过程，其他运输过程由专门的危险废物处理处置公司安排有资质的运输公司进行运输。</w:t>
            </w:r>
          </w:p>
          <w:p w14:paraId="52B70E34">
            <w:pPr>
              <w:adjustRightInd w:val="0"/>
              <w:snapToGrid w:val="0"/>
              <w:spacing w:line="360" w:lineRule="auto"/>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危废产生环节产生的危险废物使用塑料桶密封包装，运至厂区内的危险废物</w:t>
            </w:r>
            <w:r>
              <w:rPr>
                <w:rFonts w:hint="eastAsia" w:cs="Times New Roman"/>
                <w:bCs/>
                <w:color w:val="auto"/>
                <w:sz w:val="24"/>
                <w:szCs w:val="24"/>
                <w:lang w:val="en-US" w:eastAsia="zh-CN"/>
              </w:rPr>
              <w:t>贮存</w:t>
            </w:r>
            <w:r>
              <w:rPr>
                <w:rFonts w:hint="eastAsia" w:ascii="Times New Roman" w:hAnsi="Times New Roman" w:eastAsia="宋体" w:cs="Times New Roman"/>
                <w:bCs/>
                <w:color w:val="auto"/>
                <w:sz w:val="24"/>
                <w:szCs w:val="24"/>
              </w:rPr>
              <w:t>库，</w:t>
            </w:r>
            <w:r>
              <w:rPr>
                <w:rFonts w:hint="eastAsia" w:cs="Times New Roman"/>
                <w:bCs/>
                <w:color w:val="auto"/>
                <w:sz w:val="24"/>
                <w:szCs w:val="24"/>
                <w:lang w:val="en-US" w:eastAsia="zh-CN"/>
              </w:rPr>
              <w:t>运</w:t>
            </w:r>
            <w:r>
              <w:rPr>
                <w:rFonts w:hint="eastAsia" w:ascii="Times New Roman" w:hAnsi="Times New Roman" w:eastAsia="宋体" w:cs="Times New Roman"/>
                <w:bCs/>
                <w:color w:val="auto"/>
                <w:sz w:val="24"/>
                <w:szCs w:val="24"/>
              </w:rPr>
              <w:t>输距离短，运输前确保危险废物密封完好，并加强运输管理，基本不会发生散落、</w:t>
            </w:r>
            <w:r>
              <w:rPr>
                <w:rFonts w:hint="eastAsia" w:cs="Times New Roman"/>
                <w:bCs/>
                <w:color w:val="auto"/>
                <w:sz w:val="24"/>
                <w:szCs w:val="24"/>
                <w:lang w:eastAsia="zh-CN"/>
              </w:rPr>
              <w:t>泄漏</w:t>
            </w:r>
            <w:r>
              <w:rPr>
                <w:rFonts w:hint="eastAsia" w:ascii="Times New Roman" w:hAnsi="Times New Roman" w:eastAsia="宋体" w:cs="Times New Roman"/>
                <w:bCs/>
                <w:color w:val="auto"/>
                <w:sz w:val="24"/>
                <w:szCs w:val="24"/>
              </w:rPr>
              <w:t>，导致水环境质量和土壤受到影响。</w:t>
            </w:r>
          </w:p>
          <w:p w14:paraId="0E1025B9">
            <w:pPr>
              <w:adjustRightInd w:val="0"/>
              <w:snapToGrid w:val="0"/>
              <w:spacing w:line="360" w:lineRule="auto"/>
              <w:ind w:firstLine="480" w:firstLineChars="200"/>
              <w:rPr>
                <w:rFonts w:hint="eastAsia"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危险废物的运输转移应按《道路危险货物运输管理规定》的规定执行，危险废物运输过程中需要注意包装容器要密闭，以免泄漏;禁止超装、超载</w:t>
            </w:r>
            <w:r>
              <w:rPr>
                <w:rFonts w:hint="eastAsia" w:cs="Times New Roman"/>
                <w:bCs/>
                <w:color w:val="auto"/>
                <w:sz w:val="24"/>
                <w:szCs w:val="24"/>
                <w:lang w:eastAsia="zh-CN"/>
              </w:rPr>
              <w:t>；</w:t>
            </w:r>
            <w:r>
              <w:rPr>
                <w:rFonts w:hint="eastAsia" w:ascii="Times New Roman" w:hAnsi="Times New Roman" w:eastAsia="宋体" w:cs="Times New Roman"/>
                <w:bCs/>
                <w:color w:val="auto"/>
                <w:sz w:val="24"/>
                <w:szCs w:val="24"/>
              </w:rPr>
              <w:t>危险废物的运输转移过程控制应严格遵从《危险废物转移联单管理办法》及其有关规定的要求，做好</w:t>
            </w:r>
            <w:r>
              <w:rPr>
                <w:rFonts w:hint="eastAsia" w:cs="Times New Roman"/>
                <w:bCs/>
                <w:color w:val="auto"/>
                <w:sz w:val="24"/>
                <w:szCs w:val="24"/>
                <w:lang w:val="en-US" w:eastAsia="zh-CN"/>
              </w:rPr>
              <w:t>危险废物</w:t>
            </w:r>
            <w:r>
              <w:rPr>
                <w:rFonts w:hint="eastAsia" w:ascii="Times New Roman" w:hAnsi="Times New Roman" w:eastAsia="宋体" w:cs="Times New Roman"/>
                <w:bCs/>
                <w:color w:val="auto"/>
                <w:sz w:val="24"/>
                <w:szCs w:val="24"/>
              </w:rPr>
              <w:t>转移登记。因此，落实上述措施后，本项目产生的危废能够落实妥善的处置途径，不会对周边环境产生不利影响。</w:t>
            </w:r>
          </w:p>
          <w:p w14:paraId="25688D8F">
            <w:pPr>
              <w:adjustRightInd w:val="0"/>
              <w:snapToGrid w:val="0"/>
              <w:spacing w:line="360" w:lineRule="auto"/>
              <w:ind w:firstLine="480" w:firstLineChars="200"/>
              <w:rPr>
                <w:rFonts w:hint="eastAsia" w:ascii="Times New Roman" w:hAnsi="Times New Roman" w:eastAsia="宋体" w:cs="Times New Roman"/>
                <w:bCs/>
                <w:color w:val="auto"/>
                <w:sz w:val="24"/>
                <w:szCs w:val="24"/>
              </w:rPr>
            </w:pPr>
            <w:r>
              <w:rPr>
                <w:rFonts w:hint="eastAsia" w:cs="Times New Roman"/>
                <w:bCs/>
                <w:color w:val="auto"/>
                <w:sz w:val="24"/>
                <w:szCs w:val="24"/>
                <w:lang w:eastAsia="zh-CN"/>
              </w:rPr>
              <w:t>（</w:t>
            </w:r>
            <w:r>
              <w:rPr>
                <w:rFonts w:hint="eastAsia" w:cs="Times New Roman"/>
                <w:bCs/>
                <w:color w:val="auto"/>
                <w:sz w:val="24"/>
                <w:szCs w:val="24"/>
                <w:lang w:val="en-US" w:eastAsia="zh-CN"/>
              </w:rPr>
              <w:t>3</w:t>
            </w:r>
            <w:r>
              <w:rPr>
                <w:rFonts w:hint="eastAsia" w:cs="Times New Roman"/>
                <w:bCs/>
                <w:color w:val="auto"/>
                <w:sz w:val="24"/>
                <w:szCs w:val="24"/>
                <w:lang w:eastAsia="zh-CN"/>
              </w:rPr>
              <w:t>）</w:t>
            </w:r>
            <w:r>
              <w:rPr>
                <w:rFonts w:hint="eastAsia" w:ascii="Times New Roman" w:hAnsi="Times New Roman" w:eastAsia="宋体" w:cs="Times New Roman"/>
                <w:bCs/>
                <w:color w:val="auto"/>
                <w:sz w:val="24"/>
                <w:szCs w:val="24"/>
              </w:rPr>
              <w:t>处置</w:t>
            </w:r>
          </w:p>
          <w:p w14:paraId="36EBB4A5">
            <w:pPr>
              <w:adjustRightInd w:val="0"/>
              <w:snapToGrid w:val="0"/>
              <w:spacing w:line="360" w:lineRule="auto"/>
              <w:ind w:firstLine="480" w:firstLineChars="200"/>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4"/>
                <w:szCs w:val="24"/>
              </w:rPr>
              <w:t>本项目危险废物分类收集</w:t>
            </w:r>
            <w:r>
              <w:rPr>
                <w:rFonts w:hint="eastAsia" w:cs="Times New Roman"/>
                <w:bCs/>
                <w:color w:val="auto"/>
                <w:sz w:val="24"/>
                <w:szCs w:val="24"/>
                <w:lang w:val="en-US" w:eastAsia="zh-CN"/>
              </w:rPr>
              <w:t>分类暂存于危废贮存库</w:t>
            </w:r>
            <w:r>
              <w:rPr>
                <w:rFonts w:hint="eastAsia" w:ascii="Times New Roman" w:hAnsi="Times New Roman" w:eastAsia="宋体" w:cs="Times New Roman"/>
                <w:bCs/>
                <w:color w:val="auto"/>
                <w:sz w:val="24"/>
                <w:szCs w:val="24"/>
              </w:rPr>
              <w:t>后</w:t>
            </w:r>
            <w:r>
              <w:rPr>
                <w:rFonts w:hint="eastAsia" w:cs="Times New Roman"/>
                <w:bCs/>
                <w:color w:val="auto"/>
                <w:sz w:val="24"/>
                <w:szCs w:val="24"/>
                <w:lang w:val="en-US" w:eastAsia="zh-CN"/>
              </w:rPr>
              <w:t>定期</w:t>
            </w:r>
            <w:r>
              <w:rPr>
                <w:rFonts w:hint="eastAsia" w:ascii="Times New Roman" w:hAnsi="Times New Roman" w:eastAsia="宋体" w:cs="Times New Roman"/>
                <w:bCs/>
                <w:color w:val="auto"/>
                <w:sz w:val="24"/>
                <w:szCs w:val="24"/>
              </w:rPr>
              <w:t>委托</w:t>
            </w:r>
            <w:r>
              <w:rPr>
                <w:rFonts w:hint="eastAsia" w:cs="Times New Roman"/>
                <w:bCs/>
                <w:color w:val="auto"/>
                <w:sz w:val="24"/>
                <w:szCs w:val="24"/>
                <w:lang w:val="en-US" w:eastAsia="zh-CN"/>
              </w:rPr>
              <w:t>有</w:t>
            </w:r>
            <w:r>
              <w:rPr>
                <w:rFonts w:hint="eastAsia" w:ascii="Times New Roman" w:hAnsi="Times New Roman" w:eastAsia="宋体" w:cs="Times New Roman"/>
                <w:bCs/>
                <w:color w:val="auto"/>
                <w:sz w:val="24"/>
                <w:szCs w:val="24"/>
              </w:rPr>
              <w:t>资质单位处置，填写</w:t>
            </w:r>
            <w:r>
              <w:rPr>
                <w:rFonts w:hint="eastAsia" w:cs="Times New Roman"/>
                <w:bCs/>
                <w:color w:val="auto"/>
                <w:sz w:val="24"/>
                <w:szCs w:val="24"/>
                <w:lang w:val="en-US" w:eastAsia="zh-CN"/>
              </w:rPr>
              <w:t>危险废物</w:t>
            </w:r>
            <w:r>
              <w:rPr>
                <w:rFonts w:hint="eastAsia" w:ascii="Times New Roman" w:hAnsi="Times New Roman" w:eastAsia="宋体" w:cs="Times New Roman"/>
                <w:bCs/>
                <w:color w:val="auto"/>
                <w:sz w:val="24"/>
                <w:szCs w:val="24"/>
              </w:rPr>
              <w:t>五联单并存档</w:t>
            </w:r>
            <w:r>
              <w:rPr>
                <w:rFonts w:hint="eastAsia" w:cs="Times New Roman"/>
                <w:bCs/>
                <w:color w:val="auto"/>
                <w:sz w:val="24"/>
                <w:szCs w:val="24"/>
                <w:lang w:eastAsia="zh-CN"/>
              </w:rPr>
              <w:t>。</w:t>
            </w:r>
            <w:r>
              <w:rPr>
                <w:rFonts w:hint="eastAsia" w:ascii="Times New Roman" w:hAnsi="Times New Roman" w:eastAsia="宋体" w:cs="Times New Roman"/>
                <w:bCs/>
                <w:color w:val="auto"/>
                <w:sz w:val="24"/>
                <w:szCs w:val="24"/>
              </w:rPr>
              <w:t>因此，落实上述措施后，项目</w:t>
            </w:r>
            <w:r>
              <w:rPr>
                <w:rFonts w:hint="eastAsia" w:cs="Times New Roman"/>
                <w:bCs/>
                <w:color w:val="auto"/>
                <w:sz w:val="24"/>
                <w:szCs w:val="24"/>
                <w:lang w:val="en-US" w:eastAsia="zh-CN"/>
              </w:rPr>
              <w:t>产生的危险废物</w:t>
            </w:r>
            <w:r>
              <w:rPr>
                <w:rFonts w:hint="eastAsia" w:ascii="Times New Roman" w:hAnsi="Times New Roman" w:eastAsia="宋体" w:cs="Times New Roman"/>
                <w:bCs/>
                <w:color w:val="auto"/>
                <w:sz w:val="24"/>
                <w:szCs w:val="24"/>
              </w:rPr>
              <w:t>可得到有效处理处置，不会对周围环境造成二次污染，对周围环境影响较小。</w:t>
            </w:r>
          </w:p>
          <w:p w14:paraId="6F5E8AB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auto"/>
                <w:spacing w:val="0"/>
                <w:kern w:val="21"/>
                <w:position w:val="0"/>
                <w:sz w:val="24"/>
                <w:highlight w:val="none"/>
                <w:lang w:val="en-US" w:eastAsia="zh-CN"/>
              </w:rPr>
            </w:pPr>
            <w:r>
              <w:rPr>
                <w:rFonts w:hint="eastAsia" w:ascii="Times New Roman" w:hAnsi="Times New Roman" w:eastAsia="宋体" w:cs="Times New Roman"/>
                <w:color w:val="auto"/>
                <w:spacing w:val="0"/>
                <w:kern w:val="21"/>
                <w:position w:val="0"/>
                <w:sz w:val="24"/>
                <w:highlight w:val="none"/>
                <w:lang w:val="en-US" w:eastAsia="zh-CN"/>
              </w:rPr>
              <w:t>综上，本项目营运期所产生的各种</w:t>
            </w:r>
            <w:r>
              <w:rPr>
                <w:rFonts w:hint="eastAsia" w:cs="Times New Roman"/>
                <w:color w:val="auto"/>
                <w:spacing w:val="0"/>
                <w:kern w:val="21"/>
                <w:position w:val="0"/>
                <w:sz w:val="24"/>
                <w:highlight w:val="none"/>
                <w:lang w:val="en-US" w:eastAsia="zh-CN"/>
              </w:rPr>
              <w:t>固体废物</w:t>
            </w:r>
            <w:r>
              <w:rPr>
                <w:rFonts w:hint="eastAsia" w:ascii="Times New Roman" w:hAnsi="Times New Roman" w:eastAsia="宋体" w:cs="Times New Roman"/>
                <w:color w:val="auto"/>
                <w:spacing w:val="0"/>
                <w:kern w:val="21"/>
                <w:position w:val="0"/>
                <w:sz w:val="24"/>
                <w:highlight w:val="none"/>
                <w:lang w:val="en-US" w:eastAsia="zh-CN"/>
              </w:rPr>
              <w:t>均</w:t>
            </w:r>
            <w:r>
              <w:rPr>
                <w:rFonts w:hint="eastAsia" w:cs="Times New Roman"/>
                <w:color w:val="auto"/>
                <w:spacing w:val="0"/>
                <w:kern w:val="21"/>
                <w:position w:val="0"/>
                <w:sz w:val="24"/>
                <w:highlight w:val="none"/>
                <w:lang w:val="en-US" w:eastAsia="zh-CN"/>
              </w:rPr>
              <w:t>能</w:t>
            </w:r>
            <w:r>
              <w:rPr>
                <w:rFonts w:hint="eastAsia" w:ascii="Times New Roman" w:hAnsi="Times New Roman" w:eastAsia="宋体" w:cs="Times New Roman"/>
                <w:color w:val="auto"/>
                <w:spacing w:val="0"/>
                <w:kern w:val="21"/>
                <w:position w:val="0"/>
                <w:sz w:val="24"/>
                <w:highlight w:val="none"/>
                <w:lang w:val="en-US" w:eastAsia="zh-CN"/>
              </w:rPr>
              <w:t>得到合理</w:t>
            </w:r>
            <w:r>
              <w:rPr>
                <w:rFonts w:hint="eastAsia" w:cs="Times New Roman"/>
                <w:color w:val="auto"/>
                <w:spacing w:val="0"/>
                <w:kern w:val="21"/>
                <w:position w:val="0"/>
                <w:sz w:val="24"/>
                <w:highlight w:val="none"/>
                <w:lang w:val="en-US" w:eastAsia="zh-CN"/>
              </w:rPr>
              <w:t>合规</w:t>
            </w:r>
            <w:r>
              <w:rPr>
                <w:rFonts w:hint="eastAsia" w:ascii="Times New Roman" w:hAnsi="Times New Roman" w:eastAsia="宋体" w:cs="Times New Roman"/>
                <w:color w:val="auto"/>
                <w:spacing w:val="0"/>
                <w:kern w:val="21"/>
                <w:position w:val="0"/>
                <w:sz w:val="24"/>
                <w:highlight w:val="none"/>
                <w:lang w:val="en-US" w:eastAsia="zh-CN"/>
              </w:rPr>
              <w:t>处置，对外界环境的影响较小。</w:t>
            </w:r>
          </w:p>
          <w:p w14:paraId="77E2DE5A">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rFonts w:hint="eastAsia" w:ascii="Times New Roman" w:hAnsi="Times New Roman" w:eastAsia="宋体" w:cs="Times New Roman"/>
                <w:b/>
                <w:bCs/>
                <w:color w:val="auto"/>
                <w:spacing w:val="0"/>
                <w:kern w:val="21"/>
                <w:position w:val="0"/>
                <w:sz w:val="24"/>
                <w:highlight w:val="none"/>
                <w:lang w:val="en-US" w:eastAsia="zh-CN"/>
              </w:rPr>
            </w:pPr>
            <w:r>
              <w:rPr>
                <w:rFonts w:hint="eastAsia" w:cs="Times New Roman"/>
                <w:b/>
                <w:bCs/>
                <w:color w:val="auto"/>
                <w:spacing w:val="0"/>
                <w:kern w:val="21"/>
                <w:position w:val="0"/>
                <w:sz w:val="24"/>
                <w:highlight w:val="none"/>
                <w:lang w:val="en-US" w:eastAsia="zh-CN"/>
              </w:rPr>
              <w:t>五、</w:t>
            </w:r>
            <w:r>
              <w:rPr>
                <w:rFonts w:hint="eastAsia" w:ascii="Times New Roman" w:hAnsi="Times New Roman" w:eastAsia="宋体" w:cs="Times New Roman"/>
                <w:b/>
                <w:bCs/>
                <w:color w:val="auto"/>
                <w:spacing w:val="0"/>
                <w:kern w:val="21"/>
                <w:position w:val="0"/>
                <w:sz w:val="24"/>
                <w:highlight w:val="none"/>
                <w:lang w:val="en-US" w:eastAsia="zh-CN"/>
              </w:rPr>
              <w:t>地下水和土壤</w:t>
            </w:r>
          </w:p>
          <w:p w14:paraId="679FE9DE">
            <w:pPr>
              <w:ind w:firstLine="480"/>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污染源、污染物类型及污染途径</w:t>
            </w:r>
          </w:p>
          <w:p w14:paraId="7AEE5D0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auto"/>
                <w:spacing w:val="0"/>
                <w:kern w:val="21"/>
                <w:position w:val="0"/>
                <w:sz w:val="24"/>
                <w:highlight w:val="none"/>
                <w:lang w:val="en-US" w:eastAsia="zh-CN"/>
              </w:rPr>
            </w:pPr>
            <w:r>
              <w:rPr>
                <w:rFonts w:hint="eastAsia" w:ascii="Times New Roman" w:hAnsi="Times New Roman" w:eastAsia="宋体" w:cs="Times New Roman"/>
                <w:color w:val="auto"/>
                <w:spacing w:val="0"/>
                <w:kern w:val="21"/>
                <w:position w:val="0"/>
                <w:sz w:val="24"/>
                <w:highlight w:val="none"/>
                <w:lang w:val="en-US" w:eastAsia="zh-CN"/>
              </w:rPr>
              <w:t>项目区对地下水的影响主要为生活污水对地下水环境</w:t>
            </w:r>
            <w:r>
              <w:rPr>
                <w:rFonts w:hint="eastAsia" w:cs="Times New Roman"/>
                <w:color w:val="auto"/>
                <w:spacing w:val="0"/>
                <w:kern w:val="21"/>
                <w:position w:val="0"/>
                <w:sz w:val="24"/>
                <w:highlight w:val="none"/>
                <w:lang w:val="en-US" w:eastAsia="zh-CN"/>
              </w:rPr>
              <w:t>的</w:t>
            </w:r>
            <w:r>
              <w:rPr>
                <w:rFonts w:hint="eastAsia" w:ascii="Times New Roman" w:hAnsi="Times New Roman" w:eastAsia="宋体" w:cs="Times New Roman"/>
                <w:color w:val="auto"/>
                <w:spacing w:val="0"/>
                <w:kern w:val="21"/>
                <w:position w:val="0"/>
                <w:sz w:val="24"/>
                <w:highlight w:val="none"/>
                <w:lang w:val="en-US" w:eastAsia="zh-CN"/>
              </w:rPr>
              <w:t>影响及事故状态下丙烷</w:t>
            </w:r>
            <w:r>
              <w:rPr>
                <w:rFonts w:hint="eastAsia" w:cs="Times New Roman"/>
                <w:color w:val="auto"/>
                <w:spacing w:val="0"/>
                <w:kern w:val="21"/>
                <w:position w:val="0"/>
                <w:sz w:val="24"/>
                <w:highlight w:val="none"/>
                <w:lang w:val="en-US" w:eastAsia="zh-CN"/>
              </w:rPr>
              <w:t>、液化石油气</w:t>
            </w:r>
            <w:r>
              <w:rPr>
                <w:rFonts w:hint="eastAsia" w:ascii="Times New Roman" w:hAnsi="Times New Roman" w:eastAsia="宋体" w:cs="Times New Roman"/>
                <w:color w:val="auto"/>
                <w:spacing w:val="0"/>
                <w:kern w:val="21"/>
                <w:position w:val="0"/>
                <w:sz w:val="24"/>
                <w:highlight w:val="none"/>
                <w:lang w:val="en-US" w:eastAsia="zh-CN"/>
              </w:rPr>
              <w:t>和乙炔</w:t>
            </w:r>
            <w:r>
              <w:rPr>
                <w:rFonts w:hint="eastAsia" w:cs="Times New Roman"/>
                <w:color w:val="auto"/>
                <w:spacing w:val="0"/>
                <w:kern w:val="21"/>
                <w:position w:val="0"/>
                <w:sz w:val="24"/>
                <w:highlight w:val="none"/>
                <w:lang w:val="en-US" w:eastAsia="zh-CN"/>
              </w:rPr>
              <w:t>泄漏</w:t>
            </w:r>
            <w:r>
              <w:rPr>
                <w:rFonts w:hint="eastAsia" w:ascii="Times New Roman" w:hAnsi="Times New Roman" w:eastAsia="宋体" w:cs="Times New Roman"/>
                <w:color w:val="auto"/>
                <w:spacing w:val="0"/>
                <w:kern w:val="21"/>
                <w:position w:val="0"/>
                <w:sz w:val="24"/>
                <w:highlight w:val="none"/>
                <w:lang w:val="en-US" w:eastAsia="zh-CN"/>
              </w:rPr>
              <w:t>可能对地下水造成的影响，乙炔气瓶存储量不大，是外购气瓶直接售卖，在</w:t>
            </w:r>
            <w:r>
              <w:rPr>
                <w:rFonts w:hint="eastAsia" w:cs="Times New Roman"/>
                <w:color w:val="auto"/>
                <w:spacing w:val="0"/>
                <w:kern w:val="21"/>
                <w:position w:val="0"/>
                <w:sz w:val="24"/>
                <w:highlight w:val="none"/>
                <w:lang w:val="en-US" w:eastAsia="zh-CN"/>
              </w:rPr>
              <w:t>甲类仓库</w:t>
            </w:r>
            <w:r>
              <w:rPr>
                <w:rFonts w:hint="eastAsia" w:ascii="Times New Roman" w:hAnsi="Times New Roman" w:eastAsia="宋体" w:cs="Times New Roman"/>
                <w:color w:val="auto"/>
                <w:spacing w:val="0"/>
                <w:kern w:val="21"/>
                <w:position w:val="0"/>
                <w:sz w:val="24"/>
                <w:highlight w:val="none"/>
                <w:lang w:val="en-US" w:eastAsia="zh-CN"/>
              </w:rPr>
              <w:t>存留周期较短。</w:t>
            </w:r>
          </w:p>
          <w:p w14:paraId="027BBCF2">
            <w:pPr>
              <w:pStyle w:val="20"/>
              <w:rPr>
                <w:rFonts w:hint="eastAsia"/>
                <w:sz w:val="24"/>
                <w:szCs w:val="28"/>
                <w:lang w:val="en-US" w:eastAsia="zh-CN"/>
              </w:rPr>
            </w:pPr>
            <w:r>
              <w:rPr>
                <w:rFonts w:hint="eastAsia"/>
                <w:sz w:val="24"/>
                <w:szCs w:val="28"/>
                <w:lang w:val="en-US" w:eastAsia="zh-CN"/>
              </w:rPr>
              <w:t>丙烷、液化石油气及残液储罐非正常情况下泄漏或渗漏，会对土壤及地下水造成污染。</w:t>
            </w:r>
          </w:p>
          <w:p w14:paraId="410E3FC2">
            <w:pPr>
              <w:pStyle w:val="20"/>
              <w:rPr>
                <w:rFonts w:hint="eastAsia"/>
                <w:sz w:val="24"/>
                <w:szCs w:val="28"/>
                <w:lang w:val="en-US" w:eastAsia="zh-CN"/>
              </w:rPr>
            </w:pPr>
            <w:r>
              <w:rPr>
                <w:rFonts w:hint="eastAsia"/>
                <w:sz w:val="24"/>
                <w:szCs w:val="28"/>
                <w:lang w:val="en-US" w:eastAsia="zh-CN"/>
              </w:rPr>
              <w:t>非正常状况下，丙烷储罐泄漏对地下水水质造成影响可能发生的主要原因有以下两点：一是自然灾害，如地震、洪水；二是操作失误或是违章操作及人为因素造成。</w:t>
            </w:r>
          </w:p>
          <w:p w14:paraId="180B96EA">
            <w:pPr>
              <w:pStyle w:val="20"/>
              <w:rPr>
                <w:rFonts w:hint="eastAsia"/>
                <w:sz w:val="24"/>
                <w:szCs w:val="28"/>
                <w:lang w:val="en-US" w:eastAsia="zh-CN"/>
              </w:rPr>
            </w:pPr>
            <w:r>
              <w:rPr>
                <w:rFonts w:hint="eastAsia"/>
                <w:sz w:val="24"/>
                <w:szCs w:val="28"/>
                <w:lang w:val="en-US" w:eastAsia="zh-CN"/>
              </w:rPr>
              <w:t>地震和洪水属自然灾害，有其不可抗拒和难以避免的一面，但是在选址、设计、施工过程中应给予充分重视，采取较大的抗震结构保险系数，增加罐区各设备的抗震能力。</w:t>
            </w:r>
          </w:p>
          <w:p w14:paraId="6DAC048C">
            <w:pPr>
              <w:pStyle w:val="20"/>
              <w:rPr>
                <w:rFonts w:hint="eastAsia"/>
                <w:sz w:val="24"/>
                <w:szCs w:val="28"/>
                <w:lang w:val="en-US" w:eastAsia="zh-CN"/>
              </w:rPr>
            </w:pPr>
            <w:r>
              <w:rPr>
                <w:rFonts w:hint="eastAsia"/>
                <w:sz w:val="24"/>
                <w:szCs w:val="28"/>
                <w:lang w:val="en-US" w:eastAsia="zh-CN"/>
              </w:rPr>
              <w:t>人员因素造成储罐泄漏或是外溢的因素主要有储罐的年久失修，储罐腐蚀，致使丙烷、液化石油气及残液渗漏；罐区附近施工致使丙烷、液化石油气及残液泄漏。</w:t>
            </w:r>
          </w:p>
          <w:p w14:paraId="68BB9010">
            <w:pPr>
              <w:pStyle w:val="20"/>
              <w:rPr>
                <w:rFonts w:hint="eastAsia"/>
                <w:sz w:val="24"/>
                <w:szCs w:val="28"/>
                <w:lang w:val="en-US" w:eastAsia="zh-CN"/>
              </w:rPr>
            </w:pPr>
            <w:r>
              <w:rPr>
                <w:rFonts w:hint="eastAsia"/>
                <w:sz w:val="24"/>
                <w:szCs w:val="28"/>
                <w:lang w:val="en-US" w:eastAsia="zh-CN"/>
              </w:rPr>
              <w:t>综上两种可能造成丙烷泄漏或渗漏的原因，导致的水环境污染主要表现为对地表水的污染和对地下水的污染。因此罐区及工艺管道区应采取严格的防渗措施，确保发生事故时丙烷不发生渗漏，确保地下水环境和土壤环境的安全。</w:t>
            </w:r>
          </w:p>
          <w:p w14:paraId="7E30983B">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rFonts w:hint="eastAsia" w:ascii="Times New Roman" w:hAnsi="Times New Roman" w:eastAsia="宋体" w:cs="Times New Roman"/>
                <w:color w:val="auto"/>
                <w:spacing w:val="0"/>
                <w:kern w:val="21"/>
                <w:position w:val="0"/>
                <w:sz w:val="24"/>
                <w:highlight w:val="none"/>
                <w:lang w:val="en-US" w:eastAsia="zh-CN"/>
              </w:rPr>
            </w:pPr>
            <w:r>
              <w:rPr>
                <w:rFonts w:hint="eastAsia" w:ascii="Times New Roman" w:hAnsi="Times New Roman" w:eastAsia="宋体" w:cs="Times New Roman"/>
                <w:b/>
                <w:bCs/>
                <w:color w:val="auto"/>
                <w:spacing w:val="0"/>
                <w:kern w:val="21"/>
                <w:position w:val="0"/>
                <w:sz w:val="24"/>
                <w:highlight w:val="none"/>
                <w:lang w:val="en-US" w:eastAsia="zh-CN"/>
              </w:rPr>
              <w:t xml:space="preserve"> </w:t>
            </w:r>
            <w:r>
              <w:rPr>
                <w:rFonts w:hint="eastAsia" w:cs="Times New Roman"/>
                <w:b/>
                <w:bCs/>
                <w:color w:val="auto"/>
                <w:spacing w:val="0"/>
                <w:kern w:val="21"/>
                <w:position w:val="0"/>
                <w:sz w:val="24"/>
                <w:highlight w:val="none"/>
                <w:lang w:val="en-US" w:eastAsia="zh-CN"/>
              </w:rPr>
              <w:t>2、</w:t>
            </w:r>
            <w:r>
              <w:rPr>
                <w:rFonts w:hint="eastAsia" w:ascii="Times New Roman" w:hAnsi="Times New Roman" w:eastAsia="宋体" w:cs="Times New Roman"/>
                <w:b/>
                <w:bCs/>
                <w:color w:val="auto"/>
                <w:spacing w:val="0"/>
                <w:kern w:val="21"/>
                <w:position w:val="0"/>
                <w:sz w:val="24"/>
                <w:highlight w:val="none"/>
                <w:lang w:val="en-US" w:eastAsia="zh-CN"/>
              </w:rPr>
              <w:t>地下水、土壤环境影响减缓措施</w:t>
            </w:r>
          </w:p>
          <w:p w14:paraId="5E81A93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auto"/>
                <w:spacing w:val="0"/>
                <w:kern w:val="21"/>
                <w:position w:val="0"/>
                <w:sz w:val="24"/>
                <w:highlight w:val="none"/>
                <w:lang w:val="en-US" w:eastAsia="zh-CN"/>
              </w:rPr>
            </w:pPr>
            <w:r>
              <w:rPr>
                <w:rFonts w:hint="eastAsia" w:ascii="Times New Roman" w:hAnsi="Times New Roman" w:eastAsia="宋体" w:cs="Times New Roman"/>
                <w:color w:val="auto"/>
                <w:spacing w:val="0"/>
                <w:kern w:val="21"/>
                <w:position w:val="0"/>
                <w:sz w:val="24"/>
                <w:highlight w:val="none"/>
                <w:lang w:val="en-US" w:eastAsia="zh-CN"/>
              </w:rPr>
              <w:t>（</w:t>
            </w:r>
            <w:r>
              <w:rPr>
                <w:rFonts w:hint="eastAsia" w:cs="Times New Roman"/>
                <w:color w:val="auto"/>
                <w:spacing w:val="0"/>
                <w:kern w:val="21"/>
                <w:position w:val="0"/>
                <w:sz w:val="24"/>
                <w:highlight w:val="none"/>
                <w:lang w:val="en-US" w:eastAsia="zh-CN"/>
              </w:rPr>
              <w:t>1</w:t>
            </w:r>
            <w:r>
              <w:rPr>
                <w:rFonts w:hint="eastAsia" w:ascii="Times New Roman" w:hAnsi="Times New Roman" w:eastAsia="宋体" w:cs="Times New Roman"/>
                <w:color w:val="auto"/>
                <w:spacing w:val="0"/>
                <w:kern w:val="21"/>
                <w:position w:val="0"/>
                <w:sz w:val="24"/>
                <w:highlight w:val="none"/>
                <w:lang w:val="en-US" w:eastAsia="zh-CN"/>
              </w:rPr>
              <w:t>） 源头控制措施</w:t>
            </w:r>
          </w:p>
          <w:p w14:paraId="5BFE986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auto"/>
                <w:spacing w:val="0"/>
                <w:kern w:val="21"/>
                <w:position w:val="0"/>
                <w:sz w:val="24"/>
                <w:highlight w:val="none"/>
                <w:lang w:val="en-US" w:eastAsia="zh-CN"/>
              </w:rPr>
            </w:pPr>
            <w:r>
              <w:rPr>
                <w:rFonts w:hint="eastAsia" w:ascii="Times New Roman" w:hAnsi="Times New Roman" w:eastAsia="宋体" w:cs="Times New Roman"/>
                <w:color w:val="auto"/>
                <w:spacing w:val="0"/>
                <w:kern w:val="21"/>
                <w:position w:val="0"/>
                <w:sz w:val="24"/>
                <w:highlight w:val="none"/>
                <w:lang w:val="en-US" w:eastAsia="zh-CN"/>
              </w:rPr>
              <w:t>本项目要选择先进、成熟、可靠的工艺技术，并对产生的废物进行合理的回用和治理，以尽可能从源头上减少污染物排放；严格按照国家相关规范要求，对工艺、管道、设备、初期雨水储存及处理构筑物采取相应的措施，以防止和降低污染物的跑、冒、滴、漏，将污染物泄漏的环境风险事故降低到最低程度；设备和管线敷设尽量采用“可视化”原则，即管道尽可能地上敷设，做到污染物“早发现、早处理”，以减少由于埋地管道泄漏而可能造成的地下水污染。堆放各种原辅材料、固体废物的堆放场地</w:t>
            </w:r>
            <w:r>
              <w:rPr>
                <w:rFonts w:hint="eastAsia" w:cs="Times New Roman"/>
                <w:color w:val="auto"/>
                <w:spacing w:val="0"/>
                <w:kern w:val="21"/>
                <w:position w:val="0"/>
                <w:sz w:val="24"/>
                <w:highlight w:val="none"/>
                <w:lang w:val="en-US" w:eastAsia="zh-CN"/>
              </w:rPr>
              <w:t>应</w:t>
            </w:r>
            <w:r>
              <w:rPr>
                <w:rFonts w:hint="eastAsia" w:ascii="Times New Roman" w:hAnsi="Times New Roman" w:eastAsia="宋体" w:cs="Times New Roman"/>
                <w:color w:val="auto"/>
                <w:spacing w:val="0"/>
                <w:kern w:val="21"/>
                <w:position w:val="0"/>
                <w:sz w:val="24"/>
                <w:highlight w:val="none"/>
                <w:lang w:val="en-US" w:eastAsia="zh-CN"/>
              </w:rPr>
              <w:t>按照国家相关规范要求，采取防泄漏措施，尤其是</w:t>
            </w:r>
            <w:r>
              <w:rPr>
                <w:rFonts w:hint="eastAsia" w:cs="Times New Roman"/>
                <w:color w:val="auto"/>
                <w:spacing w:val="0"/>
                <w:kern w:val="21"/>
                <w:position w:val="0"/>
                <w:sz w:val="24"/>
                <w:highlight w:val="none"/>
                <w:lang w:val="en-US" w:eastAsia="zh-CN"/>
              </w:rPr>
              <w:t>危废贮存库</w:t>
            </w:r>
            <w:r>
              <w:rPr>
                <w:rFonts w:hint="eastAsia" w:ascii="Times New Roman" w:hAnsi="Times New Roman" w:eastAsia="宋体" w:cs="Times New Roman"/>
                <w:color w:val="auto"/>
                <w:spacing w:val="0"/>
                <w:kern w:val="21"/>
                <w:position w:val="0"/>
                <w:sz w:val="24"/>
                <w:highlight w:val="none"/>
                <w:lang w:val="en-US" w:eastAsia="zh-CN"/>
              </w:rPr>
              <w:t>必须按照国家关于危险废物储存处置场的要求</w:t>
            </w:r>
            <w:r>
              <w:rPr>
                <w:rFonts w:hint="eastAsia" w:cs="Times New Roman"/>
                <w:color w:val="auto"/>
                <w:spacing w:val="0"/>
                <w:kern w:val="21"/>
                <w:position w:val="0"/>
                <w:sz w:val="24"/>
                <w:highlight w:val="none"/>
                <w:lang w:val="en-US" w:eastAsia="zh-CN"/>
              </w:rPr>
              <w:t>和规定</w:t>
            </w:r>
            <w:r>
              <w:rPr>
                <w:rFonts w:hint="eastAsia" w:ascii="Times New Roman" w:hAnsi="Times New Roman" w:eastAsia="宋体" w:cs="Times New Roman"/>
                <w:color w:val="auto"/>
                <w:spacing w:val="0"/>
                <w:kern w:val="21"/>
                <w:position w:val="0"/>
                <w:sz w:val="24"/>
                <w:highlight w:val="none"/>
                <w:lang w:val="en-US" w:eastAsia="zh-CN"/>
              </w:rPr>
              <w:t>，采取防泄漏、防雨水、防腐蚀等措施，严格危险废物的管理，及时将危险废物回收或</w:t>
            </w:r>
            <w:r>
              <w:rPr>
                <w:rFonts w:hint="eastAsia" w:cs="Times New Roman"/>
                <w:color w:val="auto"/>
                <w:spacing w:val="0"/>
                <w:kern w:val="21"/>
                <w:position w:val="0"/>
                <w:sz w:val="24"/>
                <w:highlight w:val="none"/>
                <w:lang w:val="en-US" w:eastAsia="zh-CN"/>
              </w:rPr>
              <w:t>交由</w:t>
            </w:r>
            <w:r>
              <w:rPr>
                <w:rFonts w:hint="eastAsia" w:ascii="Times New Roman" w:hAnsi="Times New Roman" w:eastAsia="宋体" w:cs="Times New Roman"/>
                <w:color w:val="auto"/>
                <w:spacing w:val="0"/>
                <w:kern w:val="21"/>
                <w:position w:val="0"/>
                <w:sz w:val="24"/>
                <w:highlight w:val="none"/>
                <w:lang w:val="en-US" w:eastAsia="zh-CN"/>
              </w:rPr>
              <w:t>有资质的危险废物处置单位进行处理处置，严防污染物泄漏到地下水中。原料区和成品区必须严格按照相关规范，加强管理，做好防泄漏、防雨水、防腐蚀、防火灾、防爆炸等措施，严防污染物下渗到地下水中。</w:t>
            </w:r>
          </w:p>
          <w:p w14:paraId="101DAC7D">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auto"/>
                <w:spacing w:val="0"/>
                <w:kern w:val="21"/>
                <w:position w:val="0"/>
                <w:sz w:val="24"/>
                <w:highlight w:val="none"/>
                <w:lang w:val="en-US" w:eastAsia="zh-CN"/>
              </w:rPr>
            </w:pPr>
            <w:r>
              <w:rPr>
                <w:rFonts w:hint="eastAsia" w:ascii="Times New Roman" w:hAnsi="Times New Roman" w:eastAsia="宋体" w:cs="Times New Roman"/>
                <w:color w:val="auto"/>
                <w:spacing w:val="0"/>
                <w:kern w:val="21"/>
                <w:position w:val="0"/>
                <w:sz w:val="24"/>
                <w:highlight w:val="none"/>
                <w:lang w:val="en-US" w:eastAsia="zh-CN"/>
              </w:rPr>
              <w:t>（2）分区控制</w:t>
            </w:r>
          </w:p>
          <w:p w14:paraId="4B2B449E">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auto"/>
                <w:spacing w:val="0"/>
                <w:kern w:val="21"/>
                <w:position w:val="0"/>
                <w:sz w:val="24"/>
                <w:highlight w:val="none"/>
                <w:lang w:val="en-US" w:eastAsia="zh-CN"/>
              </w:rPr>
            </w:pPr>
            <w:r>
              <w:rPr>
                <w:rFonts w:hint="eastAsia" w:ascii="Times New Roman" w:hAnsi="Times New Roman" w:eastAsia="宋体" w:cs="Times New Roman"/>
                <w:color w:val="auto"/>
                <w:spacing w:val="0"/>
                <w:kern w:val="21"/>
                <w:position w:val="0"/>
                <w:sz w:val="24"/>
                <w:highlight w:val="none"/>
                <w:lang w:val="en-US" w:eastAsia="zh-CN"/>
              </w:rPr>
              <w:t>为有效防止丙烷</w:t>
            </w:r>
            <w:r>
              <w:rPr>
                <w:rFonts w:hint="eastAsia" w:cs="Times New Roman"/>
                <w:color w:val="auto"/>
                <w:spacing w:val="0"/>
                <w:kern w:val="21"/>
                <w:position w:val="0"/>
                <w:sz w:val="24"/>
                <w:highlight w:val="none"/>
                <w:lang w:val="en-US" w:eastAsia="zh-CN"/>
              </w:rPr>
              <w:t>、液化石油气、</w:t>
            </w:r>
            <w:r>
              <w:rPr>
                <w:rFonts w:hint="eastAsia" w:ascii="Times New Roman" w:hAnsi="Times New Roman" w:eastAsia="宋体" w:cs="Times New Roman"/>
                <w:color w:val="auto"/>
                <w:spacing w:val="0"/>
                <w:kern w:val="21"/>
                <w:position w:val="0"/>
                <w:sz w:val="24"/>
                <w:highlight w:val="none"/>
                <w:lang w:val="en-US" w:eastAsia="zh-CN"/>
              </w:rPr>
              <w:t>乙炔跑冒滴漏对周围地下水造成不利影响，在厂区采取分区防渗措施：</w:t>
            </w:r>
          </w:p>
          <w:p w14:paraId="075F8180">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auto"/>
                <w:spacing w:val="0"/>
                <w:kern w:val="21"/>
                <w:position w:val="0"/>
                <w:sz w:val="24"/>
                <w:highlight w:val="none"/>
                <w:lang w:val="en-US" w:eastAsia="zh-CN"/>
              </w:rPr>
            </w:pPr>
            <w:r>
              <w:rPr>
                <w:rFonts w:hint="eastAsia" w:ascii="Times New Roman" w:hAnsi="Times New Roman" w:eastAsia="宋体" w:cs="Times New Roman"/>
                <w:color w:val="auto"/>
                <w:spacing w:val="0"/>
                <w:kern w:val="21"/>
                <w:position w:val="0"/>
                <w:sz w:val="24"/>
                <w:highlight w:val="none"/>
                <w:lang w:val="en-US" w:eastAsia="zh-CN"/>
              </w:rPr>
              <w:t>重点防渗区：位于地下或半地下的生产功能单元，污染地下水环境的物料或污染物泄漏后，不易及时发现和处理的区域或部位。重点防渗区为储罐区、装卸区、物料运输管道、气瓶库、危险废物暂存区，根据工程地下水污染特点，采取相应的防渗措施。</w:t>
            </w:r>
          </w:p>
          <w:p w14:paraId="060B43C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auto"/>
                <w:spacing w:val="0"/>
                <w:kern w:val="21"/>
                <w:position w:val="0"/>
                <w:sz w:val="24"/>
                <w:highlight w:val="none"/>
                <w:lang w:val="en-US" w:eastAsia="zh-CN"/>
              </w:rPr>
            </w:pPr>
            <w:r>
              <w:rPr>
                <w:rFonts w:hint="eastAsia" w:ascii="Times New Roman" w:hAnsi="Times New Roman" w:eastAsia="宋体" w:cs="Times New Roman"/>
                <w:color w:val="auto"/>
                <w:spacing w:val="0"/>
                <w:kern w:val="21"/>
                <w:position w:val="0"/>
                <w:sz w:val="24"/>
                <w:highlight w:val="none"/>
                <w:lang w:val="en-US" w:eastAsia="zh-CN"/>
              </w:rPr>
              <w:t>一般防渗区：裸露于地面的生产功能单元，污染地下水环境的物料或污染物泄漏后，可及时发现和处理的区域或部位。</w:t>
            </w:r>
          </w:p>
          <w:p w14:paraId="254EA8FA">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auto"/>
                <w:spacing w:val="0"/>
                <w:kern w:val="21"/>
                <w:position w:val="0"/>
                <w:sz w:val="24"/>
                <w:highlight w:val="none"/>
                <w:lang w:val="en-US" w:eastAsia="zh-CN"/>
              </w:rPr>
            </w:pPr>
            <w:r>
              <w:rPr>
                <w:rFonts w:hint="eastAsia" w:ascii="Times New Roman" w:hAnsi="Times New Roman" w:eastAsia="宋体" w:cs="Times New Roman"/>
                <w:color w:val="auto"/>
                <w:spacing w:val="0"/>
                <w:kern w:val="21"/>
                <w:position w:val="0"/>
                <w:sz w:val="24"/>
                <w:highlight w:val="none"/>
                <w:lang w:val="en-US" w:eastAsia="zh-CN"/>
              </w:rPr>
              <w:t>简单防渗区：没有物料或污染物泄漏，不会对地下水环境造成污染的区域或者部位。</w:t>
            </w:r>
          </w:p>
          <w:p w14:paraId="53DBE8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auto"/>
                <w:spacing w:val="0"/>
                <w:kern w:val="21"/>
                <w:position w:val="0"/>
                <w:sz w:val="21"/>
                <w:szCs w:val="21"/>
                <w:highlight w:val="none"/>
                <w:lang w:val="en-US" w:eastAsia="zh-CN"/>
              </w:rPr>
            </w:pPr>
            <w:r>
              <w:rPr>
                <w:rFonts w:hint="eastAsia" w:ascii="Times New Roman" w:hAnsi="Times New Roman" w:eastAsia="宋体" w:cs="Times New Roman"/>
                <w:b/>
                <w:bCs/>
                <w:color w:val="auto"/>
                <w:spacing w:val="0"/>
                <w:kern w:val="21"/>
                <w:position w:val="0"/>
                <w:sz w:val="21"/>
                <w:szCs w:val="21"/>
                <w:highlight w:val="none"/>
                <w:lang w:val="en-US" w:eastAsia="zh-CN"/>
              </w:rPr>
              <w:t>表</w:t>
            </w:r>
            <w:r>
              <w:rPr>
                <w:rFonts w:hint="eastAsia" w:cs="Times New Roman"/>
                <w:b/>
                <w:bCs/>
                <w:color w:val="auto"/>
                <w:spacing w:val="0"/>
                <w:kern w:val="21"/>
                <w:position w:val="0"/>
                <w:sz w:val="21"/>
                <w:szCs w:val="21"/>
                <w:highlight w:val="none"/>
                <w:lang w:val="en-US" w:eastAsia="zh-CN"/>
              </w:rPr>
              <w:t>4-19</w:t>
            </w:r>
            <w:r>
              <w:rPr>
                <w:rFonts w:hint="eastAsia" w:ascii="Times New Roman" w:hAnsi="Times New Roman" w:eastAsia="宋体" w:cs="Times New Roman"/>
                <w:b/>
                <w:bCs/>
                <w:color w:val="auto"/>
                <w:spacing w:val="0"/>
                <w:kern w:val="21"/>
                <w:position w:val="0"/>
                <w:sz w:val="21"/>
                <w:szCs w:val="21"/>
                <w:highlight w:val="none"/>
                <w:lang w:val="en-US" w:eastAsia="zh-CN"/>
              </w:rPr>
              <w:t xml:space="preserve"> </w:t>
            </w:r>
            <w:r>
              <w:rPr>
                <w:rFonts w:hint="eastAsia" w:cs="Times New Roman"/>
                <w:b/>
                <w:bCs/>
                <w:color w:val="auto"/>
                <w:spacing w:val="0"/>
                <w:kern w:val="21"/>
                <w:position w:val="0"/>
                <w:sz w:val="21"/>
                <w:szCs w:val="21"/>
                <w:highlight w:val="none"/>
                <w:lang w:val="en-US" w:eastAsia="zh-CN"/>
              </w:rPr>
              <w:t xml:space="preserve">   </w:t>
            </w:r>
            <w:r>
              <w:rPr>
                <w:rFonts w:hint="eastAsia" w:ascii="Times New Roman" w:hAnsi="Times New Roman" w:eastAsia="宋体" w:cs="Times New Roman"/>
                <w:b/>
                <w:bCs/>
                <w:color w:val="auto"/>
                <w:spacing w:val="0"/>
                <w:kern w:val="21"/>
                <w:position w:val="0"/>
                <w:sz w:val="21"/>
                <w:szCs w:val="21"/>
                <w:highlight w:val="none"/>
                <w:lang w:val="en-US" w:eastAsia="zh-CN"/>
              </w:rPr>
              <w:t>拟建项目污染物划分及防渗等级一览表</w:t>
            </w:r>
          </w:p>
          <w:tbl>
            <w:tblPr>
              <w:tblStyle w:val="31"/>
              <w:tblW w:w="821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59"/>
              <w:gridCol w:w="870"/>
              <w:gridCol w:w="2380"/>
              <w:gridCol w:w="4304"/>
            </w:tblGrid>
            <w:tr w14:paraId="0AB1CA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9" w:type="dxa"/>
                  <w:tcBorders>
                    <w:tl2br w:val="nil"/>
                    <w:tr2bl w:val="nil"/>
                  </w:tcBorders>
                  <w:noWrap w:val="0"/>
                  <w:vAlign w:val="center"/>
                </w:tcPr>
                <w:p w14:paraId="6D1D58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序号</w:t>
                  </w:r>
                </w:p>
              </w:tc>
              <w:tc>
                <w:tcPr>
                  <w:tcW w:w="870" w:type="dxa"/>
                  <w:tcBorders>
                    <w:tl2br w:val="nil"/>
                    <w:tr2bl w:val="nil"/>
                  </w:tcBorders>
                  <w:noWrap w:val="0"/>
                  <w:vAlign w:val="center"/>
                </w:tcPr>
                <w:p w14:paraId="1D9737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类别</w:t>
                  </w:r>
                </w:p>
              </w:tc>
              <w:tc>
                <w:tcPr>
                  <w:tcW w:w="2380" w:type="dxa"/>
                  <w:tcBorders>
                    <w:tl2br w:val="nil"/>
                    <w:tr2bl w:val="nil"/>
                  </w:tcBorders>
                  <w:noWrap w:val="0"/>
                  <w:vAlign w:val="center"/>
                </w:tcPr>
                <w:p w14:paraId="45321A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区域</w:t>
                  </w:r>
                </w:p>
              </w:tc>
              <w:tc>
                <w:tcPr>
                  <w:tcW w:w="4304" w:type="dxa"/>
                  <w:tcBorders>
                    <w:tl2br w:val="nil"/>
                    <w:tr2bl w:val="nil"/>
                  </w:tcBorders>
                  <w:noWrap w:val="0"/>
                  <w:vAlign w:val="center"/>
                </w:tcPr>
                <w:p w14:paraId="68ED04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防渗要求</w:t>
                  </w:r>
                </w:p>
              </w:tc>
            </w:tr>
            <w:tr w14:paraId="0FB429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9" w:type="dxa"/>
                  <w:tcBorders>
                    <w:tl2br w:val="nil"/>
                    <w:tr2bl w:val="nil"/>
                  </w:tcBorders>
                  <w:noWrap w:val="0"/>
                  <w:vAlign w:val="center"/>
                </w:tcPr>
                <w:p w14:paraId="57F007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w:t>
                  </w:r>
                </w:p>
              </w:tc>
              <w:tc>
                <w:tcPr>
                  <w:tcW w:w="870" w:type="dxa"/>
                  <w:tcBorders>
                    <w:tl2br w:val="nil"/>
                    <w:tr2bl w:val="nil"/>
                  </w:tcBorders>
                  <w:noWrap w:val="0"/>
                  <w:vAlign w:val="center"/>
                </w:tcPr>
                <w:p w14:paraId="3800E1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重点防渗区</w:t>
                  </w:r>
                </w:p>
              </w:tc>
              <w:tc>
                <w:tcPr>
                  <w:tcW w:w="2380" w:type="dxa"/>
                  <w:tcBorders>
                    <w:tl2br w:val="nil"/>
                    <w:tr2bl w:val="nil"/>
                  </w:tcBorders>
                  <w:noWrap w:val="0"/>
                  <w:vAlign w:val="center"/>
                </w:tcPr>
                <w:p w14:paraId="12E085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丙烷、液化石油气及残液储罐区和充装区</w:t>
                  </w:r>
                  <w:r>
                    <w:rPr>
                      <w:rFonts w:hint="default" w:ascii="Times New Roman" w:hAnsi="Times New Roman" w:eastAsia="宋体" w:cs="Times New Roman"/>
                      <w:color w:val="000000"/>
                      <w:kern w:val="0"/>
                      <w:sz w:val="21"/>
                      <w:szCs w:val="21"/>
                      <w:highlight w:val="none"/>
                      <w:lang w:val="en-US" w:eastAsia="zh-CN" w:bidi="ar-SA"/>
                    </w:rPr>
                    <w:t>、</w:t>
                  </w:r>
                  <w:r>
                    <w:rPr>
                      <w:rFonts w:hint="eastAsia" w:ascii="Times New Roman" w:hAnsi="Times New Roman" w:eastAsia="宋体" w:cs="Times New Roman"/>
                      <w:color w:val="000000"/>
                      <w:kern w:val="0"/>
                      <w:sz w:val="21"/>
                      <w:szCs w:val="21"/>
                      <w:highlight w:val="none"/>
                      <w:lang w:val="en-US" w:eastAsia="zh-CN" w:bidi="ar-SA"/>
                    </w:rPr>
                    <w:t>乙炔、丙烷、润滑油仓储区</w:t>
                  </w:r>
                  <w:r>
                    <w:rPr>
                      <w:rFonts w:hint="eastAsia" w:cs="Times New Roman"/>
                      <w:color w:val="000000"/>
                      <w:kern w:val="0"/>
                      <w:sz w:val="21"/>
                      <w:szCs w:val="21"/>
                      <w:highlight w:val="none"/>
                      <w:lang w:val="en-US" w:eastAsia="zh-CN" w:bidi="ar-SA"/>
                    </w:rPr>
                    <w:t>（甲类仓库）</w:t>
                  </w:r>
                  <w:r>
                    <w:rPr>
                      <w:rFonts w:hint="eastAsia" w:ascii="Times New Roman" w:hAnsi="Times New Roman" w:eastAsia="宋体" w:cs="Times New Roman"/>
                      <w:color w:val="000000"/>
                      <w:kern w:val="0"/>
                      <w:sz w:val="21"/>
                      <w:szCs w:val="21"/>
                      <w:highlight w:val="none"/>
                      <w:lang w:val="en-US" w:eastAsia="zh-CN" w:bidi="ar-SA"/>
                    </w:rPr>
                    <w:t>、</w:t>
                  </w:r>
                  <w:r>
                    <w:rPr>
                      <w:rFonts w:hint="default" w:ascii="Times New Roman" w:hAnsi="Times New Roman" w:eastAsia="宋体" w:cs="Times New Roman"/>
                      <w:color w:val="000000"/>
                      <w:kern w:val="0"/>
                      <w:sz w:val="21"/>
                      <w:szCs w:val="21"/>
                      <w:highlight w:val="none"/>
                      <w:lang w:val="en-US" w:eastAsia="zh-CN" w:bidi="ar-SA"/>
                    </w:rPr>
                    <w:t>危险废物</w:t>
                  </w:r>
                  <w:r>
                    <w:rPr>
                      <w:rFonts w:hint="eastAsia" w:ascii="Times New Roman" w:hAnsi="Times New Roman" w:eastAsia="宋体" w:cs="Times New Roman"/>
                      <w:color w:val="000000"/>
                      <w:kern w:val="0"/>
                      <w:sz w:val="21"/>
                      <w:szCs w:val="21"/>
                      <w:highlight w:val="none"/>
                      <w:lang w:val="en-US" w:eastAsia="zh-CN" w:bidi="ar-SA"/>
                    </w:rPr>
                    <w:t>贮存库</w:t>
                  </w:r>
                  <w:r>
                    <w:rPr>
                      <w:rFonts w:hint="eastAsia" w:ascii="Times New Roman" w:hAnsi="Times New Roman" w:cs="Times New Roman"/>
                      <w:color w:val="000000"/>
                      <w:kern w:val="0"/>
                      <w:sz w:val="21"/>
                      <w:szCs w:val="21"/>
                      <w:highlight w:val="none"/>
                      <w:lang w:val="en-US" w:eastAsia="zh-CN" w:bidi="ar-SA"/>
                    </w:rPr>
                    <w:t>、</w:t>
                  </w:r>
                  <w:r>
                    <w:rPr>
                      <w:rFonts w:hint="eastAsia" w:ascii="Times New Roman" w:hAnsi="Times New Roman" w:eastAsia="宋体" w:cs="Times New Roman"/>
                      <w:color w:val="000000"/>
                      <w:kern w:val="0"/>
                      <w:sz w:val="21"/>
                      <w:szCs w:val="21"/>
                      <w:highlight w:val="none"/>
                      <w:lang w:val="en-US" w:eastAsia="zh-CN" w:bidi="ar-SA"/>
                    </w:rPr>
                    <w:t>事故应急池</w:t>
                  </w:r>
                </w:p>
              </w:tc>
              <w:tc>
                <w:tcPr>
                  <w:tcW w:w="4304" w:type="dxa"/>
                  <w:tcBorders>
                    <w:tl2br w:val="nil"/>
                    <w:tr2bl w:val="nil"/>
                  </w:tcBorders>
                  <w:noWrap w:val="0"/>
                  <w:vAlign w:val="center"/>
                </w:tcPr>
                <w:p w14:paraId="5265DE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等效黏土防渗层Mb≥6.0m，k≤1×10</w:t>
                  </w:r>
                  <w:r>
                    <w:rPr>
                      <w:rFonts w:hint="default" w:ascii="Times New Roman" w:hAnsi="Times New Roman" w:eastAsia="宋体" w:cs="Times New Roman"/>
                      <w:color w:val="000000"/>
                      <w:kern w:val="0"/>
                      <w:sz w:val="21"/>
                      <w:szCs w:val="21"/>
                      <w:highlight w:val="none"/>
                      <w:vertAlign w:val="superscript"/>
                      <w:lang w:val="en-US" w:eastAsia="zh-CN" w:bidi="ar-SA"/>
                    </w:rPr>
                    <w:t>-7</w:t>
                  </w:r>
                  <w:r>
                    <w:rPr>
                      <w:rFonts w:hint="default" w:ascii="Times New Roman" w:hAnsi="Times New Roman" w:eastAsia="宋体" w:cs="Times New Roman"/>
                      <w:color w:val="000000"/>
                      <w:kern w:val="0"/>
                      <w:sz w:val="21"/>
                      <w:szCs w:val="21"/>
                      <w:highlight w:val="none"/>
                      <w:lang w:val="en-US" w:eastAsia="zh-CN" w:bidi="ar-SA"/>
                    </w:rPr>
                    <w:t xml:space="preserve"> cm/s，或参照GB18598执行</w:t>
                  </w:r>
                </w:p>
              </w:tc>
            </w:tr>
            <w:tr w14:paraId="31A58F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9" w:type="dxa"/>
                  <w:tcBorders>
                    <w:tl2br w:val="nil"/>
                    <w:tr2bl w:val="nil"/>
                  </w:tcBorders>
                  <w:noWrap w:val="0"/>
                  <w:vAlign w:val="center"/>
                </w:tcPr>
                <w:p w14:paraId="3EBB1C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2</w:t>
                  </w:r>
                </w:p>
              </w:tc>
              <w:tc>
                <w:tcPr>
                  <w:tcW w:w="870" w:type="dxa"/>
                  <w:tcBorders>
                    <w:tl2br w:val="nil"/>
                    <w:tr2bl w:val="nil"/>
                  </w:tcBorders>
                  <w:noWrap w:val="0"/>
                  <w:vAlign w:val="center"/>
                </w:tcPr>
                <w:p w14:paraId="3ED33D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一般防渗区</w:t>
                  </w:r>
                </w:p>
              </w:tc>
              <w:tc>
                <w:tcPr>
                  <w:tcW w:w="2380" w:type="dxa"/>
                  <w:tcBorders>
                    <w:tl2br w:val="nil"/>
                    <w:tr2bl w:val="nil"/>
                  </w:tcBorders>
                  <w:noWrap w:val="0"/>
                  <w:vAlign w:val="center"/>
                </w:tcPr>
                <w:p w14:paraId="06B5AE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一般固废暂存区</w:t>
                  </w:r>
                </w:p>
              </w:tc>
              <w:tc>
                <w:tcPr>
                  <w:tcW w:w="4304" w:type="dxa"/>
                  <w:tcBorders>
                    <w:tl2br w:val="nil"/>
                    <w:tr2bl w:val="nil"/>
                  </w:tcBorders>
                  <w:noWrap w:val="0"/>
                  <w:vAlign w:val="center"/>
                </w:tcPr>
                <w:p w14:paraId="742D26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bidi="ar-SA"/>
                    </w:rPr>
                    <w:t>等效黏土防渗层Mb≥1.5m，k≤1×10</w:t>
                  </w:r>
                  <w:r>
                    <w:rPr>
                      <w:rFonts w:hint="default" w:ascii="Times New Roman" w:hAnsi="Times New Roman" w:eastAsia="宋体" w:cs="Times New Roman"/>
                      <w:color w:val="000000"/>
                      <w:kern w:val="0"/>
                      <w:sz w:val="21"/>
                      <w:szCs w:val="21"/>
                      <w:highlight w:val="none"/>
                      <w:vertAlign w:val="superscript"/>
                      <w:lang w:val="en-US" w:eastAsia="zh-CN" w:bidi="ar-SA"/>
                    </w:rPr>
                    <w:t>-7</w:t>
                  </w:r>
                  <w:r>
                    <w:rPr>
                      <w:rFonts w:hint="default" w:ascii="Times New Roman" w:hAnsi="Times New Roman" w:eastAsia="宋体" w:cs="Times New Roman"/>
                      <w:color w:val="000000"/>
                      <w:kern w:val="0"/>
                      <w:sz w:val="21"/>
                      <w:szCs w:val="21"/>
                      <w:highlight w:val="none"/>
                      <w:lang w:val="en-US" w:eastAsia="zh-CN" w:bidi="ar-SA"/>
                    </w:rPr>
                    <w:t xml:space="preserve"> cm/s，或参照GB16889执行</w:t>
                  </w:r>
                </w:p>
              </w:tc>
            </w:tr>
            <w:tr w14:paraId="7CD5FC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59" w:type="dxa"/>
                  <w:tcBorders>
                    <w:tl2br w:val="nil"/>
                    <w:tr2bl w:val="nil"/>
                  </w:tcBorders>
                  <w:noWrap w:val="0"/>
                  <w:vAlign w:val="center"/>
                </w:tcPr>
                <w:p w14:paraId="24EC7B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3</w:t>
                  </w:r>
                </w:p>
              </w:tc>
              <w:tc>
                <w:tcPr>
                  <w:tcW w:w="870" w:type="dxa"/>
                  <w:tcBorders>
                    <w:tl2br w:val="nil"/>
                    <w:tr2bl w:val="nil"/>
                  </w:tcBorders>
                  <w:noWrap w:val="0"/>
                  <w:vAlign w:val="center"/>
                </w:tcPr>
                <w:p w14:paraId="4E5CAE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简单防渗</w:t>
                  </w:r>
                </w:p>
              </w:tc>
              <w:tc>
                <w:tcPr>
                  <w:tcW w:w="2380" w:type="dxa"/>
                  <w:tcBorders>
                    <w:tl2br w:val="nil"/>
                    <w:tr2bl w:val="nil"/>
                  </w:tcBorders>
                  <w:noWrap w:val="0"/>
                  <w:vAlign w:val="center"/>
                </w:tcPr>
                <w:p w14:paraId="60A2EA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办公区域及生产辅助仓</w:t>
                  </w:r>
                </w:p>
                <w:p w14:paraId="3DFC1C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库等</w:t>
                  </w:r>
                </w:p>
              </w:tc>
              <w:tc>
                <w:tcPr>
                  <w:tcW w:w="4304" w:type="dxa"/>
                  <w:tcBorders>
                    <w:tl2br w:val="nil"/>
                    <w:tr2bl w:val="nil"/>
                  </w:tcBorders>
                  <w:noWrap w:val="0"/>
                  <w:vAlign w:val="center"/>
                </w:tcPr>
                <w:p w14:paraId="580FB9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地面硬化</w:t>
                  </w:r>
                </w:p>
              </w:tc>
            </w:tr>
          </w:tbl>
          <w:p w14:paraId="7C395591">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auto"/>
                <w:spacing w:val="0"/>
                <w:kern w:val="21"/>
                <w:position w:val="0"/>
                <w:sz w:val="24"/>
                <w:highlight w:val="none"/>
                <w:lang w:val="en-US" w:eastAsia="zh-CN"/>
              </w:rPr>
            </w:pPr>
            <w:r>
              <w:rPr>
                <w:rFonts w:hint="eastAsia" w:ascii="Times New Roman" w:hAnsi="Times New Roman" w:eastAsia="宋体" w:cs="Times New Roman"/>
                <w:color w:val="auto"/>
                <w:spacing w:val="0"/>
                <w:kern w:val="21"/>
                <w:position w:val="0"/>
                <w:sz w:val="24"/>
                <w:highlight w:val="none"/>
                <w:lang w:val="en-US" w:eastAsia="zh-CN"/>
              </w:rPr>
              <w:t>为确保防渗措施的防渗效果，工程施工过程中建设单位应加强施工期的管理，严格按防渗设计要求进行施工，加强防渗措施的日常维护，使防渗措施达到应有的防渗效果。同时应加强生产设施</w:t>
            </w:r>
            <w:r>
              <w:rPr>
                <w:rFonts w:hint="eastAsia" w:cs="Times New Roman"/>
                <w:color w:val="auto"/>
                <w:spacing w:val="0"/>
                <w:kern w:val="21"/>
                <w:position w:val="0"/>
                <w:sz w:val="24"/>
                <w:highlight w:val="none"/>
                <w:lang w:val="en-US" w:eastAsia="zh-CN"/>
              </w:rPr>
              <w:t>和</w:t>
            </w:r>
            <w:r>
              <w:rPr>
                <w:rFonts w:hint="eastAsia" w:ascii="Times New Roman" w:hAnsi="Times New Roman" w:eastAsia="宋体" w:cs="Times New Roman"/>
                <w:color w:val="auto"/>
                <w:spacing w:val="0"/>
                <w:kern w:val="21"/>
                <w:position w:val="0"/>
                <w:sz w:val="24"/>
                <w:highlight w:val="none"/>
                <w:lang w:val="en-US" w:eastAsia="zh-CN"/>
              </w:rPr>
              <w:t>环保设施的管理，避免跑冒滴漏。</w:t>
            </w:r>
          </w:p>
          <w:p w14:paraId="7478BCB2">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color w:val="auto"/>
                <w:spacing w:val="0"/>
                <w:kern w:val="21"/>
                <w:position w:val="0"/>
                <w:sz w:val="24"/>
                <w:highlight w:val="none"/>
                <w:lang w:val="en-US" w:eastAsia="zh-CN"/>
              </w:rPr>
            </w:pPr>
            <w:r>
              <w:rPr>
                <w:rFonts w:hint="eastAsia" w:ascii="Times New Roman" w:hAnsi="Times New Roman" w:eastAsia="宋体" w:cs="Times New Roman"/>
                <w:color w:val="auto"/>
                <w:spacing w:val="0"/>
                <w:kern w:val="21"/>
                <w:position w:val="0"/>
                <w:sz w:val="24"/>
                <w:highlight w:val="none"/>
                <w:lang w:val="en-US" w:eastAsia="zh-CN"/>
              </w:rPr>
              <w:t>综上所述，企业在加强管理，强化防渗措施的前提下，基本无污染物渗入地下，对区域地下水环境影响的可能性很小，不会对评价区地下水及土壤产生明显影响。</w:t>
            </w:r>
          </w:p>
          <w:p w14:paraId="11F005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七、环境风险</w:t>
            </w:r>
          </w:p>
          <w:p w14:paraId="14F28AB4">
            <w:pPr>
              <w:bidi w:val="0"/>
              <w:rPr>
                <w:rFonts w:hint="default"/>
                <w:color w:val="auto"/>
              </w:rPr>
            </w:pPr>
            <w:r>
              <w:rPr>
                <w:rFonts w:hint="default" w:ascii="Times New Roman" w:hAnsi="Times New Roman" w:eastAsia="宋体" w:cs="Times New Roman"/>
                <w:color w:val="000000"/>
                <w:kern w:val="2"/>
                <w:sz w:val="24"/>
                <w:szCs w:val="24"/>
                <w:lang w:val="en-US" w:eastAsia="zh-CN" w:bidi="ar-SA"/>
              </w:rPr>
              <w:t>根据风险识别以及分析评价，项目风险类型为有毒有害物质</w:t>
            </w:r>
            <w:r>
              <w:rPr>
                <w:rFonts w:hint="eastAsia" w:cs="Times New Roman"/>
                <w:color w:val="000000"/>
                <w:kern w:val="2"/>
                <w:sz w:val="24"/>
                <w:szCs w:val="24"/>
                <w:lang w:val="en-US" w:eastAsia="zh-CN" w:bidi="ar-SA"/>
              </w:rPr>
              <w:t>泄漏</w:t>
            </w:r>
            <w:r>
              <w:rPr>
                <w:rFonts w:hint="default" w:ascii="Times New Roman" w:hAnsi="Times New Roman" w:eastAsia="宋体" w:cs="Times New Roman"/>
                <w:color w:val="000000"/>
                <w:kern w:val="2"/>
                <w:sz w:val="24"/>
                <w:szCs w:val="24"/>
                <w:lang w:val="en-US" w:eastAsia="zh-CN" w:bidi="ar-SA"/>
              </w:rPr>
              <w:t>和火灾事故引发的伴生污染物排放，项目在设计过程中充分考虑了防渗措施及设施，同时，设计及施工过程将严格按照国家及行业有关标准、规范进行。在建成后，项目制定完善的安全管理、降低风险的规章制度，在管理、控制及监督、生产和维护方面有成熟的降低事故风险的经验和措施，项目环境风险在可防控范围内，项目环境风险影响可接受。</w:t>
            </w:r>
          </w:p>
          <w:p w14:paraId="3347E624">
            <w:pPr>
              <w:bidi w:val="0"/>
              <w:rPr>
                <w:rFonts w:hint="default"/>
                <w:color w:val="auto"/>
              </w:rPr>
            </w:pPr>
            <w:r>
              <w:rPr>
                <w:rFonts w:hint="eastAsia"/>
                <w:color w:val="auto"/>
                <w:szCs w:val="21"/>
              </w:rPr>
              <w:t>从项目风险因素分析及风险防范措施来看，虽然</w:t>
            </w:r>
            <w:r>
              <w:rPr>
                <w:rFonts w:hint="eastAsia"/>
                <w:color w:val="auto"/>
                <w:szCs w:val="21"/>
                <w:lang w:val="en-US" w:eastAsia="zh-CN"/>
              </w:rPr>
              <w:t>危险物质</w:t>
            </w:r>
            <w:r>
              <w:rPr>
                <w:rFonts w:hint="eastAsia"/>
                <w:color w:val="auto"/>
                <w:szCs w:val="21"/>
              </w:rPr>
              <w:t>的使用和储藏存在着一定的风险，但只要危险化学品按照储存、使用规范及安全要求进行厂房设计和生产管理，加强人员教育，严格执行安全生产管理制度和完善操作规程，保证安全设施的正常运行，在确保各项风险防范措施得到有效实施的情况下，本项目风险处于可接受水平，其风险管理措施有效、可靠，从环境风险角度而言是可行的。</w:t>
            </w:r>
            <w:r>
              <w:rPr>
                <w:rFonts w:hint="default" w:ascii="Times New Roman" w:hAnsi="Times New Roman" w:eastAsia="宋体" w:cs="Times New Roman"/>
                <w:color w:val="000000"/>
                <w:kern w:val="2"/>
                <w:sz w:val="24"/>
                <w:szCs w:val="24"/>
                <w:lang w:val="en-US" w:eastAsia="zh-CN" w:bidi="ar-SA"/>
              </w:rPr>
              <w:t>项目环境风险分析详见</w:t>
            </w:r>
            <w:r>
              <w:rPr>
                <w:rFonts w:hint="eastAsia" w:cs="Times New Roman"/>
                <w:color w:val="000000"/>
                <w:kern w:val="2"/>
                <w:sz w:val="24"/>
                <w:szCs w:val="24"/>
                <w:lang w:val="en-US" w:eastAsia="zh-CN" w:bidi="ar-SA"/>
              </w:rPr>
              <w:t>环境</w:t>
            </w:r>
            <w:r>
              <w:rPr>
                <w:rFonts w:hint="default" w:ascii="Times New Roman" w:hAnsi="Times New Roman" w:eastAsia="宋体" w:cs="Times New Roman"/>
                <w:color w:val="000000"/>
                <w:kern w:val="2"/>
                <w:sz w:val="24"/>
                <w:szCs w:val="24"/>
                <w:lang w:val="en-US" w:eastAsia="zh-CN" w:bidi="ar-SA"/>
              </w:rPr>
              <w:t>风险专项评价章节</w:t>
            </w:r>
            <w:r>
              <w:rPr>
                <w:rFonts w:hint="eastAsia" w:cs="Times New Roman"/>
                <w:color w:val="000000"/>
                <w:kern w:val="2"/>
                <w:sz w:val="24"/>
                <w:szCs w:val="24"/>
                <w:lang w:val="en-US" w:eastAsia="zh-CN" w:bidi="ar-SA"/>
              </w:rPr>
              <w:t>。</w:t>
            </w:r>
          </w:p>
          <w:p w14:paraId="3CC690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八</w:t>
            </w:r>
            <w:r>
              <w:rPr>
                <w:rFonts w:hint="default" w:ascii="Times New Roman" w:hAnsi="Times New Roman" w:eastAsia="宋体" w:cs="Times New Roman"/>
                <w:b/>
                <w:bCs/>
                <w:color w:val="auto"/>
                <w:sz w:val="24"/>
                <w:szCs w:val="24"/>
                <w:highlight w:val="none"/>
                <w:lang w:val="en-US" w:eastAsia="zh-CN"/>
              </w:rPr>
              <w:t>、生态</w:t>
            </w:r>
          </w:p>
          <w:p w14:paraId="4976DE93">
            <w:pPr>
              <w:pStyle w:val="3"/>
              <w:keepLines w:val="0"/>
              <w:pageBreakBefore w:val="0"/>
              <w:widowControl w:val="0"/>
              <w:numPr>
                <w:ilvl w:val="0"/>
                <w:numId w:val="0"/>
              </w:numPr>
              <w:kinsoku/>
              <w:wordWrap/>
              <w:overflowPunct/>
              <w:topLinePunct w:val="0"/>
              <w:autoSpaceDE/>
              <w:autoSpaceDN/>
              <w:bidi w:val="0"/>
              <w:snapToGri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lang w:val="en-US" w:eastAsia="zh-CN" w:bidi="ar-SA"/>
              </w:rPr>
              <w:t>本项目</w:t>
            </w:r>
            <w:r>
              <w:rPr>
                <w:rFonts w:hint="eastAsia" w:ascii="Times New Roman" w:hAnsi="Times New Roman" w:eastAsia="宋体" w:cs="Times New Roman"/>
                <w:color w:val="auto"/>
                <w:kern w:val="2"/>
                <w:sz w:val="24"/>
                <w:szCs w:val="24"/>
                <w:lang w:val="en-US" w:eastAsia="zh-CN" w:bidi="ar-SA"/>
              </w:rPr>
              <w:t>位于</w:t>
            </w:r>
            <w:r>
              <w:rPr>
                <w:rFonts w:hint="default" w:ascii="Times New Roman" w:hAnsi="Times New Roman" w:eastAsia="宋体" w:cs="Times New Roman"/>
                <w:color w:val="auto"/>
                <w:kern w:val="2"/>
                <w:sz w:val="24"/>
                <w:szCs w:val="24"/>
                <w:lang w:val="zh-CN" w:eastAsia="zh-CN" w:bidi="ar-SA"/>
              </w:rPr>
              <w:t>陕西省宝鸡市凤翔高新区长青工业园</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项目周边主要为当地植被及农作物，项目地不涉及生态保护红线、自然保护区等生态保护目标。项目建设过程对区域植被产生一定破坏，建成后加强厂区绿化，有效恢复区域生态环境</w:t>
            </w:r>
            <w:r>
              <w:rPr>
                <w:rFonts w:hint="eastAsia" w:asci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本项目对周围生态环境</w:t>
            </w:r>
            <w:r>
              <w:rPr>
                <w:rFonts w:hint="eastAsia" w:ascii="Times New Roman" w:eastAsia="宋体" w:cs="Times New Roman"/>
                <w:color w:val="auto"/>
                <w:kern w:val="2"/>
                <w:sz w:val="24"/>
                <w:szCs w:val="24"/>
                <w:lang w:val="en-US" w:eastAsia="zh-CN" w:bidi="ar-SA"/>
              </w:rPr>
              <w:t>的</w:t>
            </w:r>
            <w:r>
              <w:rPr>
                <w:rFonts w:hint="default" w:ascii="Times New Roman" w:hAnsi="Times New Roman" w:eastAsia="宋体" w:cs="Times New Roman"/>
                <w:color w:val="auto"/>
                <w:kern w:val="2"/>
                <w:sz w:val="24"/>
                <w:szCs w:val="24"/>
                <w:lang w:val="en-US" w:eastAsia="zh-CN" w:bidi="ar-SA"/>
              </w:rPr>
              <w:t>影响较小。</w:t>
            </w:r>
          </w:p>
          <w:p w14:paraId="6690F2A0">
            <w:pPr>
              <w:pStyle w:val="29"/>
              <w:ind w:left="0" w:leftChars="0" w:firstLine="0" w:firstLineChars="0"/>
              <w:rPr>
                <w:rFonts w:hint="default"/>
                <w:color w:val="auto"/>
                <w:lang w:val="en-US" w:eastAsia="zh-CN"/>
              </w:rPr>
            </w:pPr>
          </w:p>
          <w:p w14:paraId="4C5D573C">
            <w:pPr>
              <w:rPr>
                <w:rFonts w:hint="default"/>
                <w:color w:val="auto"/>
                <w:lang w:val="en-US" w:eastAsia="zh-CN"/>
              </w:rPr>
            </w:pPr>
          </w:p>
          <w:p w14:paraId="7A2044EB">
            <w:pPr>
              <w:pStyle w:val="24"/>
              <w:rPr>
                <w:rFonts w:hint="default"/>
                <w:color w:val="auto"/>
                <w:lang w:val="en-US" w:eastAsia="zh-CN"/>
              </w:rPr>
            </w:pPr>
          </w:p>
          <w:p w14:paraId="3CB29727">
            <w:pPr>
              <w:rPr>
                <w:rFonts w:hint="default"/>
                <w:color w:val="auto"/>
                <w:lang w:val="en-US" w:eastAsia="zh-CN"/>
              </w:rPr>
            </w:pPr>
          </w:p>
          <w:p w14:paraId="1E0586F5">
            <w:pPr>
              <w:pStyle w:val="24"/>
              <w:rPr>
                <w:rFonts w:hint="default"/>
                <w:color w:val="auto"/>
                <w:lang w:val="en-US" w:eastAsia="zh-CN"/>
              </w:rPr>
            </w:pPr>
          </w:p>
          <w:p w14:paraId="663C28EF">
            <w:pPr>
              <w:rPr>
                <w:rFonts w:hint="default"/>
                <w:color w:val="auto"/>
                <w:lang w:val="en-US" w:eastAsia="zh-CN"/>
              </w:rPr>
            </w:pPr>
          </w:p>
          <w:p w14:paraId="6F43ABAA">
            <w:pPr>
              <w:pStyle w:val="24"/>
              <w:rPr>
                <w:rFonts w:hint="default"/>
                <w:color w:val="auto"/>
                <w:lang w:val="en-US" w:eastAsia="zh-CN"/>
              </w:rPr>
            </w:pPr>
          </w:p>
          <w:p w14:paraId="08F32428">
            <w:pPr>
              <w:rPr>
                <w:rFonts w:hint="default"/>
                <w:color w:val="auto"/>
                <w:lang w:val="en-US" w:eastAsia="zh-CN"/>
              </w:rPr>
            </w:pPr>
          </w:p>
          <w:p w14:paraId="672D644E">
            <w:pPr>
              <w:pStyle w:val="24"/>
              <w:rPr>
                <w:rFonts w:hint="default"/>
                <w:color w:val="auto"/>
                <w:lang w:val="en-US" w:eastAsia="zh-CN"/>
              </w:rPr>
            </w:pPr>
          </w:p>
          <w:p w14:paraId="147789DB">
            <w:pPr>
              <w:rPr>
                <w:rFonts w:hint="default"/>
                <w:color w:val="auto"/>
                <w:lang w:val="en-US" w:eastAsia="zh-CN"/>
              </w:rPr>
            </w:pPr>
          </w:p>
          <w:p w14:paraId="38B30647">
            <w:pPr>
              <w:pStyle w:val="24"/>
              <w:rPr>
                <w:rFonts w:hint="default"/>
                <w:color w:val="auto"/>
                <w:lang w:val="en-US" w:eastAsia="zh-CN"/>
              </w:rPr>
            </w:pPr>
          </w:p>
          <w:p w14:paraId="6FCB934F">
            <w:pPr>
              <w:rPr>
                <w:rFonts w:hint="default"/>
                <w:color w:val="auto"/>
                <w:lang w:val="en-US" w:eastAsia="zh-CN"/>
              </w:rPr>
            </w:pPr>
          </w:p>
          <w:p w14:paraId="505FFB9A">
            <w:pPr>
              <w:pStyle w:val="24"/>
              <w:rPr>
                <w:rFonts w:hint="default"/>
                <w:color w:val="auto"/>
                <w:lang w:val="en-US" w:eastAsia="zh-CN"/>
              </w:rPr>
            </w:pPr>
          </w:p>
          <w:p w14:paraId="3695E852">
            <w:pPr>
              <w:rPr>
                <w:rFonts w:hint="default"/>
                <w:color w:val="auto"/>
                <w:lang w:val="en-US" w:eastAsia="zh-CN"/>
              </w:rPr>
            </w:pPr>
          </w:p>
          <w:p w14:paraId="04B4B352">
            <w:pPr>
              <w:pStyle w:val="24"/>
              <w:rPr>
                <w:rFonts w:hint="default"/>
                <w:color w:val="auto"/>
                <w:lang w:val="en-US" w:eastAsia="zh-CN"/>
              </w:rPr>
            </w:pPr>
          </w:p>
          <w:p w14:paraId="63BD4A4A">
            <w:pPr>
              <w:rPr>
                <w:rFonts w:hint="default"/>
                <w:color w:val="auto"/>
                <w:lang w:val="en-US" w:eastAsia="zh-CN"/>
              </w:rPr>
            </w:pPr>
          </w:p>
          <w:p w14:paraId="2165C1E7">
            <w:pPr>
              <w:rPr>
                <w:rFonts w:hint="default"/>
                <w:color w:val="auto"/>
                <w:lang w:val="en-US" w:eastAsia="zh-CN"/>
              </w:rPr>
            </w:pPr>
          </w:p>
          <w:p w14:paraId="39B0D431">
            <w:pPr>
              <w:pStyle w:val="24"/>
              <w:rPr>
                <w:rFonts w:hint="default"/>
                <w:color w:val="auto"/>
                <w:lang w:val="en-US" w:eastAsia="zh-CN"/>
              </w:rPr>
            </w:pPr>
          </w:p>
          <w:p w14:paraId="7D7F76C7">
            <w:pPr>
              <w:rPr>
                <w:rFonts w:hint="default"/>
                <w:color w:val="auto"/>
                <w:lang w:val="en-US" w:eastAsia="zh-CN"/>
              </w:rPr>
            </w:pPr>
          </w:p>
          <w:p w14:paraId="73CDD3A5">
            <w:pPr>
              <w:pStyle w:val="24"/>
              <w:rPr>
                <w:rFonts w:hint="default"/>
                <w:lang w:val="en-US" w:eastAsia="zh-CN"/>
              </w:rPr>
            </w:pPr>
          </w:p>
        </w:tc>
      </w:tr>
    </w:tbl>
    <w:p w14:paraId="14C77F8C">
      <w:pPr>
        <w:rPr>
          <w:color w:val="auto"/>
        </w:rPr>
        <w:sectPr>
          <w:pgSz w:w="11905" w:h="16838"/>
          <w:pgMar w:top="1247" w:right="1247" w:bottom="1247" w:left="1587"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65069438">
      <w:pPr>
        <w:pStyle w:val="2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kern w:val="0"/>
          <w:sz w:val="30"/>
          <w:szCs w:val="30"/>
          <w:highlight w:val="none"/>
          <w:lang w:val="en-US" w:eastAsia="zh-CN" w:bidi="ar-SA"/>
        </w:rPr>
      </w:pPr>
      <w:r>
        <w:rPr>
          <w:rFonts w:hint="default" w:ascii="Times New Roman" w:hAnsi="Times New Roman" w:eastAsia="黑体" w:cs="Times New Roman"/>
          <w:snapToGrid w:val="0"/>
          <w:color w:val="auto"/>
          <w:sz w:val="30"/>
          <w:szCs w:val="30"/>
          <w:highlight w:val="none"/>
        </w:rPr>
        <w:t>五、环境保护措施监督检查清单</w:t>
      </w:r>
      <w:bookmarkEnd w:id="22"/>
      <w:bookmarkEnd w:id="23"/>
      <w:bookmarkEnd w:id="24"/>
      <w:bookmarkEnd w:id="25"/>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28" w:type="dxa"/>
          <w:left w:w="28" w:type="dxa"/>
          <w:bottom w:w="28" w:type="dxa"/>
          <w:right w:w="28" w:type="dxa"/>
        </w:tblCellMar>
      </w:tblPr>
      <w:tblGrid>
        <w:gridCol w:w="1445"/>
        <w:gridCol w:w="1550"/>
        <w:gridCol w:w="1475"/>
        <w:gridCol w:w="2297"/>
        <w:gridCol w:w="2361"/>
      </w:tblGrid>
      <w:tr w14:paraId="082EF0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tcBorders>
              <w:tl2br w:val="nil"/>
              <w:tr2bl w:val="nil"/>
            </w:tcBorders>
            <w:noWrap w:val="0"/>
            <w:vAlign w:val="top"/>
          </w:tcPr>
          <w:p w14:paraId="7C2597A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内容</w:t>
            </w:r>
          </w:p>
          <w:p w14:paraId="1135F6D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要素</w:t>
            </w:r>
          </w:p>
        </w:tc>
        <w:tc>
          <w:tcPr>
            <w:tcW w:w="1550" w:type="dxa"/>
            <w:tcBorders>
              <w:tl2br w:val="nil"/>
              <w:tr2bl w:val="nil"/>
            </w:tcBorders>
            <w:noWrap w:val="0"/>
            <w:vAlign w:val="center"/>
          </w:tcPr>
          <w:p w14:paraId="26E96F9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排放口</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编号、</w:t>
            </w:r>
          </w:p>
          <w:p w14:paraId="636B031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名称</w:t>
            </w:r>
            <w:r>
              <w:rPr>
                <w:rFonts w:hint="eastAsia"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/污染源</w:t>
            </w:r>
          </w:p>
        </w:tc>
        <w:tc>
          <w:tcPr>
            <w:tcW w:w="1475" w:type="dxa"/>
            <w:tcBorders>
              <w:tl2br w:val="nil"/>
              <w:tr2bl w:val="nil"/>
            </w:tcBorders>
            <w:noWrap w:val="0"/>
            <w:vAlign w:val="center"/>
          </w:tcPr>
          <w:p w14:paraId="6419297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污染物项目</w:t>
            </w:r>
          </w:p>
        </w:tc>
        <w:tc>
          <w:tcPr>
            <w:tcW w:w="2297" w:type="dxa"/>
            <w:tcBorders>
              <w:tl2br w:val="nil"/>
              <w:tr2bl w:val="nil"/>
            </w:tcBorders>
            <w:noWrap w:val="0"/>
            <w:vAlign w:val="center"/>
          </w:tcPr>
          <w:p w14:paraId="1D2690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环境保护措施</w:t>
            </w:r>
          </w:p>
        </w:tc>
        <w:tc>
          <w:tcPr>
            <w:tcW w:w="2361" w:type="dxa"/>
            <w:tcBorders>
              <w:tl2br w:val="nil"/>
              <w:tr2bl w:val="nil"/>
            </w:tcBorders>
            <w:noWrap w:val="0"/>
            <w:vAlign w:val="center"/>
          </w:tcPr>
          <w:p w14:paraId="3205FF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执行标准</w:t>
            </w:r>
          </w:p>
        </w:tc>
      </w:tr>
      <w:tr w14:paraId="628AA4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restart"/>
            <w:tcBorders>
              <w:tl2br w:val="nil"/>
              <w:tr2bl w:val="nil"/>
            </w:tcBorders>
            <w:noWrap w:val="0"/>
            <w:vAlign w:val="center"/>
          </w:tcPr>
          <w:p w14:paraId="10E5DC0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大气环境</w:t>
            </w:r>
          </w:p>
        </w:tc>
        <w:tc>
          <w:tcPr>
            <w:tcW w:w="1550" w:type="dxa"/>
            <w:tcBorders>
              <w:tl2br w:val="nil"/>
              <w:tr2bl w:val="nil"/>
            </w:tcBorders>
            <w:noWrap w:val="0"/>
            <w:vAlign w:val="center"/>
          </w:tcPr>
          <w:p w14:paraId="4D0C4596">
            <w:pPr>
              <w:adjustRightInd w:val="0"/>
              <w:snapToGrid w:val="0"/>
              <w:spacing w:line="240" w:lineRule="atLeast"/>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厂界无组织</w:t>
            </w:r>
          </w:p>
        </w:tc>
        <w:tc>
          <w:tcPr>
            <w:tcW w:w="1475" w:type="dxa"/>
            <w:tcBorders>
              <w:tl2br w:val="nil"/>
              <w:tr2bl w:val="nil"/>
            </w:tcBorders>
            <w:noWrap w:val="0"/>
            <w:vAlign w:val="center"/>
          </w:tcPr>
          <w:p w14:paraId="10AF9B12">
            <w:pPr>
              <w:adjustRightInd w:val="0"/>
              <w:snapToGrid w:val="0"/>
              <w:spacing w:line="240" w:lineRule="atLeast"/>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非甲烷总烃</w:t>
            </w:r>
          </w:p>
        </w:tc>
        <w:tc>
          <w:tcPr>
            <w:tcW w:w="2297" w:type="dxa"/>
            <w:vMerge w:val="restart"/>
            <w:tcBorders>
              <w:tl2br w:val="nil"/>
              <w:tr2bl w:val="nil"/>
            </w:tcBorders>
            <w:noWrap w:val="0"/>
            <w:vAlign w:val="center"/>
          </w:tcPr>
          <w:p w14:paraId="5B0A5D59">
            <w:pPr>
              <w:adjustRightInd w:val="0"/>
              <w:snapToGrid w:val="0"/>
              <w:spacing w:line="240" w:lineRule="atLeast"/>
              <w:ind w:left="0" w:leftChars="0"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sz w:val="22"/>
                <w:szCs w:val="22"/>
                <w:lang w:val="en-US" w:eastAsia="zh-CN"/>
              </w:rPr>
              <w:t>加强通风、</w:t>
            </w:r>
            <w:r>
              <w:rPr>
                <w:rFonts w:hint="eastAsia" w:ascii="Times New Roman" w:hAnsi="Times New Roman" w:cs="Times New Roman"/>
                <w:color w:val="auto"/>
                <w:sz w:val="22"/>
                <w:szCs w:val="22"/>
                <w:lang w:val="en-US" w:eastAsia="zh-CN"/>
              </w:rPr>
              <w:t>厂</w:t>
            </w:r>
            <w:r>
              <w:rPr>
                <w:rFonts w:hint="eastAsia" w:ascii="Times New Roman" w:hAnsi="Times New Roman" w:eastAsia="宋体" w:cs="Times New Roman"/>
                <w:color w:val="auto"/>
                <w:sz w:val="22"/>
                <w:szCs w:val="22"/>
                <w:lang w:val="en-US" w:eastAsia="zh-CN"/>
              </w:rPr>
              <w:t>区内部管理，定期对储罐阀门、法兰等处进行检查等措施</w:t>
            </w:r>
          </w:p>
        </w:tc>
        <w:tc>
          <w:tcPr>
            <w:tcW w:w="2361" w:type="dxa"/>
            <w:tcBorders>
              <w:tl2br w:val="nil"/>
              <w:tr2bl w:val="nil"/>
            </w:tcBorders>
            <w:shd w:val="clear" w:color="auto" w:fill="auto"/>
            <w:noWrap w:val="0"/>
            <w:vAlign w:val="center"/>
          </w:tcPr>
          <w:p w14:paraId="39BBE478">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000000"/>
                <w:kern w:val="2"/>
                <w:sz w:val="21"/>
                <w:szCs w:val="21"/>
                <w:u w:val="none"/>
                <w:lang w:val="en-US" w:eastAsia="zh-CN" w:bidi="ar-SA"/>
              </w:rPr>
            </w:pPr>
            <w:r>
              <w:rPr>
                <w:rFonts w:hint="eastAsia" w:ascii="Times New Roman" w:hAnsi="Times New Roman" w:eastAsia="宋体" w:cs="Times New Roman"/>
                <w:b w:val="0"/>
                <w:bCs/>
                <w:color w:val="auto"/>
                <w:kern w:val="0"/>
                <w:sz w:val="21"/>
                <w:szCs w:val="21"/>
                <w:u w:val="none" w:color="auto"/>
                <w:vertAlign w:val="baseline"/>
                <w:lang w:val="en-US" w:eastAsia="zh-CN"/>
              </w:rPr>
              <w:t>《大气污染物综合排放标准》（GB16297-1996）表2无组织排放标准</w:t>
            </w:r>
          </w:p>
        </w:tc>
      </w:tr>
      <w:tr w14:paraId="7BDD2D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noWrap w:val="0"/>
            <w:vAlign w:val="center"/>
          </w:tcPr>
          <w:p w14:paraId="20A4664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1550" w:type="dxa"/>
            <w:tcBorders>
              <w:tl2br w:val="nil"/>
              <w:tr2bl w:val="nil"/>
            </w:tcBorders>
            <w:noWrap w:val="0"/>
            <w:vAlign w:val="center"/>
          </w:tcPr>
          <w:p w14:paraId="1B3E7F58">
            <w:pPr>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厂</w:t>
            </w:r>
            <w:r>
              <w:rPr>
                <w:rFonts w:hint="eastAsia" w:cs="Times New Roman"/>
                <w:color w:val="auto"/>
                <w:kern w:val="2"/>
                <w:sz w:val="21"/>
                <w:szCs w:val="21"/>
                <w:lang w:val="en-US" w:eastAsia="zh-CN" w:bidi="ar-SA"/>
              </w:rPr>
              <w:t>内</w:t>
            </w:r>
            <w:r>
              <w:rPr>
                <w:rFonts w:hint="eastAsia" w:ascii="Times New Roman" w:hAnsi="Times New Roman" w:eastAsia="宋体" w:cs="Times New Roman"/>
                <w:color w:val="auto"/>
                <w:kern w:val="2"/>
                <w:sz w:val="21"/>
                <w:szCs w:val="21"/>
                <w:lang w:val="en-US" w:eastAsia="zh-CN" w:bidi="ar-SA"/>
              </w:rPr>
              <w:t>无组织</w:t>
            </w:r>
          </w:p>
        </w:tc>
        <w:tc>
          <w:tcPr>
            <w:tcW w:w="1475" w:type="dxa"/>
            <w:tcBorders>
              <w:tl2br w:val="nil"/>
              <w:tr2bl w:val="nil"/>
            </w:tcBorders>
            <w:noWrap w:val="0"/>
            <w:vAlign w:val="center"/>
          </w:tcPr>
          <w:p w14:paraId="6CCCAE2B">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非甲烷总烃</w:t>
            </w:r>
          </w:p>
        </w:tc>
        <w:tc>
          <w:tcPr>
            <w:tcW w:w="2297" w:type="dxa"/>
            <w:vMerge w:val="continue"/>
            <w:tcBorders>
              <w:tl2br w:val="nil"/>
              <w:tr2bl w:val="nil"/>
            </w:tcBorders>
            <w:noWrap w:val="0"/>
            <w:vAlign w:val="center"/>
          </w:tcPr>
          <w:p w14:paraId="356EF788">
            <w:pPr>
              <w:adjustRightInd w:val="0"/>
              <w:snapToGrid w:val="0"/>
              <w:spacing w:line="240" w:lineRule="atLeast"/>
              <w:ind w:left="0" w:leftChars="0" w:firstLine="0" w:firstLineChars="0"/>
              <w:jc w:val="center"/>
              <w:rPr>
                <w:rFonts w:hint="eastAsia" w:ascii="Times New Roman" w:hAnsi="Times New Roman" w:eastAsia="宋体" w:cs="Times New Roman"/>
                <w:color w:val="auto"/>
                <w:lang w:val="en-US" w:eastAsia="zh-CN"/>
              </w:rPr>
            </w:pPr>
          </w:p>
        </w:tc>
        <w:tc>
          <w:tcPr>
            <w:tcW w:w="2361" w:type="dxa"/>
            <w:tcBorders>
              <w:tl2br w:val="nil"/>
              <w:tr2bl w:val="nil"/>
            </w:tcBorders>
            <w:shd w:val="clear" w:color="auto" w:fill="auto"/>
            <w:noWrap w:val="0"/>
            <w:vAlign w:val="center"/>
          </w:tcPr>
          <w:p w14:paraId="14FDF5E3">
            <w:pPr>
              <w:pStyle w:val="10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u w:val="none" w:color="auto"/>
                <w:vertAlign w:val="baseline"/>
                <w:lang w:val="en-US" w:eastAsia="zh-CN" w:bidi="ar-SA"/>
              </w:rPr>
            </w:pPr>
            <w:r>
              <w:rPr>
                <w:rFonts w:hint="eastAsia" w:ascii="Times New Roman" w:hAnsi="Times New Roman" w:eastAsia="宋体" w:cs="Times New Roman"/>
                <w:b w:val="0"/>
                <w:bCs/>
                <w:color w:val="auto"/>
                <w:kern w:val="0"/>
                <w:sz w:val="21"/>
                <w:szCs w:val="21"/>
                <w:u w:val="none" w:color="auto"/>
                <w:vertAlign w:val="baseline"/>
                <w:lang w:val="en-US" w:eastAsia="zh-CN"/>
              </w:rPr>
              <w:t>《挥发性有机物无组织排放控制标准》（GB 37822-2019）表A.1厂区内VOCs无组织</w:t>
            </w:r>
            <w:r>
              <w:rPr>
                <w:rFonts w:hint="eastAsia" w:ascii="Times New Roman" w:cs="Times New Roman"/>
                <w:b w:val="0"/>
                <w:bCs/>
                <w:color w:val="auto"/>
                <w:kern w:val="0"/>
                <w:sz w:val="21"/>
                <w:szCs w:val="21"/>
                <w:u w:val="none" w:color="auto"/>
                <w:vertAlign w:val="baseline"/>
                <w:lang w:val="en-US" w:eastAsia="zh-CN"/>
              </w:rPr>
              <w:t>特别</w:t>
            </w:r>
            <w:r>
              <w:rPr>
                <w:rFonts w:hint="eastAsia" w:ascii="Times New Roman" w:hAnsi="Times New Roman" w:eastAsia="宋体" w:cs="Times New Roman"/>
                <w:b w:val="0"/>
                <w:bCs/>
                <w:color w:val="auto"/>
                <w:kern w:val="0"/>
                <w:sz w:val="21"/>
                <w:szCs w:val="21"/>
                <w:u w:val="none" w:color="auto"/>
                <w:vertAlign w:val="baseline"/>
                <w:lang w:val="en-US" w:eastAsia="zh-CN"/>
              </w:rPr>
              <w:t>排放限值</w:t>
            </w:r>
          </w:p>
        </w:tc>
      </w:tr>
      <w:tr w14:paraId="395FF7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restart"/>
            <w:tcBorders>
              <w:tl2br w:val="nil"/>
              <w:tr2bl w:val="nil"/>
            </w:tcBorders>
            <w:noWrap w:val="0"/>
            <w:vAlign w:val="center"/>
          </w:tcPr>
          <w:p w14:paraId="5D61085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地表水环境</w:t>
            </w:r>
          </w:p>
        </w:tc>
        <w:tc>
          <w:tcPr>
            <w:tcW w:w="1550" w:type="dxa"/>
            <w:tcBorders>
              <w:tl2br w:val="nil"/>
              <w:tr2bl w:val="nil"/>
            </w:tcBorders>
            <w:noWrap w:val="0"/>
            <w:vAlign w:val="center"/>
          </w:tcPr>
          <w:p w14:paraId="7AEFEB6F">
            <w:pPr>
              <w:adjustRightInd w:val="0"/>
              <w:snapToGrid w:val="0"/>
              <w:spacing w:line="240" w:lineRule="atLeast"/>
              <w:ind w:left="0" w:leftChars="0" w:firstLine="0" w:firstLineChars="0"/>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生活污水</w:t>
            </w:r>
          </w:p>
        </w:tc>
        <w:tc>
          <w:tcPr>
            <w:tcW w:w="1475" w:type="dxa"/>
            <w:tcBorders>
              <w:tl2br w:val="nil"/>
              <w:tr2bl w:val="nil"/>
            </w:tcBorders>
            <w:noWrap w:val="0"/>
            <w:vAlign w:val="center"/>
          </w:tcPr>
          <w:p w14:paraId="480EAA1B">
            <w:pPr>
              <w:adjustRightInd w:val="0"/>
              <w:snapToGrid w:val="0"/>
              <w:spacing w:line="240" w:lineRule="atLeast"/>
              <w:ind w:left="0" w:leftChars="0" w:firstLine="0" w:firstLineChars="0"/>
              <w:jc w:val="center"/>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eastAsia="宋体" w:cs="Times New Roman"/>
                <w:color w:val="auto"/>
                <w:spacing w:val="0"/>
                <w:sz w:val="21"/>
                <w:szCs w:val="21"/>
              </w:rPr>
              <w:t>COD、BOD</w:t>
            </w:r>
            <w:r>
              <w:rPr>
                <w:rFonts w:hint="default" w:ascii="Times New Roman" w:hAnsi="Times New Roman" w:eastAsia="宋体" w:cs="Times New Roman"/>
                <w:color w:val="auto"/>
                <w:spacing w:val="0"/>
                <w:sz w:val="21"/>
                <w:szCs w:val="21"/>
                <w:vertAlign w:val="subscript"/>
              </w:rPr>
              <w:t>5</w:t>
            </w:r>
            <w:r>
              <w:rPr>
                <w:rFonts w:hint="default" w:ascii="Times New Roman" w:hAnsi="Times New Roman" w:eastAsia="宋体" w:cs="Times New Roman"/>
                <w:color w:val="auto"/>
                <w:spacing w:val="0"/>
                <w:sz w:val="21"/>
                <w:szCs w:val="21"/>
              </w:rPr>
              <w:t>、SS、NH</w:t>
            </w:r>
            <w:r>
              <w:rPr>
                <w:rFonts w:hint="default" w:ascii="Times New Roman" w:hAnsi="Times New Roman" w:eastAsia="宋体" w:cs="Times New Roman"/>
                <w:color w:val="auto"/>
                <w:spacing w:val="0"/>
                <w:sz w:val="21"/>
                <w:szCs w:val="21"/>
                <w:vertAlign w:val="subscript"/>
              </w:rPr>
              <w:t>3</w:t>
            </w:r>
            <w:r>
              <w:rPr>
                <w:rFonts w:hint="default" w:ascii="Times New Roman" w:hAnsi="Times New Roman" w:eastAsia="宋体" w:cs="Times New Roman"/>
                <w:color w:val="auto"/>
                <w:spacing w:val="0"/>
                <w:sz w:val="21"/>
                <w:szCs w:val="21"/>
              </w:rPr>
              <w:t>-N</w:t>
            </w:r>
            <w:r>
              <w:rPr>
                <w:rFonts w:hint="eastAsia" w:cs="Times New Roman"/>
                <w:color w:val="auto"/>
                <w:spacing w:val="0"/>
                <w:sz w:val="21"/>
                <w:szCs w:val="21"/>
                <w:lang w:eastAsia="zh-CN"/>
              </w:rPr>
              <w:t>、</w:t>
            </w:r>
            <w:r>
              <w:rPr>
                <w:rFonts w:hint="eastAsia" w:cs="Times New Roman"/>
                <w:color w:val="auto"/>
                <w:spacing w:val="0"/>
                <w:sz w:val="21"/>
                <w:szCs w:val="21"/>
                <w:lang w:val="en-US" w:eastAsia="zh-CN"/>
              </w:rPr>
              <w:t>动植物油</w:t>
            </w:r>
          </w:p>
        </w:tc>
        <w:tc>
          <w:tcPr>
            <w:tcW w:w="2297" w:type="dxa"/>
            <w:tcBorders>
              <w:tl2br w:val="nil"/>
              <w:tr2bl w:val="nil"/>
            </w:tcBorders>
            <w:noWrap w:val="0"/>
            <w:vAlign w:val="center"/>
          </w:tcPr>
          <w:p w14:paraId="53070535">
            <w:pPr>
              <w:adjustRightInd w:val="0"/>
              <w:snapToGrid w:val="0"/>
              <w:spacing w:line="240" w:lineRule="atLeast"/>
              <w:ind w:left="0" w:leftChars="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化粪池</w:t>
            </w:r>
            <w:r>
              <w:rPr>
                <w:rFonts w:hint="eastAsia" w:cs="Times New Roman"/>
                <w:color w:val="auto"/>
                <w:spacing w:val="0"/>
                <w:kern w:val="2"/>
                <w:sz w:val="21"/>
                <w:szCs w:val="21"/>
                <w:highlight w:val="none"/>
                <w:lang w:val="en-US" w:eastAsia="zh-CN" w:bidi="ar-SA"/>
              </w:rPr>
              <w:t>（</w:t>
            </w:r>
            <w:r>
              <w:rPr>
                <w:rFonts w:hint="eastAsia"/>
                <w:color w:val="auto"/>
                <w:sz w:val="21"/>
                <w:szCs w:val="21"/>
              </w:rPr>
              <w:t xml:space="preserve">容积为 </w:t>
            </w:r>
            <w:r>
              <w:rPr>
                <w:rFonts w:hint="eastAsia"/>
                <w:color w:val="auto"/>
                <w:sz w:val="21"/>
                <w:szCs w:val="21"/>
                <w:lang w:val="en-US" w:eastAsia="zh-CN"/>
              </w:rPr>
              <w:t>8.00</w:t>
            </w:r>
            <w:r>
              <w:rPr>
                <w:rFonts w:hint="eastAsia"/>
                <w:color w:val="auto"/>
                <w:sz w:val="21"/>
                <w:szCs w:val="21"/>
              </w:rPr>
              <w:t>m³</w:t>
            </w:r>
            <w:r>
              <w:rPr>
                <w:rFonts w:hint="eastAsia" w:cs="Times New Roman"/>
                <w:color w:val="auto"/>
                <w:spacing w:val="0"/>
                <w:kern w:val="2"/>
                <w:sz w:val="21"/>
                <w:szCs w:val="21"/>
                <w:highlight w:val="none"/>
                <w:lang w:val="en-US" w:eastAsia="zh-CN" w:bidi="ar-SA"/>
              </w:rPr>
              <w:t>）收集</w:t>
            </w:r>
            <w:r>
              <w:rPr>
                <w:rFonts w:hint="eastAsia" w:ascii="Times New Roman" w:hAnsi="Times New Roman" w:eastAsia="宋体" w:cs="Times New Roman"/>
                <w:color w:val="auto"/>
                <w:spacing w:val="0"/>
                <w:kern w:val="2"/>
                <w:sz w:val="21"/>
                <w:szCs w:val="21"/>
                <w:highlight w:val="none"/>
                <w:lang w:val="en-US" w:eastAsia="zh-CN" w:bidi="ar-SA"/>
              </w:rPr>
              <w:t>处理后</w:t>
            </w:r>
            <w:r>
              <w:rPr>
                <w:rFonts w:hint="default" w:ascii="Times New Roman" w:hAnsi="Times New Roman" w:cs="Times New Roman"/>
                <w:color w:val="auto"/>
                <w:sz w:val="21"/>
                <w:szCs w:val="21"/>
                <w:highlight w:val="none"/>
                <w:lang w:val="en-US" w:eastAsia="zh-CN"/>
              </w:rPr>
              <w:t>经园区污水管线进入长青工业园污水处理厂（宝鸡天龙污水处理有限公司）处理</w:t>
            </w:r>
          </w:p>
        </w:tc>
        <w:tc>
          <w:tcPr>
            <w:tcW w:w="2361" w:type="dxa"/>
            <w:vMerge w:val="restart"/>
            <w:tcBorders>
              <w:tl2br w:val="nil"/>
              <w:tr2bl w:val="nil"/>
            </w:tcBorders>
            <w:noWrap w:val="0"/>
            <w:vAlign w:val="center"/>
          </w:tcPr>
          <w:p w14:paraId="354E0A4F">
            <w:pPr>
              <w:adjustRightInd w:val="0"/>
              <w:snapToGrid w:val="0"/>
              <w:spacing w:line="240" w:lineRule="atLeast"/>
              <w:ind w:left="0" w:leftChars="0" w:firstLine="0" w:firstLineChars="0"/>
              <w:jc w:val="center"/>
              <w:rPr>
                <w:rFonts w:hint="eastAsia"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kern w:val="2"/>
                <w:sz w:val="21"/>
                <w:szCs w:val="21"/>
                <w:highlight w:val="none"/>
                <w:lang w:val="en-US" w:eastAsia="zh-CN" w:bidi="ar-SA"/>
              </w:rPr>
              <w:t>《污水综合排放标准》（GB8978-1996）表4三级标准</w:t>
            </w:r>
            <w:r>
              <w:rPr>
                <w:rFonts w:hint="eastAsia" w:cs="Times New Roman"/>
                <w:color w:val="auto"/>
                <w:spacing w:val="0"/>
                <w:kern w:val="2"/>
                <w:sz w:val="21"/>
                <w:szCs w:val="21"/>
                <w:highlight w:val="none"/>
                <w:lang w:val="en-US" w:eastAsia="zh-CN" w:bidi="ar-SA"/>
              </w:rPr>
              <w:t>、</w:t>
            </w:r>
          </w:p>
          <w:p w14:paraId="22A28720">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0"/>
                <w:kern w:val="2"/>
                <w:sz w:val="21"/>
                <w:szCs w:val="21"/>
                <w:highlight w:val="none"/>
                <w:lang w:val="en-US" w:eastAsia="zh-CN" w:bidi="ar-SA"/>
              </w:rPr>
              <w:t>《污水排入城镇下水道水质标准》（GB/T31962-2015）表1中B级排放标准</w:t>
            </w:r>
          </w:p>
        </w:tc>
      </w:tr>
      <w:tr w14:paraId="179DE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noWrap w:val="0"/>
            <w:vAlign w:val="center"/>
          </w:tcPr>
          <w:p w14:paraId="637981C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p>
        </w:tc>
        <w:tc>
          <w:tcPr>
            <w:tcW w:w="1550" w:type="dxa"/>
            <w:tcBorders>
              <w:tl2br w:val="nil"/>
              <w:tr2bl w:val="nil"/>
            </w:tcBorders>
            <w:noWrap w:val="0"/>
            <w:vAlign w:val="center"/>
          </w:tcPr>
          <w:p w14:paraId="222C525F">
            <w:pPr>
              <w:adjustRightInd w:val="0"/>
              <w:snapToGrid w:val="0"/>
              <w:spacing w:line="240" w:lineRule="atLeast"/>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sz w:val="21"/>
                <w:szCs w:val="21"/>
                <w:highlight w:val="none"/>
              </w:rPr>
              <w:t>设备冷却循环水量</w:t>
            </w:r>
          </w:p>
        </w:tc>
        <w:tc>
          <w:tcPr>
            <w:tcW w:w="1475" w:type="dxa"/>
            <w:tcBorders>
              <w:tl2br w:val="nil"/>
              <w:tr2bl w:val="nil"/>
            </w:tcBorders>
            <w:noWrap w:val="0"/>
            <w:vAlign w:val="center"/>
          </w:tcPr>
          <w:p w14:paraId="366FF22C">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悬浮物</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pH</w:t>
            </w:r>
            <w:r>
              <w:rPr>
                <w:rFonts w:hint="eastAsia" w:cs="Times New Roman"/>
                <w:color w:val="auto"/>
                <w:sz w:val="21"/>
                <w:szCs w:val="21"/>
                <w:lang w:val="en-US" w:eastAsia="zh-CN"/>
              </w:rPr>
              <w:t>、</w:t>
            </w:r>
          </w:p>
          <w:p w14:paraId="70250357">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CODcr</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BOD</w:t>
            </w:r>
            <w:r>
              <w:rPr>
                <w:rFonts w:hint="eastAsia" w:ascii="Times New Roman" w:hAnsi="Times New Roman" w:eastAsia="宋体" w:cs="Times New Roman"/>
                <w:color w:val="auto"/>
                <w:sz w:val="21"/>
                <w:szCs w:val="21"/>
                <w:vertAlign w:val="subscript"/>
                <w:lang w:val="en-US" w:eastAsia="zh-CN"/>
              </w:rPr>
              <w:t>5</w:t>
            </w:r>
          </w:p>
          <w:p w14:paraId="027A4D51">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氯化物</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总铁</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总磷</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氨氮</w:t>
            </w:r>
            <w:r>
              <w:rPr>
                <w:rFonts w:hint="eastAsia" w:cs="Times New Roman"/>
                <w:color w:val="auto"/>
                <w:sz w:val="21"/>
                <w:szCs w:val="21"/>
                <w:lang w:val="en-US" w:eastAsia="zh-CN"/>
              </w:rPr>
              <w:t>、</w:t>
            </w:r>
          </w:p>
          <w:p w14:paraId="7D638856">
            <w:pPr>
              <w:adjustRightInd w:val="0"/>
              <w:snapToGrid w:val="0"/>
              <w:spacing w:line="240" w:lineRule="atLeast"/>
              <w:ind w:left="0" w:leftChars="0"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szCs w:val="21"/>
                <w:lang w:val="en-US" w:eastAsia="zh-CN"/>
              </w:rPr>
              <w:t>总氮</w:t>
            </w:r>
          </w:p>
        </w:tc>
        <w:tc>
          <w:tcPr>
            <w:tcW w:w="2297" w:type="dxa"/>
            <w:tcBorders>
              <w:tl2br w:val="nil"/>
              <w:tr2bl w:val="nil"/>
            </w:tcBorders>
            <w:noWrap w:val="0"/>
            <w:vAlign w:val="center"/>
          </w:tcPr>
          <w:p w14:paraId="04467F60">
            <w:pPr>
              <w:adjustRightInd w:val="0"/>
              <w:snapToGrid w:val="0"/>
              <w:spacing w:line="240" w:lineRule="atLeast"/>
              <w:ind w:left="0" w:leftChars="0" w:firstLine="0" w:firstLineChars="0"/>
              <w:jc w:val="center"/>
              <w:rPr>
                <w:rFonts w:hint="eastAsia" w:ascii="Times New Roman" w:hAnsi="Times New Roman" w:eastAsia="宋体" w:cs="Times New Roman"/>
                <w:color w:val="auto"/>
                <w:lang w:val="en-US" w:eastAsia="zh-CN"/>
              </w:rPr>
            </w:pPr>
            <w:r>
              <w:rPr>
                <w:rFonts w:hint="default" w:ascii="Times New Roman" w:hAnsi="Times New Roman" w:cs="Times New Roman"/>
                <w:color w:val="auto"/>
                <w:sz w:val="21"/>
                <w:szCs w:val="21"/>
                <w:highlight w:val="none"/>
                <w:lang w:val="en-US" w:eastAsia="zh-CN"/>
              </w:rPr>
              <w:t>经园区污水管线进入长青工业园污水处理厂（宝鸡天龙污水处理有限公司）处理</w:t>
            </w:r>
          </w:p>
        </w:tc>
        <w:tc>
          <w:tcPr>
            <w:tcW w:w="2361" w:type="dxa"/>
            <w:vMerge w:val="continue"/>
            <w:tcBorders>
              <w:tl2br w:val="nil"/>
              <w:tr2bl w:val="nil"/>
            </w:tcBorders>
            <w:noWrap w:val="0"/>
            <w:vAlign w:val="center"/>
          </w:tcPr>
          <w:p w14:paraId="0C0DF68C">
            <w:pPr>
              <w:adjustRightInd w:val="0"/>
              <w:snapToGrid w:val="0"/>
              <w:spacing w:line="240" w:lineRule="atLeast"/>
              <w:ind w:left="0" w:leftChars="0" w:firstLine="0" w:firstLineChars="0"/>
              <w:jc w:val="center"/>
              <w:rPr>
                <w:rFonts w:hint="default" w:ascii="Times New Roman" w:hAnsi="Times New Roman" w:eastAsia="宋体" w:cs="Times New Roman"/>
                <w:color w:val="auto"/>
                <w:lang w:val="en-US" w:eastAsia="zh-CN"/>
              </w:rPr>
            </w:pPr>
          </w:p>
        </w:tc>
      </w:tr>
      <w:tr w14:paraId="4724A8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noWrap w:val="0"/>
            <w:vAlign w:val="center"/>
          </w:tcPr>
          <w:p w14:paraId="7E45D2A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p>
        </w:tc>
        <w:tc>
          <w:tcPr>
            <w:tcW w:w="1550" w:type="dxa"/>
            <w:tcBorders>
              <w:tl2br w:val="nil"/>
              <w:tr2bl w:val="nil"/>
            </w:tcBorders>
            <w:noWrap w:val="0"/>
            <w:vAlign w:val="center"/>
          </w:tcPr>
          <w:p w14:paraId="1053F76F">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r>
              <w:rPr>
                <w:rFonts w:hint="eastAsia"/>
                <w:color w:val="auto"/>
                <w:sz w:val="21"/>
                <w:szCs w:val="21"/>
              </w:rPr>
              <w:t>初期雨水</w:t>
            </w:r>
          </w:p>
        </w:tc>
        <w:tc>
          <w:tcPr>
            <w:tcW w:w="1475" w:type="dxa"/>
            <w:tcBorders>
              <w:tl2br w:val="nil"/>
              <w:tr2bl w:val="nil"/>
            </w:tcBorders>
            <w:noWrap w:val="0"/>
            <w:vAlign w:val="center"/>
          </w:tcPr>
          <w:p w14:paraId="4927BEFF">
            <w:pPr>
              <w:adjustRightInd w:val="0"/>
              <w:snapToGrid w:val="0"/>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CODcr、SS</w:t>
            </w:r>
          </w:p>
        </w:tc>
        <w:tc>
          <w:tcPr>
            <w:tcW w:w="2297" w:type="dxa"/>
            <w:tcBorders>
              <w:tl2br w:val="nil"/>
              <w:tr2bl w:val="nil"/>
            </w:tcBorders>
            <w:noWrap w:val="0"/>
            <w:vAlign w:val="center"/>
          </w:tcPr>
          <w:p w14:paraId="59E2F189">
            <w:pPr>
              <w:adjustRightInd w:val="0"/>
              <w:snapToGrid w:val="0"/>
              <w:spacing w:line="240" w:lineRule="atLeast"/>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初期雨水收集池</w:t>
            </w:r>
            <w:r>
              <w:rPr>
                <w:rFonts w:hint="eastAsia"/>
                <w:color w:val="auto"/>
                <w:sz w:val="21"/>
                <w:szCs w:val="21"/>
              </w:rPr>
              <w:t xml:space="preserve">，容积为 </w:t>
            </w:r>
            <w:r>
              <w:rPr>
                <w:rFonts w:hint="eastAsia"/>
                <w:color w:val="auto"/>
                <w:sz w:val="21"/>
                <w:szCs w:val="21"/>
                <w:lang w:val="en-US" w:eastAsia="zh-CN"/>
              </w:rPr>
              <w:t>1400</w:t>
            </w:r>
            <w:r>
              <w:rPr>
                <w:rFonts w:hint="eastAsia"/>
                <w:color w:val="auto"/>
                <w:sz w:val="21"/>
                <w:szCs w:val="21"/>
              </w:rPr>
              <w:t>m³</w:t>
            </w:r>
          </w:p>
        </w:tc>
        <w:tc>
          <w:tcPr>
            <w:tcW w:w="2361" w:type="dxa"/>
            <w:vMerge w:val="continue"/>
            <w:tcBorders>
              <w:tl2br w:val="nil"/>
              <w:tr2bl w:val="nil"/>
            </w:tcBorders>
            <w:noWrap w:val="0"/>
            <w:vAlign w:val="center"/>
          </w:tcPr>
          <w:p w14:paraId="7C70F13B">
            <w:pPr>
              <w:adjustRightInd w:val="0"/>
              <w:snapToGrid w:val="0"/>
              <w:spacing w:line="240" w:lineRule="atLeast"/>
              <w:ind w:left="0" w:leftChars="0" w:firstLine="0" w:firstLineChars="0"/>
              <w:jc w:val="center"/>
              <w:rPr>
                <w:rFonts w:hint="eastAsia" w:ascii="Times New Roman" w:hAnsi="Times New Roman" w:eastAsia="宋体" w:cs="Times New Roman"/>
                <w:color w:val="auto"/>
                <w:sz w:val="21"/>
                <w:szCs w:val="21"/>
                <w:lang w:val="en-US" w:eastAsia="zh-CN"/>
              </w:rPr>
            </w:pPr>
          </w:p>
        </w:tc>
      </w:tr>
      <w:tr w14:paraId="0F3EB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tcBorders>
              <w:tl2br w:val="nil"/>
              <w:tr2bl w:val="nil"/>
            </w:tcBorders>
            <w:noWrap w:val="0"/>
            <w:vAlign w:val="center"/>
          </w:tcPr>
          <w:p w14:paraId="5BD19B4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声环境</w:t>
            </w:r>
          </w:p>
        </w:tc>
        <w:tc>
          <w:tcPr>
            <w:tcW w:w="1550" w:type="dxa"/>
            <w:tcBorders>
              <w:tl2br w:val="nil"/>
              <w:tr2bl w:val="nil"/>
            </w:tcBorders>
            <w:noWrap w:val="0"/>
            <w:vAlign w:val="center"/>
          </w:tcPr>
          <w:p w14:paraId="39D27AF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设备运行</w:t>
            </w:r>
          </w:p>
        </w:tc>
        <w:tc>
          <w:tcPr>
            <w:tcW w:w="1475" w:type="dxa"/>
            <w:tcBorders>
              <w:tl2br w:val="nil"/>
              <w:tr2bl w:val="nil"/>
            </w:tcBorders>
            <w:noWrap w:val="0"/>
            <w:vAlign w:val="center"/>
          </w:tcPr>
          <w:p w14:paraId="5F1AF21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噪声</w:t>
            </w:r>
          </w:p>
        </w:tc>
        <w:tc>
          <w:tcPr>
            <w:tcW w:w="2297" w:type="dxa"/>
            <w:tcBorders>
              <w:tl2br w:val="nil"/>
              <w:tr2bl w:val="nil"/>
            </w:tcBorders>
            <w:noWrap w:val="0"/>
            <w:vAlign w:val="center"/>
          </w:tcPr>
          <w:p w14:paraId="6CFB13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合理布局、</w:t>
            </w:r>
            <w:r>
              <w:rPr>
                <w:rFonts w:hint="default" w:ascii="Times New Roman" w:hAnsi="Times New Roman" w:eastAsia="宋体" w:cs="Times New Roman"/>
                <w:color w:val="auto"/>
                <w:sz w:val="21"/>
                <w:szCs w:val="21"/>
                <w:highlight w:val="none"/>
              </w:rPr>
              <w:t>厂房隔声、基础减振</w:t>
            </w:r>
          </w:p>
        </w:tc>
        <w:tc>
          <w:tcPr>
            <w:tcW w:w="2361" w:type="dxa"/>
            <w:tcBorders>
              <w:tl2br w:val="nil"/>
              <w:tr2bl w:val="nil"/>
            </w:tcBorders>
            <w:noWrap w:val="0"/>
            <w:vAlign w:val="center"/>
          </w:tcPr>
          <w:p w14:paraId="50671E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《工业企业厂界</w:t>
            </w:r>
            <w:r>
              <w:rPr>
                <w:rFonts w:hint="eastAsia" w:ascii="Times New Roman" w:hAnsi="Times New Roman" w:eastAsia="宋体" w:cs="Times New Roman"/>
                <w:color w:val="auto"/>
                <w:sz w:val="21"/>
                <w:szCs w:val="21"/>
                <w:highlight w:val="none"/>
                <w:lang w:val="en-US" w:eastAsia="zh-CN"/>
              </w:rPr>
              <w:t>环境</w:t>
            </w:r>
            <w:r>
              <w:rPr>
                <w:rFonts w:hint="default" w:ascii="Times New Roman" w:hAnsi="Times New Roman" w:eastAsia="宋体" w:cs="Times New Roman"/>
                <w:color w:val="auto"/>
                <w:sz w:val="21"/>
                <w:szCs w:val="21"/>
                <w:highlight w:val="none"/>
                <w:lang w:val="en-US" w:eastAsia="zh-CN"/>
              </w:rPr>
              <w:t>噪声排放标准》（GB12348-2008）</w:t>
            </w:r>
            <w:r>
              <w:rPr>
                <w:rFonts w:hint="eastAsia"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类标准</w:t>
            </w:r>
          </w:p>
        </w:tc>
      </w:tr>
      <w:tr w14:paraId="0D734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tcBorders>
              <w:tl2br w:val="nil"/>
              <w:tr2bl w:val="nil"/>
            </w:tcBorders>
            <w:noWrap w:val="0"/>
            <w:vAlign w:val="center"/>
          </w:tcPr>
          <w:p w14:paraId="7A1D7F7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电磁辐射</w:t>
            </w:r>
          </w:p>
        </w:tc>
        <w:tc>
          <w:tcPr>
            <w:tcW w:w="1550" w:type="dxa"/>
            <w:tcBorders>
              <w:tl2br w:val="nil"/>
              <w:tr2bl w:val="nil"/>
            </w:tcBorders>
            <w:noWrap w:val="0"/>
            <w:vAlign w:val="center"/>
          </w:tcPr>
          <w:p w14:paraId="5AA4988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475" w:type="dxa"/>
            <w:tcBorders>
              <w:tl2br w:val="nil"/>
              <w:tr2bl w:val="nil"/>
            </w:tcBorders>
            <w:noWrap w:val="0"/>
            <w:vAlign w:val="center"/>
          </w:tcPr>
          <w:p w14:paraId="26F96DA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2297" w:type="dxa"/>
            <w:tcBorders>
              <w:tl2br w:val="nil"/>
              <w:tr2bl w:val="nil"/>
            </w:tcBorders>
            <w:noWrap w:val="0"/>
            <w:vAlign w:val="center"/>
          </w:tcPr>
          <w:p w14:paraId="7111A7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2361" w:type="dxa"/>
            <w:tcBorders>
              <w:tl2br w:val="nil"/>
              <w:tr2bl w:val="nil"/>
            </w:tcBorders>
            <w:noWrap w:val="0"/>
            <w:vAlign w:val="center"/>
          </w:tcPr>
          <w:p w14:paraId="44DF21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14:paraId="7EF0C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restart"/>
            <w:tcBorders>
              <w:tl2br w:val="nil"/>
              <w:tr2bl w:val="nil"/>
            </w:tcBorders>
            <w:noWrap w:val="0"/>
            <w:vAlign w:val="center"/>
          </w:tcPr>
          <w:p w14:paraId="073D35F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固体废物</w:t>
            </w:r>
          </w:p>
        </w:tc>
        <w:tc>
          <w:tcPr>
            <w:tcW w:w="1550" w:type="dxa"/>
            <w:tcBorders>
              <w:tl2br w:val="nil"/>
              <w:tr2bl w:val="nil"/>
            </w:tcBorders>
            <w:noWrap w:val="0"/>
            <w:vAlign w:val="center"/>
          </w:tcPr>
          <w:p w14:paraId="3D54E67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职工生活</w:t>
            </w:r>
          </w:p>
        </w:tc>
        <w:tc>
          <w:tcPr>
            <w:tcW w:w="1475" w:type="dxa"/>
            <w:tcBorders>
              <w:tl2br w:val="nil"/>
              <w:tr2bl w:val="nil"/>
            </w:tcBorders>
            <w:noWrap w:val="0"/>
            <w:vAlign w:val="center"/>
          </w:tcPr>
          <w:p w14:paraId="61DF819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生活垃圾</w:t>
            </w:r>
          </w:p>
        </w:tc>
        <w:tc>
          <w:tcPr>
            <w:tcW w:w="2297" w:type="dxa"/>
            <w:tcBorders>
              <w:tl2br w:val="nil"/>
              <w:tr2bl w:val="nil"/>
            </w:tcBorders>
            <w:noWrap w:val="0"/>
            <w:vAlign w:val="center"/>
          </w:tcPr>
          <w:p w14:paraId="2FE0ED3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垃圾桶定点收集，由环卫部门统一处理</w:t>
            </w:r>
          </w:p>
        </w:tc>
        <w:tc>
          <w:tcPr>
            <w:tcW w:w="2361" w:type="dxa"/>
            <w:vMerge w:val="restart"/>
            <w:tcBorders>
              <w:tl2br w:val="nil"/>
              <w:tr2bl w:val="nil"/>
            </w:tcBorders>
            <w:noWrap w:val="0"/>
            <w:vAlign w:val="center"/>
          </w:tcPr>
          <w:p w14:paraId="30B2DACB">
            <w:pPr>
              <w:keepNext w:val="0"/>
              <w:keepLines w:val="0"/>
              <w:pageBreakBefore w:val="0"/>
              <w:widowControl w:val="0"/>
              <w:kinsoku/>
              <w:wordWrap/>
              <w:overflowPunct/>
              <w:topLinePunct w:val="0"/>
              <w:autoSpaceDE/>
              <w:autoSpaceDN/>
              <w:bidi w:val="0"/>
              <w:adjustRightInd/>
              <w:snapToGrid w:val="0"/>
              <w:spacing w:line="240" w:lineRule="auto"/>
              <w:ind w:firstLine="0" w:firstLineChars="0"/>
              <w:contextualSpacing/>
              <w:jc w:val="center"/>
              <w:textAlignment w:val="auto"/>
              <w:rPr>
                <w:rFonts w:hint="eastAsia" w:ascii="Times New Roman" w:hAnsi="Times New Roman" w:eastAsia="宋体" w:cs="Times New Roman"/>
                <w:color w:val="auto"/>
                <w:spacing w:val="0"/>
                <w:kern w:val="21"/>
                <w:position w:val="0"/>
                <w:sz w:val="21"/>
                <w:szCs w:val="21"/>
                <w:lang w:val="en-US" w:eastAsia="zh-CN"/>
              </w:rPr>
            </w:pPr>
            <w:r>
              <w:rPr>
                <w:rFonts w:hint="eastAsia" w:ascii="Times New Roman" w:hAnsi="Times New Roman" w:eastAsia="宋体" w:cs="Times New Roman"/>
                <w:color w:val="auto"/>
                <w:spacing w:val="0"/>
                <w:kern w:val="21"/>
                <w:position w:val="0"/>
                <w:sz w:val="21"/>
                <w:szCs w:val="21"/>
                <w:lang w:val="en-US" w:eastAsia="zh-CN"/>
              </w:rPr>
              <w:t>应满足《中华人民共和国固体废物污染环境防治法》中的有关规定要求，一般工业固体废物贮存过程的污染控制应满足防渗漏、防雨淋、防扬尘等环境保护要求</w:t>
            </w:r>
            <w:r>
              <w:rPr>
                <w:rFonts w:hint="eastAsia" w:cs="Times New Roman"/>
                <w:color w:val="auto"/>
                <w:spacing w:val="0"/>
                <w:kern w:val="21"/>
                <w:position w:val="0"/>
                <w:sz w:val="21"/>
                <w:szCs w:val="21"/>
                <w:lang w:val="en-US" w:eastAsia="zh-CN"/>
              </w:rPr>
              <w:t>。</w:t>
            </w:r>
          </w:p>
        </w:tc>
      </w:tr>
      <w:tr w14:paraId="72492D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noWrap w:val="0"/>
            <w:vAlign w:val="center"/>
          </w:tcPr>
          <w:p w14:paraId="70BE313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tc>
        <w:tc>
          <w:tcPr>
            <w:tcW w:w="1550" w:type="dxa"/>
            <w:tcBorders>
              <w:tl2br w:val="nil"/>
              <w:tr2bl w:val="nil"/>
            </w:tcBorders>
            <w:noWrap w:val="0"/>
            <w:vAlign w:val="center"/>
          </w:tcPr>
          <w:p w14:paraId="3FC1C66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空气分类装置</w:t>
            </w:r>
          </w:p>
        </w:tc>
        <w:tc>
          <w:tcPr>
            <w:tcW w:w="1475" w:type="dxa"/>
            <w:tcBorders>
              <w:tl2br w:val="nil"/>
              <w:tr2bl w:val="nil"/>
            </w:tcBorders>
            <w:noWrap w:val="0"/>
            <w:vAlign w:val="center"/>
          </w:tcPr>
          <w:p w14:paraId="367EC3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废旧滤筒</w:t>
            </w:r>
          </w:p>
        </w:tc>
        <w:tc>
          <w:tcPr>
            <w:tcW w:w="2297" w:type="dxa"/>
            <w:tcBorders>
              <w:tl2br w:val="nil"/>
              <w:tr2bl w:val="nil"/>
            </w:tcBorders>
            <w:noWrap w:val="0"/>
            <w:vAlign w:val="center"/>
          </w:tcPr>
          <w:p w14:paraId="521F687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宋体" w:eastAsia="宋体" w:cs="Times New Roman"/>
                <w:color w:val="auto"/>
                <w:kern w:val="0"/>
                <w:sz w:val="21"/>
                <w:szCs w:val="21"/>
                <w:lang w:val="en-US" w:eastAsia="zh-CN" w:bidi="ar-SA"/>
              </w:rPr>
              <w:t>厂家更换后回收</w:t>
            </w:r>
          </w:p>
        </w:tc>
        <w:tc>
          <w:tcPr>
            <w:tcW w:w="2361" w:type="dxa"/>
            <w:vMerge w:val="continue"/>
            <w:tcBorders>
              <w:tl2br w:val="nil"/>
              <w:tr2bl w:val="nil"/>
            </w:tcBorders>
            <w:noWrap w:val="0"/>
            <w:vAlign w:val="center"/>
          </w:tcPr>
          <w:p w14:paraId="20D3F6CA">
            <w:pPr>
              <w:keepNext w:val="0"/>
              <w:keepLines w:val="0"/>
              <w:pageBreakBefore w:val="0"/>
              <w:widowControl w:val="0"/>
              <w:kinsoku/>
              <w:wordWrap/>
              <w:overflowPunct/>
              <w:topLinePunct w:val="0"/>
              <w:autoSpaceDE/>
              <w:autoSpaceDN/>
              <w:bidi w:val="0"/>
              <w:adjustRightInd/>
              <w:snapToGrid w:val="0"/>
              <w:spacing w:line="240" w:lineRule="auto"/>
              <w:ind w:firstLine="0" w:firstLineChars="0"/>
              <w:contextualSpacing/>
              <w:jc w:val="center"/>
              <w:textAlignment w:val="auto"/>
              <w:rPr>
                <w:rFonts w:hint="eastAsia" w:ascii="Times New Roman" w:hAnsi="Times New Roman" w:eastAsia="宋体" w:cs="Times New Roman"/>
                <w:color w:val="auto"/>
                <w:spacing w:val="0"/>
                <w:kern w:val="21"/>
                <w:position w:val="0"/>
                <w:sz w:val="21"/>
                <w:szCs w:val="21"/>
                <w:lang w:val="en-US" w:eastAsia="zh-CN"/>
              </w:rPr>
            </w:pPr>
          </w:p>
        </w:tc>
      </w:tr>
      <w:tr w14:paraId="04A5B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noWrap w:val="0"/>
            <w:vAlign w:val="center"/>
          </w:tcPr>
          <w:p w14:paraId="0DD3E28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tc>
        <w:tc>
          <w:tcPr>
            <w:tcW w:w="1550" w:type="dxa"/>
            <w:tcBorders>
              <w:tl2br w:val="nil"/>
              <w:tr2bl w:val="nil"/>
            </w:tcBorders>
            <w:noWrap w:val="0"/>
            <w:vAlign w:val="center"/>
          </w:tcPr>
          <w:p w14:paraId="4E21B380">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空气分类装置</w:t>
            </w:r>
          </w:p>
        </w:tc>
        <w:tc>
          <w:tcPr>
            <w:tcW w:w="1475" w:type="dxa"/>
            <w:tcBorders>
              <w:tl2br w:val="nil"/>
              <w:tr2bl w:val="nil"/>
            </w:tcBorders>
            <w:noWrap w:val="0"/>
            <w:vAlign w:val="center"/>
          </w:tcPr>
          <w:p w14:paraId="52CBC1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SA"/>
              </w:rPr>
              <w:t>废吸附剂</w:t>
            </w:r>
            <w:r>
              <w:rPr>
                <w:rFonts w:hint="eastAsia" w:ascii="Times New Roman" w:hAnsi="Times New Roman" w:eastAsia="宋体" w:cs="Times New Roman"/>
                <w:color w:val="auto"/>
                <w:kern w:val="0"/>
                <w:sz w:val="21"/>
                <w:szCs w:val="21"/>
                <w:lang w:val="en-US" w:eastAsia="zh-CN" w:bidi="ar-SA"/>
              </w:rPr>
              <w:t>（分子筛和氧化铝）</w:t>
            </w:r>
          </w:p>
        </w:tc>
        <w:tc>
          <w:tcPr>
            <w:tcW w:w="2297" w:type="dxa"/>
            <w:tcBorders>
              <w:tl2br w:val="nil"/>
              <w:tr2bl w:val="nil"/>
            </w:tcBorders>
            <w:noWrap w:val="0"/>
            <w:vAlign w:val="center"/>
          </w:tcPr>
          <w:p w14:paraId="370ED82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宋体" w:eastAsia="宋体" w:cs="Times New Roman"/>
                <w:color w:val="auto"/>
                <w:kern w:val="0"/>
                <w:sz w:val="21"/>
                <w:szCs w:val="21"/>
                <w:lang w:val="en-US" w:eastAsia="zh-CN" w:bidi="ar-SA"/>
              </w:rPr>
              <w:t>厂家更换后回收</w:t>
            </w:r>
          </w:p>
        </w:tc>
        <w:tc>
          <w:tcPr>
            <w:tcW w:w="2361" w:type="dxa"/>
            <w:vMerge w:val="continue"/>
            <w:tcBorders>
              <w:tl2br w:val="nil"/>
              <w:tr2bl w:val="nil"/>
            </w:tcBorders>
            <w:noWrap w:val="0"/>
            <w:vAlign w:val="center"/>
          </w:tcPr>
          <w:p w14:paraId="240C25C5">
            <w:pPr>
              <w:keepNext w:val="0"/>
              <w:keepLines w:val="0"/>
              <w:pageBreakBefore w:val="0"/>
              <w:widowControl w:val="0"/>
              <w:kinsoku/>
              <w:wordWrap/>
              <w:overflowPunct/>
              <w:topLinePunct w:val="0"/>
              <w:autoSpaceDE/>
              <w:autoSpaceDN/>
              <w:bidi w:val="0"/>
              <w:adjustRightInd/>
              <w:snapToGrid w:val="0"/>
              <w:spacing w:line="240" w:lineRule="auto"/>
              <w:ind w:firstLine="0" w:firstLineChars="0"/>
              <w:contextualSpacing/>
              <w:jc w:val="center"/>
              <w:textAlignment w:val="auto"/>
              <w:rPr>
                <w:rFonts w:hint="eastAsia" w:ascii="Times New Roman" w:hAnsi="Times New Roman" w:eastAsia="宋体" w:cs="Times New Roman"/>
                <w:color w:val="auto"/>
                <w:spacing w:val="0"/>
                <w:kern w:val="21"/>
                <w:position w:val="0"/>
                <w:sz w:val="21"/>
                <w:szCs w:val="21"/>
                <w:lang w:val="en-US" w:eastAsia="zh-CN"/>
              </w:rPr>
            </w:pPr>
          </w:p>
        </w:tc>
      </w:tr>
      <w:tr w14:paraId="34C6C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noWrap w:val="0"/>
            <w:vAlign w:val="center"/>
          </w:tcPr>
          <w:p w14:paraId="12B14FF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tc>
        <w:tc>
          <w:tcPr>
            <w:tcW w:w="1550" w:type="dxa"/>
            <w:tcBorders>
              <w:tl2br w:val="nil"/>
              <w:tr2bl w:val="nil"/>
            </w:tcBorders>
            <w:noWrap w:val="0"/>
            <w:vAlign w:val="center"/>
          </w:tcPr>
          <w:p w14:paraId="3EA71D6A">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空气分类装置</w:t>
            </w:r>
          </w:p>
        </w:tc>
        <w:tc>
          <w:tcPr>
            <w:tcW w:w="1475" w:type="dxa"/>
            <w:tcBorders>
              <w:tl2br w:val="nil"/>
              <w:tr2bl w:val="nil"/>
            </w:tcBorders>
            <w:noWrap w:val="0"/>
            <w:vAlign w:val="center"/>
          </w:tcPr>
          <w:p w14:paraId="11048E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SA"/>
              </w:rPr>
              <w:t>废珠光砂</w:t>
            </w:r>
          </w:p>
        </w:tc>
        <w:tc>
          <w:tcPr>
            <w:tcW w:w="2297" w:type="dxa"/>
            <w:tcBorders>
              <w:tl2br w:val="nil"/>
              <w:tr2bl w:val="nil"/>
            </w:tcBorders>
            <w:noWrap w:val="0"/>
            <w:vAlign w:val="center"/>
          </w:tcPr>
          <w:p w14:paraId="08BF978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宋体" w:eastAsia="宋体" w:cs="Times New Roman"/>
                <w:color w:val="auto"/>
                <w:kern w:val="0"/>
                <w:sz w:val="21"/>
                <w:szCs w:val="21"/>
                <w:lang w:val="en-US" w:eastAsia="zh-CN" w:bidi="ar-SA"/>
              </w:rPr>
              <w:t>厂家更换后回收</w:t>
            </w:r>
          </w:p>
        </w:tc>
        <w:tc>
          <w:tcPr>
            <w:tcW w:w="2361" w:type="dxa"/>
            <w:vMerge w:val="continue"/>
            <w:tcBorders>
              <w:tl2br w:val="nil"/>
              <w:tr2bl w:val="nil"/>
            </w:tcBorders>
            <w:noWrap w:val="0"/>
            <w:vAlign w:val="center"/>
          </w:tcPr>
          <w:p w14:paraId="43B3A356">
            <w:pPr>
              <w:keepNext w:val="0"/>
              <w:keepLines w:val="0"/>
              <w:pageBreakBefore w:val="0"/>
              <w:widowControl w:val="0"/>
              <w:kinsoku/>
              <w:wordWrap/>
              <w:overflowPunct/>
              <w:topLinePunct w:val="0"/>
              <w:autoSpaceDE/>
              <w:autoSpaceDN/>
              <w:bidi w:val="0"/>
              <w:adjustRightInd/>
              <w:snapToGrid w:val="0"/>
              <w:spacing w:line="240" w:lineRule="auto"/>
              <w:ind w:firstLine="0" w:firstLineChars="0"/>
              <w:contextualSpacing/>
              <w:jc w:val="center"/>
              <w:textAlignment w:val="auto"/>
              <w:rPr>
                <w:rFonts w:hint="eastAsia" w:ascii="Times New Roman" w:hAnsi="Times New Roman" w:eastAsia="宋体" w:cs="Times New Roman"/>
                <w:color w:val="auto"/>
                <w:spacing w:val="0"/>
                <w:kern w:val="21"/>
                <w:position w:val="0"/>
                <w:sz w:val="21"/>
                <w:szCs w:val="21"/>
                <w:lang w:val="en-US" w:eastAsia="zh-CN"/>
              </w:rPr>
            </w:pPr>
          </w:p>
        </w:tc>
      </w:tr>
      <w:tr w14:paraId="769CA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noWrap w:val="0"/>
            <w:vAlign w:val="center"/>
          </w:tcPr>
          <w:p w14:paraId="12B25A2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tc>
        <w:tc>
          <w:tcPr>
            <w:tcW w:w="1550" w:type="dxa"/>
            <w:tcBorders>
              <w:tl2br w:val="nil"/>
              <w:tr2bl w:val="nil"/>
            </w:tcBorders>
            <w:noWrap w:val="0"/>
            <w:vAlign w:val="center"/>
          </w:tcPr>
          <w:p w14:paraId="164AFD1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气体充装</w:t>
            </w:r>
          </w:p>
        </w:tc>
        <w:tc>
          <w:tcPr>
            <w:tcW w:w="1475" w:type="dxa"/>
            <w:tcBorders>
              <w:tl2br w:val="nil"/>
              <w:tr2bl w:val="nil"/>
            </w:tcBorders>
            <w:noWrap w:val="0"/>
            <w:vAlign w:val="center"/>
          </w:tcPr>
          <w:p w14:paraId="253258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废钢瓶</w:t>
            </w:r>
          </w:p>
        </w:tc>
        <w:tc>
          <w:tcPr>
            <w:tcW w:w="2297" w:type="dxa"/>
            <w:tcBorders>
              <w:tl2br w:val="nil"/>
              <w:tr2bl w:val="nil"/>
            </w:tcBorders>
            <w:noWrap w:val="0"/>
            <w:vAlign w:val="center"/>
          </w:tcPr>
          <w:p w14:paraId="7791846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宋体" w:eastAsia="宋体" w:cs="Times New Roman"/>
                <w:color w:val="auto"/>
                <w:kern w:val="0"/>
                <w:sz w:val="21"/>
                <w:szCs w:val="21"/>
                <w:lang w:val="en-US" w:eastAsia="zh-CN" w:bidi="ar-SA"/>
              </w:rPr>
              <w:t>统一收集暂存于</w:t>
            </w:r>
            <w:r>
              <w:rPr>
                <w:rFonts w:hint="eastAsia" w:hAnsi="宋体" w:cs="Times New Roman"/>
                <w:color w:val="auto"/>
                <w:kern w:val="0"/>
                <w:sz w:val="21"/>
                <w:szCs w:val="21"/>
                <w:lang w:val="en-US" w:eastAsia="zh-CN" w:bidi="ar-SA"/>
              </w:rPr>
              <w:t>一般固废暂存区，</w:t>
            </w:r>
            <w:r>
              <w:rPr>
                <w:rFonts w:hint="eastAsia" w:ascii="Times New Roman" w:hAnsi="宋体" w:eastAsia="宋体" w:cs="Times New Roman"/>
                <w:color w:val="auto"/>
                <w:kern w:val="0"/>
                <w:sz w:val="21"/>
                <w:szCs w:val="21"/>
                <w:lang w:val="en-US" w:eastAsia="zh-CN" w:bidi="ar-SA"/>
              </w:rPr>
              <w:t>定期送至当地有资质的钢瓶检验站进行检验、报废</w:t>
            </w:r>
          </w:p>
        </w:tc>
        <w:tc>
          <w:tcPr>
            <w:tcW w:w="2361" w:type="dxa"/>
            <w:vMerge w:val="continue"/>
            <w:tcBorders>
              <w:tl2br w:val="nil"/>
              <w:tr2bl w:val="nil"/>
            </w:tcBorders>
            <w:noWrap w:val="0"/>
            <w:vAlign w:val="center"/>
          </w:tcPr>
          <w:p w14:paraId="03CA42F0">
            <w:pPr>
              <w:keepNext w:val="0"/>
              <w:keepLines w:val="0"/>
              <w:pageBreakBefore w:val="0"/>
              <w:widowControl w:val="0"/>
              <w:kinsoku/>
              <w:wordWrap/>
              <w:overflowPunct/>
              <w:topLinePunct w:val="0"/>
              <w:autoSpaceDE/>
              <w:autoSpaceDN/>
              <w:bidi w:val="0"/>
              <w:adjustRightInd/>
              <w:snapToGrid w:val="0"/>
              <w:spacing w:line="240" w:lineRule="auto"/>
              <w:ind w:firstLine="0" w:firstLineChars="0"/>
              <w:contextualSpacing/>
              <w:jc w:val="center"/>
              <w:textAlignment w:val="auto"/>
              <w:rPr>
                <w:rFonts w:hint="eastAsia" w:ascii="Times New Roman" w:hAnsi="Times New Roman" w:eastAsia="宋体" w:cs="Times New Roman"/>
                <w:color w:val="auto"/>
                <w:spacing w:val="0"/>
                <w:kern w:val="21"/>
                <w:position w:val="0"/>
                <w:sz w:val="21"/>
                <w:szCs w:val="21"/>
                <w:lang w:val="en-US" w:eastAsia="zh-CN"/>
              </w:rPr>
            </w:pPr>
          </w:p>
        </w:tc>
      </w:tr>
      <w:tr w14:paraId="41DD79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209" w:hRule="atLeast"/>
          <w:jc w:val="center"/>
        </w:trPr>
        <w:tc>
          <w:tcPr>
            <w:tcW w:w="1445" w:type="dxa"/>
            <w:vMerge w:val="continue"/>
            <w:tcBorders>
              <w:tl2br w:val="nil"/>
              <w:tr2bl w:val="nil"/>
            </w:tcBorders>
            <w:noWrap w:val="0"/>
            <w:vAlign w:val="center"/>
          </w:tcPr>
          <w:p w14:paraId="1567A09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tc>
        <w:tc>
          <w:tcPr>
            <w:tcW w:w="1550" w:type="dxa"/>
            <w:tcBorders>
              <w:tl2br w:val="nil"/>
              <w:tr2bl w:val="nil"/>
            </w:tcBorders>
            <w:noWrap w:val="0"/>
            <w:vAlign w:val="center"/>
          </w:tcPr>
          <w:p w14:paraId="52E888C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丙烷及液化石油气充装</w:t>
            </w:r>
          </w:p>
        </w:tc>
        <w:tc>
          <w:tcPr>
            <w:tcW w:w="1475" w:type="dxa"/>
            <w:tcBorders>
              <w:tl2br w:val="nil"/>
              <w:tr2bl w:val="nil"/>
            </w:tcBorders>
            <w:noWrap w:val="0"/>
            <w:vAlign w:val="center"/>
          </w:tcPr>
          <w:p w14:paraId="05969F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宋体" w:eastAsia="宋体" w:cs="Times New Roman"/>
                <w:b w:val="0"/>
                <w:bCs/>
                <w:color w:val="auto"/>
                <w:kern w:val="0"/>
                <w:sz w:val="21"/>
                <w:szCs w:val="21"/>
              </w:rPr>
              <w:t>报废乙炔及液化石油气钢瓶</w:t>
            </w:r>
          </w:p>
        </w:tc>
        <w:tc>
          <w:tcPr>
            <w:tcW w:w="2297" w:type="dxa"/>
            <w:tcBorders>
              <w:tl2br w:val="nil"/>
              <w:tr2bl w:val="nil"/>
            </w:tcBorders>
            <w:noWrap w:val="0"/>
            <w:vAlign w:val="center"/>
          </w:tcPr>
          <w:p w14:paraId="615A03B9">
            <w:pPr>
              <w:pStyle w:val="49"/>
              <w:keepNext w:val="0"/>
              <w:keepLines w:val="0"/>
              <w:pageBreakBefore w:val="0"/>
              <w:widowControl w:val="0"/>
              <w:kinsoku/>
              <w:wordWrap/>
              <w:overflowPunct/>
              <w:topLinePunct w:val="0"/>
              <w:autoSpaceDE/>
              <w:autoSpaceDN/>
              <w:bidi w:val="0"/>
              <w:adjustRightInd/>
              <w:snapToGrid/>
              <w:spacing w:before="0" w:after="0"/>
              <w:ind w:firstLine="0" w:firstLineChars="0"/>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统一收集暂存于危废贮存库，定期送至当地有资质的钢瓶检验站进行检验、报废</w:t>
            </w:r>
          </w:p>
        </w:tc>
        <w:tc>
          <w:tcPr>
            <w:tcW w:w="2361" w:type="dxa"/>
            <w:vMerge w:val="restart"/>
            <w:tcBorders>
              <w:tl2br w:val="nil"/>
              <w:tr2bl w:val="nil"/>
            </w:tcBorders>
            <w:noWrap w:val="0"/>
            <w:vAlign w:val="center"/>
          </w:tcPr>
          <w:p w14:paraId="3AFDF162">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color w:val="auto"/>
                <w:kern w:val="10"/>
                <w:sz w:val="21"/>
                <w:szCs w:val="21"/>
                <w:highlight w:val="none"/>
                <w:lang w:val="en-US" w:eastAsia="zh-CN" w:bidi="ar-SA"/>
              </w:rPr>
            </w:pPr>
            <w:r>
              <w:rPr>
                <w:rFonts w:hint="default" w:ascii="Times New Roman" w:hAnsi="Times New Roman" w:eastAsia="宋体" w:cs="Times New Roman"/>
                <w:color w:val="auto"/>
                <w:sz w:val="21"/>
                <w:szCs w:val="21"/>
                <w:highlight w:val="none"/>
              </w:rPr>
              <w:t>《危险废物贮存污染控制标准》</w:t>
            </w:r>
            <w:r>
              <w:rPr>
                <w:rFonts w:hint="eastAsia" w:ascii="Times New Roman" w:hAnsi="Times New Roman" w:eastAsia="宋体" w:cs="Times New Roman"/>
                <w:color w:val="auto"/>
                <w:sz w:val="21"/>
                <w:szCs w:val="21"/>
                <w:highlight w:val="none"/>
                <w:lang w:eastAsia="zh-CN"/>
              </w:rPr>
              <w:t>（GB 18597</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2023）</w:t>
            </w:r>
          </w:p>
        </w:tc>
      </w:tr>
      <w:tr w14:paraId="78D039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noWrap w:val="0"/>
            <w:vAlign w:val="center"/>
          </w:tcPr>
          <w:p w14:paraId="0706803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tc>
        <w:tc>
          <w:tcPr>
            <w:tcW w:w="1550" w:type="dxa"/>
            <w:tcBorders>
              <w:tl2br w:val="nil"/>
              <w:tr2bl w:val="nil"/>
            </w:tcBorders>
            <w:shd w:val="clear" w:color="auto" w:fill="auto"/>
            <w:noWrap w:val="0"/>
            <w:vAlign w:val="center"/>
          </w:tcPr>
          <w:p w14:paraId="1AA1EF7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液化石油气充装</w:t>
            </w:r>
          </w:p>
        </w:tc>
        <w:tc>
          <w:tcPr>
            <w:tcW w:w="1475" w:type="dxa"/>
            <w:tcBorders>
              <w:tl2br w:val="nil"/>
              <w:tr2bl w:val="nil"/>
            </w:tcBorders>
            <w:shd w:val="clear" w:color="auto" w:fill="auto"/>
            <w:noWrap w:val="0"/>
            <w:vAlign w:val="center"/>
          </w:tcPr>
          <w:p w14:paraId="7135EF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液化石油气残液</w:t>
            </w:r>
          </w:p>
        </w:tc>
        <w:tc>
          <w:tcPr>
            <w:tcW w:w="2297" w:type="dxa"/>
            <w:tcBorders>
              <w:tl2br w:val="nil"/>
              <w:tr2bl w:val="nil"/>
            </w:tcBorders>
            <w:shd w:val="clear" w:color="auto" w:fill="auto"/>
            <w:noWrap w:val="0"/>
            <w:vAlign w:val="center"/>
          </w:tcPr>
          <w:p w14:paraId="68C01868">
            <w:pPr>
              <w:pStyle w:val="49"/>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宋体" w:eastAsia="宋体" w:cs="Times New Roman"/>
                <w:b w:val="0"/>
                <w:bCs/>
                <w:color w:val="auto"/>
                <w:kern w:val="0"/>
                <w:sz w:val="21"/>
                <w:szCs w:val="21"/>
              </w:rPr>
              <w:t>收集至残液</w:t>
            </w:r>
            <w:r>
              <w:rPr>
                <w:rFonts w:hint="eastAsia" w:hAnsi="宋体" w:cs="Times New Roman"/>
                <w:b w:val="0"/>
                <w:bCs/>
                <w:color w:val="auto"/>
                <w:kern w:val="0"/>
                <w:sz w:val="21"/>
                <w:szCs w:val="21"/>
                <w:lang w:val="en-US" w:eastAsia="zh-CN"/>
              </w:rPr>
              <w:t>储罐</w:t>
            </w:r>
            <w:r>
              <w:rPr>
                <w:rFonts w:hint="eastAsia" w:ascii="Times New Roman" w:hAnsi="宋体" w:eastAsia="宋体" w:cs="Times New Roman"/>
                <w:b w:val="0"/>
                <w:bCs/>
                <w:color w:val="auto"/>
                <w:kern w:val="0"/>
                <w:sz w:val="21"/>
                <w:szCs w:val="21"/>
              </w:rPr>
              <w:t>暂存</w:t>
            </w:r>
            <w:r>
              <w:rPr>
                <w:rFonts w:hint="eastAsia" w:ascii="Times New Roman" w:hAnsi="宋体" w:eastAsia="宋体" w:cs="Times New Roman"/>
                <w:b w:val="0"/>
                <w:bCs/>
                <w:color w:val="auto"/>
                <w:kern w:val="0"/>
                <w:sz w:val="21"/>
                <w:szCs w:val="21"/>
                <w:lang w:eastAsia="zh-CN"/>
              </w:rPr>
              <w:t>，</w:t>
            </w:r>
            <w:r>
              <w:rPr>
                <w:rFonts w:hint="eastAsia" w:ascii="Times New Roman" w:hAnsi="Times New Roman" w:eastAsia="宋体" w:cs="Times New Roman"/>
                <w:color w:val="auto"/>
                <w:kern w:val="0"/>
                <w:sz w:val="21"/>
                <w:szCs w:val="21"/>
                <w:lang w:val="en-US" w:eastAsia="zh-CN" w:bidi="ar-SA"/>
              </w:rPr>
              <w:t>定期委托液化石油气供应单位进行回收处理</w:t>
            </w:r>
          </w:p>
        </w:tc>
        <w:tc>
          <w:tcPr>
            <w:tcW w:w="2361" w:type="dxa"/>
            <w:vMerge w:val="continue"/>
            <w:tcBorders>
              <w:tl2br w:val="nil"/>
              <w:tr2bl w:val="nil"/>
            </w:tcBorders>
            <w:noWrap w:val="0"/>
            <w:vAlign w:val="center"/>
          </w:tcPr>
          <w:p w14:paraId="112B9026">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1A841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noWrap w:val="0"/>
            <w:vAlign w:val="center"/>
          </w:tcPr>
          <w:p w14:paraId="6A9197A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tc>
        <w:tc>
          <w:tcPr>
            <w:tcW w:w="1550" w:type="dxa"/>
            <w:tcBorders>
              <w:tl2br w:val="nil"/>
              <w:tr2bl w:val="nil"/>
            </w:tcBorders>
            <w:noWrap w:val="0"/>
            <w:vAlign w:val="center"/>
          </w:tcPr>
          <w:p w14:paraId="58CE54D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w:t>
            </w:r>
            <w:r>
              <w:rPr>
                <w:rFonts w:hint="eastAsia" w:cs="Times New Roman"/>
                <w:color w:val="auto"/>
                <w:sz w:val="21"/>
                <w:szCs w:val="21"/>
                <w:lang w:val="en-US" w:eastAsia="zh-CN"/>
              </w:rPr>
              <w:t>维护保养</w:t>
            </w:r>
          </w:p>
        </w:tc>
        <w:tc>
          <w:tcPr>
            <w:tcW w:w="1475" w:type="dxa"/>
            <w:tcBorders>
              <w:tl2br w:val="nil"/>
              <w:tr2bl w:val="nil"/>
            </w:tcBorders>
            <w:noWrap w:val="0"/>
            <w:vAlign w:val="center"/>
          </w:tcPr>
          <w:p w14:paraId="7E0848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ascii="Times New Roman" w:hAnsi="宋体" w:eastAsia="宋体" w:cs="Times New Roman"/>
                <w:bCs/>
                <w:color w:val="auto"/>
                <w:kern w:val="0"/>
                <w:sz w:val="21"/>
                <w:szCs w:val="21"/>
                <w:lang w:val="en-US" w:eastAsia="zh-CN" w:bidi="ar-SA"/>
              </w:rPr>
              <w:t>废</w:t>
            </w:r>
            <w:r>
              <w:rPr>
                <w:rFonts w:hint="eastAsia" w:ascii="Times New Roman" w:hAnsi="宋体" w:eastAsia="宋体" w:cs="Times New Roman"/>
                <w:bCs/>
                <w:color w:val="auto"/>
                <w:kern w:val="0"/>
                <w:sz w:val="21"/>
                <w:szCs w:val="21"/>
                <w:lang w:val="en-US" w:eastAsia="zh-CN" w:bidi="ar-SA"/>
              </w:rPr>
              <w:t>润滑油</w:t>
            </w:r>
          </w:p>
        </w:tc>
        <w:tc>
          <w:tcPr>
            <w:tcW w:w="2297" w:type="dxa"/>
            <w:vMerge w:val="restart"/>
            <w:tcBorders>
              <w:tl2br w:val="nil"/>
              <w:tr2bl w:val="nil"/>
            </w:tcBorders>
            <w:noWrap w:val="0"/>
            <w:vAlign w:val="center"/>
          </w:tcPr>
          <w:p w14:paraId="2BE179D2">
            <w:pPr>
              <w:pStyle w:val="49"/>
              <w:bidi w:val="0"/>
              <w:ind w:firstLine="0" w:firstLineChars="0"/>
              <w:rPr>
                <w:rFonts w:hint="eastAsia"/>
                <w:color w:val="auto"/>
                <w:sz w:val="21"/>
                <w:szCs w:val="21"/>
                <w:lang w:eastAsia="zh-CN"/>
              </w:rPr>
            </w:pPr>
            <w:r>
              <w:rPr>
                <w:rFonts w:hint="eastAsia"/>
                <w:color w:val="auto"/>
                <w:sz w:val="21"/>
                <w:szCs w:val="21"/>
                <w:lang w:eastAsia="zh-CN"/>
              </w:rPr>
              <w:t>危废贮存库</w:t>
            </w:r>
            <w:r>
              <w:rPr>
                <w:rFonts w:hint="default"/>
                <w:color w:val="auto"/>
                <w:sz w:val="21"/>
                <w:szCs w:val="21"/>
              </w:rPr>
              <w:t>暂存，定期交由</w:t>
            </w:r>
            <w:r>
              <w:rPr>
                <w:rFonts w:hint="eastAsia"/>
                <w:color w:val="auto"/>
                <w:sz w:val="21"/>
                <w:szCs w:val="21"/>
                <w:lang w:eastAsia="zh-CN"/>
              </w:rPr>
              <w:t>有资质单位</w:t>
            </w:r>
            <w:r>
              <w:rPr>
                <w:rFonts w:hint="eastAsia"/>
                <w:color w:val="auto"/>
                <w:sz w:val="21"/>
                <w:szCs w:val="21"/>
                <w:lang w:val="en-US" w:eastAsia="zh-CN"/>
              </w:rPr>
              <w:t>处置</w:t>
            </w:r>
          </w:p>
        </w:tc>
        <w:tc>
          <w:tcPr>
            <w:tcW w:w="2361" w:type="dxa"/>
            <w:vMerge w:val="continue"/>
            <w:tcBorders>
              <w:tl2br w:val="nil"/>
              <w:tr2bl w:val="nil"/>
            </w:tcBorders>
            <w:noWrap w:val="0"/>
            <w:vAlign w:val="center"/>
          </w:tcPr>
          <w:p w14:paraId="357C5D0F">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47A119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noWrap w:val="0"/>
            <w:vAlign w:val="center"/>
          </w:tcPr>
          <w:p w14:paraId="3D348BD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tc>
        <w:tc>
          <w:tcPr>
            <w:tcW w:w="1550" w:type="dxa"/>
            <w:tcBorders>
              <w:tl2br w:val="nil"/>
              <w:tr2bl w:val="nil"/>
            </w:tcBorders>
            <w:noWrap w:val="0"/>
            <w:vAlign w:val="center"/>
          </w:tcPr>
          <w:p w14:paraId="1F73AD2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设备</w:t>
            </w:r>
            <w:r>
              <w:rPr>
                <w:rFonts w:hint="eastAsia" w:cs="Times New Roman"/>
                <w:color w:val="auto"/>
                <w:sz w:val="21"/>
                <w:szCs w:val="21"/>
                <w:lang w:val="en-US" w:eastAsia="zh-CN"/>
              </w:rPr>
              <w:t>维护保养</w:t>
            </w:r>
          </w:p>
        </w:tc>
        <w:tc>
          <w:tcPr>
            <w:tcW w:w="1475" w:type="dxa"/>
            <w:tcBorders>
              <w:tl2br w:val="nil"/>
              <w:tr2bl w:val="nil"/>
            </w:tcBorders>
            <w:noWrap w:val="0"/>
            <w:vAlign w:val="center"/>
          </w:tcPr>
          <w:p w14:paraId="0200B9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含油抹布、手套</w:t>
            </w:r>
          </w:p>
        </w:tc>
        <w:tc>
          <w:tcPr>
            <w:tcW w:w="2297" w:type="dxa"/>
            <w:vMerge w:val="continue"/>
            <w:tcBorders>
              <w:tl2br w:val="nil"/>
              <w:tr2bl w:val="nil"/>
            </w:tcBorders>
            <w:noWrap w:val="0"/>
            <w:vAlign w:val="center"/>
          </w:tcPr>
          <w:p w14:paraId="206F174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p>
        </w:tc>
        <w:tc>
          <w:tcPr>
            <w:tcW w:w="2361" w:type="dxa"/>
            <w:vMerge w:val="continue"/>
            <w:tcBorders>
              <w:tl2br w:val="nil"/>
              <w:tr2bl w:val="nil"/>
            </w:tcBorders>
            <w:noWrap w:val="0"/>
            <w:vAlign w:val="center"/>
          </w:tcPr>
          <w:p w14:paraId="7A23BF18">
            <w:pPr>
              <w:keepNext w:val="0"/>
              <w:keepLines w:val="0"/>
              <w:pageBreakBefore w:val="0"/>
              <w:widowControl w:val="0"/>
              <w:kinsoku/>
              <w:wordWrap/>
              <w:overflowPunct/>
              <w:topLinePunct w:val="0"/>
              <w:autoSpaceDE/>
              <w:autoSpaceDN/>
              <w:bidi w:val="0"/>
              <w:adjustRightInd/>
              <w:snapToGrid w:val="0"/>
              <w:spacing w:line="240" w:lineRule="auto"/>
              <w:ind w:firstLine="0" w:firstLineChars="0"/>
              <w:contextualSpacing/>
              <w:jc w:val="center"/>
              <w:textAlignment w:val="auto"/>
              <w:rPr>
                <w:rFonts w:hint="eastAsia" w:ascii="Times New Roman" w:hAnsi="Times New Roman" w:eastAsia="宋体" w:cs="Times New Roman"/>
                <w:color w:val="auto"/>
                <w:spacing w:val="0"/>
                <w:kern w:val="21"/>
                <w:position w:val="0"/>
                <w:sz w:val="24"/>
                <w:szCs w:val="24"/>
                <w:lang w:val="en-US" w:eastAsia="zh-CN"/>
              </w:rPr>
            </w:pPr>
          </w:p>
        </w:tc>
      </w:tr>
      <w:tr w14:paraId="3935BC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vMerge w:val="continue"/>
            <w:tcBorders>
              <w:tl2br w:val="nil"/>
              <w:tr2bl w:val="nil"/>
            </w:tcBorders>
            <w:noWrap w:val="0"/>
            <w:vAlign w:val="center"/>
          </w:tcPr>
          <w:p w14:paraId="1D9A6DDE">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p>
        </w:tc>
        <w:tc>
          <w:tcPr>
            <w:tcW w:w="1550" w:type="dxa"/>
            <w:tcBorders>
              <w:tl2br w:val="nil"/>
              <w:tr2bl w:val="nil"/>
            </w:tcBorders>
            <w:noWrap w:val="0"/>
            <w:vAlign w:val="center"/>
          </w:tcPr>
          <w:p w14:paraId="0D67152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设备</w:t>
            </w:r>
            <w:r>
              <w:rPr>
                <w:rFonts w:hint="eastAsia" w:cs="Times New Roman"/>
                <w:color w:val="auto"/>
                <w:sz w:val="21"/>
                <w:szCs w:val="21"/>
                <w:lang w:val="en-US" w:eastAsia="zh-CN"/>
              </w:rPr>
              <w:t>维护保养</w:t>
            </w:r>
          </w:p>
        </w:tc>
        <w:tc>
          <w:tcPr>
            <w:tcW w:w="1475" w:type="dxa"/>
            <w:tcBorders>
              <w:tl2br w:val="nil"/>
              <w:tr2bl w:val="nil"/>
            </w:tcBorders>
            <w:noWrap w:val="0"/>
            <w:vAlign w:val="center"/>
          </w:tcPr>
          <w:p w14:paraId="205447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废油桶</w:t>
            </w:r>
          </w:p>
        </w:tc>
        <w:tc>
          <w:tcPr>
            <w:tcW w:w="2297" w:type="dxa"/>
            <w:vMerge w:val="continue"/>
            <w:tcBorders>
              <w:tl2br w:val="nil"/>
              <w:tr2bl w:val="nil"/>
            </w:tcBorders>
            <w:noWrap w:val="0"/>
            <w:vAlign w:val="center"/>
          </w:tcPr>
          <w:p w14:paraId="3568883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p>
        </w:tc>
        <w:tc>
          <w:tcPr>
            <w:tcW w:w="2361" w:type="dxa"/>
            <w:vMerge w:val="continue"/>
            <w:tcBorders>
              <w:tl2br w:val="nil"/>
              <w:tr2bl w:val="nil"/>
            </w:tcBorders>
            <w:noWrap w:val="0"/>
            <w:vAlign w:val="center"/>
          </w:tcPr>
          <w:p w14:paraId="2BE75B18">
            <w:pPr>
              <w:keepNext w:val="0"/>
              <w:keepLines w:val="0"/>
              <w:pageBreakBefore w:val="0"/>
              <w:widowControl w:val="0"/>
              <w:kinsoku/>
              <w:wordWrap/>
              <w:overflowPunct/>
              <w:topLinePunct w:val="0"/>
              <w:autoSpaceDE/>
              <w:autoSpaceDN/>
              <w:bidi w:val="0"/>
              <w:adjustRightInd/>
              <w:snapToGrid w:val="0"/>
              <w:spacing w:line="240" w:lineRule="auto"/>
              <w:ind w:firstLine="0" w:firstLineChars="0"/>
              <w:contextualSpacing/>
              <w:jc w:val="center"/>
              <w:textAlignment w:val="auto"/>
              <w:rPr>
                <w:rFonts w:hint="eastAsia" w:ascii="Times New Roman" w:hAnsi="Times New Roman" w:eastAsia="宋体" w:cs="Times New Roman"/>
                <w:color w:val="auto"/>
                <w:spacing w:val="0"/>
                <w:kern w:val="21"/>
                <w:position w:val="0"/>
                <w:sz w:val="24"/>
                <w:szCs w:val="24"/>
                <w:lang w:val="en-US" w:eastAsia="zh-CN"/>
              </w:rPr>
            </w:pPr>
          </w:p>
        </w:tc>
      </w:tr>
      <w:tr w14:paraId="505CC5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2305" w:hRule="atLeast"/>
          <w:jc w:val="center"/>
        </w:trPr>
        <w:tc>
          <w:tcPr>
            <w:tcW w:w="1445" w:type="dxa"/>
            <w:tcBorders>
              <w:tl2br w:val="nil"/>
              <w:tr2bl w:val="nil"/>
            </w:tcBorders>
            <w:noWrap w:val="0"/>
            <w:vAlign w:val="center"/>
          </w:tcPr>
          <w:p w14:paraId="6DE521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土壤及地下水污染防治措施</w:t>
            </w:r>
          </w:p>
        </w:tc>
        <w:tc>
          <w:tcPr>
            <w:tcW w:w="7683" w:type="dxa"/>
            <w:gridSpan w:val="4"/>
            <w:tcBorders>
              <w:tl2br w:val="nil"/>
              <w:tr2bl w:val="nil"/>
            </w:tcBorders>
            <w:noWrap w:val="0"/>
            <w:vAlign w:val="center"/>
          </w:tcPr>
          <w:p w14:paraId="771567DC">
            <w:pPr>
              <w:bidi w:val="0"/>
              <w:ind w:left="0" w:leftChars="0" w:firstLine="0" w:firstLineChars="0"/>
              <w:rPr>
                <w:rFonts w:hint="eastAsia" w:eastAsia="宋体"/>
                <w:color w:val="auto"/>
                <w:lang w:val="en-US" w:eastAsia="zh-CN"/>
              </w:rPr>
            </w:pPr>
            <w:r>
              <w:rPr>
                <w:rFonts w:hint="default"/>
                <w:color w:val="auto"/>
                <w:sz w:val="21"/>
                <w:szCs w:val="21"/>
              </w:rPr>
              <w:t>本项目为危险化学品仓储，均按照要求设置有关防腐蚀、防泄漏设施，地面设置有防渗防腐层</w:t>
            </w:r>
            <w:r>
              <w:rPr>
                <w:rFonts w:hint="eastAsia"/>
                <w:color w:val="auto"/>
                <w:sz w:val="21"/>
                <w:szCs w:val="21"/>
                <w:lang w:eastAsia="zh-CN"/>
              </w:rPr>
              <w:t>；</w:t>
            </w:r>
            <w:r>
              <w:rPr>
                <w:rFonts w:hint="default"/>
                <w:color w:val="auto"/>
                <w:sz w:val="21"/>
                <w:szCs w:val="21"/>
              </w:rPr>
              <w:t>项目仅有微量非甲烷总烃排放，</w:t>
            </w:r>
            <w:r>
              <w:rPr>
                <w:rFonts w:hint="eastAsia"/>
                <w:color w:val="auto"/>
                <w:sz w:val="21"/>
                <w:szCs w:val="21"/>
                <w:lang w:val="en-US" w:eastAsia="zh-CN"/>
              </w:rPr>
              <w:t>正常情况下</w:t>
            </w:r>
            <w:r>
              <w:rPr>
                <w:rFonts w:hint="default"/>
                <w:color w:val="auto"/>
                <w:sz w:val="21"/>
                <w:szCs w:val="21"/>
              </w:rPr>
              <w:t>无土壤和地下水污染途径，不会对当地土壤与地下水环境造成显著的不良影响。源头控制措施：在生产过程中，做好设备的维护、检修，杜绝跑、冒、滴、漏现象；产生的</w:t>
            </w:r>
            <w:r>
              <w:rPr>
                <w:rFonts w:hint="eastAsia"/>
                <w:color w:val="auto"/>
                <w:sz w:val="21"/>
                <w:szCs w:val="21"/>
                <w:lang w:val="en-US" w:eastAsia="zh-CN"/>
              </w:rPr>
              <w:t>危险废物应</w:t>
            </w:r>
            <w:r>
              <w:rPr>
                <w:rFonts w:hint="default"/>
                <w:color w:val="auto"/>
                <w:sz w:val="21"/>
                <w:szCs w:val="21"/>
              </w:rPr>
              <w:t>及时交有资质单位处置。过程防控措施：</w:t>
            </w:r>
            <w:r>
              <w:rPr>
                <w:rFonts w:hint="eastAsia"/>
                <w:color w:val="auto"/>
                <w:sz w:val="21"/>
                <w:szCs w:val="21"/>
                <w:lang w:val="en-US" w:eastAsia="zh-CN"/>
              </w:rPr>
              <w:t>分区防渗，</w:t>
            </w:r>
            <w:r>
              <w:rPr>
                <w:rFonts w:hint="default"/>
                <w:color w:val="auto"/>
                <w:sz w:val="21"/>
                <w:szCs w:val="21"/>
              </w:rPr>
              <w:t>暂存</w:t>
            </w:r>
            <w:r>
              <w:rPr>
                <w:rFonts w:hint="eastAsia"/>
                <w:color w:val="auto"/>
                <w:sz w:val="21"/>
                <w:szCs w:val="21"/>
                <w:lang w:val="en-US" w:eastAsia="zh-CN"/>
              </w:rPr>
              <w:t>废润滑油</w:t>
            </w:r>
            <w:r>
              <w:rPr>
                <w:rFonts w:hint="default"/>
                <w:color w:val="auto"/>
                <w:sz w:val="21"/>
                <w:szCs w:val="21"/>
              </w:rPr>
              <w:t>油桶下设置托盘，暂存区设置围堰且采取严格的硬化及防渗处理。管理措施：厂区建立完善的危废管理制度，有专人负责进行管理。</w:t>
            </w:r>
          </w:p>
        </w:tc>
      </w:tr>
      <w:tr w14:paraId="206224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tcBorders>
              <w:tl2br w:val="nil"/>
              <w:tr2bl w:val="nil"/>
            </w:tcBorders>
            <w:noWrap w:val="0"/>
            <w:vAlign w:val="center"/>
          </w:tcPr>
          <w:p w14:paraId="2C2697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生态保护措施</w:t>
            </w:r>
          </w:p>
        </w:tc>
        <w:tc>
          <w:tcPr>
            <w:tcW w:w="7683" w:type="dxa"/>
            <w:gridSpan w:val="4"/>
            <w:tcBorders>
              <w:tl2br w:val="nil"/>
              <w:tr2bl w:val="nil"/>
            </w:tcBorders>
            <w:noWrap w:val="0"/>
            <w:vAlign w:val="center"/>
          </w:tcPr>
          <w:p w14:paraId="2D94709D">
            <w:pPr>
              <w:keepNext w:val="0"/>
              <w:keepLines w:val="0"/>
              <w:pageBreakBefore w:val="0"/>
              <w:widowControl w:val="0"/>
              <w:kinsoku/>
              <w:wordWrap/>
              <w:overflowPunct/>
              <w:topLinePunct w:val="0"/>
              <w:autoSpaceDE/>
              <w:autoSpaceDN/>
              <w:bidi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lang w:eastAsia="zh-CN"/>
              </w:rPr>
              <w:t>无</w:t>
            </w:r>
          </w:p>
        </w:tc>
      </w:tr>
      <w:tr w14:paraId="2AA73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tcBorders>
              <w:tl2br w:val="nil"/>
              <w:tr2bl w:val="nil"/>
            </w:tcBorders>
            <w:noWrap w:val="0"/>
            <w:vAlign w:val="center"/>
          </w:tcPr>
          <w:p w14:paraId="765003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pacing w:val="-8"/>
                <w:sz w:val="24"/>
                <w:szCs w:val="24"/>
                <w:highlight w:val="none"/>
              </w:rPr>
              <w:t>环境风险</w:t>
            </w:r>
          </w:p>
          <w:p w14:paraId="1AEB06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pacing w:val="-8"/>
                <w:sz w:val="24"/>
                <w:szCs w:val="24"/>
                <w:highlight w:val="none"/>
              </w:rPr>
              <w:t>防范措施</w:t>
            </w:r>
          </w:p>
        </w:tc>
        <w:tc>
          <w:tcPr>
            <w:tcW w:w="7683" w:type="dxa"/>
            <w:gridSpan w:val="4"/>
            <w:tcBorders>
              <w:tl2br w:val="nil"/>
              <w:tr2bl w:val="nil"/>
            </w:tcBorders>
            <w:noWrap w:val="0"/>
            <w:vAlign w:val="center"/>
          </w:tcPr>
          <w:p w14:paraId="345E5373">
            <w:pPr>
              <w:adjustRightInd w:val="0"/>
              <w:snapToGrid w:val="0"/>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主要的环境风险防范措施包括但不限于：</w:t>
            </w:r>
          </w:p>
          <w:p w14:paraId="3CA326B5">
            <w:pPr>
              <w:numPr>
                <w:ilvl w:val="0"/>
                <w:numId w:val="10"/>
              </w:numPr>
              <w:adjustRightInd w:val="0"/>
              <w:snapToGrid w:val="0"/>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泄漏事故防范措施加强液化石油气的装卸管理，定期对储罐、管道进行检查，液化石油气储罐区采取严格的防渗措施。</w:t>
            </w:r>
          </w:p>
          <w:p w14:paraId="2F6ACD74">
            <w:pPr>
              <w:numPr>
                <w:ilvl w:val="0"/>
                <w:numId w:val="0"/>
              </w:numPr>
              <w:adjustRightInd w:val="0"/>
              <w:snapToGrid w:val="0"/>
              <w:ind w:leftChars="0" w:firstLine="420" w:firstLineChars="200"/>
              <w:jc w:val="both"/>
              <w:rPr>
                <w:rFonts w:hint="default" w:ascii="Times New Roman" w:hAnsi="Times New Roman" w:cs="Times New Roman"/>
                <w:color w:val="000000"/>
                <w:sz w:val="21"/>
                <w:szCs w:val="21"/>
                <w:lang w:eastAsia="zh-CN"/>
              </w:rPr>
            </w:pPr>
            <w:r>
              <w:rPr>
                <w:rFonts w:hint="eastAsia" w:cs="Times New Roman"/>
                <w:color w:val="000000"/>
                <w:sz w:val="21"/>
                <w:szCs w:val="21"/>
                <w:lang w:val="en-US" w:eastAsia="zh-CN"/>
              </w:rPr>
              <w:t>2）</w:t>
            </w:r>
            <w:r>
              <w:rPr>
                <w:rFonts w:hint="default" w:ascii="Times New Roman" w:hAnsi="Times New Roman" w:cs="Times New Roman"/>
                <w:color w:val="000000"/>
                <w:sz w:val="21"/>
                <w:szCs w:val="21"/>
                <w:lang w:eastAsia="zh-CN"/>
              </w:rPr>
              <w:t>危废暂存间风险防范措施严格按照《危险废物贮存污染控制标准》</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eastAsia="zh-CN"/>
              </w:rPr>
              <w:t>GB18597-2023</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eastAsia="zh-CN"/>
              </w:rPr>
              <w:t>的要求设置危险废物暂存间：</w:t>
            </w:r>
          </w:p>
          <w:p w14:paraId="4EDF955D">
            <w:pPr>
              <w:numPr>
                <w:ilvl w:val="0"/>
                <w:numId w:val="0"/>
              </w:numPr>
              <w:adjustRightInd w:val="0"/>
              <w:snapToGrid w:val="0"/>
              <w:ind w:leftChars="0" w:firstLine="420" w:firstLineChars="200"/>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①危险废物暂存间地面与</w:t>
            </w:r>
            <w:r>
              <w:rPr>
                <w:rFonts w:hint="eastAsia" w:cs="Times New Roman"/>
                <w:color w:val="000000"/>
                <w:sz w:val="21"/>
                <w:szCs w:val="21"/>
                <w:lang w:val="en-US" w:eastAsia="zh-CN"/>
              </w:rPr>
              <w:t>墙</w:t>
            </w:r>
            <w:r>
              <w:rPr>
                <w:rFonts w:hint="default" w:ascii="Times New Roman" w:hAnsi="Times New Roman" w:cs="Times New Roman"/>
                <w:color w:val="000000"/>
                <w:sz w:val="21"/>
                <w:szCs w:val="21"/>
                <w:lang w:eastAsia="zh-CN"/>
              </w:rPr>
              <w:t>脚要用防腐、防渗的材料建筑，并必须与危险废物相容；必须有泄漏液体的收集装置；内部要有安全照明设施；内部场地要有耐腐蚀的硬化地面且表面无裂隙；不相容的危险废物必须分开存放并设有隔离间隔离。</w:t>
            </w:r>
          </w:p>
          <w:p w14:paraId="400FBEF1">
            <w:pPr>
              <w:numPr>
                <w:ilvl w:val="0"/>
                <w:numId w:val="0"/>
              </w:numPr>
              <w:adjustRightInd w:val="0"/>
              <w:snapToGrid w:val="0"/>
              <w:ind w:left="418" w:leftChars="174" w:firstLine="0" w:firstLineChars="0"/>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②危险废物存放间按照GB1556.2-1995的要求设置提示性和警示图形标志。③建立管理台账，将存放的固体废物的种类和数量，以及存放设施的检查维护</w:t>
            </w:r>
          </w:p>
          <w:p w14:paraId="27820A0C">
            <w:pPr>
              <w:numPr>
                <w:ilvl w:val="0"/>
                <w:numId w:val="0"/>
              </w:numPr>
              <w:adjustRightInd w:val="0"/>
              <w:snapToGrid w:val="0"/>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等资料详细记录在案，长期保存，供随时查阅。除此之外，存放间还记录了危险废物的名称、来源、数量、特性和包装容器的类别、入库日期、存放库位、出库日期及接受单位名称。</w:t>
            </w:r>
          </w:p>
          <w:p w14:paraId="563B0D7E">
            <w:pPr>
              <w:numPr>
                <w:ilvl w:val="0"/>
                <w:numId w:val="0"/>
              </w:numPr>
              <w:adjustRightInd w:val="0"/>
              <w:snapToGrid w:val="0"/>
              <w:ind w:leftChars="0" w:firstLine="420" w:firstLineChars="200"/>
              <w:jc w:val="both"/>
              <w:rPr>
                <w:rFonts w:hint="default" w:ascii="Times New Roman" w:hAnsi="Times New Roman" w:cs="Times New Roman"/>
                <w:color w:val="000000"/>
                <w:sz w:val="21"/>
                <w:szCs w:val="21"/>
                <w:lang w:eastAsia="zh-CN"/>
              </w:rPr>
            </w:pPr>
            <w:r>
              <w:rPr>
                <w:rFonts w:hint="eastAsia" w:cs="Times New Roman"/>
                <w:color w:val="000000"/>
                <w:sz w:val="21"/>
                <w:szCs w:val="21"/>
                <w:lang w:val="en-US" w:eastAsia="zh-CN"/>
              </w:rPr>
              <w:t>3）</w:t>
            </w:r>
            <w:r>
              <w:rPr>
                <w:rFonts w:hint="default" w:ascii="Times New Roman" w:hAnsi="Times New Roman" w:cs="Times New Roman"/>
                <w:color w:val="000000"/>
                <w:sz w:val="21"/>
                <w:szCs w:val="21"/>
                <w:lang w:eastAsia="zh-CN"/>
              </w:rPr>
              <w:t>火灾应急处理措施</w:t>
            </w:r>
          </w:p>
          <w:p w14:paraId="3BE0163E">
            <w:pPr>
              <w:numPr>
                <w:ilvl w:val="0"/>
                <w:numId w:val="0"/>
              </w:numPr>
              <w:adjustRightInd w:val="0"/>
              <w:snapToGrid w:val="0"/>
              <w:ind w:leftChars="0" w:firstLine="420" w:firstLineChars="200"/>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①加强企业</w:t>
            </w:r>
            <w:r>
              <w:rPr>
                <w:rFonts w:hint="eastAsia" w:cs="Times New Roman"/>
                <w:color w:val="000000"/>
                <w:sz w:val="21"/>
                <w:szCs w:val="21"/>
                <w:lang w:val="en-US" w:eastAsia="zh-CN"/>
              </w:rPr>
              <w:t>环境</w:t>
            </w:r>
            <w:r>
              <w:rPr>
                <w:rFonts w:hint="default" w:ascii="Times New Roman" w:hAnsi="Times New Roman" w:cs="Times New Roman"/>
                <w:color w:val="000000"/>
                <w:sz w:val="21"/>
                <w:szCs w:val="21"/>
                <w:lang w:eastAsia="zh-CN"/>
              </w:rPr>
              <w:t>管理，可有效避免环境风险事故的发生。</w:t>
            </w:r>
          </w:p>
          <w:p w14:paraId="31A6F369">
            <w:pPr>
              <w:numPr>
                <w:ilvl w:val="0"/>
                <w:numId w:val="0"/>
              </w:numPr>
              <w:adjustRightInd w:val="0"/>
              <w:snapToGrid w:val="0"/>
              <w:ind w:leftChars="0" w:firstLine="420" w:firstLineChars="200"/>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②成立事故应急小组，建立应急预案，规定应急状态下的联络通讯方式，一旦出现事故，及时作出反应，避免事故扩大化。制定火灾事故应急救援预案，组织训练单位的灾害事故应急救援队伍，配备必要的防护救援器材和设备，指定专人管理，并定期进行检查和维护保养，确保完好。</w:t>
            </w:r>
          </w:p>
          <w:p w14:paraId="6F6BCBF7">
            <w:pPr>
              <w:numPr>
                <w:ilvl w:val="0"/>
                <w:numId w:val="0"/>
              </w:numPr>
              <w:adjustRightInd w:val="0"/>
              <w:snapToGrid w:val="0"/>
              <w:ind w:leftChars="0" w:firstLine="420" w:firstLineChars="200"/>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③加强各相关部门之间的联络，一旦出现环境风险事故，可迅速作出反应。</w:t>
            </w:r>
          </w:p>
          <w:p w14:paraId="527EB2D3">
            <w:pPr>
              <w:numPr>
                <w:ilvl w:val="0"/>
                <w:numId w:val="0"/>
              </w:numPr>
              <w:adjustRightInd w:val="0"/>
              <w:snapToGrid w:val="0"/>
              <w:ind w:leftChars="0" w:firstLine="420" w:firstLineChars="200"/>
              <w:jc w:val="both"/>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④人员培训与演习：应急计划制定以后，平时安排有关人员培训与演习。</w:t>
            </w:r>
          </w:p>
          <w:p w14:paraId="29BE8636">
            <w:pPr>
              <w:bidi w:val="0"/>
              <w:ind w:left="0" w:leftChars="0" w:firstLine="420" w:firstLineChars="200"/>
              <w:rPr>
                <w:rFonts w:hint="eastAsia" w:eastAsia="宋体"/>
                <w:color w:val="auto"/>
                <w:lang w:eastAsia="zh-CN"/>
              </w:rPr>
            </w:pPr>
            <w:r>
              <w:rPr>
                <w:rFonts w:hint="default" w:ascii="Times New Roman" w:hAnsi="Times New Roman" w:cs="Times New Roman"/>
                <w:color w:val="000000"/>
                <w:sz w:val="21"/>
                <w:szCs w:val="21"/>
                <w:lang w:eastAsia="zh-CN"/>
              </w:rPr>
              <w:t>⑤配备相关应急设施、设备、器材与材料。</w:t>
            </w:r>
          </w:p>
        </w:tc>
      </w:tr>
      <w:tr w14:paraId="055B7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28" w:type="dxa"/>
            <w:left w:w="28" w:type="dxa"/>
            <w:bottom w:w="28" w:type="dxa"/>
            <w:right w:w="28" w:type="dxa"/>
          </w:tblCellMar>
        </w:tblPrEx>
        <w:trPr>
          <w:trHeight w:val="397" w:hRule="atLeast"/>
          <w:jc w:val="center"/>
        </w:trPr>
        <w:tc>
          <w:tcPr>
            <w:tcW w:w="1445" w:type="dxa"/>
            <w:tcBorders>
              <w:tl2br w:val="nil"/>
              <w:tr2bl w:val="nil"/>
            </w:tcBorders>
            <w:noWrap w:val="0"/>
            <w:vAlign w:val="center"/>
          </w:tcPr>
          <w:p w14:paraId="470553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pacing w:val="-8"/>
                <w:sz w:val="24"/>
                <w:szCs w:val="24"/>
                <w:highlight w:val="none"/>
              </w:rPr>
              <w:t>其他环境</w:t>
            </w:r>
          </w:p>
          <w:p w14:paraId="367369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pacing w:val="-8"/>
                <w:sz w:val="24"/>
                <w:szCs w:val="24"/>
                <w:highlight w:val="none"/>
              </w:rPr>
              <w:t>管理要求</w:t>
            </w:r>
          </w:p>
        </w:tc>
        <w:tc>
          <w:tcPr>
            <w:tcW w:w="7683" w:type="dxa"/>
            <w:gridSpan w:val="4"/>
            <w:tcBorders>
              <w:tl2br w:val="nil"/>
              <w:tr2bl w:val="nil"/>
            </w:tcBorders>
            <w:noWrap w:val="0"/>
            <w:vAlign w:val="center"/>
          </w:tcPr>
          <w:p w14:paraId="7920C4C8">
            <w:pPr>
              <w:spacing w:line="360" w:lineRule="auto"/>
              <w:ind w:firstLine="482" w:firstLineChars="200"/>
              <w:rPr>
                <w:b/>
                <w:bCs/>
                <w:color w:val="auto"/>
                <w:sz w:val="24"/>
                <w:szCs w:val="24"/>
              </w:rPr>
            </w:pPr>
            <w:r>
              <w:rPr>
                <w:rFonts w:hint="default" w:ascii="Times New Roman" w:hAnsi="Times New Roman" w:eastAsia="宋体" w:cs="Times New Roman"/>
                <w:b/>
                <w:bCs/>
                <w:color w:val="auto"/>
                <w:kern w:val="10"/>
                <w:sz w:val="24"/>
                <w:szCs w:val="24"/>
                <w:lang w:val="en-US" w:eastAsia="zh-CN" w:bidi="ar-SA"/>
              </w:rPr>
              <w:t>一</w:t>
            </w:r>
            <w:r>
              <w:rPr>
                <w:rFonts w:hint="default" w:ascii="Times New Roman" w:hAnsi="Times New Roman" w:eastAsia="宋体" w:cs="Times New Roman"/>
                <w:b/>
                <w:bCs/>
                <w:color w:val="auto"/>
                <w:spacing w:val="0"/>
                <w:sz w:val="24"/>
              </w:rPr>
              <w:t>、</w:t>
            </w:r>
            <w:r>
              <w:rPr>
                <w:b/>
                <w:bCs/>
                <w:color w:val="auto"/>
                <w:sz w:val="24"/>
                <w:szCs w:val="24"/>
              </w:rPr>
              <w:t>监测计划</w:t>
            </w:r>
          </w:p>
          <w:p w14:paraId="27001575">
            <w:pPr>
              <w:spacing w:line="360" w:lineRule="auto"/>
              <w:ind w:firstLine="480" w:firstLineChars="200"/>
              <w:rPr>
                <w:color w:val="auto"/>
                <w:sz w:val="24"/>
                <w:szCs w:val="24"/>
              </w:rPr>
            </w:pPr>
            <w:r>
              <w:rPr>
                <w:color w:val="auto"/>
                <w:sz w:val="24"/>
                <w:szCs w:val="24"/>
              </w:rPr>
              <w:t>按照</w:t>
            </w:r>
            <w:r>
              <w:rPr>
                <w:rFonts w:hint="eastAsia"/>
                <w:color w:val="auto"/>
                <w:sz w:val="24"/>
                <w:szCs w:val="24"/>
                <w:lang w:val="en-US" w:eastAsia="zh-CN"/>
              </w:rPr>
              <w:t>环评</w:t>
            </w:r>
            <w:r>
              <w:rPr>
                <w:color w:val="auto"/>
                <w:sz w:val="24"/>
                <w:szCs w:val="24"/>
              </w:rPr>
              <w:t>报告中提出的监测计划进行监测，并保留好监测报告。监测委托有资质的检（监）测机构代其开展自行监测的，对检（监）测机构的资质进行确认。</w:t>
            </w:r>
          </w:p>
          <w:p w14:paraId="3BBBDCD9">
            <w:pPr>
              <w:spacing w:line="360" w:lineRule="auto"/>
              <w:ind w:firstLine="482" w:firstLineChars="200"/>
              <w:rPr>
                <w:b/>
                <w:bCs/>
                <w:color w:val="auto"/>
                <w:sz w:val="24"/>
                <w:szCs w:val="24"/>
              </w:rPr>
            </w:pPr>
            <w:r>
              <w:rPr>
                <w:rFonts w:hint="eastAsia"/>
                <w:b/>
                <w:bCs/>
                <w:color w:val="auto"/>
                <w:sz w:val="24"/>
                <w:szCs w:val="24"/>
                <w:lang w:val="en-US" w:eastAsia="zh-CN"/>
              </w:rPr>
              <w:t>二</w:t>
            </w:r>
            <w:r>
              <w:rPr>
                <w:b/>
                <w:bCs/>
                <w:color w:val="auto"/>
                <w:sz w:val="24"/>
                <w:szCs w:val="24"/>
              </w:rPr>
              <w:t>、排污许可</w:t>
            </w:r>
          </w:p>
          <w:p w14:paraId="3EBEEE7D">
            <w:pPr>
              <w:spacing w:line="360" w:lineRule="auto"/>
              <w:ind w:firstLine="480" w:firstLineChars="200"/>
              <w:rPr>
                <w:rFonts w:hint="default"/>
                <w:color w:val="auto"/>
                <w:sz w:val="24"/>
                <w:szCs w:val="24"/>
              </w:rPr>
            </w:pPr>
            <w:r>
              <w:rPr>
                <w:color w:val="auto"/>
                <w:sz w:val="24"/>
                <w:szCs w:val="24"/>
              </w:rPr>
              <w:t>根</w:t>
            </w:r>
            <w:r>
              <w:rPr>
                <w:rFonts w:hint="eastAsia" w:ascii="Times New Roman" w:hAnsi="Times New Roman" w:eastAsia="宋体" w:cs="Times New Roman"/>
                <w:sz w:val="24"/>
                <w:szCs w:val="24"/>
                <w:lang w:eastAsia="zh-CN"/>
              </w:rPr>
              <w:t>据《排污许可管理办法（试行）》以及《固定污染源排污许可分类管理名录（2019年版）》，本项目属于四十四、装卸搬运和仓储业59，危险品仓储594中的其他危险品仓储（含油品码头后方配套油库，不含储备油库），实行排污许可登记管理，需按照规定在全国排污许可证管理信息</w:t>
            </w:r>
            <w:r>
              <w:rPr>
                <w:rFonts w:hint="eastAsia" w:cs="Times New Roman"/>
                <w:sz w:val="24"/>
                <w:szCs w:val="24"/>
                <w:lang w:val="en-US" w:eastAsia="zh-CN"/>
              </w:rPr>
              <w:t>平台</w:t>
            </w:r>
            <w:r>
              <w:rPr>
                <w:rFonts w:hint="eastAsia" w:ascii="Times New Roman" w:hAnsi="Times New Roman" w:eastAsia="宋体" w:cs="Times New Roman"/>
                <w:sz w:val="24"/>
                <w:szCs w:val="24"/>
                <w:lang w:eastAsia="zh-CN"/>
              </w:rPr>
              <w:t>进行排污许可登记。</w:t>
            </w:r>
          </w:p>
          <w:p w14:paraId="1FBC1352">
            <w:pPr>
              <w:rPr>
                <w:rFonts w:hint="eastAsia"/>
                <w:b/>
                <w:bCs/>
                <w:color w:val="auto"/>
                <w:lang w:val="en-US" w:eastAsia="zh-CN"/>
              </w:rPr>
            </w:pPr>
            <w:r>
              <w:rPr>
                <w:rFonts w:hint="eastAsia"/>
                <w:b/>
                <w:bCs/>
                <w:color w:val="auto"/>
                <w:lang w:val="en-US" w:eastAsia="zh-CN"/>
              </w:rPr>
              <w:t>三、竣工环保验收</w:t>
            </w:r>
          </w:p>
          <w:p w14:paraId="0FAFE953">
            <w:pPr>
              <w:rPr>
                <w:rFonts w:hint="eastAsia"/>
                <w:color w:val="auto"/>
                <w:lang w:val="en-US" w:eastAsia="zh-CN"/>
              </w:rPr>
            </w:pPr>
            <w:r>
              <w:rPr>
                <w:rFonts w:hint="eastAsia"/>
                <w:color w:val="auto"/>
                <w:lang w:val="en-US" w:eastAsia="zh-CN"/>
              </w:rPr>
              <w:t>严格按照本次环评及批复要求，落实各项废水、固废、噪声、土壤及地下水环境保护措施、环境风险防范措施，设置环境保护图形标志牌，加强人员环保培训。建立危废管理台账，建设危废管理制度，设置对应的环保标识标牌。至少配置1名环保专职人员，负责对公司内日常环保工作进行监督、环保设施的运行维护及污染源监测工作。严格执行“三同时 ”制度，建设项目应按照本次环评要求建设环保设施，并对环保设施进行维护，建成后尽快开展竣工环境保护验收工作，做好应急物资的储备和消防演练等工作。</w:t>
            </w:r>
          </w:p>
          <w:p w14:paraId="38B5518A">
            <w:pPr>
              <w:rPr>
                <w:rFonts w:hint="default"/>
                <w:b/>
                <w:bCs/>
                <w:color w:val="auto"/>
                <w:lang w:val="en-US" w:eastAsia="zh-CN"/>
              </w:rPr>
            </w:pPr>
            <w:r>
              <w:rPr>
                <w:rFonts w:hint="eastAsia"/>
                <w:b/>
                <w:bCs/>
                <w:color w:val="auto"/>
                <w:lang w:val="en-US" w:eastAsia="zh-CN"/>
              </w:rPr>
              <w:t>四、环保投资</w:t>
            </w:r>
          </w:p>
          <w:p w14:paraId="71418035">
            <w:pPr>
              <w:pStyle w:val="85"/>
              <w:bidi w:val="0"/>
              <w:spacing w:line="240" w:lineRule="auto"/>
              <w:rPr>
                <w:rFonts w:hint="default"/>
                <w:color w:val="auto"/>
                <w:sz w:val="21"/>
                <w:szCs w:val="21"/>
              </w:rPr>
            </w:pPr>
            <w:r>
              <w:rPr>
                <w:rFonts w:hint="default"/>
                <w:color w:val="auto"/>
                <w:sz w:val="21"/>
                <w:szCs w:val="21"/>
              </w:rPr>
              <w:t>表</w:t>
            </w:r>
            <w:r>
              <w:rPr>
                <w:rFonts w:hint="eastAsia"/>
                <w:color w:val="auto"/>
                <w:sz w:val="21"/>
                <w:szCs w:val="21"/>
                <w:lang w:val="en-US" w:eastAsia="zh-CN"/>
              </w:rPr>
              <w:t xml:space="preserve">5-1 </w:t>
            </w:r>
            <w:r>
              <w:rPr>
                <w:rFonts w:hint="default"/>
                <w:color w:val="auto"/>
                <w:sz w:val="21"/>
                <w:szCs w:val="21"/>
                <w:lang w:val="en-US" w:eastAsia="zh-CN"/>
              </w:rPr>
              <w:t xml:space="preserve">  </w:t>
            </w:r>
            <w:r>
              <w:rPr>
                <w:rFonts w:hint="default"/>
                <w:color w:val="auto"/>
                <w:sz w:val="21"/>
                <w:szCs w:val="21"/>
              </w:rPr>
              <w:t>环保投资概算（万元）</w:t>
            </w:r>
          </w:p>
          <w:tbl>
            <w:tblPr>
              <w:tblStyle w:val="30"/>
              <w:tblW w:w="490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5021"/>
              <w:gridCol w:w="1322"/>
            </w:tblGrid>
            <w:tr w14:paraId="09229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1144" w:type="dxa"/>
                  <w:tcBorders>
                    <w:tl2br w:val="nil"/>
                    <w:tr2bl w:val="nil"/>
                  </w:tcBorders>
                  <w:noWrap w:val="0"/>
                  <w:vAlign w:val="center"/>
                </w:tcPr>
                <w:p w14:paraId="6D0D8121">
                  <w:pPr>
                    <w:pStyle w:val="49"/>
                    <w:bidi w:val="0"/>
                    <w:rPr>
                      <w:b/>
                      <w:bCs/>
                      <w:color w:val="auto"/>
                      <w:sz w:val="21"/>
                      <w:szCs w:val="21"/>
                    </w:rPr>
                  </w:pPr>
                  <w:r>
                    <w:rPr>
                      <w:b/>
                      <w:bCs/>
                      <w:color w:val="auto"/>
                      <w:sz w:val="21"/>
                      <w:szCs w:val="21"/>
                    </w:rPr>
                    <w:t>分类</w:t>
                  </w:r>
                </w:p>
              </w:tc>
              <w:tc>
                <w:tcPr>
                  <w:tcW w:w="5021" w:type="dxa"/>
                  <w:tcBorders>
                    <w:tl2br w:val="nil"/>
                    <w:tr2bl w:val="nil"/>
                  </w:tcBorders>
                  <w:noWrap w:val="0"/>
                  <w:vAlign w:val="center"/>
                </w:tcPr>
                <w:p w14:paraId="11754F49">
                  <w:pPr>
                    <w:pStyle w:val="49"/>
                    <w:bidi w:val="0"/>
                    <w:rPr>
                      <w:b/>
                      <w:bCs/>
                      <w:color w:val="auto"/>
                      <w:sz w:val="21"/>
                      <w:szCs w:val="21"/>
                    </w:rPr>
                  </w:pPr>
                  <w:r>
                    <w:rPr>
                      <w:b/>
                      <w:bCs/>
                      <w:color w:val="auto"/>
                      <w:sz w:val="21"/>
                      <w:szCs w:val="21"/>
                    </w:rPr>
                    <w:t>治理措施</w:t>
                  </w:r>
                </w:p>
              </w:tc>
              <w:tc>
                <w:tcPr>
                  <w:tcW w:w="1322" w:type="dxa"/>
                  <w:tcBorders>
                    <w:tl2br w:val="nil"/>
                    <w:tr2bl w:val="nil"/>
                  </w:tcBorders>
                  <w:noWrap w:val="0"/>
                  <w:vAlign w:val="center"/>
                </w:tcPr>
                <w:p w14:paraId="0E1A197A">
                  <w:pPr>
                    <w:pStyle w:val="49"/>
                    <w:bidi w:val="0"/>
                    <w:rPr>
                      <w:rFonts w:hint="default"/>
                      <w:b/>
                      <w:bCs/>
                      <w:color w:val="auto"/>
                      <w:sz w:val="21"/>
                      <w:szCs w:val="21"/>
                      <w:lang w:val="en-US" w:eastAsia="zh-CN"/>
                    </w:rPr>
                  </w:pPr>
                  <w:r>
                    <w:rPr>
                      <w:rFonts w:hint="eastAsia"/>
                      <w:b/>
                      <w:bCs/>
                      <w:color w:val="auto"/>
                      <w:sz w:val="21"/>
                      <w:szCs w:val="21"/>
                      <w:lang w:val="en-US" w:eastAsia="zh-CN"/>
                    </w:rPr>
                    <w:t>投资（万元）</w:t>
                  </w:r>
                </w:p>
              </w:tc>
            </w:tr>
            <w:tr w14:paraId="40627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restart"/>
                  <w:tcBorders>
                    <w:tl2br w:val="nil"/>
                    <w:tr2bl w:val="nil"/>
                  </w:tcBorders>
                  <w:noWrap w:val="0"/>
                  <w:vAlign w:val="center"/>
                </w:tcPr>
                <w:p w14:paraId="5D9DC543">
                  <w:pPr>
                    <w:pStyle w:val="49"/>
                    <w:bidi w:val="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废气治理</w:t>
                  </w:r>
                </w:p>
              </w:tc>
              <w:tc>
                <w:tcPr>
                  <w:tcW w:w="5021" w:type="dxa"/>
                  <w:tcBorders>
                    <w:tl2br w:val="nil"/>
                    <w:tr2bl w:val="nil"/>
                  </w:tcBorders>
                  <w:noWrap w:val="0"/>
                  <w:vAlign w:val="center"/>
                </w:tcPr>
                <w:p w14:paraId="7BCF8A26">
                  <w:pPr>
                    <w:pStyle w:val="52"/>
                    <w:bidi w:val="0"/>
                    <w:ind w:left="-24" w:leftChars="-10" w:right="-24" w:rightChars="-10" w:firstLine="0" w:firstLineChars="0"/>
                    <w:jc w:val="both"/>
                    <w:rPr>
                      <w:rFonts w:hint="eastAsia"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项目产生的废气主要为水冷塔和分子筛吸附器放空的部分氮气、污氮气、空气中的水蒸气以及分馏系统放空的部分氮气和车辆运输废气。</w:t>
                  </w:r>
                </w:p>
                <w:p w14:paraId="36D82C5F">
                  <w:pPr>
                    <w:pStyle w:val="52"/>
                    <w:bidi w:val="0"/>
                    <w:ind w:left="-24" w:leftChars="-10" w:right="-24" w:rightChars="-10" w:firstLine="0" w:firstLineChars="0"/>
                    <w:jc w:val="both"/>
                    <w:rPr>
                      <w:rFonts w:hint="eastAsia"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zh-CN"/>
                    </w:rPr>
                    <w:t>“污氮”等气体通过在作业区采取充分的通风换气措施</w:t>
                  </w:r>
                  <w:r>
                    <w:rPr>
                      <w:rFonts w:hint="eastAsia" w:ascii="Times New Roman" w:hAnsi="Times New Roman" w:eastAsia="宋体" w:cs="Times New Roman"/>
                      <w:color w:val="auto"/>
                      <w:sz w:val="21"/>
                      <w:szCs w:val="21"/>
                      <w:lang w:val="en-US" w:eastAsia="zh-CN"/>
                    </w:rPr>
                    <w:t>无组织排放</w:t>
                  </w:r>
                  <w:r>
                    <w:rPr>
                      <w:rFonts w:hint="eastAsia" w:ascii="Times New Roman" w:hAnsi="Times New Roman" w:eastAsia="宋体" w:cs="Times New Roman"/>
                      <w:color w:val="auto"/>
                      <w:sz w:val="21"/>
                      <w:szCs w:val="21"/>
                      <w:lang w:val="zh-CN"/>
                    </w:rPr>
                    <w:t>；车辆运输废气通过生产及运输地面硬化，</w:t>
                  </w:r>
                  <w:r>
                    <w:rPr>
                      <w:rFonts w:hint="eastAsia" w:cs="Times New Roman"/>
                      <w:color w:val="auto"/>
                      <w:sz w:val="21"/>
                      <w:szCs w:val="21"/>
                      <w:lang w:val="zh-CN"/>
                    </w:rPr>
                    <w:t>对厂内运输道路及厂区外附近运输道路实施洒水抑尘等措施</w:t>
                  </w:r>
                  <w:r>
                    <w:rPr>
                      <w:rFonts w:hint="eastAsia" w:ascii="Times New Roman" w:hAnsi="Times New Roman" w:eastAsia="宋体" w:cs="Times New Roman"/>
                      <w:color w:val="auto"/>
                      <w:sz w:val="21"/>
                      <w:szCs w:val="21"/>
                      <w:lang w:val="zh-CN"/>
                    </w:rPr>
                    <w:t>。</w:t>
                  </w:r>
                </w:p>
                <w:p w14:paraId="1BA9188A">
                  <w:pPr>
                    <w:pStyle w:val="52"/>
                    <w:bidi w:val="0"/>
                    <w:ind w:left="-24" w:leftChars="-10" w:right="-24" w:rightChars="-10" w:firstLine="0" w:firstLineChars="0"/>
                    <w:jc w:val="both"/>
                    <w:rPr>
                      <w:rFonts w:hint="eastAsia" w:eastAsia="宋体"/>
                      <w:color w:val="auto"/>
                      <w:sz w:val="21"/>
                      <w:szCs w:val="21"/>
                      <w:lang w:val="en-US" w:eastAsia="zh-CN"/>
                    </w:rPr>
                  </w:pPr>
                  <w:r>
                    <w:rPr>
                      <w:rFonts w:hint="eastAsia" w:ascii="Times New Roman" w:cs="Times New Roman"/>
                      <w:color w:val="000000"/>
                      <w:sz w:val="21"/>
                      <w:szCs w:val="21"/>
                      <w:lang w:val="en-US" w:eastAsia="zh-CN"/>
                    </w:rPr>
                    <w:t>卸料、充装废气：</w:t>
                  </w:r>
                  <w:r>
                    <w:rPr>
                      <w:rFonts w:hint="eastAsia"/>
                      <w:color w:val="000000"/>
                      <w:sz w:val="21"/>
                      <w:szCs w:val="21"/>
                      <w:lang w:val="en-US" w:eastAsia="zh-CN"/>
                    </w:rPr>
                    <w:t>加强通风，</w:t>
                  </w:r>
                  <w:r>
                    <w:rPr>
                      <w:rFonts w:hint="eastAsia" w:cs="Times New Roman"/>
                      <w:color w:val="000000"/>
                      <w:sz w:val="21"/>
                      <w:szCs w:val="21"/>
                      <w:highlight w:val="none"/>
                      <w:u w:val="none" w:color="auto"/>
                      <w:lang w:val="en-US" w:eastAsia="zh-CN"/>
                    </w:rPr>
                    <w:t>企业需</w:t>
                  </w:r>
                  <w:r>
                    <w:rPr>
                      <w:rFonts w:hint="eastAsia"/>
                      <w:sz w:val="21"/>
                      <w:szCs w:val="21"/>
                      <w:lang w:val="en-US" w:eastAsia="zh-CN"/>
                    </w:rPr>
                    <w:t>加强管理巡查，</w:t>
                  </w:r>
                  <w:r>
                    <w:rPr>
                      <w:rFonts w:hint="eastAsia"/>
                      <w:sz w:val="21"/>
                      <w:szCs w:val="21"/>
                    </w:rPr>
                    <w:t>开展泄漏检测</w:t>
                  </w:r>
                  <w:r>
                    <w:rPr>
                      <w:rFonts w:hint="eastAsia"/>
                      <w:sz w:val="21"/>
                      <w:szCs w:val="21"/>
                      <w:lang w:val="en-US" w:eastAsia="zh-CN"/>
                    </w:rPr>
                    <w:t>修复</w:t>
                  </w:r>
                  <w:r>
                    <w:rPr>
                      <w:rFonts w:hint="eastAsia"/>
                      <w:sz w:val="21"/>
                      <w:szCs w:val="21"/>
                    </w:rPr>
                    <w:t>，装卸环节建立气相平衡系统</w:t>
                  </w:r>
                  <w:r>
                    <w:rPr>
                      <w:rFonts w:hint="eastAsia"/>
                      <w:sz w:val="21"/>
                      <w:szCs w:val="21"/>
                      <w:lang w:eastAsia="zh-CN"/>
                    </w:rPr>
                    <w:t>。</w:t>
                  </w:r>
                </w:p>
              </w:tc>
              <w:tc>
                <w:tcPr>
                  <w:tcW w:w="1322" w:type="dxa"/>
                  <w:tcBorders>
                    <w:tl2br w:val="nil"/>
                    <w:tr2bl w:val="nil"/>
                  </w:tcBorders>
                  <w:noWrap w:val="0"/>
                  <w:vAlign w:val="center"/>
                </w:tcPr>
                <w:p w14:paraId="78E5EBF0">
                  <w:pPr>
                    <w:pStyle w:val="49"/>
                    <w:bidi w:val="0"/>
                    <w:rPr>
                      <w:rFonts w:hint="default"/>
                      <w:color w:val="auto"/>
                      <w:sz w:val="21"/>
                      <w:szCs w:val="21"/>
                      <w:lang w:val="en-US" w:eastAsia="zh-CN"/>
                    </w:rPr>
                  </w:pPr>
                  <w:r>
                    <w:rPr>
                      <w:rFonts w:hint="eastAsia" w:ascii="Times New Roman" w:hAnsi="Times New Roman" w:eastAsia="宋体" w:cs="Times New Roman"/>
                      <w:color w:val="auto"/>
                      <w:spacing w:val="0"/>
                      <w:sz w:val="21"/>
                      <w:szCs w:val="21"/>
                      <w:lang w:val="en-US" w:eastAsia="zh-CN"/>
                    </w:rPr>
                    <w:t>20</w:t>
                  </w:r>
                </w:p>
              </w:tc>
            </w:tr>
            <w:tr w14:paraId="758ED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noWrap w:val="0"/>
                  <w:vAlign w:val="center"/>
                </w:tcPr>
                <w:p w14:paraId="4784F723">
                  <w:pPr>
                    <w:pStyle w:val="49"/>
                    <w:bidi w:val="0"/>
                    <w:rPr>
                      <w:rFonts w:hint="eastAsia" w:ascii="Times New Roman" w:hAnsi="Times New Roman" w:eastAsia="宋体" w:cs="Times New Roman"/>
                      <w:color w:val="auto"/>
                      <w:kern w:val="0"/>
                      <w:sz w:val="21"/>
                      <w:szCs w:val="21"/>
                      <w:highlight w:val="none"/>
                      <w:lang w:val="en-US" w:eastAsia="zh-CN" w:bidi="ar-SA"/>
                    </w:rPr>
                  </w:pPr>
                </w:p>
              </w:tc>
              <w:tc>
                <w:tcPr>
                  <w:tcW w:w="5021" w:type="dxa"/>
                  <w:tcBorders>
                    <w:tl2br w:val="nil"/>
                    <w:tr2bl w:val="nil"/>
                  </w:tcBorders>
                  <w:noWrap w:val="0"/>
                  <w:vAlign w:val="center"/>
                </w:tcPr>
                <w:p w14:paraId="01599117">
                  <w:pPr>
                    <w:spacing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cs="Times New Roman"/>
                      <w:color w:val="000000"/>
                      <w:sz w:val="21"/>
                      <w:szCs w:val="21"/>
                      <w:lang w:val="en-US" w:eastAsia="zh-CN"/>
                    </w:rPr>
                    <w:t>食堂油烟：油烟净化器+专用烟管排放。</w:t>
                  </w:r>
                </w:p>
              </w:tc>
              <w:tc>
                <w:tcPr>
                  <w:tcW w:w="1322" w:type="dxa"/>
                  <w:tcBorders>
                    <w:tl2br w:val="nil"/>
                    <w:tr2bl w:val="nil"/>
                  </w:tcBorders>
                  <w:noWrap w:val="0"/>
                  <w:vAlign w:val="center"/>
                </w:tcPr>
                <w:p w14:paraId="12E9F1D4">
                  <w:pPr>
                    <w:pStyle w:val="49"/>
                    <w:bidi w:val="0"/>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2</w:t>
                  </w:r>
                </w:p>
              </w:tc>
            </w:tr>
            <w:tr w14:paraId="183D64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tcBorders>
                    <w:tl2br w:val="nil"/>
                    <w:tr2bl w:val="nil"/>
                  </w:tcBorders>
                  <w:noWrap w:val="0"/>
                  <w:vAlign w:val="center"/>
                </w:tcPr>
                <w:p w14:paraId="4E47208C">
                  <w:pPr>
                    <w:pStyle w:val="49"/>
                    <w:bidi w:val="0"/>
                    <w:rPr>
                      <w:rFonts w:hint="default" w:ascii="Times New Roman" w:hAnsi="Times New Roman" w:eastAsia="宋体" w:cs="Times New Roman"/>
                      <w:color w:val="auto"/>
                      <w:spacing w:val="0"/>
                      <w:sz w:val="21"/>
                      <w:szCs w:val="21"/>
                      <w:lang w:val="en-US" w:eastAsia="zh-CN"/>
                    </w:rPr>
                  </w:pPr>
                  <w:r>
                    <w:rPr>
                      <w:rFonts w:hint="eastAsia"/>
                      <w:color w:val="auto"/>
                      <w:sz w:val="21"/>
                      <w:szCs w:val="21"/>
                      <w:lang w:val="en-US" w:eastAsia="zh-CN"/>
                    </w:rPr>
                    <w:t>废水治理</w:t>
                  </w:r>
                </w:p>
              </w:tc>
              <w:tc>
                <w:tcPr>
                  <w:tcW w:w="5021" w:type="dxa"/>
                  <w:tcBorders>
                    <w:tl2br w:val="nil"/>
                    <w:tr2bl w:val="nil"/>
                  </w:tcBorders>
                  <w:noWrap w:val="0"/>
                  <w:vAlign w:val="center"/>
                </w:tcPr>
                <w:p w14:paraId="26B8561E">
                  <w:pPr>
                    <w:spacing w:line="240" w:lineRule="auto"/>
                    <w:ind w:left="0" w:leftChars="0" w:firstLine="0" w:firstLineChars="0"/>
                    <w:jc w:val="both"/>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000000"/>
                      <w:spacing w:val="0"/>
                      <w:kern w:val="2"/>
                      <w:position w:val="0"/>
                      <w:sz w:val="21"/>
                      <w:szCs w:val="21"/>
                      <w:lang w:val="en-US" w:eastAsia="zh-CN" w:bidi="ar-SA"/>
                    </w:rPr>
                    <w:t>1座化粪池（容积：8m</w:t>
                  </w:r>
                  <w:r>
                    <w:rPr>
                      <w:rFonts w:hint="eastAsia" w:ascii="Times New Roman" w:hAnsi="Times New Roman" w:eastAsia="宋体" w:cs="Times New Roman"/>
                      <w:color w:val="000000"/>
                      <w:spacing w:val="0"/>
                      <w:kern w:val="2"/>
                      <w:position w:val="0"/>
                      <w:sz w:val="21"/>
                      <w:szCs w:val="21"/>
                      <w:vertAlign w:val="superscript"/>
                      <w:lang w:val="en-US" w:eastAsia="zh-CN" w:bidi="ar-SA"/>
                    </w:rPr>
                    <w:t>3</w:t>
                  </w:r>
                  <w:r>
                    <w:rPr>
                      <w:rFonts w:hint="eastAsia" w:ascii="Times New Roman" w:hAnsi="Times New Roman" w:eastAsia="宋体" w:cs="Times New Roman"/>
                      <w:color w:val="000000"/>
                      <w:spacing w:val="0"/>
                      <w:kern w:val="2"/>
                      <w:position w:val="0"/>
                      <w:sz w:val="21"/>
                      <w:szCs w:val="21"/>
                      <w:lang w:val="en-US" w:eastAsia="zh-CN" w:bidi="ar-SA"/>
                    </w:rPr>
                    <w:t>）</w:t>
                  </w:r>
                </w:p>
              </w:tc>
              <w:tc>
                <w:tcPr>
                  <w:tcW w:w="1322" w:type="dxa"/>
                  <w:tcBorders>
                    <w:tl2br w:val="nil"/>
                    <w:tr2bl w:val="nil"/>
                  </w:tcBorders>
                  <w:noWrap w:val="0"/>
                  <w:vAlign w:val="center"/>
                </w:tcPr>
                <w:p w14:paraId="13E9470E">
                  <w:pPr>
                    <w:pStyle w:val="49"/>
                    <w:bidi w:val="0"/>
                    <w:rPr>
                      <w:rFonts w:hint="default"/>
                      <w:color w:val="auto"/>
                      <w:sz w:val="21"/>
                      <w:szCs w:val="21"/>
                      <w:lang w:val="en-US" w:eastAsia="zh-CN"/>
                    </w:rPr>
                  </w:pPr>
                  <w:r>
                    <w:rPr>
                      <w:rFonts w:hint="eastAsia"/>
                      <w:color w:val="auto"/>
                      <w:sz w:val="21"/>
                      <w:szCs w:val="21"/>
                      <w:lang w:val="en-US" w:eastAsia="zh-CN"/>
                    </w:rPr>
                    <w:t>4</w:t>
                  </w:r>
                </w:p>
              </w:tc>
            </w:tr>
            <w:tr w14:paraId="30CCE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4" w:type="dxa"/>
                  <w:tcBorders>
                    <w:tl2br w:val="nil"/>
                    <w:tr2bl w:val="nil"/>
                  </w:tcBorders>
                  <w:noWrap w:val="0"/>
                  <w:vAlign w:val="center"/>
                </w:tcPr>
                <w:p w14:paraId="4AA355F6">
                  <w:pPr>
                    <w:pStyle w:val="49"/>
                    <w:bidi w:val="0"/>
                    <w:rPr>
                      <w:rFonts w:hint="eastAsia" w:eastAsia="宋体"/>
                      <w:color w:val="auto"/>
                      <w:sz w:val="21"/>
                      <w:szCs w:val="21"/>
                      <w:lang w:val="en-US" w:eastAsia="zh-CN"/>
                    </w:rPr>
                  </w:pPr>
                  <w:r>
                    <w:rPr>
                      <w:color w:val="auto"/>
                      <w:sz w:val="21"/>
                      <w:szCs w:val="21"/>
                    </w:rPr>
                    <w:t>噪声</w:t>
                  </w:r>
                  <w:r>
                    <w:rPr>
                      <w:rFonts w:hint="eastAsia"/>
                      <w:color w:val="auto"/>
                      <w:sz w:val="21"/>
                      <w:szCs w:val="21"/>
                      <w:lang w:val="en-US" w:eastAsia="zh-CN"/>
                    </w:rPr>
                    <w:t>治理</w:t>
                  </w:r>
                </w:p>
              </w:tc>
              <w:tc>
                <w:tcPr>
                  <w:tcW w:w="5021" w:type="dxa"/>
                  <w:tcBorders>
                    <w:tl2br w:val="nil"/>
                    <w:tr2bl w:val="nil"/>
                  </w:tcBorders>
                  <w:noWrap w:val="0"/>
                  <w:vAlign w:val="center"/>
                </w:tcPr>
                <w:p w14:paraId="56A165B7">
                  <w:pPr>
                    <w:pStyle w:val="49"/>
                    <w:bidi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选用低噪声设备，基础减震，润滑保养，</w:t>
                  </w:r>
                  <w:r>
                    <w:rPr>
                      <w:rFonts w:hint="eastAsia" w:ascii="宋体" w:hAnsi="宋体" w:eastAsia="宋体" w:cs="宋体"/>
                      <w:color w:val="auto"/>
                      <w:kern w:val="0"/>
                      <w:sz w:val="21"/>
                      <w:szCs w:val="21"/>
                      <w:lang w:val="en-US" w:eastAsia="zh-CN" w:bidi="ar"/>
                    </w:rPr>
                    <w:t>管道包扎</w:t>
                  </w:r>
                  <w:r>
                    <w:rPr>
                      <w:rFonts w:hint="eastAsia" w:ascii="宋体" w:hAnsi="宋体" w:cs="宋体"/>
                      <w:color w:val="auto"/>
                      <w:kern w:val="0"/>
                      <w:sz w:val="21"/>
                      <w:szCs w:val="21"/>
                      <w:lang w:val="en-US" w:eastAsia="zh-CN" w:bidi="ar"/>
                    </w:rPr>
                    <w:t>隔声</w:t>
                  </w:r>
                  <w:r>
                    <w:rPr>
                      <w:rFonts w:hint="eastAsia" w:ascii="宋体" w:hAnsi="宋体" w:eastAsia="宋体" w:cs="宋体"/>
                      <w:color w:val="auto"/>
                      <w:kern w:val="0"/>
                      <w:sz w:val="21"/>
                      <w:szCs w:val="21"/>
                      <w:lang w:val="en-US" w:eastAsia="zh-CN" w:bidi="ar"/>
                    </w:rPr>
                    <w:t>材料，</w:t>
                  </w:r>
                  <w:r>
                    <w:rPr>
                      <w:rFonts w:hint="eastAsia" w:ascii="Times New Roman"/>
                      <w:color w:val="auto"/>
                      <w:sz w:val="21"/>
                      <w:szCs w:val="21"/>
                      <w:lang w:val="en-US" w:eastAsia="zh-CN"/>
                    </w:rPr>
                    <w:t>加大管道弯曲半径，以降低气流噪声，</w:t>
                  </w:r>
                  <w:r>
                    <w:rPr>
                      <w:rFonts w:hint="eastAsia" w:ascii="宋体" w:hAnsi="宋体" w:eastAsia="宋体" w:cs="宋体"/>
                      <w:color w:val="auto"/>
                      <w:kern w:val="0"/>
                      <w:sz w:val="21"/>
                      <w:szCs w:val="21"/>
                      <w:lang w:val="en-US" w:eastAsia="zh-CN" w:bidi="ar"/>
                    </w:rPr>
                    <w:t>放空口设消声器。</w:t>
                  </w:r>
                  <w:r>
                    <w:rPr>
                      <w:rFonts w:hint="eastAsia" w:ascii="Times New Roman" w:hAnsi="Times New Roman" w:eastAsia="宋体" w:cs="Times New Roman"/>
                      <w:color w:val="auto"/>
                      <w:kern w:val="0"/>
                      <w:sz w:val="21"/>
                      <w:szCs w:val="21"/>
                      <w:lang w:val="en-US" w:eastAsia="zh-CN" w:bidi="ar"/>
                    </w:rPr>
                    <w:t>设双层夹芯板材墙体隔声间，内衬多孔吸声材料，</w:t>
                  </w:r>
                  <w:r>
                    <w:rPr>
                      <w:rFonts w:hint="eastAsia" w:ascii="Times New Roman" w:hAnsi="Times New Roman" w:eastAsia="宋体" w:cs="Times New Roman"/>
                      <w:color w:val="auto"/>
                      <w:sz w:val="21"/>
                      <w:szCs w:val="21"/>
                      <w:lang w:val="en-US" w:eastAsia="zh-CN"/>
                    </w:rPr>
                    <w:t>产噪设施维护。</w:t>
                  </w:r>
                </w:p>
              </w:tc>
              <w:tc>
                <w:tcPr>
                  <w:tcW w:w="1322" w:type="dxa"/>
                  <w:tcBorders>
                    <w:tl2br w:val="nil"/>
                    <w:tr2bl w:val="nil"/>
                  </w:tcBorders>
                  <w:noWrap w:val="0"/>
                  <w:vAlign w:val="center"/>
                </w:tcPr>
                <w:p w14:paraId="16A33719">
                  <w:pPr>
                    <w:pStyle w:val="49"/>
                    <w:bidi w:val="0"/>
                    <w:rPr>
                      <w:rFonts w:hint="default"/>
                      <w:color w:val="auto"/>
                      <w:sz w:val="21"/>
                      <w:szCs w:val="21"/>
                      <w:lang w:val="en-US" w:eastAsia="zh-CN"/>
                    </w:rPr>
                  </w:pPr>
                  <w:r>
                    <w:rPr>
                      <w:rFonts w:hint="eastAsia"/>
                      <w:color w:val="auto"/>
                      <w:sz w:val="21"/>
                      <w:szCs w:val="21"/>
                      <w:lang w:val="en-US" w:eastAsia="zh-CN"/>
                    </w:rPr>
                    <w:t>20</w:t>
                  </w:r>
                </w:p>
              </w:tc>
            </w:tr>
            <w:tr w14:paraId="7831D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restart"/>
                  <w:tcBorders>
                    <w:tl2br w:val="nil"/>
                    <w:tr2bl w:val="nil"/>
                  </w:tcBorders>
                  <w:noWrap w:val="0"/>
                  <w:vAlign w:val="center"/>
                </w:tcPr>
                <w:p w14:paraId="4014D24D">
                  <w:pPr>
                    <w:pStyle w:val="49"/>
                    <w:bidi w:val="0"/>
                    <w:rPr>
                      <w:rFonts w:hint="default" w:eastAsia="宋体"/>
                      <w:color w:val="auto"/>
                      <w:sz w:val="21"/>
                      <w:szCs w:val="21"/>
                      <w:lang w:val="en-US" w:eastAsia="zh-CN"/>
                    </w:rPr>
                  </w:pPr>
                  <w:r>
                    <w:rPr>
                      <w:rFonts w:hint="eastAsia"/>
                      <w:color w:val="auto"/>
                      <w:sz w:val="21"/>
                      <w:szCs w:val="21"/>
                      <w:lang w:val="en-US" w:eastAsia="zh-CN"/>
                    </w:rPr>
                    <w:t>固废治理</w:t>
                  </w:r>
                </w:p>
              </w:tc>
              <w:tc>
                <w:tcPr>
                  <w:tcW w:w="5021" w:type="dxa"/>
                  <w:tcBorders>
                    <w:tl2br w:val="nil"/>
                    <w:tr2bl w:val="nil"/>
                  </w:tcBorders>
                  <w:noWrap w:val="0"/>
                  <w:vAlign w:val="center"/>
                </w:tcPr>
                <w:p w14:paraId="287BFF7F">
                  <w:pPr>
                    <w:pStyle w:val="49"/>
                    <w:bidi w:val="0"/>
                    <w:rPr>
                      <w:rFonts w:hint="default" w:ascii="Times New Roman" w:hAnsi="Times New Roman" w:eastAsia="宋体" w:cs="Times New Roman"/>
                      <w:color w:val="auto"/>
                      <w:kern w:val="0"/>
                      <w:sz w:val="21"/>
                      <w:szCs w:val="21"/>
                      <w:lang w:val="en-US" w:eastAsia="zh-CN" w:bidi="ar"/>
                    </w:rPr>
                  </w:pPr>
                  <w:r>
                    <w:rPr>
                      <w:rFonts w:hint="eastAsia" w:cs="Times New Roman"/>
                      <w:color w:val="auto"/>
                      <w:sz w:val="21"/>
                      <w:szCs w:val="21"/>
                      <w:lang w:val="en-US" w:eastAsia="zh-CN"/>
                    </w:rPr>
                    <w:t>空气分类装置产生的废旧滤筒废吸附剂（分子筛和氧化铝）废珠光砂、气体充装产生的废钢瓶收集暂存于一般固废暂存区，</w:t>
                  </w:r>
                  <w:r>
                    <w:rPr>
                      <w:rFonts w:hint="eastAsia" w:ascii="Times New Roman" w:hAnsi="宋体" w:eastAsia="宋体" w:cs="Times New Roman"/>
                      <w:color w:val="auto"/>
                      <w:kern w:val="0"/>
                      <w:sz w:val="21"/>
                      <w:szCs w:val="21"/>
                      <w:lang w:val="en-US" w:eastAsia="zh-CN" w:bidi="ar-SA"/>
                    </w:rPr>
                    <w:t>定期送至当地有资质的钢瓶检验站进行检验、报废</w:t>
                  </w:r>
                  <w:r>
                    <w:rPr>
                      <w:rFonts w:hint="eastAsia" w:cs="Times New Roman"/>
                      <w:color w:val="auto"/>
                      <w:sz w:val="21"/>
                      <w:szCs w:val="21"/>
                      <w:lang w:val="en-US" w:eastAsia="zh-CN"/>
                    </w:rPr>
                    <w:t>。</w:t>
                  </w:r>
                </w:p>
              </w:tc>
              <w:tc>
                <w:tcPr>
                  <w:tcW w:w="1322" w:type="dxa"/>
                  <w:tcBorders>
                    <w:tl2br w:val="nil"/>
                    <w:tr2bl w:val="nil"/>
                  </w:tcBorders>
                  <w:noWrap w:val="0"/>
                  <w:vAlign w:val="center"/>
                </w:tcPr>
                <w:p w14:paraId="17BE8942">
                  <w:pPr>
                    <w:pStyle w:val="49"/>
                    <w:bidi w:val="0"/>
                    <w:rPr>
                      <w:rFonts w:hint="default"/>
                      <w:color w:val="auto"/>
                      <w:sz w:val="21"/>
                      <w:szCs w:val="21"/>
                      <w:lang w:val="en-US" w:eastAsia="zh-CN"/>
                    </w:rPr>
                  </w:pPr>
                  <w:r>
                    <w:rPr>
                      <w:rFonts w:hint="eastAsia"/>
                      <w:color w:val="auto"/>
                      <w:sz w:val="21"/>
                      <w:szCs w:val="21"/>
                      <w:lang w:val="en-US" w:eastAsia="zh-CN"/>
                    </w:rPr>
                    <w:t>1</w:t>
                  </w:r>
                </w:p>
              </w:tc>
            </w:tr>
            <w:tr w14:paraId="6A4C18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vMerge w:val="continue"/>
                  <w:tcBorders>
                    <w:tl2br w:val="nil"/>
                    <w:tr2bl w:val="nil"/>
                  </w:tcBorders>
                  <w:noWrap w:val="0"/>
                  <w:vAlign w:val="center"/>
                </w:tcPr>
                <w:p w14:paraId="045CE817">
                  <w:pPr>
                    <w:pStyle w:val="49"/>
                    <w:bidi w:val="0"/>
                    <w:rPr>
                      <w:rFonts w:hint="eastAsia"/>
                      <w:color w:val="auto"/>
                      <w:sz w:val="21"/>
                      <w:szCs w:val="21"/>
                      <w:lang w:val="en-US" w:eastAsia="zh-CN"/>
                    </w:rPr>
                  </w:pPr>
                </w:p>
              </w:tc>
              <w:tc>
                <w:tcPr>
                  <w:tcW w:w="5021" w:type="dxa"/>
                  <w:tcBorders>
                    <w:tl2br w:val="nil"/>
                    <w:tr2bl w:val="nil"/>
                  </w:tcBorders>
                  <w:noWrap w:val="0"/>
                  <w:vAlign w:val="center"/>
                </w:tcPr>
                <w:p w14:paraId="7791AE78">
                  <w:pPr>
                    <w:pStyle w:val="49"/>
                    <w:bidi w:val="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丙烷及液化石油气充装产生的液化石油气残液收集至残液储罐暂存，定期委托液化石油气供应单位进行回收处理。报废乙炔及液化石油气钢瓶</w:t>
                  </w:r>
                  <w:r>
                    <w:rPr>
                      <w:rFonts w:hint="eastAsia" w:ascii="Times New Roman" w:hAnsi="宋体" w:eastAsia="宋体" w:cs="Times New Roman"/>
                      <w:color w:val="auto"/>
                      <w:kern w:val="0"/>
                      <w:sz w:val="21"/>
                      <w:szCs w:val="21"/>
                      <w:lang w:val="en-US" w:eastAsia="zh-CN" w:bidi="ar-SA"/>
                    </w:rPr>
                    <w:t>统一收集暂存于</w:t>
                  </w:r>
                  <w:r>
                    <w:rPr>
                      <w:rFonts w:hint="eastAsia" w:hAnsi="宋体" w:cs="Times New Roman"/>
                      <w:color w:val="auto"/>
                      <w:kern w:val="0"/>
                      <w:sz w:val="21"/>
                      <w:szCs w:val="21"/>
                      <w:lang w:val="en-US" w:eastAsia="zh-CN" w:bidi="ar-SA"/>
                    </w:rPr>
                    <w:t>危废贮存库，</w:t>
                  </w:r>
                  <w:r>
                    <w:rPr>
                      <w:rFonts w:hint="eastAsia" w:ascii="Times New Roman" w:hAnsi="宋体" w:eastAsia="宋体" w:cs="Times New Roman"/>
                      <w:color w:val="auto"/>
                      <w:kern w:val="0"/>
                      <w:sz w:val="21"/>
                      <w:szCs w:val="21"/>
                      <w:lang w:val="en-US" w:eastAsia="zh-CN" w:bidi="ar-SA"/>
                    </w:rPr>
                    <w:t>定期送至当地有资质的钢瓶检验站进行检验、报废</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设备维护保养产生的废润滑油、含油抹布、手套和废油桶分类收集于危废贮存库暂存，定期交由有资质单位处置。</w:t>
                  </w:r>
                </w:p>
              </w:tc>
              <w:tc>
                <w:tcPr>
                  <w:tcW w:w="1322" w:type="dxa"/>
                  <w:tcBorders>
                    <w:tl2br w:val="nil"/>
                    <w:tr2bl w:val="nil"/>
                  </w:tcBorders>
                  <w:noWrap w:val="0"/>
                  <w:vAlign w:val="center"/>
                </w:tcPr>
                <w:p w14:paraId="6AE1EFC8">
                  <w:pPr>
                    <w:pStyle w:val="49"/>
                    <w:bidi w:val="0"/>
                    <w:rPr>
                      <w:rFonts w:hint="default"/>
                      <w:color w:val="auto"/>
                      <w:sz w:val="21"/>
                      <w:szCs w:val="21"/>
                      <w:lang w:val="en-US" w:eastAsia="zh-CN"/>
                    </w:rPr>
                  </w:pPr>
                  <w:r>
                    <w:rPr>
                      <w:rFonts w:hint="eastAsia"/>
                      <w:color w:val="auto"/>
                      <w:sz w:val="21"/>
                      <w:szCs w:val="21"/>
                      <w:lang w:val="en-US" w:eastAsia="zh-CN"/>
                    </w:rPr>
                    <w:t>6</w:t>
                  </w:r>
                </w:p>
              </w:tc>
            </w:tr>
            <w:tr w14:paraId="5C62E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144" w:type="dxa"/>
                  <w:vMerge w:val="continue"/>
                  <w:tcBorders>
                    <w:tl2br w:val="nil"/>
                    <w:tr2bl w:val="nil"/>
                  </w:tcBorders>
                  <w:noWrap w:val="0"/>
                  <w:vAlign w:val="center"/>
                </w:tcPr>
                <w:p w14:paraId="42AED330">
                  <w:pPr>
                    <w:pStyle w:val="49"/>
                    <w:bidi w:val="0"/>
                    <w:rPr>
                      <w:rFonts w:hint="eastAsia"/>
                      <w:color w:val="auto"/>
                      <w:sz w:val="21"/>
                      <w:szCs w:val="21"/>
                      <w:lang w:val="en-US" w:eastAsia="zh-CN"/>
                    </w:rPr>
                  </w:pPr>
                </w:p>
              </w:tc>
              <w:tc>
                <w:tcPr>
                  <w:tcW w:w="5021" w:type="dxa"/>
                  <w:tcBorders>
                    <w:tl2br w:val="nil"/>
                    <w:tr2bl w:val="nil"/>
                  </w:tcBorders>
                  <w:noWrap w:val="0"/>
                  <w:vAlign w:val="center"/>
                </w:tcPr>
                <w:p w14:paraId="52AD9544">
                  <w:pPr>
                    <w:pStyle w:val="49"/>
                    <w:bidi w:val="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设置垃圾桶若干，收集生活垃圾，收集后交由环卫部门处置。</w:t>
                  </w:r>
                </w:p>
              </w:tc>
              <w:tc>
                <w:tcPr>
                  <w:tcW w:w="1322" w:type="dxa"/>
                  <w:tcBorders>
                    <w:tl2br w:val="nil"/>
                    <w:tr2bl w:val="nil"/>
                  </w:tcBorders>
                  <w:noWrap w:val="0"/>
                  <w:vAlign w:val="center"/>
                </w:tcPr>
                <w:p w14:paraId="5A0364F0">
                  <w:pPr>
                    <w:pStyle w:val="49"/>
                    <w:bidi w:val="0"/>
                    <w:rPr>
                      <w:rFonts w:hint="default"/>
                      <w:color w:val="auto"/>
                      <w:sz w:val="21"/>
                      <w:szCs w:val="21"/>
                      <w:lang w:val="en-US" w:eastAsia="zh-CN"/>
                    </w:rPr>
                  </w:pPr>
                  <w:r>
                    <w:rPr>
                      <w:rFonts w:hint="eastAsia"/>
                      <w:color w:val="auto"/>
                      <w:sz w:val="21"/>
                      <w:szCs w:val="21"/>
                      <w:lang w:val="en-US" w:eastAsia="zh-CN"/>
                    </w:rPr>
                    <w:t>1</w:t>
                  </w:r>
                </w:p>
              </w:tc>
            </w:tr>
            <w:tr w14:paraId="11222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tcBorders>
                    <w:tl2br w:val="nil"/>
                    <w:tr2bl w:val="nil"/>
                  </w:tcBorders>
                  <w:noWrap w:val="0"/>
                  <w:vAlign w:val="center"/>
                </w:tcPr>
                <w:p w14:paraId="5BE7B55D">
                  <w:pPr>
                    <w:pStyle w:val="49"/>
                    <w:bidi w:val="0"/>
                    <w:rPr>
                      <w:rFonts w:hint="eastAsia"/>
                      <w:color w:val="auto"/>
                      <w:sz w:val="21"/>
                      <w:szCs w:val="21"/>
                      <w:lang w:val="en-US" w:eastAsia="zh-CN"/>
                    </w:rPr>
                  </w:pPr>
                  <w:r>
                    <w:rPr>
                      <w:rFonts w:hint="eastAsia"/>
                      <w:color w:val="auto"/>
                      <w:sz w:val="21"/>
                      <w:szCs w:val="21"/>
                      <w:lang w:val="en-US" w:eastAsia="zh-CN"/>
                    </w:rPr>
                    <w:t>地下水、土壤</w:t>
                  </w:r>
                </w:p>
              </w:tc>
              <w:tc>
                <w:tcPr>
                  <w:tcW w:w="5021" w:type="dxa"/>
                  <w:tcBorders>
                    <w:tl2br w:val="nil"/>
                    <w:tr2bl w:val="nil"/>
                  </w:tcBorders>
                  <w:noWrap w:val="0"/>
                  <w:vAlign w:val="center"/>
                </w:tcPr>
                <w:p w14:paraId="16C7D1A9">
                  <w:pPr>
                    <w:pStyle w:val="49"/>
                    <w:bidi w:val="0"/>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①危废暂存间地面采用坚固、防渗、耐腐蚀的钢筋混凝土材料铺设，同时设置托盘或围堰。②工作人员应加强场地的检修、加固，防止渗漏，对地下水、土壤造成污染。③采取分区防渗技术，将危废暂存间、灌瓶间、储罐区划分为重点防渗区；化粪池、事故池等划分为一般防渗区；厂区道路、办公区等划分为简单防渗区。</w:t>
                  </w:r>
                </w:p>
              </w:tc>
              <w:tc>
                <w:tcPr>
                  <w:tcW w:w="1322" w:type="dxa"/>
                  <w:tcBorders>
                    <w:tl2br w:val="nil"/>
                    <w:tr2bl w:val="nil"/>
                  </w:tcBorders>
                  <w:noWrap w:val="0"/>
                  <w:vAlign w:val="center"/>
                </w:tcPr>
                <w:p w14:paraId="2C4B8E7E">
                  <w:pPr>
                    <w:pStyle w:val="49"/>
                    <w:bidi w:val="0"/>
                    <w:rPr>
                      <w:rFonts w:hint="default"/>
                      <w:color w:val="auto"/>
                      <w:sz w:val="21"/>
                      <w:szCs w:val="21"/>
                      <w:lang w:val="en-US" w:eastAsia="zh-CN"/>
                    </w:rPr>
                  </w:pPr>
                  <w:r>
                    <w:rPr>
                      <w:rFonts w:hint="eastAsia"/>
                      <w:color w:val="auto"/>
                      <w:sz w:val="21"/>
                      <w:szCs w:val="21"/>
                      <w:lang w:val="en-US" w:eastAsia="zh-CN"/>
                    </w:rPr>
                    <w:t>25</w:t>
                  </w:r>
                </w:p>
              </w:tc>
            </w:tr>
            <w:tr w14:paraId="1A75E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tcBorders>
                    <w:tl2br w:val="nil"/>
                    <w:tr2bl w:val="nil"/>
                  </w:tcBorders>
                  <w:noWrap w:val="0"/>
                  <w:vAlign w:val="center"/>
                </w:tcPr>
                <w:p w14:paraId="1E321DDC">
                  <w:pPr>
                    <w:pStyle w:val="49"/>
                    <w:bidi w:val="0"/>
                    <w:rPr>
                      <w:rFonts w:hint="default"/>
                      <w:b w:val="0"/>
                      <w:bCs w:val="0"/>
                      <w:color w:val="auto"/>
                      <w:sz w:val="21"/>
                      <w:szCs w:val="21"/>
                      <w:lang w:val="en-US" w:eastAsia="zh-CN"/>
                    </w:rPr>
                  </w:pPr>
                  <w:r>
                    <w:rPr>
                      <w:rFonts w:hint="eastAsia"/>
                      <w:b w:val="0"/>
                      <w:bCs w:val="0"/>
                      <w:color w:val="auto"/>
                      <w:sz w:val="21"/>
                      <w:szCs w:val="21"/>
                      <w:lang w:val="en-US" w:eastAsia="zh-CN"/>
                    </w:rPr>
                    <w:t>风险防范措施</w:t>
                  </w:r>
                </w:p>
              </w:tc>
              <w:tc>
                <w:tcPr>
                  <w:tcW w:w="5021" w:type="dxa"/>
                  <w:tcBorders>
                    <w:tl2br w:val="nil"/>
                    <w:tr2bl w:val="nil"/>
                  </w:tcBorders>
                  <w:noWrap w:val="0"/>
                  <w:vAlign w:val="center"/>
                </w:tcPr>
                <w:p w14:paraId="216599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b w:val="0"/>
                      <w:bCs w:val="0"/>
                      <w:color w:val="auto"/>
                      <w:sz w:val="21"/>
                      <w:szCs w:val="21"/>
                      <w:highlight w:val="none"/>
                      <w:lang w:val="en-US" w:eastAsia="zh-CN"/>
                    </w:rPr>
                    <w:t>厂内罐区与相邻建筑物的防火距离、安全防护距离应满足《建筑设计防火规范》、《液化石油气供应工程设计规范》（</w:t>
                  </w:r>
                  <w:r>
                    <w:rPr>
                      <w:rFonts w:hint="eastAsia"/>
                      <w:b w:val="0"/>
                      <w:bCs w:val="0"/>
                      <w:color w:val="auto"/>
                      <w:sz w:val="21"/>
                      <w:szCs w:val="21"/>
                      <w:highlight w:val="none"/>
                      <w:lang w:val="en-US" w:eastAsia="zh-CN"/>
                    </w:rPr>
                    <w:t>GB51142-2015</w:t>
                  </w:r>
                  <w:r>
                    <w:rPr>
                      <w:rFonts w:hint="eastAsia" w:ascii="Times New Roman" w:hAnsi="Times New Roman"/>
                      <w:b w:val="0"/>
                      <w:bCs w:val="0"/>
                      <w:color w:val="auto"/>
                      <w:sz w:val="21"/>
                      <w:szCs w:val="21"/>
                      <w:highlight w:val="none"/>
                      <w:lang w:val="en-US" w:eastAsia="zh-CN"/>
                    </w:rPr>
                    <w:t>）等设计规范的要求。装置区内设有消防道路及人行道，便于车辆通行、人员急救疏散和消防。</w:t>
                  </w:r>
                  <w:r>
                    <w:rPr>
                      <w:rFonts w:hint="eastAsia" w:ascii="Times New Roman" w:hAnsi="Times New Roman"/>
                      <w:b w:val="0"/>
                      <w:bCs w:val="0"/>
                      <w:color w:val="auto"/>
                      <w:sz w:val="21"/>
                      <w:szCs w:val="21"/>
                      <w:highlight w:val="none"/>
                      <w:lang w:eastAsia="zh-CN"/>
                    </w:rPr>
                    <w:t>设事故应急池，</w:t>
                  </w:r>
                  <w:r>
                    <w:rPr>
                      <w:rFonts w:hint="eastAsia" w:ascii="Times New Roman" w:hAnsi="Times New Roman"/>
                      <w:b w:val="0"/>
                      <w:bCs w:val="0"/>
                      <w:color w:val="auto"/>
                      <w:sz w:val="21"/>
                      <w:szCs w:val="21"/>
                      <w:highlight w:val="none"/>
                      <w:lang w:val="en-US" w:eastAsia="zh-CN"/>
                    </w:rPr>
                    <w:t>紧急切断阀、</w:t>
                  </w:r>
                  <w:r>
                    <w:rPr>
                      <w:rFonts w:hint="eastAsia" w:ascii="Times New Roman" w:hAnsi="Times New Roman"/>
                      <w:b w:val="0"/>
                      <w:bCs w:val="0"/>
                      <w:color w:val="auto"/>
                      <w:sz w:val="21"/>
                      <w:szCs w:val="21"/>
                      <w:highlight w:val="none"/>
                      <w:lang w:eastAsia="zh-CN"/>
                    </w:rPr>
                    <w:t>可燃气体报警器</w:t>
                  </w:r>
                  <w:r>
                    <w:rPr>
                      <w:rFonts w:hint="eastAsia" w:ascii="Times New Roman" w:hAnsi="Times New Roman"/>
                      <w:b w:val="0"/>
                      <w:bCs w:val="0"/>
                      <w:color w:val="auto"/>
                      <w:sz w:val="21"/>
                      <w:szCs w:val="21"/>
                      <w:highlight w:val="none"/>
                      <w:lang w:val="en-US" w:eastAsia="zh-CN"/>
                    </w:rPr>
                    <w:t>报警系统和视频监控系统</w:t>
                  </w:r>
                  <w:r>
                    <w:rPr>
                      <w:rFonts w:hint="eastAsia" w:ascii="Times New Roman" w:hAnsi="Times New Roman"/>
                      <w:b w:val="0"/>
                      <w:bCs w:val="0"/>
                      <w:color w:val="auto"/>
                      <w:sz w:val="21"/>
                      <w:szCs w:val="21"/>
                      <w:highlight w:val="none"/>
                      <w:lang w:eastAsia="zh-CN"/>
                    </w:rPr>
                    <w:t>等风险防范措施；</w:t>
                  </w:r>
                  <w:r>
                    <w:rPr>
                      <w:rFonts w:hint="eastAsia" w:ascii="Times New Roman" w:hAnsi="Times New Roman"/>
                      <w:b w:val="0"/>
                      <w:bCs w:val="0"/>
                      <w:color w:val="auto"/>
                      <w:sz w:val="21"/>
                      <w:szCs w:val="21"/>
                      <w:highlight w:val="none"/>
                      <w:lang w:val="en-US" w:eastAsia="zh-CN"/>
                    </w:rPr>
                    <w:t>按照《企业事业单位突发环境事件应急预案备案管理办法（试行）》规定，应制定《突发环境事件应急预案》的编制和备案要求，并定期对员工进行培训及演练。加强员工日常风险防护宣传和管理。</w:t>
                  </w:r>
                  <w:r>
                    <w:rPr>
                      <w:rFonts w:hint="eastAsia" w:ascii="宋体" w:hAnsi="宋体" w:cs="宋体"/>
                      <w:b w:val="0"/>
                      <w:bCs w:val="0"/>
                      <w:color w:val="auto"/>
                      <w:sz w:val="21"/>
                      <w:szCs w:val="21"/>
                    </w:rPr>
                    <w:t>配套灭火器材，分馏塔、液体储槽、氧气管道等设置防雷设施和防静电接地保护</w:t>
                  </w:r>
                  <w:r>
                    <w:rPr>
                      <w:rFonts w:hint="eastAsia" w:ascii="宋体" w:hAnsi="宋体" w:cs="宋体"/>
                      <w:b w:val="0"/>
                      <w:bCs w:val="0"/>
                      <w:color w:val="auto"/>
                      <w:sz w:val="21"/>
                      <w:szCs w:val="21"/>
                      <w:lang w:eastAsia="zh-CN"/>
                    </w:rPr>
                    <w:t>。</w:t>
                  </w:r>
                </w:p>
              </w:tc>
              <w:tc>
                <w:tcPr>
                  <w:tcW w:w="1322" w:type="dxa"/>
                  <w:tcBorders>
                    <w:tl2br w:val="nil"/>
                    <w:tr2bl w:val="nil"/>
                  </w:tcBorders>
                  <w:noWrap w:val="0"/>
                  <w:vAlign w:val="center"/>
                </w:tcPr>
                <w:p w14:paraId="3ED382E7">
                  <w:pPr>
                    <w:pStyle w:val="49"/>
                    <w:bidi w:val="0"/>
                    <w:rPr>
                      <w:rFonts w:hint="default"/>
                      <w:color w:val="auto"/>
                      <w:sz w:val="21"/>
                      <w:szCs w:val="21"/>
                      <w:lang w:val="en-US" w:eastAsia="zh-CN"/>
                    </w:rPr>
                  </w:pPr>
                  <w:r>
                    <w:rPr>
                      <w:rFonts w:hint="eastAsia"/>
                      <w:color w:val="auto"/>
                      <w:sz w:val="21"/>
                      <w:szCs w:val="21"/>
                      <w:lang w:val="en-US" w:eastAsia="zh-CN"/>
                    </w:rPr>
                    <w:t>180</w:t>
                  </w:r>
                </w:p>
              </w:tc>
            </w:tr>
            <w:tr w14:paraId="5E991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4" w:type="dxa"/>
                  <w:tcBorders>
                    <w:tl2br w:val="nil"/>
                    <w:tr2bl w:val="nil"/>
                  </w:tcBorders>
                  <w:noWrap w:val="0"/>
                  <w:vAlign w:val="center"/>
                </w:tcPr>
                <w:p w14:paraId="167FCE01">
                  <w:pPr>
                    <w:pStyle w:val="49"/>
                    <w:bidi w:val="0"/>
                    <w:rPr>
                      <w:rFonts w:hint="default"/>
                      <w:b w:val="0"/>
                      <w:bCs w:val="0"/>
                      <w:color w:val="auto"/>
                      <w:sz w:val="21"/>
                      <w:szCs w:val="21"/>
                      <w:lang w:val="en-US" w:eastAsia="zh-CN"/>
                    </w:rPr>
                  </w:pPr>
                  <w:r>
                    <w:rPr>
                      <w:rFonts w:hint="eastAsia"/>
                      <w:b w:val="0"/>
                      <w:bCs w:val="0"/>
                      <w:color w:val="auto"/>
                      <w:sz w:val="21"/>
                      <w:szCs w:val="21"/>
                      <w:lang w:val="en-US" w:eastAsia="zh-CN"/>
                    </w:rPr>
                    <w:t>例行监测</w:t>
                  </w:r>
                </w:p>
              </w:tc>
              <w:tc>
                <w:tcPr>
                  <w:tcW w:w="5021" w:type="dxa"/>
                  <w:tcBorders>
                    <w:tl2br w:val="nil"/>
                    <w:tr2bl w:val="nil"/>
                  </w:tcBorders>
                  <w:noWrap w:val="0"/>
                  <w:vAlign w:val="center"/>
                </w:tcPr>
                <w:p w14:paraId="72C569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Times New Roman" w:hAnsi="Times New Roman"/>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按照环评报告中提出的监测计划进行监测，并保留好监测报告。监测委托有资质的检（监）测机构代其开展自行监测的，对检（监）测机构的资质进行确认。</w:t>
                  </w:r>
                </w:p>
              </w:tc>
              <w:tc>
                <w:tcPr>
                  <w:tcW w:w="1322" w:type="dxa"/>
                  <w:tcBorders>
                    <w:tl2br w:val="nil"/>
                    <w:tr2bl w:val="nil"/>
                  </w:tcBorders>
                  <w:noWrap w:val="0"/>
                  <w:vAlign w:val="center"/>
                </w:tcPr>
                <w:p w14:paraId="539D1152">
                  <w:pPr>
                    <w:pStyle w:val="49"/>
                    <w:bidi w:val="0"/>
                    <w:rPr>
                      <w:rFonts w:hint="default"/>
                      <w:color w:val="auto"/>
                      <w:sz w:val="21"/>
                      <w:szCs w:val="21"/>
                      <w:lang w:val="en-US" w:eastAsia="zh-CN"/>
                    </w:rPr>
                  </w:pPr>
                  <w:r>
                    <w:rPr>
                      <w:rFonts w:hint="eastAsia"/>
                      <w:color w:val="auto"/>
                      <w:sz w:val="21"/>
                      <w:szCs w:val="21"/>
                      <w:lang w:val="en-US" w:eastAsia="zh-CN"/>
                    </w:rPr>
                    <w:t>5</w:t>
                  </w:r>
                </w:p>
              </w:tc>
            </w:tr>
            <w:tr w14:paraId="62E487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65" w:type="dxa"/>
                  <w:gridSpan w:val="2"/>
                  <w:tcBorders>
                    <w:tl2br w:val="nil"/>
                    <w:tr2bl w:val="nil"/>
                  </w:tcBorders>
                  <w:noWrap w:val="0"/>
                  <w:vAlign w:val="center"/>
                </w:tcPr>
                <w:p w14:paraId="2D05FFF3">
                  <w:pPr>
                    <w:pStyle w:val="49"/>
                    <w:bidi w:val="0"/>
                    <w:rPr>
                      <w:rFonts w:hint="default"/>
                      <w:color w:val="auto"/>
                      <w:sz w:val="21"/>
                      <w:szCs w:val="21"/>
                      <w:lang w:val="en-US" w:eastAsia="zh-CN"/>
                    </w:rPr>
                  </w:pPr>
                  <w:r>
                    <w:rPr>
                      <w:color w:val="auto"/>
                      <w:sz w:val="21"/>
                      <w:szCs w:val="21"/>
                    </w:rPr>
                    <w:t>合计</w:t>
                  </w:r>
                </w:p>
              </w:tc>
              <w:tc>
                <w:tcPr>
                  <w:tcW w:w="1322" w:type="dxa"/>
                  <w:tcBorders>
                    <w:tl2br w:val="nil"/>
                    <w:tr2bl w:val="nil"/>
                  </w:tcBorders>
                  <w:noWrap w:val="0"/>
                  <w:vAlign w:val="center"/>
                </w:tcPr>
                <w:p w14:paraId="173F6C0C">
                  <w:pPr>
                    <w:pStyle w:val="49"/>
                    <w:bidi w:val="0"/>
                    <w:rPr>
                      <w:rFonts w:hint="default"/>
                      <w:color w:val="auto"/>
                      <w:sz w:val="21"/>
                      <w:szCs w:val="21"/>
                      <w:lang w:val="en-US" w:eastAsia="zh-CN"/>
                    </w:rPr>
                  </w:pPr>
                  <w:r>
                    <w:rPr>
                      <w:rFonts w:hint="eastAsia"/>
                      <w:color w:val="auto"/>
                      <w:sz w:val="21"/>
                      <w:szCs w:val="21"/>
                      <w:lang w:val="en-US" w:eastAsia="zh-CN"/>
                    </w:rPr>
                    <w:t>264</w:t>
                  </w:r>
                </w:p>
              </w:tc>
            </w:tr>
          </w:tbl>
          <w:p w14:paraId="0B81F763">
            <w:pPr>
              <w:pStyle w:val="24"/>
              <w:rPr>
                <w:rFonts w:hint="default"/>
                <w:lang w:val="en-US" w:eastAsia="zh-CN"/>
              </w:rPr>
            </w:pPr>
          </w:p>
          <w:p w14:paraId="56F9D5D3">
            <w:pPr>
              <w:pStyle w:val="29"/>
              <w:rPr>
                <w:rFonts w:hint="default"/>
                <w:color w:val="auto"/>
                <w:lang w:val="en-US" w:eastAsia="zh-CN"/>
              </w:rPr>
            </w:pPr>
          </w:p>
          <w:p w14:paraId="0D273B12">
            <w:pPr>
              <w:rPr>
                <w:rFonts w:hint="default"/>
                <w:color w:val="auto"/>
                <w:lang w:val="en-US" w:eastAsia="zh-CN"/>
              </w:rPr>
            </w:pPr>
          </w:p>
          <w:p w14:paraId="0F24B77E">
            <w:pPr>
              <w:pStyle w:val="29"/>
              <w:rPr>
                <w:rFonts w:hint="default"/>
                <w:color w:val="auto"/>
                <w:lang w:val="en-US" w:eastAsia="zh-CN"/>
              </w:rPr>
            </w:pPr>
          </w:p>
          <w:p w14:paraId="1DE23F76">
            <w:pPr>
              <w:rPr>
                <w:rFonts w:hint="default"/>
                <w:lang w:val="en-US" w:eastAsia="zh-CN"/>
              </w:rPr>
            </w:pPr>
          </w:p>
          <w:p w14:paraId="4C335EF4">
            <w:pPr>
              <w:rPr>
                <w:rFonts w:hint="default"/>
                <w:lang w:val="en-US" w:eastAsia="zh-CN"/>
              </w:rPr>
            </w:pPr>
          </w:p>
          <w:p w14:paraId="4C2DFE05">
            <w:pPr>
              <w:rPr>
                <w:rFonts w:hint="default"/>
                <w:lang w:val="en-US" w:eastAsia="zh-CN"/>
              </w:rPr>
            </w:pPr>
          </w:p>
          <w:p w14:paraId="650D80B8">
            <w:pPr>
              <w:rPr>
                <w:rFonts w:hint="default"/>
                <w:color w:val="auto"/>
                <w:lang w:val="en-US" w:eastAsia="zh-CN"/>
              </w:rPr>
            </w:pPr>
          </w:p>
        </w:tc>
      </w:tr>
    </w:tbl>
    <w:p w14:paraId="2EFD983C">
      <w:pPr>
        <w:pStyle w:val="26"/>
        <w:spacing w:line="240" w:lineRule="auto"/>
        <w:jc w:val="center"/>
        <w:outlineLvl w:val="0"/>
        <w:rPr>
          <w:rFonts w:hint="default" w:ascii="Times New Roman" w:hAnsi="Times New Roman" w:eastAsia="宋体" w:cs="Times New Roman"/>
          <w:b w:val="0"/>
          <w:bCs w:val="0"/>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30" w:name="_Toc16508"/>
      <w:r>
        <w:rPr>
          <w:rFonts w:hint="default" w:ascii="Times New Roman" w:hAnsi="Times New Roman" w:eastAsia="黑体" w:cs="Times New Roman"/>
          <w:snapToGrid w:val="0"/>
          <w:color w:val="auto"/>
          <w:sz w:val="30"/>
          <w:szCs w:val="30"/>
          <w:highlight w:val="none"/>
        </w:rPr>
        <w:t>六、结论</w:t>
      </w:r>
      <w:bookmarkEnd w:id="30"/>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3C9AE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8" w:type="dxa"/>
            <w:noWrap w:val="0"/>
            <w:vAlign w:val="top"/>
          </w:tcPr>
          <w:p w14:paraId="3A987E8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rPr>
              <w:t>从</w:t>
            </w:r>
            <w:r>
              <w:rPr>
                <w:rFonts w:hint="eastAsia" w:cs="Times New Roman"/>
                <w:color w:val="auto"/>
                <w:sz w:val="24"/>
                <w:lang w:val="en-US" w:eastAsia="zh-CN"/>
              </w:rPr>
              <w:t>环境影响</w:t>
            </w:r>
            <w:r>
              <w:rPr>
                <w:rFonts w:hint="default" w:ascii="Times New Roman" w:hAnsi="Times New Roman" w:eastAsia="宋体" w:cs="Times New Roman"/>
                <w:color w:val="auto"/>
                <w:sz w:val="24"/>
              </w:rPr>
              <w:t>的角度分析，本项目的建设</w:t>
            </w:r>
            <w:r>
              <w:rPr>
                <w:rFonts w:hint="eastAsia" w:ascii="Times New Roman" w:hAnsi="Times New Roman" w:eastAsia="宋体" w:cs="Times New Roman"/>
                <w:color w:val="auto"/>
                <w:sz w:val="24"/>
                <w:lang w:val="en-US" w:eastAsia="zh-CN"/>
              </w:rPr>
              <w:t>环境影响</w:t>
            </w:r>
            <w:r>
              <w:rPr>
                <w:rFonts w:hint="default" w:ascii="Times New Roman" w:hAnsi="Times New Roman" w:eastAsia="宋体" w:cs="Times New Roman"/>
                <w:color w:val="auto"/>
                <w:sz w:val="24"/>
              </w:rPr>
              <w:t>是可行的。</w:t>
            </w:r>
          </w:p>
          <w:p w14:paraId="4CDAFD33">
            <w:pPr>
              <w:spacing w:line="360" w:lineRule="auto"/>
              <w:jc w:val="both"/>
              <w:rPr>
                <w:rFonts w:hint="default" w:ascii="Times New Roman" w:hAnsi="Times New Roman" w:eastAsia="宋体" w:cs="Times New Roman"/>
                <w:color w:val="auto"/>
                <w:highlight w:val="none"/>
              </w:rPr>
            </w:pPr>
          </w:p>
          <w:p w14:paraId="2C6F33FC">
            <w:pPr>
              <w:pStyle w:val="15"/>
              <w:rPr>
                <w:rFonts w:hint="default" w:ascii="Times New Roman" w:hAnsi="Times New Roman" w:eastAsia="宋体" w:cs="Times New Roman"/>
                <w:color w:val="auto"/>
                <w:sz w:val="24"/>
                <w:highlight w:val="none"/>
              </w:rPr>
            </w:pPr>
          </w:p>
          <w:p w14:paraId="79F50EDA">
            <w:pPr>
              <w:pStyle w:val="15"/>
              <w:rPr>
                <w:rFonts w:hint="default" w:ascii="Times New Roman" w:hAnsi="Times New Roman" w:eastAsia="宋体" w:cs="Times New Roman"/>
                <w:color w:val="auto"/>
                <w:sz w:val="24"/>
                <w:highlight w:val="none"/>
              </w:rPr>
            </w:pPr>
          </w:p>
          <w:p w14:paraId="05B8A116">
            <w:pPr>
              <w:pStyle w:val="15"/>
              <w:rPr>
                <w:rFonts w:hint="default" w:ascii="Times New Roman" w:hAnsi="Times New Roman" w:eastAsia="宋体" w:cs="Times New Roman"/>
                <w:color w:val="auto"/>
                <w:sz w:val="24"/>
                <w:highlight w:val="none"/>
              </w:rPr>
            </w:pPr>
          </w:p>
          <w:p w14:paraId="08318FF0">
            <w:pPr>
              <w:pStyle w:val="15"/>
              <w:rPr>
                <w:rFonts w:hint="default" w:ascii="Times New Roman" w:hAnsi="Times New Roman" w:eastAsia="宋体" w:cs="Times New Roman"/>
                <w:color w:val="auto"/>
                <w:sz w:val="24"/>
                <w:highlight w:val="none"/>
              </w:rPr>
            </w:pPr>
          </w:p>
          <w:p w14:paraId="1FDB1C90">
            <w:pPr>
              <w:pStyle w:val="15"/>
              <w:rPr>
                <w:rFonts w:hint="default" w:ascii="Times New Roman" w:hAnsi="Times New Roman" w:eastAsia="宋体" w:cs="Times New Roman"/>
                <w:color w:val="auto"/>
                <w:sz w:val="24"/>
                <w:highlight w:val="none"/>
              </w:rPr>
            </w:pPr>
          </w:p>
          <w:p w14:paraId="431C5901">
            <w:pPr>
              <w:pStyle w:val="15"/>
              <w:rPr>
                <w:rFonts w:hint="default" w:ascii="Times New Roman" w:hAnsi="Times New Roman" w:eastAsia="宋体" w:cs="Times New Roman"/>
                <w:color w:val="auto"/>
                <w:sz w:val="24"/>
                <w:highlight w:val="none"/>
              </w:rPr>
            </w:pPr>
          </w:p>
          <w:p w14:paraId="7D3A3F2A">
            <w:pPr>
              <w:pStyle w:val="15"/>
              <w:rPr>
                <w:rFonts w:hint="default" w:ascii="Times New Roman" w:hAnsi="Times New Roman" w:eastAsia="宋体" w:cs="Times New Roman"/>
                <w:color w:val="auto"/>
                <w:sz w:val="24"/>
                <w:highlight w:val="none"/>
              </w:rPr>
            </w:pPr>
          </w:p>
          <w:p w14:paraId="0D1E01DA">
            <w:pPr>
              <w:pStyle w:val="15"/>
              <w:rPr>
                <w:rFonts w:hint="default" w:ascii="Times New Roman" w:hAnsi="Times New Roman" w:eastAsia="宋体" w:cs="Times New Roman"/>
                <w:color w:val="auto"/>
                <w:sz w:val="24"/>
                <w:highlight w:val="none"/>
              </w:rPr>
            </w:pPr>
          </w:p>
          <w:p w14:paraId="2E05E784">
            <w:pPr>
              <w:pStyle w:val="15"/>
              <w:rPr>
                <w:rFonts w:hint="default" w:ascii="Times New Roman" w:hAnsi="Times New Roman" w:eastAsia="宋体" w:cs="Times New Roman"/>
                <w:color w:val="auto"/>
                <w:sz w:val="24"/>
                <w:highlight w:val="none"/>
              </w:rPr>
            </w:pPr>
          </w:p>
          <w:p w14:paraId="7D772FD0">
            <w:pPr>
              <w:pStyle w:val="15"/>
              <w:rPr>
                <w:rFonts w:hint="default" w:ascii="Times New Roman" w:hAnsi="Times New Roman" w:eastAsia="宋体" w:cs="Times New Roman"/>
                <w:color w:val="auto"/>
                <w:sz w:val="24"/>
                <w:highlight w:val="none"/>
              </w:rPr>
            </w:pPr>
          </w:p>
          <w:p w14:paraId="547FE358">
            <w:pPr>
              <w:pStyle w:val="15"/>
              <w:rPr>
                <w:rFonts w:hint="default" w:ascii="Times New Roman" w:hAnsi="Times New Roman" w:eastAsia="宋体" w:cs="Times New Roman"/>
                <w:color w:val="auto"/>
                <w:sz w:val="24"/>
                <w:highlight w:val="none"/>
              </w:rPr>
            </w:pPr>
          </w:p>
          <w:p w14:paraId="18A367EE">
            <w:pPr>
              <w:pStyle w:val="15"/>
              <w:rPr>
                <w:rFonts w:hint="default" w:ascii="Times New Roman" w:hAnsi="Times New Roman" w:eastAsia="宋体" w:cs="Times New Roman"/>
                <w:color w:val="auto"/>
                <w:sz w:val="24"/>
                <w:highlight w:val="none"/>
              </w:rPr>
            </w:pPr>
          </w:p>
          <w:p w14:paraId="5D0C4ED2">
            <w:pPr>
              <w:pStyle w:val="15"/>
              <w:rPr>
                <w:rFonts w:hint="default" w:ascii="Times New Roman" w:hAnsi="Times New Roman" w:eastAsia="宋体" w:cs="Times New Roman"/>
                <w:color w:val="auto"/>
                <w:sz w:val="24"/>
                <w:highlight w:val="none"/>
              </w:rPr>
            </w:pPr>
          </w:p>
          <w:p w14:paraId="0F130942">
            <w:pPr>
              <w:pStyle w:val="15"/>
              <w:rPr>
                <w:rFonts w:hint="default" w:ascii="Times New Roman" w:hAnsi="Times New Roman" w:eastAsia="宋体" w:cs="Times New Roman"/>
                <w:color w:val="auto"/>
                <w:sz w:val="24"/>
                <w:highlight w:val="none"/>
              </w:rPr>
            </w:pPr>
          </w:p>
          <w:p w14:paraId="17EC7702">
            <w:pPr>
              <w:pStyle w:val="15"/>
              <w:rPr>
                <w:rFonts w:hint="default" w:ascii="Times New Roman" w:hAnsi="Times New Roman" w:eastAsia="宋体" w:cs="Times New Roman"/>
                <w:color w:val="auto"/>
                <w:sz w:val="24"/>
                <w:highlight w:val="none"/>
              </w:rPr>
            </w:pPr>
          </w:p>
          <w:p w14:paraId="1AD82ED2">
            <w:pPr>
              <w:pStyle w:val="15"/>
              <w:rPr>
                <w:rFonts w:hint="default" w:ascii="Times New Roman" w:hAnsi="Times New Roman" w:eastAsia="宋体" w:cs="Times New Roman"/>
                <w:color w:val="auto"/>
                <w:sz w:val="24"/>
                <w:highlight w:val="none"/>
              </w:rPr>
            </w:pPr>
          </w:p>
          <w:p w14:paraId="236E56BC">
            <w:pPr>
              <w:pStyle w:val="15"/>
              <w:rPr>
                <w:rFonts w:hint="default" w:ascii="Times New Roman" w:hAnsi="Times New Roman" w:eastAsia="宋体" w:cs="Times New Roman"/>
                <w:color w:val="auto"/>
                <w:sz w:val="24"/>
                <w:highlight w:val="none"/>
              </w:rPr>
            </w:pPr>
          </w:p>
          <w:p w14:paraId="7392C830">
            <w:pPr>
              <w:pStyle w:val="15"/>
              <w:rPr>
                <w:rFonts w:hint="default" w:ascii="Times New Roman" w:hAnsi="Times New Roman" w:eastAsia="宋体" w:cs="Times New Roman"/>
                <w:color w:val="auto"/>
                <w:sz w:val="24"/>
                <w:highlight w:val="none"/>
              </w:rPr>
            </w:pPr>
          </w:p>
          <w:p w14:paraId="6CCE3C33">
            <w:pPr>
              <w:pStyle w:val="15"/>
              <w:rPr>
                <w:rFonts w:hint="default" w:ascii="Times New Roman" w:hAnsi="Times New Roman" w:eastAsia="宋体" w:cs="Times New Roman"/>
                <w:color w:val="auto"/>
                <w:sz w:val="24"/>
                <w:highlight w:val="none"/>
              </w:rPr>
            </w:pPr>
          </w:p>
          <w:p w14:paraId="45F1B620">
            <w:pPr>
              <w:pStyle w:val="15"/>
              <w:rPr>
                <w:rFonts w:hint="default" w:ascii="Times New Roman" w:hAnsi="Times New Roman" w:eastAsia="宋体" w:cs="Times New Roman"/>
                <w:color w:val="auto"/>
                <w:sz w:val="24"/>
                <w:highlight w:val="none"/>
              </w:rPr>
            </w:pPr>
          </w:p>
          <w:p w14:paraId="1C1D8524">
            <w:pPr>
              <w:pStyle w:val="15"/>
              <w:rPr>
                <w:rFonts w:hint="default" w:ascii="Times New Roman" w:hAnsi="Times New Roman" w:eastAsia="宋体" w:cs="Times New Roman"/>
                <w:color w:val="auto"/>
                <w:sz w:val="24"/>
                <w:highlight w:val="none"/>
              </w:rPr>
            </w:pPr>
          </w:p>
          <w:p w14:paraId="6BE15029">
            <w:pPr>
              <w:pStyle w:val="15"/>
              <w:rPr>
                <w:rFonts w:hint="default" w:ascii="Times New Roman" w:hAnsi="Times New Roman" w:eastAsia="宋体" w:cs="Times New Roman"/>
                <w:color w:val="auto"/>
                <w:sz w:val="24"/>
                <w:highlight w:val="none"/>
              </w:rPr>
            </w:pPr>
          </w:p>
          <w:p w14:paraId="2B048F20">
            <w:pPr>
              <w:pStyle w:val="15"/>
              <w:rPr>
                <w:rFonts w:hint="default" w:ascii="Times New Roman" w:hAnsi="Times New Roman" w:eastAsia="宋体" w:cs="Times New Roman"/>
                <w:color w:val="auto"/>
                <w:sz w:val="24"/>
                <w:highlight w:val="none"/>
              </w:rPr>
            </w:pPr>
          </w:p>
          <w:p w14:paraId="3E9661A7">
            <w:pPr>
              <w:pStyle w:val="15"/>
              <w:rPr>
                <w:rFonts w:hint="default" w:ascii="Times New Roman" w:hAnsi="Times New Roman" w:eastAsia="宋体" w:cs="Times New Roman"/>
                <w:color w:val="auto"/>
                <w:sz w:val="24"/>
                <w:highlight w:val="none"/>
              </w:rPr>
            </w:pPr>
          </w:p>
          <w:p w14:paraId="187EA522">
            <w:pPr>
              <w:pStyle w:val="15"/>
              <w:rPr>
                <w:rFonts w:hint="default" w:ascii="Times New Roman" w:hAnsi="Times New Roman" w:eastAsia="宋体" w:cs="Times New Roman"/>
                <w:color w:val="auto"/>
                <w:sz w:val="24"/>
                <w:highlight w:val="none"/>
              </w:rPr>
            </w:pPr>
          </w:p>
        </w:tc>
      </w:tr>
    </w:tbl>
    <w:p w14:paraId="64E0D5ED">
      <w:pPr>
        <w:rPr>
          <w:rFonts w:hint="default" w:ascii="Times New Roman" w:hAnsi="Times New Roman" w:eastAsia="宋体" w:cs="Times New Roman"/>
          <w:color w:val="auto"/>
          <w:highlight w:val="none"/>
        </w:rPr>
        <w:sectPr>
          <w:footerReference r:id="rId13" w:type="default"/>
          <w:pgSz w:w="11905" w:h="16838"/>
          <w:pgMar w:top="1247" w:right="1247" w:bottom="1247" w:left="1587"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14:paraId="7ECD866B">
      <w:pPr>
        <w:pStyle w:val="26"/>
        <w:adjustRightInd w:val="0"/>
        <w:snapToGrid w:val="0"/>
        <w:spacing w:before="0" w:beforeAutospacing="0" w:after="0" w:afterAutospacing="0" w:line="240" w:lineRule="auto"/>
        <w:outlineLvl w:val="0"/>
        <w:rPr>
          <w:rFonts w:hint="default" w:ascii="Times New Roman" w:hAnsi="Times New Roman" w:eastAsia="黑体" w:cs="Times New Roman"/>
          <w:snapToGrid w:val="0"/>
          <w:color w:val="auto"/>
          <w:sz w:val="32"/>
          <w:szCs w:val="32"/>
          <w:highlight w:val="none"/>
        </w:rPr>
      </w:pPr>
      <w:bookmarkStart w:id="31" w:name="_Toc17061"/>
      <w:r>
        <w:rPr>
          <w:rFonts w:hint="default" w:ascii="Times New Roman" w:hAnsi="Times New Roman" w:eastAsia="黑体" w:cs="Times New Roman"/>
          <w:snapToGrid w:val="0"/>
          <w:color w:val="auto"/>
          <w:sz w:val="32"/>
          <w:szCs w:val="32"/>
          <w:highlight w:val="none"/>
        </w:rPr>
        <w:t>附表</w:t>
      </w:r>
      <w:bookmarkEnd w:id="31"/>
    </w:p>
    <w:p w14:paraId="19EC14F1">
      <w:pPr>
        <w:pStyle w:val="26"/>
        <w:adjustRightInd w:val="0"/>
        <w:snapToGrid w:val="0"/>
        <w:spacing w:before="0" w:beforeAutospacing="0" w:after="0" w:afterAutospacing="0" w:line="240" w:lineRule="auto"/>
        <w:jc w:val="center"/>
        <w:outlineLvl w:val="0"/>
        <w:rPr>
          <w:rFonts w:hint="default" w:ascii="Times New Roman" w:hAnsi="Times New Roman" w:eastAsia="方正小标宋_GBK" w:cs="Times New Roman"/>
          <w:snapToGrid w:val="0"/>
          <w:color w:val="auto"/>
          <w:sz w:val="38"/>
          <w:szCs w:val="38"/>
          <w:highlight w:val="none"/>
        </w:rPr>
      </w:pPr>
      <w:bookmarkStart w:id="32" w:name="_Toc25596"/>
      <w:bookmarkStart w:id="33" w:name="_Toc17936"/>
      <w:r>
        <w:rPr>
          <w:rFonts w:hint="default" w:ascii="Times New Roman" w:hAnsi="Times New Roman" w:eastAsia="方正小标宋_GBK" w:cs="Times New Roman"/>
          <w:snapToGrid w:val="0"/>
          <w:color w:val="auto"/>
          <w:sz w:val="38"/>
          <w:szCs w:val="38"/>
          <w:highlight w:val="none"/>
        </w:rPr>
        <w:t>建设</w:t>
      </w:r>
      <w:r>
        <w:rPr>
          <w:rFonts w:hint="default" w:ascii="Times New Roman" w:hAnsi="Times New Roman" w:eastAsia="方正小标宋_GBK" w:cs="Times New Roman"/>
          <w:b w:val="0"/>
          <w:bCs w:val="0"/>
          <w:snapToGrid w:val="0"/>
          <w:color w:val="auto"/>
          <w:sz w:val="38"/>
          <w:szCs w:val="38"/>
          <w:highlight w:val="none"/>
        </w:rPr>
        <w:t>项目</w:t>
      </w:r>
      <w:r>
        <w:rPr>
          <w:rFonts w:hint="default" w:ascii="Times New Roman" w:hAnsi="Times New Roman" w:eastAsia="方正小标宋_GBK" w:cs="Times New Roman"/>
          <w:b/>
          <w:bCs/>
          <w:snapToGrid w:val="0"/>
          <w:color w:val="auto"/>
          <w:sz w:val="38"/>
          <w:szCs w:val="38"/>
          <w:highlight w:val="none"/>
        </w:rPr>
        <w:t>污染物排放量汇总</w:t>
      </w:r>
      <w:r>
        <w:rPr>
          <w:rFonts w:hint="default" w:ascii="Times New Roman" w:hAnsi="Times New Roman" w:eastAsia="方正小标宋_GBK" w:cs="Times New Roman"/>
          <w:snapToGrid w:val="0"/>
          <w:color w:val="auto"/>
          <w:sz w:val="38"/>
          <w:szCs w:val="38"/>
          <w:highlight w:val="none"/>
        </w:rPr>
        <w:t>表</w:t>
      </w:r>
      <w:bookmarkEnd w:id="32"/>
      <w:bookmarkEnd w:id="33"/>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732"/>
        <w:gridCol w:w="1600"/>
        <w:gridCol w:w="1230"/>
        <w:gridCol w:w="1756"/>
        <w:gridCol w:w="1540"/>
        <w:gridCol w:w="1758"/>
        <w:gridCol w:w="1796"/>
        <w:gridCol w:w="1257"/>
      </w:tblGrid>
      <w:tr w14:paraId="275B4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tcBorders>
              <w:tl2br w:val="single" w:color="auto" w:sz="4" w:space="0"/>
            </w:tcBorders>
            <w:noWrap w:val="0"/>
            <w:tcMar>
              <w:left w:w="28" w:type="dxa"/>
              <w:right w:w="28" w:type="dxa"/>
            </w:tcMar>
            <w:vAlign w:val="center"/>
          </w:tcPr>
          <w:p w14:paraId="082D2F2D">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jc w:val="right"/>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t>项目</w:t>
            </w:r>
          </w:p>
          <w:p w14:paraId="379BC126">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jc w:val="left"/>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t>分类</w:t>
            </w:r>
          </w:p>
        </w:tc>
        <w:tc>
          <w:tcPr>
            <w:tcW w:w="1732" w:type="dxa"/>
            <w:noWrap w:val="0"/>
            <w:tcMar>
              <w:left w:w="28" w:type="dxa"/>
              <w:right w:w="28" w:type="dxa"/>
            </w:tcMar>
            <w:vAlign w:val="center"/>
          </w:tcPr>
          <w:p w14:paraId="51FCCACA">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t>污染物名称</w:t>
            </w:r>
          </w:p>
        </w:tc>
        <w:tc>
          <w:tcPr>
            <w:tcW w:w="1600" w:type="dxa"/>
            <w:noWrap w:val="0"/>
            <w:tcMar>
              <w:left w:w="28" w:type="dxa"/>
              <w:right w:w="28" w:type="dxa"/>
            </w:tcMar>
            <w:vAlign w:val="center"/>
          </w:tcPr>
          <w:p w14:paraId="7BE17F01">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t>现有工程</w:t>
            </w:r>
          </w:p>
          <w:p w14:paraId="2746D4EE">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t>排放量（固体废物产生量）</w:t>
            </w:r>
            <w:r>
              <w:rPr>
                <w:rFonts w:hint="default" w:ascii="Times New Roman" w:hAnsi="Times New Roman" w:eastAsia="宋体" w:cs="Times New Roman"/>
                <w:b w:val="0"/>
                <w:bCs w:val="0"/>
                <w:snapToGrid w:val="0"/>
                <w:color w:val="auto"/>
                <w:spacing w:val="-6"/>
                <w:kern w:val="21"/>
                <w:sz w:val="24"/>
                <w:szCs w:val="24"/>
                <w:highlight w:val="none"/>
              </w:rPr>
              <w:fldChar w:fldCharType="begin"/>
            </w:r>
            <w:r>
              <w:rPr>
                <w:rFonts w:hint="default" w:ascii="Times New Roman" w:hAnsi="Times New Roman" w:eastAsia="宋体" w:cs="Times New Roman"/>
                <w:b w:val="0"/>
                <w:bCs w:val="0"/>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b w:val="0"/>
                <w:bCs w:val="0"/>
                <w:snapToGrid w:val="0"/>
                <w:color w:val="auto"/>
                <w:spacing w:val="-6"/>
                <w:kern w:val="21"/>
                <w:sz w:val="24"/>
                <w:szCs w:val="24"/>
                <w:highlight w:val="none"/>
              </w:rPr>
              <w:fldChar w:fldCharType="separate"/>
            </w:r>
            <w:r>
              <w:rPr>
                <w:rFonts w:hint="default" w:ascii="Times New Roman" w:hAnsi="Times New Roman" w:eastAsia="宋体" w:cs="Times New Roman"/>
                <w:b w:val="0"/>
                <w:bCs w:val="0"/>
                <w:color w:val="auto"/>
                <w:kern w:val="2"/>
                <w:sz w:val="24"/>
                <w:szCs w:val="24"/>
                <w:highlight w:val="none"/>
              </w:rPr>
              <w:t>①</w:t>
            </w:r>
            <w:r>
              <w:rPr>
                <w:rFonts w:hint="default" w:ascii="Times New Roman" w:hAnsi="Times New Roman" w:eastAsia="宋体" w:cs="Times New Roman"/>
                <w:b w:val="0"/>
                <w:bCs w:val="0"/>
                <w:snapToGrid w:val="0"/>
                <w:color w:val="auto"/>
                <w:spacing w:val="-6"/>
                <w:kern w:val="21"/>
                <w:sz w:val="24"/>
                <w:szCs w:val="24"/>
                <w:highlight w:val="none"/>
              </w:rPr>
              <w:fldChar w:fldCharType="end"/>
            </w:r>
          </w:p>
        </w:tc>
        <w:tc>
          <w:tcPr>
            <w:tcW w:w="1230" w:type="dxa"/>
            <w:noWrap w:val="0"/>
            <w:tcMar>
              <w:left w:w="28" w:type="dxa"/>
              <w:right w:w="28" w:type="dxa"/>
            </w:tcMar>
            <w:vAlign w:val="center"/>
          </w:tcPr>
          <w:p w14:paraId="447CC8AC">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t>现有工程</w:t>
            </w:r>
          </w:p>
          <w:p w14:paraId="520D7D6B">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t>许可排放量</w:t>
            </w:r>
          </w:p>
          <w:p w14:paraId="39888198">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fldChar w:fldCharType="begin"/>
            </w:r>
            <w:r>
              <w:rPr>
                <w:rFonts w:hint="default" w:ascii="Times New Roman" w:hAnsi="Times New Roman" w:eastAsia="宋体" w:cs="Times New Roman"/>
                <w:b w:val="0"/>
                <w:bCs w:val="0"/>
                <w:snapToGrid w:val="0"/>
                <w:color w:val="auto"/>
                <w:spacing w:val="-6"/>
                <w:kern w:val="21"/>
                <w:sz w:val="24"/>
                <w:szCs w:val="24"/>
                <w:highlight w:val="none"/>
              </w:rPr>
              <w:instrText xml:space="preserve"> = 2 \* GB3 \* MERGEFORMAT </w:instrText>
            </w:r>
            <w:r>
              <w:rPr>
                <w:rFonts w:hint="default" w:ascii="Times New Roman" w:hAnsi="Times New Roman" w:eastAsia="宋体" w:cs="Times New Roman"/>
                <w:b w:val="0"/>
                <w:bCs w:val="0"/>
                <w:snapToGrid w:val="0"/>
                <w:color w:val="auto"/>
                <w:spacing w:val="-6"/>
                <w:kern w:val="21"/>
                <w:sz w:val="24"/>
                <w:szCs w:val="24"/>
                <w:highlight w:val="none"/>
              </w:rPr>
              <w:fldChar w:fldCharType="separate"/>
            </w:r>
            <w:r>
              <w:rPr>
                <w:rFonts w:hint="default" w:ascii="Times New Roman" w:hAnsi="Times New Roman" w:eastAsia="宋体" w:cs="Times New Roman"/>
                <w:b w:val="0"/>
                <w:bCs w:val="0"/>
                <w:snapToGrid w:val="0"/>
                <w:color w:val="auto"/>
                <w:spacing w:val="-6"/>
                <w:kern w:val="21"/>
                <w:sz w:val="24"/>
                <w:szCs w:val="24"/>
                <w:highlight w:val="none"/>
              </w:rPr>
              <w:t>②</w:t>
            </w:r>
            <w:r>
              <w:rPr>
                <w:rFonts w:hint="default" w:ascii="Times New Roman" w:hAnsi="Times New Roman" w:eastAsia="宋体" w:cs="Times New Roman"/>
                <w:b w:val="0"/>
                <w:bCs w:val="0"/>
                <w:snapToGrid w:val="0"/>
                <w:color w:val="auto"/>
                <w:spacing w:val="-6"/>
                <w:kern w:val="21"/>
                <w:sz w:val="24"/>
                <w:szCs w:val="24"/>
                <w:highlight w:val="none"/>
              </w:rPr>
              <w:fldChar w:fldCharType="end"/>
            </w:r>
          </w:p>
        </w:tc>
        <w:tc>
          <w:tcPr>
            <w:tcW w:w="1756" w:type="dxa"/>
            <w:noWrap w:val="0"/>
            <w:tcMar>
              <w:left w:w="28" w:type="dxa"/>
              <w:right w:w="28" w:type="dxa"/>
            </w:tcMar>
            <w:vAlign w:val="center"/>
          </w:tcPr>
          <w:p w14:paraId="5675C515">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t>在建工程</w:t>
            </w:r>
          </w:p>
          <w:p w14:paraId="40C4730B">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t>排放量（固体废物产生量）</w:t>
            </w:r>
            <w:r>
              <w:rPr>
                <w:rFonts w:hint="default" w:ascii="Times New Roman" w:hAnsi="Times New Roman" w:eastAsia="宋体" w:cs="Times New Roman"/>
                <w:b w:val="0"/>
                <w:bCs w:val="0"/>
                <w:snapToGrid w:val="0"/>
                <w:color w:val="auto"/>
                <w:spacing w:val="-6"/>
                <w:kern w:val="21"/>
                <w:sz w:val="24"/>
                <w:szCs w:val="24"/>
                <w:highlight w:val="none"/>
              </w:rPr>
              <w:fldChar w:fldCharType="begin"/>
            </w:r>
            <w:r>
              <w:rPr>
                <w:rFonts w:hint="default" w:ascii="Times New Roman" w:hAnsi="Times New Roman" w:eastAsia="宋体" w:cs="Times New Roman"/>
                <w:b w:val="0"/>
                <w:bCs w:val="0"/>
                <w:snapToGrid w:val="0"/>
                <w:color w:val="auto"/>
                <w:spacing w:val="-6"/>
                <w:kern w:val="21"/>
                <w:sz w:val="24"/>
                <w:szCs w:val="24"/>
                <w:highlight w:val="none"/>
              </w:rPr>
              <w:instrText xml:space="preserve"> = 3 \* GB3 \* MERGEFORMAT </w:instrText>
            </w:r>
            <w:r>
              <w:rPr>
                <w:rFonts w:hint="default" w:ascii="Times New Roman" w:hAnsi="Times New Roman" w:eastAsia="宋体" w:cs="Times New Roman"/>
                <w:b w:val="0"/>
                <w:bCs w:val="0"/>
                <w:snapToGrid w:val="0"/>
                <w:color w:val="auto"/>
                <w:spacing w:val="-6"/>
                <w:kern w:val="21"/>
                <w:sz w:val="24"/>
                <w:szCs w:val="24"/>
                <w:highlight w:val="none"/>
              </w:rPr>
              <w:fldChar w:fldCharType="separate"/>
            </w:r>
            <w:r>
              <w:rPr>
                <w:rFonts w:hint="default" w:ascii="Times New Roman" w:hAnsi="Times New Roman" w:eastAsia="宋体" w:cs="Times New Roman"/>
                <w:b w:val="0"/>
                <w:bCs w:val="0"/>
                <w:color w:val="auto"/>
                <w:kern w:val="2"/>
                <w:sz w:val="24"/>
                <w:szCs w:val="24"/>
                <w:highlight w:val="none"/>
              </w:rPr>
              <w:t>③</w:t>
            </w:r>
            <w:r>
              <w:rPr>
                <w:rFonts w:hint="default" w:ascii="Times New Roman" w:hAnsi="Times New Roman" w:eastAsia="宋体" w:cs="Times New Roman"/>
                <w:b w:val="0"/>
                <w:bCs w:val="0"/>
                <w:snapToGrid w:val="0"/>
                <w:color w:val="auto"/>
                <w:spacing w:val="-6"/>
                <w:kern w:val="21"/>
                <w:sz w:val="24"/>
                <w:szCs w:val="24"/>
                <w:highlight w:val="none"/>
              </w:rPr>
              <w:fldChar w:fldCharType="end"/>
            </w:r>
          </w:p>
        </w:tc>
        <w:tc>
          <w:tcPr>
            <w:tcW w:w="1540" w:type="dxa"/>
            <w:noWrap w:val="0"/>
            <w:tcMar>
              <w:left w:w="28" w:type="dxa"/>
              <w:right w:w="28" w:type="dxa"/>
            </w:tcMar>
            <w:vAlign w:val="center"/>
          </w:tcPr>
          <w:p w14:paraId="6B46D4D6">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t>本项目</w:t>
            </w:r>
          </w:p>
          <w:p w14:paraId="3F4985ED">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t>排放量（固体废物产生量）</w:t>
            </w:r>
            <w:r>
              <w:rPr>
                <w:rFonts w:hint="default" w:ascii="Times New Roman" w:hAnsi="Times New Roman" w:eastAsia="宋体" w:cs="Times New Roman"/>
                <w:b w:val="0"/>
                <w:bCs w:val="0"/>
                <w:snapToGrid w:val="0"/>
                <w:color w:val="auto"/>
                <w:spacing w:val="-6"/>
                <w:kern w:val="21"/>
                <w:sz w:val="24"/>
                <w:szCs w:val="24"/>
                <w:highlight w:val="none"/>
              </w:rPr>
              <w:fldChar w:fldCharType="begin"/>
            </w:r>
            <w:r>
              <w:rPr>
                <w:rFonts w:hint="default" w:ascii="Times New Roman" w:hAnsi="Times New Roman" w:eastAsia="宋体" w:cs="Times New Roman"/>
                <w:b w:val="0"/>
                <w:bCs w:val="0"/>
                <w:snapToGrid w:val="0"/>
                <w:color w:val="auto"/>
                <w:spacing w:val="-6"/>
                <w:kern w:val="21"/>
                <w:sz w:val="24"/>
                <w:szCs w:val="24"/>
                <w:highlight w:val="none"/>
              </w:rPr>
              <w:instrText xml:space="preserve"> = 4 \* GB3 \* MERGEFORMAT </w:instrText>
            </w:r>
            <w:r>
              <w:rPr>
                <w:rFonts w:hint="default" w:ascii="Times New Roman" w:hAnsi="Times New Roman" w:eastAsia="宋体" w:cs="Times New Roman"/>
                <w:b w:val="0"/>
                <w:bCs w:val="0"/>
                <w:snapToGrid w:val="0"/>
                <w:color w:val="auto"/>
                <w:spacing w:val="-6"/>
                <w:kern w:val="21"/>
                <w:sz w:val="24"/>
                <w:szCs w:val="24"/>
                <w:highlight w:val="none"/>
              </w:rPr>
              <w:fldChar w:fldCharType="separate"/>
            </w:r>
            <w:r>
              <w:rPr>
                <w:rFonts w:hint="default" w:ascii="Times New Roman" w:hAnsi="Times New Roman" w:eastAsia="宋体" w:cs="Times New Roman"/>
                <w:b w:val="0"/>
                <w:bCs w:val="0"/>
                <w:color w:val="auto"/>
                <w:kern w:val="2"/>
                <w:sz w:val="24"/>
                <w:szCs w:val="24"/>
                <w:highlight w:val="none"/>
              </w:rPr>
              <w:t>④</w:t>
            </w:r>
            <w:r>
              <w:rPr>
                <w:rFonts w:hint="default" w:ascii="Times New Roman" w:hAnsi="Times New Roman" w:eastAsia="宋体" w:cs="Times New Roman"/>
                <w:b w:val="0"/>
                <w:bCs w:val="0"/>
                <w:snapToGrid w:val="0"/>
                <w:color w:val="auto"/>
                <w:spacing w:val="-6"/>
                <w:kern w:val="21"/>
                <w:sz w:val="24"/>
                <w:szCs w:val="24"/>
                <w:highlight w:val="none"/>
              </w:rPr>
              <w:fldChar w:fldCharType="end"/>
            </w:r>
          </w:p>
        </w:tc>
        <w:tc>
          <w:tcPr>
            <w:tcW w:w="1758" w:type="dxa"/>
            <w:noWrap w:val="0"/>
            <w:tcMar>
              <w:left w:w="28" w:type="dxa"/>
              <w:right w:w="28" w:type="dxa"/>
            </w:tcMar>
            <w:vAlign w:val="center"/>
          </w:tcPr>
          <w:p w14:paraId="343E67D5">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16"/>
                <w:kern w:val="21"/>
                <w:sz w:val="24"/>
                <w:szCs w:val="24"/>
                <w:highlight w:val="none"/>
              </w:rPr>
            </w:pPr>
            <w:r>
              <w:rPr>
                <w:rFonts w:hint="default" w:ascii="Times New Roman" w:hAnsi="Times New Roman" w:eastAsia="宋体" w:cs="Times New Roman"/>
                <w:b w:val="0"/>
                <w:bCs w:val="0"/>
                <w:snapToGrid w:val="0"/>
                <w:color w:val="auto"/>
                <w:spacing w:val="-16"/>
                <w:kern w:val="21"/>
                <w:sz w:val="24"/>
                <w:szCs w:val="24"/>
                <w:highlight w:val="none"/>
              </w:rPr>
              <w:t>以新带老削减量</w:t>
            </w:r>
          </w:p>
          <w:p w14:paraId="0ED56D31">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16"/>
                <w:kern w:val="21"/>
                <w:sz w:val="24"/>
                <w:szCs w:val="24"/>
                <w:highlight w:val="none"/>
              </w:rPr>
            </w:pPr>
            <w:r>
              <w:rPr>
                <w:rFonts w:hint="default" w:ascii="Times New Roman" w:hAnsi="Times New Roman" w:eastAsia="宋体" w:cs="Times New Roman"/>
                <w:b w:val="0"/>
                <w:bCs w:val="0"/>
                <w:snapToGrid w:val="0"/>
                <w:color w:val="auto"/>
                <w:spacing w:val="-16"/>
                <w:kern w:val="21"/>
                <w:sz w:val="24"/>
                <w:szCs w:val="24"/>
                <w:highlight w:val="none"/>
              </w:rPr>
              <w:t>（新建项目不填）</w:t>
            </w:r>
            <w:r>
              <w:rPr>
                <w:rFonts w:hint="default" w:ascii="Times New Roman" w:hAnsi="Times New Roman" w:eastAsia="宋体" w:cs="Times New Roman"/>
                <w:b w:val="0"/>
                <w:bCs w:val="0"/>
                <w:snapToGrid w:val="0"/>
                <w:color w:val="auto"/>
                <w:spacing w:val="-16"/>
                <w:kern w:val="21"/>
                <w:sz w:val="24"/>
                <w:szCs w:val="24"/>
                <w:highlight w:val="none"/>
              </w:rPr>
              <w:fldChar w:fldCharType="begin"/>
            </w:r>
            <w:r>
              <w:rPr>
                <w:rFonts w:hint="default" w:ascii="Times New Roman" w:hAnsi="Times New Roman" w:eastAsia="宋体" w:cs="Times New Roman"/>
                <w:b w:val="0"/>
                <w:bCs w:val="0"/>
                <w:snapToGrid w:val="0"/>
                <w:color w:val="auto"/>
                <w:spacing w:val="-16"/>
                <w:kern w:val="21"/>
                <w:sz w:val="24"/>
                <w:szCs w:val="24"/>
                <w:highlight w:val="none"/>
              </w:rPr>
              <w:instrText xml:space="preserve"> = 5 \* GB3 \* MERGEFORMAT </w:instrText>
            </w:r>
            <w:r>
              <w:rPr>
                <w:rFonts w:hint="default" w:ascii="Times New Roman" w:hAnsi="Times New Roman" w:eastAsia="宋体" w:cs="Times New Roman"/>
                <w:b w:val="0"/>
                <w:bCs w:val="0"/>
                <w:snapToGrid w:val="0"/>
                <w:color w:val="auto"/>
                <w:spacing w:val="-16"/>
                <w:kern w:val="21"/>
                <w:sz w:val="24"/>
                <w:szCs w:val="24"/>
                <w:highlight w:val="none"/>
              </w:rPr>
              <w:fldChar w:fldCharType="separate"/>
            </w:r>
            <w:r>
              <w:rPr>
                <w:rFonts w:hint="default" w:ascii="Times New Roman" w:hAnsi="Times New Roman" w:eastAsia="宋体" w:cs="Times New Roman"/>
                <w:b w:val="0"/>
                <w:bCs w:val="0"/>
                <w:color w:val="auto"/>
                <w:kern w:val="2"/>
                <w:sz w:val="24"/>
                <w:szCs w:val="24"/>
                <w:highlight w:val="none"/>
              </w:rPr>
              <w:t>⑤</w:t>
            </w:r>
            <w:r>
              <w:rPr>
                <w:rFonts w:hint="default" w:ascii="Times New Roman" w:hAnsi="Times New Roman" w:eastAsia="宋体" w:cs="Times New Roman"/>
                <w:b w:val="0"/>
                <w:bCs w:val="0"/>
                <w:snapToGrid w:val="0"/>
                <w:color w:val="auto"/>
                <w:spacing w:val="-16"/>
                <w:kern w:val="21"/>
                <w:sz w:val="24"/>
                <w:szCs w:val="24"/>
                <w:highlight w:val="none"/>
              </w:rPr>
              <w:fldChar w:fldCharType="end"/>
            </w:r>
          </w:p>
        </w:tc>
        <w:tc>
          <w:tcPr>
            <w:tcW w:w="1796" w:type="dxa"/>
            <w:noWrap w:val="0"/>
            <w:tcMar>
              <w:left w:w="28" w:type="dxa"/>
              <w:right w:w="28" w:type="dxa"/>
            </w:tcMar>
            <w:vAlign w:val="center"/>
          </w:tcPr>
          <w:p w14:paraId="388C0979">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16"/>
                <w:kern w:val="21"/>
                <w:sz w:val="24"/>
                <w:szCs w:val="24"/>
                <w:highlight w:val="none"/>
              </w:rPr>
            </w:pPr>
            <w:r>
              <w:rPr>
                <w:rFonts w:hint="default" w:ascii="Times New Roman" w:hAnsi="Times New Roman" w:eastAsia="宋体" w:cs="Times New Roman"/>
                <w:b w:val="0"/>
                <w:bCs w:val="0"/>
                <w:snapToGrid w:val="0"/>
                <w:color w:val="auto"/>
                <w:spacing w:val="-16"/>
                <w:kern w:val="21"/>
                <w:sz w:val="24"/>
                <w:szCs w:val="24"/>
                <w:highlight w:val="none"/>
              </w:rPr>
              <w:t>本项目建成后</w:t>
            </w:r>
          </w:p>
          <w:p w14:paraId="37FB4C87">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16"/>
                <w:kern w:val="21"/>
                <w:sz w:val="24"/>
                <w:szCs w:val="24"/>
                <w:highlight w:val="none"/>
              </w:rPr>
            </w:pPr>
            <w:r>
              <w:rPr>
                <w:rFonts w:hint="default" w:ascii="Times New Roman" w:hAnsi="Times New Roman" w:eastAsia="宋体" w:cs="Times New Roman"/>
                <w:b w:val="0"/>
                <w:bCs w:val="0"/>
                <w:snapToGrid w:val="0"/>
                <w:color w:val="auto"/>
                <w:spacing w:val="-16"/>
                <w:kern w:val="21"/>
                <w:sz w:val="24"/>
                <w:szCs w:val="24"/>
                <w:highlight w:val="none"/>
              </w:rPr>
              <w:t>全厂排放量（固体废物产生量）</w:t>
            </w:r>
            <w:r>
              <w:rPr>
                <w:rFonts w:hint="default" w:ascii="Times New Roman" w:hAnsi="Times New Roman" w:eastAsia="宋体" w:cs="Times New Roman"/>
                <w:b w:val="0"/>
                <w:bCs w:val="0"/>
                <w:snapToGrid w:val="0"/>
                <w:color w:val="auto"/>
                <w:spacing w:val="-16"/>
                <w:kern w:val="21"/>
                <w:sz w:val="24"/>
                <w:szCs w:val="24"/>
                <w:highlight w:val="none"/>
              </w:rPr>
              <w:fldChar w:fldCharType="begin"/>
            </w:r>
            <w:r>
              <w:rPr>
                <w:rFonts w:hint="default" w:ascii="Times New Roman" w:hAnsi="Times New Roman" w:eastAsia="宋体" w:cs="Times New Roman"/>
                <w:b w:val="0"/>
                <w:bCs w:val="0"/>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b w:val="0"/>
                <w:bCs w:val="0"/>
                <w:snapToGrid w:val="0"/>
                <w:color w:val="auto"/>
                <w:spacing w:val="-16"/>
                <w:kern w:val="21"/>
                <w:sz w:val="24"/>
                <w:szCs w:val="24"/>
                <w:highlight w:val="none"/>
              </w:rPr>
              <w:fldChar w:fldCharType="separate"/>
            </w:r>
            <w:r>
              <w:rPr>
                <w:rFonts w:hint="default" w:ascii="Times New Roman" w:hAnsi="Times New Roman" w:eastAsia="宋体" w:cs="Times New Roman"/>
                <w:b w:val="0"/>
                <w:bCs w:val="0"/>
                <w:color w:val="auto"/>
                <w:kern w:val="2"/>
                <w:sz w:val="24"/>
                <w:szCs w:val="24"/>
                <w:highlight w:val="none"/>
              </w:rPr>
              <w:t>⑥</w:t>
            </w:r>
            <w:r>
              <w:rPr>
                <w:rFonts w:hint="default" w:ascii="Times New Roman" w:hAnsi="Times New Roman" w:eastAsia="宋体" w:cs="Times New Roman"/>
                <w:b w:val="0"/>
                <w:bCs w:val="0"/>
                <w:snapToGrid w:val="0"/>
                <w:color w:val="auto"/>
                <w:spacing w:val="-16"/>
                <w:kern w:val="21"/>
                <w:sz w:val="24"/>
                <w:szCs w:val="24"/>
                <w:highlight w:val="none"/>
              </w:rPr>
              <w:fldChar w:fldCharType="end"/>
            </w:r>
          </w:p>
        </w:tc>
        <w:tc>
          <w:tcPr>
            <w:tcW w:w="1257" w:type="dxa"/>
            <w:noWrap w:val="0"/>
            <w:tcMar>
              <w:left w:w="28" w:type="dxa"/>
              <w:right w:w="28" w:type="dxa"/>
            </w:tcMar>
            <w:vAlign w:val="center"/>
          </w:tcPr>
          <w:p w14:paraId="517BF245">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t>变化量</w:t>
            </w:r>
          </w:p>
          <w:p w14:paraId="674ED38E">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spacing w:val="-6"/>
                <w:kern w:val="21"/>
                <w:sz w:val="24"/>
                <w:szCs w:val="24"/>
                <w:highlight w:val="none"/>
              </w:rPr>
            </w:pPr>
            <w:r>
              <w:rPr>
                <w:rFonts w:hint="default" w:ascii="Times New Roman" w:hAnsi="Times New Roman" w:eastAsia="宋体" w:cs="Times New Roman"/>
                <w:b w:val="0"/>
                <w:bCs w:val="0"/>
                <w:snapToGrid w:val="0"/>
                <w:color w:val="auto"/>
                <w:spacing w:val="-6"/>
                <w:kern w:val="21"/>
                <w:sz w:val="24"/>
                <w:szCs w:val="24"/>
                <w:highlight w:val="none"/>
              </w:rPr>
              <w:fldChar w:fldCharType="begin"/>
            </w:r>
            <w:r>
              <w:rPr>
                <w:rFonts w:hint="default" w:ascii="Times New Roman" w:hAnsi="Times New Roman" w:eastAsia="宋体" w:cs="Times New Roman"/>
                <w:b w:val="0"/>
                <w:bCs w:val="0"/>
                <w:snapToGrid w:val="0"/>
                <w:color w:val="auto"/>
                <w:spacing w:val="-6"/>
                <w:kern w:val="21"/>
                <w:sz w:val="24"/>
                <w:szCs w:val="24"/>
                <w:highlight w:val="none"/>
              </w:rPr>
              <w:instrText xml:space="preserve"> = 7 \* GB3 \* MERGEFORMAT </w:instrText>
            </w:r>
            <w:r>
              <w:rPr>
                <w:rFonts w:hint="default" w:ascii="Times New Roman" w:hAnsi="Times New Roman" w:eastAsia="宋体" w:cs="Times New Roman"/>
                <w:b w:val="0"/>
                <w:bCs w:val="0"/>
                <w:snapToGrid w:val="0"/>
                <w:color w:val="auto"/>
                <w:spacing w:val="-6"/>
                <w:kern w:val="21"/>
                <w:sz w:val="24"/>
                <w:szCs w:val="24"/>
                <w:highlight w:val="none"/>
              </w:rPr>
              <w:fldChar w:fldCharType="separate"/>
            </w:r>
            <w:r>
              <w:rPr>
                <w:rFonts w:hint="default" w:ascii="Times New Roman" w:hAnsi="Times New Roman" w:eastAsia="宋体" w:cs="Times New Roman"/>
                <w:b w:val="0"/>
                <w:bCs w:val="0"/>
                <w:color w:val="auto"/>
                <w:kern w:val="2"/>
                <w:sz w:val="24"/>
                <w:szCs w:val="24"/>
                <w:highlight w:val="none"/>
              </w:rPr>
              <w:t>⑦</w:t>
            </w:r>
            <w:r>
              <w:rPr>
                <w:rFonts w:hint="default" w:ascii="Times New Roman" w:hAnsi="Times New Roman" w:eastAsia="宋体" w:cs="Times New Roman"/>
                <w:b w:val="0"/>
                <w:bCs w:val="0"/>
                <w:snapToGrid w:val="0"/>
                <w:color w:val="auto"/>
                <w:spacing w:val="-6"/>
                <w:kern w:val="21"/>
                <w:sz w:val="24"/>
                <w:szCs w:val="24"/>
                <w:highlight w:val="none"/>
              </w:rPr>
              <w:fldChar w:fldCharType="end"/>
            </w:r>
          </w:p>
        </w:tc>
      </w:tr>
      <w:tr w14:paraId="3A878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noWrap w:val="0"/>
            <w:vAlign w:val="center"/>
          </w:tcPr>
          <w:p w14:paraId="4E6AFB44">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4"/>
                <w:szCs w:val="24"/>
                <w:highlight w:val="none"/>
              </w:rPr>
            </w:pPr>
            <w:r>
              <w:rPr>
                <w:rFonts w:hint="default" w:ascii="Times New Roman" w:hAnsi="Times New Roman" w:eastAsia="宋体" w:cs="Times New Roman"/>
                <w:b w:val="0"/>
                <w:bCs w:val="0"/>
                <w:snapToGrid w:val="0"/>
                <w:color w:val="auto"/>
                <w:kern w:val="21"/>
                <w:sz w:val="24"/>
                <w:szCs w:val="24"/>
                <w:highlight w:val="none"/>
              </w:rPr>
              <w:t>废气</w:t>
            </w:r>
          </w:p>
        </w:tc>
        <w:tc>
          <w:tcPr>
            <w:tcW w:w="1732" w:type="dxa"/>
            <w:noWrap w:val="0"/>
            <w:vAlign w:val="center"/>
          </w:tcPr>
          <w:p w14:paraId="21181FEA">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cs="Times New Roman"/>
                <w:b w:val="0"/>
                <w:bCs w:val="0"/>
                <w:snapToGrid w:val="0"/>
                <w:color w:val="auto"/>
                <w:kern w:val="21"/>
                <w:sz w:val="24"/>
                <w:szCs w:val="24"/>
                <w:highlight w:val="none"/>
                <w:lang w:val="en-US" w:eastAsia="zh-CN" w:bidi="ar-SA"/>
              </w:rPr>
              <w:t>非甲烷总烃</w:t>
            </w:r>
          </w:p>
        </w:tc>
        <w:tc>
          <w:tcPr>
            <w:tcW w:w="1600" w:type="dxa"/>
            <w:noWrap w:val="0"/>
            <w:vAlign w:val="center"/>
          </w:tcPr>
          <w:p w14:paraId="65156689">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230" w:type="dxa"/>
            <w:noWrap w:val="0"/>
            <w:vAlign w:val="center"/>
          </w:tcPr>
          <w:p w14:paraId="4A2AF0E7">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56" w:type="dxa"/>
            <w:noWrap w:val="0"/>
            <w:vAlign w:val="center"/>
          </w:tcPr>
          <w:p w14:paraId="7D7BD6E9">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540" w:type="dxa"/>
            <w:noWrap w:val="0"/>
            <w:vAlign w:val="center"/>
          </w:tcPr>
          <w:p w14:paraId="27F7ECC0">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cs="Times New Roman"/>
                <w:b w:val="0"/>
                <w:bCs w:val="0"/>
                <w:snapToGrid w:val="0"/>
                <w:color w:val="auto"/>
                <w:kern w:val="21"/>
                <w:sz w:val="24"/>
                <w:szCs w:val="24"/>
                <w:highlight w:val="none"/>
                <w:lang w:val="en-US" w:eastAsia="zh-CN" w:bidi="ar-SA"/>
              </w:rPr>
              <w:t>0.5628</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758" w:type="dxa"/>
            <w:noWrap w:val="0"/>
            <w:vAlign w:val="center"/>
          </w:tcPr>
          <w:p w14:paraId="4049F498">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96" w:type="dxa"/>
            <w:noWrap w:val="0"/>
            <w:vAlign w:val="center"/>
          </w:tcPr>
          <w:p w14:paraId="236D70A7">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cs="Times New Roman"/>
                <w:b w:val="0"/>
                <w:bCs w:val="0"/>
                <w:snapToGrid w:val="0"/>
                <w:color w:val="auto"/>
                <w:kern w:val="21"/>
                <w:sz w:val="24"/>
                <w:szCs w:val="24"/>
                <w:highlight w:val="none"/>
                <w:lang w:val="en-US" w:eastAsia="zh-CN" w:bidi="ar-SA"/>
              </w:rPr>
              <w:t>0.5628</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257" w:type="dxa"/>
            <w:noWrap w:val="0"/>
            <w:vAlign w:val="center"/>
          </w:tcPr>
          <w:p w14:paraId="6EA5EDFB">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r>
      <w:tr w14:paraId="49AF48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vMerge w:val="restart"/>
            <w:noWrap w:val="0"/>
            <w:vAlign w:val="center"/>
          </w:tcPr>
          <w:p w14:paraId="4CB2CD13">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4"/>
                <w:szCs w:val="24"/>
                <w:highlight w:val="none"/>
              </w:rPr>
            </w:pPr>
            <w:r>
              <w:rPr>
                <w:rFonts w:hint="default" w:ascii="Times New Roman" w:hAnsi="Times New Roman" w:eastAsia="宋体" w:cs="Times New Roman"/>
                <w:b w:val="0"/>
                <w:bCs w:val="0"/>
                <w:snapToGrid w:val="0"/>
                <w:color w:val="auto"/>
                <w:kern w:val="21"/>
                <w:sz w:val="24"/>
                <w:szCs w:val="24"/>
                <w:highlight w:val="none"/>
              </w:rPr>
              <w:t>废水</w:t>
            </w:r>
          </w:p>
        </w:tc>
        <w:tc>
          <w:tcPr>
            <w:tcW w:w="1732" w:type="dxa"/>
            <w:noWrap w:val="0"/>
            <w:vAlign w:val="center"/>
          </w:tcPr>
          <w:p w14:paraId="050D2C8F">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COD</w:t>
            </w:r>
          </w:p>
        </w:tc>
        <w:tc>
          <w:tcPr>
            <w:tcW w:w="1600" w:type="dxa"/>
            <w:noWrap w:val="0"/>
            <w:vAlign w:val="center"/>
          </w:tcPr>
          <w:p w14:paraId="79B06969">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230" w:type="dxa"/>
            <w:noWrap w:val="0"/>
            <w:vAlign w:val="center"/>
          </w:tcPr>
          <w:p w14:paraId="01A6FD06">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56" w:type="dxa"/>
            <w:noWrap w:val="0"/>
            <w:vAlign w:val="center"/>
          </w:tcPr>
          <w:p w14:paraId="07BE08A6">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540" w:type="dxa"/>
            <w:noWrap w:val="0"/>
            <w:vAlign w:val="center"/>
          </w:tcPr>
          <w:p w14:paraId="3B53468E">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cs="Times New Roman"/>
                <w:b w:val="0"/>
                <w:bCs w:val="0"/>
                <w:snapToGrid w:val="0"/>
                <w:color w:val="auto"/>
                <w:kern w:val="21"/>
                <w:sz w:val="24"/>
                <w:szCs w:val="24"/>
                <w:highlight w:val="none"/>
                <w:lang w:val="en-US" w:eastAsia="zh-CN" w:bidi="ar-SA"/>
              </w:rPr>
              <w:t>0.584</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758" w:type="dxa"/>
            <w:noWrap w:val="0"/>
            <w:vAlign w:val="center"/>
          </w:tcPr>
          <w:p w14:paraId="6F0AD908">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w:t>
            </w:r>
          </w:p>
        </w:tc>
        <w:tc>
          <w:tcPr>
            <w:tcW w:w="1796" w:type="dxa"/>
            <w:noWrap w:val="0"/>
            <w:vAlign w:val="center"/>
          </w:tcPr>
          <w:p w14:paraId="17A97D18">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cs="Times New Roman"/>
                <w:b w:val="0"/>
                <w:bCs w:val="0"/>
                <w:snapToGrid w:val="0"/>
                <w:color w:val="auto"/>
                <w:kern w:val="21"/>
                <w:sz w:val="24"/>
                <w:szCs w:val="24"/>
                <w:highlight w:val="none"/>
                <w:lang w:val="en-US" w:eastAsia="zh-CN" w:bidi="ar-SA"/>
              </w:rPr>
              <w:t>0.584</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257" w:type="dxa"/>
            <w:noWrap w:val="0"/>
            <w:vAlign w:val="center"/>
          </w:tcPr>
          <w:p w14:paraId="5C35EBC2">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w:t>
            </w:r>
          </w:p>
        </w:tc>
      </w:tr>
      <w:tr w14:paraId="666878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vMerge w:val="continue"/>
            <w:noWrap w:val="0"/>
            <w:vAlign w:val="center"/>
          </w:tcPr>
          <w:p w14:paraId="3D186B2C">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4"/>
                <w:szCs w:val="24"/>
                <w:highlight w:val="none"/>
              </w:rPr>
            </w:pPr>
          </w:p>
        </w:tc>
        <w:tc>
          <w:tcPr>
            <w:tcW w:w="1732" w:type="dxa"/>
            <w:noWrap w:val="0"/>
            <w:vAlign w:val="center"/>
          </w:tcPr>
          <w:p w14:paraId="525B969A">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NH</w:t>
            </w:r>
            <w:r>
              <w:rPr>
                <w:rFonts w:hint="default" w:ascii="Times New Roman" w:hAnsi="Times New Roman" w:eastAsia="宋体" w:cs="Times New Roman"/>
                <w:b w:val="0"/>
                <w:bCs w:val="0"/>
                <w:snapToGrid w:val="0"/>
                <w:color w:val="auto"/>
                <w:kern w:val="21"/>
                <w:sz w:val="24"/>
                <w:szCs w:val="24"/>
                <w:highlight w:val="none"/>
                <w:vertAlign w:val="subscript"/>
                <w:lang w:val="en-US" w:eastAsia="zh-CN" w:bidi="ar-SA"/>
              </w:rPr>
              <w:t>3</w:t>
            </w:r>
            <w:r>
              <w:rPr>
                <w:rFonts w:hint="default" w:ascii="Times New Roman" w:hAnsi="Times New Roman" w:eastAsia="宋体" w:cs="Times New Roman"/>
                <w:b w:val="0"/>
                <w:bCs w:val="0"/>
                <w:snapToGrid w:val="0"/>
                <w:color w:val="auto"/>
                <w:kern w:val="21"/>
                <w:sz w:val="24"/>
                <w:szCs w:val="24"/>
                <w:highlight w:val="none"/>
                <w:lang w:val="en-US" w:eastAsia="zh-CN" w:bidi="ar-SA"/>
              </w:rPr>
              <w:t>-N</w:t>
            </w:r>
          </w:p>
        </w:tc>
        <w:tc>
          <w:tcPr>
            <w:tcW w:w="1600" w:type="dxa"/>
            <w:noWrap w:val="0"/>
            <w:vAlign w:val="center"/>
          </w:tcPr>
          <w:p w14:paraId="682443B8">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230" w:type="dxa"/>
            <w:noWrap w:val="0"/>
            <w:vAlign w:val="center"/>
          </w:tcPr>
          <w:p w14:paraId="2BCC6649">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56" w:type="dxa"/>
            <w:noWrap w:val="0"/>
            <w:vAlign w:val="center"/>
          </w:tcPr>
          <w:p w14:paraId="726303E7">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540" w:type="dxa"/>
            <w:noWrap w:val="0"/>
            <w:vAlign w:val="center"/>
          </w:tcPr>
          <w:p w14:paraId="3699D5DF">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cs="Times New Roman"/>
                <w:b w:val="0"/>
                <w:bCs w:val="0"/>
                <w:snapToGrid w:val="0"/>
                <w:color w:val="auto"/>
                <w:kern w:val="21"/>
                <w:sz w:val="24"/>
                <w:szCs w:val="24"/>
                <w:highlight w:val="none"/>
                <w:lang w:val="en-US" w:eastAsia="zh-CN" w:bidi="ar-SA"/>
              </w:rPr>
              <w:t>0.0566</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758" w:type="dxa"/>
            <w:noWrap w:val="0"/>
            <w:vAlign w:val="center"/>
          </w:tcPr>
          <w:p w14:paraId="3479D04E">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w:t>
            </w:r>
          </w:p>
        </w:tc>
        <w:tc>
          <w:tcPr>
            <w:tcW w:w="1796" w:type="dxa"/>
            <w:noWrap w:val="0"/>
            <w:vAlign w:val="center"/>
          </w:tcPr>
          <w:p w14:paraId="4BF03086">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cs="Times New Roman"/>
                <w:b w:val="0"/>
                <w:bCs w:val="0"/>
                <w:snapToGrid w:val="0"/>
                <w:color w:val="auto"/>
                <w:kern w:val="21"/>
                <w:sz w:val="24"/>
                <w:szCs w:val="24"/>
                <w:highlight w:val="none"/>
                <w:lang w:val="en-US" w:eastAsia="zh-CN" w:bidi="ar-SA"/>
              </w:rPr>
              <w:t>0.0566</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257" w:type="dxa"/>
            <w:noWrap w:val="0"/>
            <w:vAlign w:val="center"/>
          </w:tcPr>
          <w:p w14:paraId="68E6B4CD">
            <w:pPr>
              <w:pStyle w:val="49"/>
              <w:bidi w:val="0"/>
              <w:ind w:firstLine="0" w:firstLineChars="0"/>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r>
      <w:tr w14:paraId="7A150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noWrap w:val="0"/>
            <w:vAlign w:val="center"/>
          </w:tcPr>
          <w:p w14:paraId="29327B4B">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snapToGrid w:val="0"/>
                <w:color w:val="auto"/>
                <w:kern w:val="21"/>
                <w:sz w:val="24"/>
                <w:szCs w:val="24"/>
                <w:highlight w:val="none"/>
                <w:lang w:val="en-US" w:eastAsia="zh-CN"/>
              </w:rPr>
            </w:pPr>
            <w:r>
              <w:rPr>
                <w:rFonts w:hint="eastAsia" w:ascii="Times New Roman" w:hAnsi="Times New Roman" w:cs="Times New Roman"/>
                <w:b w:val="0"/>
                <w:bCs w:val="0"/>
                <w:snapToGrid w:val="0"/>
                <w:color w:val="auto"/>
                <w:kern w:val="21"/>
                <w:sz w:val="24"/>
                <w:szCs w:val="24"/>
                <w:highlight w:val="none"/>
                <w:lang w:val="en-US" w:eastAsia="zh-CN"/>
              </w:rPr>
              <w:t>生活垃圾</w:t>
            </w:r>
          </w:p>
        </w:tc>
        <w:tc>
          <w:tcPr>
            <w:tcW w:w="1732" w:type="dxa"/>
            <w:noWrap w:val="0"/>
            <w:vAlign w:val="center"/>
          </w:tcPr>
          <w:p w14:paraId="2AEE4086">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生活垃圾</w:t>
            </w:r>
          </w:p>
        </w:tc>
        <w:tc>
          <w:tcPr>
            <w:tcW w:w="1600" w:type="dxa"/>
            <w:noWrap w:val="0"/>
            <w:vAlign w:val="center"/>
          </w:tcPr>
          <w:p w14:paraId="519C54A4">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230" w:type="dxa"/>
            <w:noWrap w:val="0"/>
            <w:vAlign w:val="center"/>
          </w:tcPr>
          <w:p w14:paraId="08BAA472">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56" w:type="dxa"/>
            <w:noWrap w:val="0"/>
            <w:vAlign w:val="center"/>
          </w:tcPr>
          <w:p w14:paraId="1C7C8FFB">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540" w:type="dxa"/>
            <w:noWrap w:val="0"/>
            <w:vAlign w:val="center"/>
          </w:tcPr>
          <w:p w14:paraId="7282D48A">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cs="Times New Roman"/>
                <w:b w:val="0"/>
                <w:bCs w:val="0"/>
                <w:snapToGrid w:val="0"/>
                <w:color w:val="auto"/>
                <w:kern w:val="21"/>
                <w:sz w:val="24"/>
                <w:szCs w:val="24"/>
                <w:highlight w:val="none"/>
                <w:lang w:val="en-US" w:eastAsia="zh-CN" w:bidi="ar-SA"/>
              </w:rPr>
              <w:t>8.712</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758" w:type="dxa"/>
            <w:noWrap w:val="0"/>
            <w:vAlign w:val="center"/>
          </w:tcPr>
          <w:p w14:paraId="21CFE7D3">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96" w:type="dxa"/>
            <w:noWrap w:val="0"/>
            <w:vAlign w:val="center"/>
          </w:tcPr>
          <w:p w14:paraId="2BB587DA">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cs="Times New Roman"/>
                <w:b w:val="0"/>
                <w:bCs w:val="0"/>
                <w:snapToGrid w:val="0"/>
                <w:color w:val="auto"/>
                <w:kern w:val="21"/>
                <w:sz w:val="24"/>
                <w:szCs w:val="24"/>
                <w:highlight w:val="none"/>
                <w:lang w:val="en-US" w:eastAsia="zh-CN" w:bidi="ar-SA"/>
              </w:rPr>
              <w:t>8.712</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257" w:type="dxa"/>
            <w:noWrap w:val="0"/>
            <w:vAlign w:val="center"/>
          </w:tcPr>
          <w:p w14:paraId="0BB7B429">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r>
      <w:tr w14:paraId="037135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vMerge w:val="restart"/>
            <w:noWrap w:val="0"/>
            <w:vAlign w:val="center"/>
          </w:tcPr>
          <w:p w14:paraId="518BDAF7">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一般工业</w:t>
            </w:r>
          </w:p>
          <w:p w14:paraId="1DB75546">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固体废</w:t>
            </w:r>
            <w:r>
              <w:rPr>
                <w:rFonts w:hint="default" w:ascii="Times New Roman" w:hAnsi="Times New Roman" w:eastAsia="宋体" w:cs="Times New Roman"/>
                <w:b w:val="0"/>
                <w:bCs w:val="0"/>
                <w:color w:val="auto"/>
                <w:sz w:val="24"/>
                <w:szCs w:val="24"/>
                <w:highlight w:val="none"/>
                <w:lang w:eastAsia="zh-CN"/>
              </w:rPr>
              <w:t>物</w:t>
            </w:r>
          </w:p>
        </w:tc>
        <w:tc>
          <w:tcPr>
            <w:tcW w:w="1732" w:type="dxa"/>
            <w:noWrap w:val="0"/>
            <w:vAlign w:val="center"/>
          </w:tcPr>
          <w:p w14:paraId="5A94A6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val="0"/>
                <w:color w:val="auto"/>
                <w:kern w:val="21"/>
                <w:sz w:val="24"/>
                <w:szCs w:val="24"/>
                <w:highlight w:val="none"/>
                <w:lang w:val="en-US" w:eastAsia="zh-CN"/>
              </w:rPr>
            </w:pPr>
            <w:r>
              <w:rPr>
                <w:rFonts w:hint="eastAsia" w:ascii="Times New Roman" w:hAnsi="Times New Roman" w:eastAsia="宋体" w:cs="Times New Roman"/>
                <w:color w:val="auto"/>
                <w:kern w:val="0"/>
                <w:sz w:val="24"/>
                <w:szCs w:val="24"/>
                <w:lang w:val="en-US" w:eastAsia="zh-CN" w:bidi="ar-SA"/>
              </w:rPr>
              <w:t>废旧滤筒</w:t>
            </w:r>
          </w:p>
        </w:tc>
        <w:tc>
          <w:tcPr>
            <w:tcW w:w="1600" w:type="dxa"/>
            <w:noWrap w:val="0"/>
            <w:vAlign w:val="center"/>
          </w:tcPr>
          <w:p w14:paraId="4A1C6F54">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4"/>
                <w:szCs w:val="24"/>
                <w:highlight w:val="none"/>
                <w:lang w:val="en-US" w:eastAsia="zh-CN"/>
              </w:rPr>
            </w:pPr>
            <w:r>
              <w:rPr>
                <w:rFonts w:hint="default" w:ascii="Times New Roman" w:hAnsi="Times New Roman" w:eastAsia="宋体" w:cs="Times New Roman"/>
                <w:b w:val="0"/>
                <w:bCs w:val="0"/>
                <w:snapToGrid w:val="0"/>
                <w:color w:val="auto"/>
                <w:kern w:val="21"/>
                <w:sz w:val="24"/>
                <w:szCs w:val="24"/>
                <w:highlight w:val="none"/>
                <w:lang w:val="en-US" w:eastAsia="zh-CN"/>
              </w:rPr>
              <w:t>/</w:t>
            </w:r>
          </w:p>
        </w:tc>
        <w:tc>
          <w:tcPr>
            <w:tcW w:w="1230" w:type="dxa"/>
            <w:noWrap w:val="0"/>
            <w:vAlign w:val="center"/>
          </w:tcPr>
          <w:p w14:paraId="54088C64">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56" w:type="dxa"/>
            <w:noWrap w:val="0"/>
            <w:vAlign w:val="center"/>
          </w:tcPr>
          <w:p w14:paraId="60AA23A1">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540" w:type="dxa"/>
            <w:noWrap w:val="0"/>
            <w:vAlign w:val="center"/>
          </w:tcPr>
          <w:p w14:paraId="34C9D2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cs="Times New Roman"/>
                <w:color w:val="auto"/>
                <w:kern w:val="0"/>
                <w:sz w:val="24"/>
                <w:szCs w:val="24"/>
                <w:lang w:val="en-US" w:eastAsia="zh-CN"/>
              </w:rPr>
              <w:t>1.25</w:t>
            </w:r>
            <w:r>
              <w:rPr>
                <w:rFonts w:hint="eastAsia" w:ascii="Times New Roman" w:hAnsi="Times New Roman" w:eastAsia="宋体" w:cs="Times New Roman"/>
                <w:b w:val="0"/>
                <w:bCs w:val="0"/>
                <w:snapToGrid w:val="0"/>
                <w:color w:val="auto"/>
                <w:kern w:val="21"/>
                <w:sz w:val="24"/>
                <w:szCs w:val="24"/>
                <w:highlight w:val="none"/>
                <w:lang w:val="en-US" w:eastAsia="zh-CN" w:bidi="ar-SA"/>
              </w:rPr>
              <w:t>t/</w:t>
            </w:r>
            <w:r>
              <w:rPr>
                <w:rFonts w:hint="eastAsia" w:cs="Times New Roman"/>
                <w:b w:val="0"/>
                <w:bCs w:val="0"/>
                <w:snapToGrid w:val="0"/>
                <w:color w:val="auto"/>
                <w:kern w:val="21"/>
                <w:sz w:val="24"/>
                <w:szCs w:val="24"/>
                <w:highlight w:val="none"/>
                <w:lang w:val="en-US" w:eastAsia="zh-CN" w:bidi="ar-SA"/>
              </w:rPr>
              <w:t>4年·</w:t>
            </w:r>
            <w:r>
              <w:rPr>
                <w:rFonts w:hint="eastAsia" w:ascii="Times New Roman" w:hAnsi="Times New Roman" w:eastAsia="宋体" w:cs="Times New Roman"/>
                <w:b w:val="0"/>
                <w:bCs w:val="0"/>
                <w:snapToGrid w:val="0"/>
                <w:color w:val="auto"/>
                <w:kern w:val="21"/>
                <w:sz w:val="24"/>
                <w:szCs w:val="24"/>
                <w:highlight w:val="none"/>
                <w:lang w:val="en-US" w:eastAsia="zh-CN" w:bidi="ar-SA"/>
              </w:rPr>
              <w:t>a</w:t>
            </w:r>
          </w:p>
        </w:tc>
        <w:tc>
          <w:tcPr>
            <w:tcW w:w="1758" w:type="dxa"/>
            <w:noWrap w:val="0"/>
            <w:vAlign w:val="center"/>
          </w:tcPr>
          <w:p w14:paraId="639ABE54">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96" w:type="dxa"/>
            <w:noWrap w:val="0"/>
            <w:vAlign w:val="center"/>
          </w:tcPr>
          <w:p w14:paraId="2CA938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cs="Times New Roman"/>
                <w:color w:val="auto"/>
                <w:kern w:val="0"/>
                <w:sz w:val="24"/>
                <w:szCs w:val="24"/>
                <w:lang w:val="en-US" w:eastAsia="zh-CN"/>
              </w:rPr>
              <w:t>1.25</w:t>
            </w:r>
            <w:r>
              <w:rPr>
                <w:rFonts w:hint="eastAsia" w:ascii="Times New Roman" w:hAnsi="Times New Roman" w:eastAsia="宋体" w:cs="Times New Roman"/>
                <w:b w:val="0"/>
                <w:bCs w:val="0"/>
                <w:snapToGrid w:val="0"/>
                <w:color w:val="auto"/>
                <w:kern w:val="21"/>
                <w:sz w:val="24"/>
                <w:szCs w:val="24"/>
                <w:highlight w:val="none"/>
                <w:lang w:val="en-US" w:eastAsia="zh-CN" w:bidi="ar-SA"/>
              </w:rPr>
              <w:t>t/</w:t>
            </w:r>
            <w:r>
              <w:rPr>
                <w:rFonts w:hint="eastAsia" w:cs="Times New Roman"/>
                <w:b w:val="0"/>
                <w:bCs w:val="0"/>
                <w:snapToGrid w:val="0"/>
                <w:color w:val="auto"/>
                <w:kern w:val="21"/>
                <w:sz w:val="24"/>
                <w:szCs w:val="24"/>
                <w:highlight w:val="none"/>
                <w:lang w:val="en-US" w:eastAsia="zh-CN" w:bidi="ar-SA"/>
              </w:rPr>
              <w:t>4年·</w:t>
            </w:r>
            <w:r>
              <w:rPr>
                <w:rFonts w:hint="eastAsia" w:ascii="Times New Roman" w:hAnsi="Times New Roman" w:eastAsia="宋体" w:cs="Times New Roman"/>
                <w:b w:val="0"/>
                <w:bCs w:val="0"/>
                <w:snapToGrid w:val="0"/>
                <w:color w:val="auto"/>
                <w:kern w:val="21"/>
                <w:sz w:val="24"/>
                <w:szCs w:val="24"/>
                <w:highlight w:val="none"/>
                <w:lang w:val="en-US" w:eastAsia="zh-CN" w:bidi="ar-SA"/>
              </w:rPr>
              <w:t>a</w:t>
            </w:r>
          </w:p>
        </w:tc>
        <w:tc>
          <w:tcPr>
            <w:tcW w:w="1257" w:type="dxa"/>
            <w:noWrap w:val="0"/>
            <w:vAlign w:val="center"/>
          </w:tcPr>
          <w:p w14:paraId="632F6C7B">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w:t>
            </w:r>
          </w:p>
        </w:tc>
      </w:tr>
      <w:tr w14:paraId="33924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vMerge w:val="continue"/>
            <w:noWrap w:val="0"/>
            <w:vAlign w:val="center"/>
          </w:tcPr>
          <w:p w14:paraId="07755103">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4"/>
                <w:szCs w:val="24"/>
                <w:highlight w:val="none"/>
              </w:rPr>
            </w:pPr>
          </w:p>
        </w:tc>
        <w:tc>
          <w:tcPr>
            <w:tcW w:w="1732" w:type="dxa"/>
            <w:noWrap w:val="0"/>
            <w:vAlign w:val="center"/>
          </w:tcPr>
          <w:p w14:paraId="785C83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napToGrid w:val="0"/>
                <w:color w:val="auto"/>
                <w:kern w:val="21"/>
                <w:sz w:val="24"/>
                <w:szCs w:val="24"/>
                <w:highlight w:val="none"/>
                <w:lang w:val="en-US" w:eastAsia="zh-CN"/>
              </w:rPr>
            </w:pPr>
            <w:r>
              <w:rPr>
                <w:rFonts w:hint="default" w:ascii="Times New Roman" w:hAnsi="Times New Roman" w:eastAsia="宋体" w:cs="Times New Roman"/>
                <w:color w:val="auto"/>
                <w:kern w:val="0"/>
                <w:sz w:val="24"/>
                <w:szCs w:val="24"/>
                <w:lang w:val="en-US" w:eastAsia="zh-CN" w:bidi="ar-SA"/>
              </w:rPr>
              <w:t>废吸附剂</w:t>
            </w:r>
            <w:r>
              <w:rPr>
                <w:rFonts w:hint="eastAsia" w:ascii="Times New Roman" w:hAnsi="Times New Roman" w:eastAsia="宋体" w:cs="Times New Roman"/>
                <w:color w:val="auto"/>
                <w:kern w:val="0"/>
                <w:sz w:val="24"/>
                <w:szCs w:val="24"/>
                <w:lang w:val="en-US" w:eastAsia="zh-CN" w:bidi="ar-SA"/>
              </w:rPr>
              <w:t>（分子筛和氧化铝）</w:t>
            </w:r>
          </w:p>
        </w:tc>
        <w:tc>
          <w:tcPr>
            <w:tcW w:w="1600" w:type="dxa"/>
            <w:noWrap w:val="0"/>
            <w:vAlign w:val="center"/>
          </w:tcPr>
          <w:p w14:paraId="58A15516">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230" w:type="dxa"/>
            <w:noWrap w:val="0"/>
            <w:vAlign w:val="center"/>
          </w:tcPr>
          <w:p w14:paraId="17686989">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56" w:type="dxa"/>
            <w:noWrap w:val="0"/>
            <w:vAlign w:val="center"/>
          </w:tcPr>
          <w:p w14:paraId="4C4669C1">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540" w:type="dxa"/>
            <w:noWrap w:val="0"/>
            <w:vAlign w:val="center"/>
          </w:tcPr>
          <w:p w14:paraId="65433E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eastAsia" w:cs="Times New Roman"/>
                <w:color w:val="auto"/>
                <w:kern w:val="0"/>
                <w:sz w:val="24"/>
                <w:szCs w:val="24"/>
                <w:lang w:val="en-US" w:eastAsia="zh-CN"/>
              </w:rPr>
              <w:t>14.7</w:t>
            </w:r>
            <w:r>
              <w:rPr>
                <w:rFonts w:hint="eastAsia" w:ascii="Times New Roman" w:hAnsi="Times New Roman" w:eastAsia="宋体" w:cs="Times New Roman"/>
                <w:color w:val="auto"/>
                <w:kern w:val="0"/>
                <w:sz w:val="24"/>
                <w:szCs w:val="24"/>
                <w:lang w:val="en-US" w:eastAsia="zh-CN"/>
              </w:rPr>
              <w:t>t/</w:t>
            </w:r>
            <w:r>
              <w:rPr>
                <w:rFonts w:hint="eastAsia" w:cs="Times New Roman"/>
                <w:color w:val="auto"/>
                <w:kern w:val="0"/>
                <w:sz w:val="24"/>
                <w:szCs w:val="24"/>
                <w:lang w:val="en-US" w:eastAsia="zh-CN"/>
              </w:rPr>
              <w:t>8年·</w:t>
            </w:r>
            <w:r>
              <w:rPr>
                <w:rFonts w:hint="eastAsia" w:ascii="Times New Roman" w:hAnsi="Times New Roman" w:eastAsia="宋体" w:cs="Times New Roman"/>
                <w:color w:val="auto"/>
                <w:kern w:val="0"/>
                <w:sz w:val="24"/>
                <w:szCs w:val="24"/>
                <w:lang w:val="en-US" w:eastAsia="zh-CN"/>
              </w:rPr>
              <w:t>次</w:t>
            </w:r>
          </w:p>
        </w:tc>
        <w:tc>
          <w:tcPr>
            <w:tcW w:w="1758" w:type="dxa"/>
            <w:noWrap w:val="0"/>
            <w:vAlign w:val="center"/>
          </w:tcPr>
          <w:p w14:paraId="60D99EEB">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96" w:type="dxa"/>
            <w:noWrap w:val="0"/>
            <w:vAlign w:val="center"/>
          </w:tcPr>
          <w:p w14:paraId="3F200C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eastAsia" w:cs="Times New Roman"/>
                <w:color w:val="auto"/>
                <w:kern w:val="0"/>
                <w:sz w:val="24"/>
                <w:szCs w:val="24"/>
                <w:lang w:val="en-US" w:eastAsia="zh-CN"/>
              </w:rPr>
              <w:t>14.7</w:t>
            </w:r>
            <w:r>
              <w:rPr>
                <w:rFonts w:hint="eastAsia" w:ascii="Times New Roman" w:hAnsi="Times New Roman" w:eastAsia="宋体" w:cs="Times New Roman"/>
                <w:color w:val="auto"/>
                <w:kern w:val="0"/>
                <w:sz w:val="24"/>
                <w:szCs w:val="24"/>
                <w:lang w:val="en-US" w:eastAsia="zh-CN"/>
              </w:rPr>
              <w:t>t/</w:t>
            </w:r>
            <w:r>
              <w:rPr>
                <w:rFonts w:hint="eastAsia" w:cs="Times New Roman"/>
                <w:color w:val="auto"/>
                <w:kern w:val="0"/>
                <w:sz w:val="24"/>
                <w:szCs w:val="24"/>
                <w:lang w:val="en-US" w:eastAsia="zh-CN"/>
              </w:rPr>
              <w:t>8年·</w:t>
            </w:r>
            <w:r>
              <w:rPr>
                <w:rFonts w:hint="eastAsia" w:ascii="Times New Roman" w:hAnsi="Times New Roman" w:eastAsia="宋体" w:cs="Times New Roman"/>
                <w:color w:val="auto"/>
                <w:kern w:val="0"/>
                <w:sz w:val="24"/>
                <w:szCs w:val="24"/>
                <w:lang w:val="en-US" w:eastAsia="zh-CN"/>
              </w:rPr>
              <w:t>次</w:t>
            </w:r>
          </w:p>
        </w:tc>
        <w:tc>
          <w:tcPr>
            <w:tcW w:w="1257" w:type="dxa"/>
            <w:noWrap w:val="0"/>
            <w:vAlign w:val="center"/>
          </w:tcPr>
          <w:p w14:paraId="5E14A3B9">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r>
      <w:tr w14:paraId="3F0EB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vMerge w:val="continue"/>
            <w:noWrap w:val="0"/>
            <w:vAlign w:val="center"/>
          </w:tcPr>
          <w:p w14:paraId="1A05D05B">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4"/>
                <w:szCs w:val="24"/>
                <w:highlight w:val="none"/>
              </w:rPr>
            </w:pPr>
          </w:p>
        </w:tc>
        <w:tc>
          <w:tcPr>
            <w:tcW w:w="1732" w:type="dxa"/>
            <w:noWrap w:val="0"/>
            <w:vAlign w:val="center"/>
          </w:tcPr>
          <w:p w14:paraId="22D5F3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napToGrid w:val="0"/>
                <w:color w:val="auto"/>
                <w:kern w:val="21"/>
                <w:sz w:val="24"/>
                <w:szCs w:val="24"/>
                <w:highlight w:val="none"/>
                <w:lang w:val="en-US" w:eastAsia="zh-CN"/>
              </w:rPr>
            </w:pPr>
            <w:r>
              <w:rPr>
                <w:rFonts w:hint="default" w:ascii="Times New Roman" w:hAnsi="Times New Roman" w:eastAsia="宋体" w:cs="Times New Roman"/>
                <w:color w:val="auto"/>
                <w:kern w:val="0"/>
                <w:sz w:val="24"/>
                <w:szCs w:val="24"/>
                <w:lang w:val="en-US" w:eastAsia="zh-CN" w:bidi="ar-SA"/>
              </w:rPr>
              <w:t>废珠光砂</w:t>
            </w:r>
          </w:p>
        </w:tc>
        <w:tc>
          <w:tcPr>
            <w:tcW w:w="1600" w:type="dxa"/>
            <w:noWrap w:val="0"/>
            <w:vAlign w:val="center"/>
          </w:tcPr>
          <w:p w14:paraId="09637285">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rPr>
              <w:t>/</w:t>
            </w:r>
          </w:p>
        </w:tc>
        <w:tc>
          <w:tcPr>
            <w:tcW w:w="1230" w:type="dxa"/>
            <w:noWrap w:val="0"/>
            <w:vAlign w:val="center"/>
          </w:tcPr>
          <w:p w14:paraId="58EF277F">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56" w:type="dxa"/>
            <w:noWrap w:val="0"/>
            <w:vAlign w:val="center"/>
          </w:tcPr>
          <w:p w14:paraId="1D3ED9EC">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540" w:type="dxa"/>
            <w:noWrap w:val="0"/>
            <w:vAlign w:val="center"/>
          </w:tcPr>
          <w:p w14:paraId="408A35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color w:val="auto"/>
                <w:kern w:val="0"/>
                <w:sz w:val="24"/>
                <w:szCs w:val="24"/>
                <w:lang w:val="en-US" w:eastAsia="zh-CN"/>
              </w:rPr>
              <w:t>10t/</w:t>
            </w:r>
            <w:r>
              <w:rPr>
                <w:rFonts w:hint="eastAsia" w:cs="Times New Roman"/>
                <w:color w:val="auto"/>
                <w:kern w:val="0"/>
                <w:sz w:val="24"/>
                <w:szCs w:val="24"/>
                <w:lang w:val="en-US" w:eastAsia="zh-CN"/>
              </w:rPr>
              <w:t>8年·</w:t>
            </w:r>
            <w:r>
              <w:rPr>
                <w:rFonts w:hint="eastAsia" w:ascii="Times New Roman" w:hAnsi="Times New Roman" w:eastAsia="宋体" w:cs="Times New Roman"/>
                <w:color w:val="auto"/>
                <w:kern w:val="0"/>
                <w:sz w:val="24"/>
                <w:szCs w:val="24"/>
                <w:lang w:val="en-US" w:eastAsia="zh-CN"/>
              </w:rPr>
              <w:t>次</w:t>
            </w:r>
          </w:p>
        </w:tc>
        <w:tc>
          <w:tcPr>
            <w:tcW w:w="1758" w:type="dxa"/>
            <w:noWrap w:val="0"/>
            <w:vAlign w:val="center"/>
          </w:tcPr>
          <w:p w14:paraId="0F298A93">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96" w:type="dxa"/>
            <w:noWrap w:val="0"/>
            <w:vAlign w:val="center"/>
          </w:tcPr>
          <w:p w14:paraId="3E15D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color w:val="auto"/>
                <w:kern w:val="0"/>
                <w:sz w:val="24"/>
                <w:szCs w:val="24"/>
                <w:lang w:val="en-US" w:eastAsia="zh-CN"/>
              </w:rPr>
              <w:t>10t/</w:t>
            </w:r>
            <w:r>
              <w:rPr>
                <w:rFonts w:hint="eastAsia" w:cs="Times New Roman"/>
                <w:color w:val="auto"/>
                <w:kern w:val="0"/>
                <w:sz w:val="24"/>
                <w:szCs w:val="24"/>
                <w:lang w:val="en-US" w:eastAsia="zh-CN"/>
              </w:rPr>
              <w:t>8年·</w:t>
            </w:r>
            <w:r>
              <w:rPr>
                <w:rFonts w:hint="eastAsia" w:ascii="Times New Roman" w:hAnsi="Times New Roman" w:eastAsia="宋体" w:cs="Times New Roman"/>
                <w:color w:val="auto"/>
                <w:kern w:val="0"/>
                <w:sz w:val="24"/>
                <w:szCs w:val="24"/>
                <w:lang w:val="en-US" w:eastAsia="zh-CN"/>
              </w:rPr>
              <w:t>次</w:t>
            </w:r>
          </w:p>
        </w:tc>
        <w:tc>
          <w:tcPr>
            <w:tcW w:w="1257" w:type="dxa"/>
            <w:noWrap w:val="0"/>
            <w:vAlign w:val="center"/>
          </w:tcPr>
          <w:p w14:paraId="2B48825D">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r>
      <w:tr w14:paraId="0FC3B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vMerge w:val="continue"/>
            <w:noWrap w:val="0"/>
            <w:vAlign w:val="center"/>
          </w:tcPr>
          <w:p w14:paraId="4993F74F">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4"/>
                <w:szCs w:val="24"/>
                <w:highlight w:val="none"/>
              </w:rPr>
            </w:pPr>
          </w:p>
        </w:tc>
        <w:tc>
          <w:tcPr>
            <w:tcW w:w="1732" w:type="dxa"/>
            <w:noWrap w:val="0"/>
            <w:vAlign w:val="center"/>
          </w:tcPr>
          <w:p w14:paraId="57EAC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napToGrid w:val="0"/>
                <w:color w:val="auto"/>
                <w:kern w:val="21"/>
                <w:sz w:val="24"/>
                <w:szCs w:val="24"/>
                <w:highlight w:val="none"/>
                <w:lang w:val="en-US" w:eastAsia="zh-CN"/>
              </w:rPr>
            </w:pPr>
            <w:r>
              <w:rPr>
                <w:rFonts w:hint="eastAsia" w:ascii="Times New Roman" w:hAnsi="Times New Roman" w:eastAsia="宋体" w:cs="Times New Roman"/>
                <w:color w:val="auto"/>
                <w:kern w:val="0"/>
                <w:sz w:val="24"/>
                <w:szCs w:val="24"/>
                <w:lang w:val="en-US" w:eastAsia="zh-CN" w:bidi="ar-SA"/>
              </w:rPr>
              <w:t>废钢瓶</w:t>
            </w:r>
          </w:p>
        </w:tc>
        <w:tc>
          <w:tcPr>
            <w:tcW w:w="1600" w:type="dxa"/>
            <w:noWrap w:val="0"/>
            <w:vAlign w:val="center"/>
          </w:tcPr>
          <w:p w14:paraId="51C2036F">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snapToGrid w:val="0"/>
                <w:color w:val="auto"/>
                <w:kern w:val="21"/>
                <w:sz w:val="24"/>
                <w:szCs w:val="24"/>
                <w:highlight w:val="none"/>
                <w:lang w:val="en-US" w:eastAsia="zh-CN"/>
              </w:rPr>
            </w:pPr>
            <w:r>
              <w:rPr>
                <w:rFonts w:hint="eastAsia" w:ascii="Times New Roman" w:hAnsi="Times New Roman" w:eastAsia="宋体" w:cs="Times New Roman"/>
                <w:b w:val="0"/>
                <w:bCs w:val="0"/>
                <w:snapToGrid w:val="0"/>
                <w:color w:val="auto"/>
                <w:kern w:val="21"/>
                <w:sz w:val="24"/>
                <w:szCs w:val="24"/>
                <w:highlight w:val="none"/>
                <w:lang w:val="en-US" w:eastAsia="zh-CN"/>
              </w:rPr>
              <w:t>/</w:t>
            </w:r>
          </w:p>
        </w:tc>
        <w:tc>
          <w:tcPr>
            <w:tcW w:w="1230" w:type="dxa"/>
            <w:noWrap w:val="0"/>
            <w:vAlign w:val="center"/>
          </w:tcPr>
          <w:p w14:paraId="17594412">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w:t>
            </w:r>
          </w:p>
        </w:tc>
        <w:tc>
          <w:tcPr>
            <w:tcW w:w="1756" w:type="dxa"/>
            <w:noWrap w:val="0"/>
            <w:vAlign w:val="center"/>
          </w:tcPr>
          <w:p w14:paraId="19C84687">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w:t>
            </w:r>
          </w:p>
        </w:tc>
        <w:tc>
          <w:tcPr>
            <w:tcW w:w="1540" w:type="dxa"/>
            <w:noWrap w:val="0"/>
            <w:vAlign w:val="center"/>
          </w:tcPr>
          <w:p w14:paraId="355EA7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color w:val="auto"/>
                <w:kern w:val="0"/>
                <w:sz w:val="24"/>
                <w:szCs w:val="24"/>
                <w:lang w:val="en-US" w:eastAsia="zh-CN"/>
              </w:rPr>
              <w:t>0.</w:t>
            </w:r>
            <w:r>
              <w:rPr>
                <w:rFonts w:hint="eastAsia" w:cs="Times New Roman"/>
                <w:color w:val="auto"/>
                <w:kern w:val="0"/>
                <w:sz w:val="24"/>
                <w:szCs w:val="24"/>
                <w:lang w:val="en-US" w:eastAsia="zh-CN"/>
              </w:rPr>
              <w:t>04</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758" w:type="dxa"/>
            <w:noWrap w:val="0"/>
            <w:vAlign w:val="center"/>
          </w:tcPr>
          <w:p w14:paraId="53525938">
            <w:pPr>
              <w:pStyle w:val="49"/>
              <w:bidi w:val="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w:t>
            </w:r>
          </w:p>
        </w:tc>
        <w:tc>
          <w:tcPr>
            <w:tcW w:w="1796" w:type="dxa"/>
            <w:noWrap w:val="0"/>
            <w:vAlign w:val="center"/>
          </w:tcPr>
          <w:p w14:paraId="6265B4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color w:val="auto"/>
                <w:kern w:val="0"/>
                <w:sz w:val="24"/>
                <w:szCs w:val="24"/>
                <w:lang w:val="en-US" w:eastAsia="zh-CN"/>
              </w:rPr>
              <w:t>0.</w:t>
            </w:r>
            <w:r>
              <w:rPr>
                <w:rFonts w:hint="eastAsia" w:cs="Times New Roman"/>
                <w:color w:val="auto"/>
                <w:kern w:val="0"/>
                <w:sz w:val="24"/>
                <w:szCs w:val="24"/>
                <w:lang w:val="en-US" w:eastAsia="zh-CN"/>
              </w:rPr>
              <w:t>04</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257" w:type="dxa"/>
            <w:noWrap w:val="0"/>
            <w:vAlign w:val="center"/>
          </w:tcPr>
          <w:p w14:paraId="159B12D4">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w:t>
            </w:r>
          </w:p>
        </w:tc>
      </w:tr>
      <w:tr w14:paraId="4244D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vMerge w:val="restart"/>
            <w:noWrap w:val="0"/>
            <w:vAlign w:val="center"/>
          </w:tcPr>
          <w:p w14:paraId="32AFC94E">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4"/>
                <w:szCs w:val="24"/>
                <w:highlight w:val="none"/>
              </w:rPr>
            </w:pPr>
            <w:bookmarkStart w:id="34" w:name="_Toc11956"/>
            <w:bookmarkStart w:id="35" w:name="_Toc19952"/>
            <w:r>
              <w:rPr>
                <w:rFonts w:hint="eastAsia" w:ascii="Times New Roman" w:hAnsi="Times New Roman" w:cs="Times New Roman"/>
                <w:b w:val="0"/>
                <w:bCs w:val="0"/>
                <w:color w:val="auto"/>
                <w:sz w:val="24"/>
                <w:szCs w:val="24"/>
                <w:highlight w:val="none"/>
                <w:lang w:val="en-US" w:eastAsia="zh-CN"/>
              </w:rPr>
              <w:t>危险废物</w:t>
            </w:r>
          </w:p>
        </w:tc>
        <w:tc>
          <w:tcPr>
            <w:tcW w:w="1732" w:type="dxa"/>
            <w:noWrap w:val="0"/>
            <w:vAlign w:val="center"/>
          </w:tcPr>
          <w:p w14:paraId="14C6A7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lang w:val="en-US" w:eastAsia="zh-CN" w:bidi="ar-SA"/>
              </w:rPr>
              <w:t>报废乙炔及液化石油气钢瓶</w:t>
            </w:r>
          </w:p>
        </w:tc>
        <w:tc>
          <w:tcPr>
            <w:tcW w:w="1600" w:type="dxa"/>
            <w:noWrap w:val="0"/>
            <w:vAlign w:val="center"/>
          </w:tcPr>
          <w:p w14:paraId="4290FF26">
            <w:pPr>
              <w:pStyle w:val="49"/>
              <w:bidi w:val="0"/>
              <w:ind w:firstLine="0" w:firstLineChars="0"/>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230" w:type="dxa"/>
            <w:noWrap w:val="0"/>
            <w:vAlign w:val="center"/>
          </w:tcPr>
          <w:p w14:paraId="68D9D834">
            <w:pPr>
              <w:pStyle w:val="49"/>
              <w:bidi w:val="0"/>
              <w:ind w:firstLine="0" w:firstLineChars="0"/>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56" w:type="dxa"/>
            <w:noWrap w:val="0"/>
            <w:vAlign w:val="center"/>
          </w:tcPr>
          <w:p w14:paraId="7617C82E">
            <w:pPr>
              <w:pStyle w:val="49"/>
              <w:bidi w:val="0"/>
              <w:ind w:firstLine="0" w:firstLineChars="0"/>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540" w:type="dxa"/>
            <w:noWrap w:val="0"/>
            <w:vAlign w:val="center"/>
          </w:tcPr>
          <w:p w14:paraId="2975EF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cs="Times New Roman"/>
                <w:color w:val="auto"/>
                <w:kern w:val="0"/>
                <w:sz w:val="24"/>
                <w:szCs w:val="24"/>
                <w:lang w:val="en-US" w:eastAsia="zh-CN"/>
              </w:rPr>
              <w:t>0.02</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758" w:type="dxa"/>
            <w:noWrap w:val="0"/>
            <w:vAlign w:val="center"/>
          </w:tcPr>
          <w:p w14:paraId="358425F1">
            <w:pPr>
              <w:pStyle w:val="49"/>
              <w:bidi w:val="0"/>
              <w:ind w:firstLine="0" w:firstLineChars="0"/>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96" w:type="dxa"/>
            <w:noWrap w:val="0"/>
            <w:vAlign w:val="center"/>
          </w:tcPr>
          <w:p w14:paraId="19A9A8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cs="Times New Roman"/>
                <w:color w:val="auto"/>
                <w:kern w:val="0"/>
                <w:sz w:val="24"/>
                <w:szCs w:val="24"/>
                <w:lang w:val="en-US" w:eastAsia="zh-CN"/>
              </w:rPr>
              <w:t>0.02</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257" w:type="dxa"/>
            <w:noWrap w:val="0"/>
            <w:vAlign w:val="center"/>
          </w:tcPr>
          <w:p w14:paraId="0DBA0782">
            <w:pPr>
              <w:pStyle w:val="49"/>
              <w:bidi w:val="0"/>
              <w:ind w:firstLine="0" w:firstLineChars="0"/>
              <w:rPr>
                <w:rFonts w:hint="eastAsia"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r>
      <w:tr w14:paraId="157BE3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vMerge w:val="continue"/>
            <w:noWrap w:val="0"/>
            <w:vAlign w:val="center"/>
          </w:tcPr>
          <w:p w14:paraId="1EBBD678">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cs="Times New Roman"/>
                <w:b w:val="0"/>
                <w:bCs w:val="0"/>
                <w:color w:val="auto"/>
                <w:sz w:val="24"/>
                <w:szCs w:val="24"/>
                <w:highlight w:val="none"/>
                <w:lang w:val="en-US" w:eastAsia="zh-CN"/>
              </w:rPr>
            </w:pPr>
          </w:p>
        </w:tc>
        <w:tc>
          <w:tcPr>
            <w:tcW w:w="1732" w:type="dxa"/>
            <w:noWrap w:val="0"/>
            <w:vAlign w:val="center"/>
          </w:tcPr>
          <w:p w14:paraId="02DB10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Cs/>
                <w:color w:val="auto"/>
                <w:kern w:val="0"/>
                <w:sz w:val="24"/>
                <w:szCs w:val="24"/>
                <w:lang w:val="en-US" w:eastAsia="zh-CN" w:bidi="ar-SA"/>
              </w:rPr>
              <w:t>液化石油气残液</w:t>
            </w:r>
          </w:p>
        </w:tc>
        <w:tc>
          <w:tcPr>
            <w:tcW w:w="1600" w:type="dxa"/>
            <w:noWrap w:val="0"/>
            <w:vAlign w:val="center"/>
          </w:tcPr>
          <w:p w14:paraId="03C8A2CD">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230" w:type="dxa"/>
            <w:noWrap w:val="0"/>
            <w:vAlign w:val="center"/>
          </w:tcPr>
          <w:p w14:paraId="15BC7ACC">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56" w:type="dxa"/>
            <w:noWrap w:val="0"/>
            <w:vAlign w:val="center"/>
          </w:tcPr>
          <w:p w14:paraId="12A38A71">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540" w:type="dxa"/>
            <w:noWrap w:val="0"/>
            <w:vAlign w:val="center"/>
          </w:tcPr>
          <w:p w14:paraId="4966B63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Cs/>
                <w:color w:val="auto"/>
                <w:kern w:val="0"/>
                <w:sz w:val="24"/>
                <w:szCs w:val="24"/>
                <w:lang w:val="en-US" w:eastAsia="zh-CN"/>
              </w:rPr>
              <w:t>0.06</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758" w:type="dxa"/>
            <w:noWrap w:val="0"/>
            <w:vAlign w:val="center"/>
          </w:tcPr>
          <w:p w14:paraId="2B6DDFF1">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96" w:type="dxa"/>
            <w:noWrap w:val="0"/>
            <w:vAlign w:val="center"/>
          </w:tcPr>
          <w:p w14:paraId="4C20650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Cs/>
                <w:color w:val="auto"/>
                <w:kern w:val="0"/>
                <w:sz w:val="24"/>
                <w:szCs w:val="24"/>
                <w:lang w:val="en-US" w:eastAsia="zh-CN"/>
              </w:rPr>
              <w:t>0.06</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257" w:type="dxa"/>
            <w:noWrap w:val="0"/>
            <w:vAlign w:val="center"/>
          </w:tcPr>
          <w:p w14:paraId="624815EC">
            <w:pPr>
              <w:pStyle w:val="49"/>
              <w:bidi w:val="0"/>
              <w:ind w:firstLine="0" w:firstLineChars="0"/>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r>
      <w:tr w14:paraId="7C53F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vMerge w:val="continue"/>
            <w:noWrap w:val="0"/>
            <w:vAlign w:val="center"/>
          </w:tcPr>
          <w:p w14:paraId="0E12EA1D">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4"/>
                <w:szCs w:val="24"/>
                <w:highlight w:val="none"/>
              </w:rPr>
            </w:pPr>
          </w:p>
        </w:tc>
        <w:tc>
          <w:tcPr>
            <w:tcW w:w="1732" w:type="dxa"/>
            <w:noWrap w:val="0"/>
            <w:vAlign w:val="center"/>
          </w:tcPr>
          <w:p w14:paraId="0DA8FA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ascii="Times New Roman" w:hAnsi="宋体" w:eastAsia="宋体" w:cs="Times New Roman"/>
                <w:bCs/>
                <w:color w:val="auto"/>
                <w:kern w:val="0"/>
                <w:sz w:val="24"/>
                <w:szCs w:val="24"/>
                <w:lang w:val="en-US" w:eastAsia="zh-CN" w:bidi="ar-SA"/>
              </w:rPr>
              <w:t>废</w:t>
            </w:r>
            <w:r>
              <w:rPr>
                <w:rFonts w:hint="eastAsia" w:ascii="Times New Roman" w:hAnsi="宋体" w:eastAsia="宋体" w:cs="Times New Roman"/>
                <w:bCs/>
                <w:color w:val="auto"/>
                <w:kern w:val="0"/>
                <w:sz w:val="24"/>
                <w:szCs w:val="24"/>
                <w:lang w:val="en-US" w:eastAsia="zh-CN" w:bidi="ar-SA"/>
              </w:rPr>
              <w:t>润滑油</w:t>
            </w:r>
          </w:p>
        </w:tc>
        <w:tc>
          <w:tcPr>
            <w:tcW w:w="1600" w:type="dxa"/>
            <w:noWrap w:val="0"/>
            <w:vAlign w:val="center"/>
          </w:tcPr>
          <w:p w14:paraId="555123DD">
            <w:pPr>
              <w:pStyle w:val="49"/>
              <w:bidi w:val="0"/>
              <w:ind w:firstLine="0" w:firstLineChars="0"/>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w:t>
            </w:r>
          </w:p>
        </w:tc>
        <w:tc>
          <w:tcPr>
            <w:tcW w:w="1230" w:type="dxa"/>
            <w:noWrap w:val="0"/>
            <w:vAlign w:val="center"/>
          </w:tcPr>
          <w:p w14:paraId="04742023">
            <w:pPr>
              <w:pStyle w:val="49"/>
              <w:bidi w:val="0"/>
              <w:ind w:firstLine="0" w:firstLineChars="0"/>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w:t>
            </w:r>
          </w:p>
        </w:tc>
        <w:tc>
          <w:tcPr>
            <w:tcW w:w="1756" w:type="dxa"/>
            <w:noWrap w:val="0"/>
            <w:vAlign w:val="center"/>
          </w:tcPr>
          <w:p w14:paraId="0338C3BB">
            <w:pPr>
              <w:pStyle w:val="49"/>
              <w:bidi w:val="0"/>
              <w:ind w:firstLine="0" w:firstLineChars="0"/>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w:t>
            </w:r>
          </w:p>
        </w:tc>
        <w:tc>
          <w:tcPr>
            <w:tcW w:w="1540" w:type="dxa"/>
            <w:noWrap w:val="0"/>
            <w:vAlign w:val="center"/>
          </w:tcPr>
          <w:p w14:paraId="0941F35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lang w:val="en-US" w:eastAsia="zh-CN"/>
              </w:rPr>
              <w:t>1.2</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758" w:type="dxa"/>
            <w:noWrap w:val="0"/>
            <w:vAlign w:val="center"/>
          </w:tcPr>
          <w:p w14:paraId="09193B75">
            <w:pPr>
              <w:pStyle w:val="49"/>
              <w:bidi w:val="0"/>
              <w:ind w:firstLine="0" w:firstLineChars="0"/>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w:t>
            </w:r>
          </w:p>
        </w:tc>
        <w:tc>
          <w:tcPr>
            <w:tcW w:w="1796" w:type="dxa"/>
            <w:noWrap w:val="0"/>
            <w:vAlign w:val="center"/>
          </w:tcPr>
          <w:p w14:paraId="7B732AD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Cs/>
                <w:color w:val="auto"/>
                <w:kern w:val="0"/>
                <w:sz w:val="24"/>
                <w:szCs w:val="24"/>
                <w:lang w:val="en-US" w:eastAsia="zh-CN"/>
              </w:rPr>
              <w:t>1.2</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257" w:type="dxa"/>
            <w:noWrap w:val="0"/>
            <w:vAlign w:val="center"/>
          </w:tcPr>
          <w:p w14:paraId="61280D9E">
            <w:pPr>
              <w:pStyle w:val="49"/>
              <w:bidi w:val="0"/>
              <w:ind w:firstLine="0" w:firstLineChars="0"/>
              <w:rPr>
                <w:rFonts w:hint="eastAsia"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snapToGrid w:val="0"/>
                <w:color w:val="auto"/>
                <w:kern w:val="21"/>
                <w:sz w:val="24"/>
                <w:szCs w:val="24"/>
                <w:highlight w:val="none"/>
                <w:lang w:val="en-US" w:eastAsia="zh-CN" w:bidi="ar-SA"/>
              </w:rPr>
              <w:t>/</w:t>
            </w:r>
          </w:p>
        </w:tc>
      </w:tr>
      <w:tr w14:paraId="2BBEE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vMerge w:val="continue"/>
            <w:noWrap w:val="0"/>
            <w:vAlign w:val="center"/>
          </w:tcPr>
          <w:p w14:paraId="7CFFE408">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4"/>
                <w:szCs w:val="24"/>
                <w:highlight w:val="none"/>
              </w:rPr>
            </w:pPr>
          </w:p>
        </w:tc>
        <w:tc>
          <w:tcPr>
            <w:tcW w:w="1732" w:type="dxa"/>
            <w:noWrap w:val="0"/>
            <w:vAlign w:val="center"/>
          </w:tcPr>
          <w:p w14:paraId="0D740A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Cs/>
                <w:color w:val="auto"/>
                <w:kern w:val="0"/>
                <w:sz w:val="24"/>
                <w:szCs w:val="24"/>
                <w:lang w:val="en-US" w:eastAsia="zh-CN" w:bidi="ar-SA"/>
              </w:rPr>
              <w:t>含油抹布、手套</w:t>
            </w:r>
          </w:p>
        </w:tc>
        <w:tc>
          <w:tcPr>
            <w:tcW w:w="1600" w:type="dxa"/>
            <w:noWrap w:val="0"/>
            <w:vAlign w:val="center"/>
          </w:tcPr>
          <w:p w14:paraId="5B4AD8EF">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230" w:type="dxa"/>
            <w:noWrap w:val="0"/>
            <w:vAlign w:val="center"/>
          </w:tcPr>
          <w:p w14:paraId="70D3B671">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56" w:type="dxa"/>
            <w:noWrap w:val="0"/>
            <w:vAlign w:val="center"/>
          </w:tcPr>
          <w:p w14:paraId="3D64636C">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540" w:type="dxa"/>
            <w:noWrap w:val="0"/>
            <w:vAlign w:val="center"/>
          </w:tcPr>
          <w:p w14:paraId="71BD8AB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Cs/>
                <w:color w:val="auto"/>
                <w:kern w:val="0"/>
                <w:sz w:val="24"/>
                <w:szCs w:val="24"/>
                <w:lang w:val="en-US" w:eastAsia="zh-CN"/>
              </w:rPr>
              <w:t>0.01</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758" w:type="dxa"/>
            <w:noWrap w:val="0"/>
            <w:vAlign w:val="center"/>
          </w:tcPr>
          <w:p w14:paraId="65859DA2">
            <w:pPr>
              <w:pStyle w:val="49"/>
              <w:bidi w:val="0"/>
              <w:ind w:firstLine="0" w:firstLineChars="0"/>
              <w:rPr>
                <w:rFonts w:hint="default"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96" w:type="dxa"/>
            <w:noWrap w:val="0"/>
            <w:vAlign w:val="center"/>
          </w:tcPr>
          <w:p w14:paraId="33E0044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Cs/>
                <w:color w:val="auto"/>
                <w:kern w:val="0"/>
                <w:sz w:val="24"/>
                <w:szCs w:val="24"/>
                <w:lang w:val="en-US" w:eastAsia="zh-CN"/>
              </w:rPr>
              <w:t>0.01</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257" w:type="dxa"/>
            <w:noWrap w:val="0"/>
            <w:vAlign w:val="center"/>
          </w:tcPr>
          <w:p w14:paraId="051A4D4A">
            <w:pPr>
              <w:pStyle w:val="49"/>
              <w:bidi w:val="0"/>
              <w:ind w:firstLine="0" w:firstLineChars="0"/>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r>
      <w:tr w14:paraId="6AC18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0" w:type="dxa"/>
            <w:vMerge w:val="continue"/>
            <w:noWrap w:val="0"/>
            <w:vAlign w:val="center"/>
          </w:tcPr>
          <w:p w14:paraId="513F754F">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sz w:val="24"/>
                <w:szCs w:val="24"/>
                <w:highlight w:val="none"/>
              </w:rPr>
            </w:pPr>
          </w:p>
        </w:tc>
        <w:tc>
          <w:tcPr>
            <w:tcW w:w="1732" w:type="dxa"/>
            <w:noWrap w:val="0"/>
            <w:vAlign w:val="center"/>
          </w:tcPr>
          <w:p w14:paraId="3AE84E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Cs/>
                <w:color w:val="auto"/>
                <w:kern w:val="0"/>
                <w:sz w:val="24"/>
                <w:szCs w:val="24"/>
                <w:lang w:val="en-US" w:eastAsia="zh-CN" w:bidi="ar-SA"/>
              </w:rPr>
              <w:t>废油桶</w:t>
            </w:r>
          </w:p>
        </w:tc>
        <w:tc>
          <w:tcPr>
            <w:tcW w:w="1600" w:type="dxa"/>
            <w:noWrap w:val="0"/>
            <w:vAlign w:val="center"/>
          </w:tcPr>
          <w:p w14:paraId="20C08D63">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w:t>
            </w:r>
          </w:p>
        </w:tc>
        <w:tc>
          <w:tcPr>
            <w:tcW w:w="1230" w:type="dxa"/>
            <w:noWrap w:val="0"/>
            <w:vAlign w:val="center"/>
          </w:tcPr>
          <w:p w14:paraId="514EAD22">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w:t>
            </w:r>
          </w:p>
        </w:tc>
        <w:tc>
          <w:tcPr>
            <w:tcW w:w="1756" w:type="dxa"/>
            <w:noWrap w:val="0"/>
            <w:vAlign w:val="center"/>
          </w:tcPr>
          <w:p w14:paraId="266D8B0B">
            <w:pPr>
              <w:pStyle w:val="58"/>
              <w:keepNext w:val="0"/>
              <w:keepLines w:val="0"/>
              <w:pageBreakBefore w:val="0"/>
              <w:widowControl/>
              <w:kinsoku/>
              <w:wordWrap/>
              <w:overflowPunct/>
              <w:topLinePunct w:val="0"/>
              <w:autoSpaceDE/>
              <w:autoSpaceDN/>
              <w:bidi w:val="0"/>
              <w:spacing w:beforeLines="0" w:afterLines="0" w:line="240" w:lineRule="auto"/>
              <w:ind w:left="0" w:leftChars="0" w:firstLine="0" w:firstLineChars="0"/>
              <w:textAlignment w:val="auto"/>
              <w:rPr>
                <w:rFonts w:hint="eastAsia"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w:t>
            </w:r>
          </w:p>
        </w:tc>
        <w:tc>
          <w:tcPr>
            <w:tcW w:w="1540" w:type="dxa"/>
            <w:noWrap w:val="0"/>
            <w:vAlign w:val="center"/>
          </w:tcPr>
          <w:p w14:paraId="592A73E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Cs/>
                <w:color w:val="auto"/>
                <w:kern w:val="0"/>
                <w:sz w:val="24"/>
                <w:szCs w:val="24"/>
                <w:lang w:val="en-US" w:eastAsia="zh-CN"/>
              </w:rPr>
              <w:t>0.5</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758" w:type="dxa"/>
            <w:noWrap w:val="0"/>
            <w:vAlign w:val="center"/>
          </w:tcPr>
          <w:p w14:paraId="0E94AFD0">
            <w:pPr>
              <w:pStyle w:val="49"/>
              <w:bidi w:val="0"/>
              <w:ind w:firstLine="0" w:firstLineChars="0"/>
              <w:rPr>
                <w:rFonts w:hint="eastAsia"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c>
          <w:tcPr>
            <w:tcW w:w="1796" w:type="dxa"/>
            <w:noWrap w:val="0"/>
            <w:vAlign w:val="center"/>
          </w:tcPr>
          <w:p w14:paraId="5F21C35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eastAsia" w:ascii="Times New Roman" w:hAnsi="Times New Roman" w:eastAsia="宋体" w:cs="Times New Roman"/>
                <w:bCs/>
                <w:color w:val="auto"/>
                <w:kern w:val="0"/>
                <w:sz w:val="24"/>
                <w:szCs w:val="24"/>
                <w:lang w:val="en-US" w:eastAsia="zh-CN"/>
              </w:rPr>
              <w:t>0.5</w:t>
            </w:r>
            <w:r>
              <w:rPr>
                <w:rFonts w:hint="eastAsia" w:ascii="Times New Roman" w:hAnsi="Times New Roman" w:eastAsia="宋体" w:cs="Times New Roman"/>
                <w:b w:val="0"/>
                <w:bCs w:val="0"/>
                <w:snapToGrid w:val="0"/>
                <w:color w:val="auto"/>
                <w:kern w:val="21"/>
                <w:sz w:val="24"/>
                <w:szCs w:val="24"/>
                <w:highlight w:val="none"/>
                <w:lang w:val="en-US" w:eastAsia="zh-CN" w:bidi="ar-SA"/>
              </w:rPr>
              <w:t>t/a</w:t>
            </w:r>
          </w:p>
        </w:tc>
        <w:tc>
          <w:tcPr>
            <w:tcW w:w="1257" w:type="dxa"/>
            <w:noWrap w:val="0"/>
            <w:vAlign w:val="center"/>
          </w:tcPr>
          <w:p w14:paraId="0AA9E2DB">
            <w:pPr>
              <w:pStyle w:val="49"/>
              <w:bidi w:val="0"/>
              <w:ind w:firstLine="0" w:firstLineChars="0"/>
              <w:rPr>
                <w:rFonts w:hint="eastAsia" w:ascii="Times New Roman" w:hAnsi="Times New Roman" w:eastAsia="宋体" w:cs="Times New Roman"/>
                <w:b w:val="0"/>
                <w:bCs w:val="0"/>
                <w:snapToGrid w:val="0"/>
                <w:color w:val="auto"/>
                <w:kern w:val="21"/>
                <w:sz w:val="24"/>
                <w:szCs w:val="24"/>
                <w:highlight w:val="none"/>
                <w:lang w:val="en-US" w:eastAsia="zh-CN" w:bidi="ar-SA"/>
              </w:rPr>
            </w:pPr>
            <w:r>
              <w:rPr>
                <w:rFonts w:hint="default" w:ascii="Times New Roman" w:hAnsi="Times New Roman" w:eastAsia="宋体" w:cs="Times New Roman"/>
                <w:b w:val="0"/>
                <w:bCs w:val="0"/>
                <w:snapToGrid w:val="0"/>
                <w:color w:val="auto"/>
                <w:kern w:val="21"/>
                <w:sz w:val="24"/>
                <w:szCs w:val="24"/>
                <w:highlight w:val="none"/>
                <w:lang w:val="en-US" w:eastAsia="zh-CN" w:bidi="ar-SA"/>
              </w:rPr>
              <w:t>/</w:t>
            </w:r>
          </w:p>
        </w:tc>
      </w:tr>
    </w:tbl>
    <w:p w14:paraId="383868D5">
      <w:pPr>
        <w:pStyle w:val="58"/>
        <w:keepNext w:val="0"/>
        <w:keepLines w:val="0"/>
        <w:pageBreakBefore w:val="0"/>
        <w:widowControl/>
        <w:kinsoku/>
        <w:wordWrap/>
        <w:overflowPunct/>
        <w:topLinePunct w:val="0"/>
        <w:autoSpaceDE/>
        <w:autoSpaceDN/>
        <w:bidi w:val="0"/>
        <w:adjustRightInd w:val="0"/>
        <w:snapToGrid w:val="0"/>
        <w:spacing w:beforeLines="0" w:afterLines="0" w:line="240" w:lineRule="auto"/>
        <w:ind w:left="0"/>
        <w:jc w:val="left"/>
        <w:textAlignment w:val="auto"/>
        <w:outlineLvl w:val="0"/>
        <w:rPr>
          <w:rFonts w:hint="default" w:ascii="Times New Roman" w:hAnsi="Times New Roman" w:eastAsia="宋体" w:cs="Times New Roman"/>
          <w:color w:val="auto"/>
          <w:lang w:val="en-US" w:eastAsia="zh-CN"/>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bookmarkEnd w:id="34"/>
      <w:bookmarkEnd w:id="35"/>
    </w:p>
    <w:sectPr>
      <w:footerReference r:id="rId14" w:type="default"/>
      <w:pgSz w:w="16838" w:h="11905" w:orient="landscape"/>
      <w:pgMar w:top="1587" w:right="1247" w:bottom="1247" w:left="1247" w:header="851" w:footer="85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宋体`.....">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auto"/>
    <w:pitch w:val="default"/>
    <w:sig w:usb0="00000001" w:usb1="080E0000" w:usb2="00000000" w:usb3="00000000" w:csb0="00040000" w:csb1="00000000"/>
  </w:font>
  <w:font w:name="TimesNewRomanPS-BoldM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7BC3E">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1F02C5"/>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S/jPTLAQAAnAMAAA4AAAAAAAAAAQAgAAAAHgEAAGRycy9lMm9E&#10;b2MueG1sUEsFBgAAAAAGAAYAWQEAAFsFAAAAAA==&#10;">
              <v:fill on="f" focussize="0,0"/>
              <v:stroke on="f"/>
              <v:imagedata o:title=""/>
              <o:lock v:ext="edit" aspectratio="f"/>
              <v:textbox inset="0mm,0mm,0mm,0mm" style="mso-fit-shape-to-text:t;">
                <w:txbxContent>
                  <w:p w14:paraId="701F02C5"/>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32928">
    <w:pPr>
      <w:pStyle w:val="20"/>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9D6FAA">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wrap="none" lIns="0" tIns="0" rIns="0" bIns="0" upright="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0y9a/LAQAAnAMAAA4AAAAAAAAAAQAgAAAAHgEAAGRycy9lMm9E&#10;b2MueG1sUEsFBgAAAAAGAAYAWQEAAFsFAAAAAA==&#10;">
              <v:fill on="f" focussize="0,0"/>
              <v:stroke on="f"/>
              <v:imagedata o:title=""/>
              <o:lock v:ext="edit" aspectratio="f"/>
              <v:textbox inset="0mm,0mm,0mm,0mm" style="mso-fit-shape-to-text:t;">
                <w:txbxContent>
                  <w:p w14:paraId="549D6FAA">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2D4CF">
    <w:pPr>
      <w:pStyle w:val="20"/>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51D185">
                          <w:pPr>
                            <w:pStyle w:val="20"/>
                            <w:keepNext w:val="0"/>
                            <w:keepLines w:val="0"/>
                            <w:pageBreakBefore w:val="0"/>
                            <w:widowControl w:val="0"/>
                            <w:kinsoku/>
                            <w:wordWrap/>
                            <w:overflowPunct/>
                            <w:topLinePunct w:val="0"/>
                            <w:bidi w:val="0"/>
                            <w:adjustRightInd/>
                            <w:snapToGrid w:val="0"/>
                            <w:ind w:firstLine="0" w:firstLineChars="0"/>
                            <w:textAlignment w:val="auto"/>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FFZIFjgAQAAwQMAAA4AAAAA&#10;AAAAAQAgAAAAHgEAAGRycy9lMm9Eb2MueG1sUEsFBgAAAAAGAAYAWQEAAHAFAAAAAA==&#10;">
              <v:fill on="f" focussize="0,0"/>
              <v:stroke on="f"/>
              <v:imagedata o:title=""/>
              <o:lock v:ext="edit" aspectratio="f"/>
              <v:textbox inset="0mm,0mm,0mm,0mm" style="mso-fit-shape-to-text:t;">
                <w:txbxContent>
                  <w:p w14:paraId="0451D185">
                    <w:pPr>
                      <w:pStyle w:val="20"/>
                      <w:keepNext w:val="0"/>
                      <w:keepLines w:val="0"/>
                      <w:pageBreakBefore w:val="0"/>
                      <w:widowControl w:val="0"/>
                      <w:kinsoku/>
                      <w:wordWrap/>
                      <w:overflowPunct/>
                      <w:topLinePunct w:val="0"/>
                      <w:bidi w:val="0"/>
                      <w:adjustRightInd/>
                      <w:snapToGrid w:val="0"/>
                      <w:ind w:firstLine="0" w:firstLineChars="0"/>
                      <w:textAlignment w:val="auto"/>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6333A">
    <w:pPr>
      <w:pStyle w:val="20"/>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3C4406">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e+aHgAQAAwQMAAA4AAAAA&#10;AAAAAQAgAAAAHgEAAGRycy9lMm9Eb2MueG1sUEsFBgAAAAAGAAYAWQEAAHAFAAAAAA==&#10;">
              <v:fill on="f" focussize="0,0"/>
              <v:stroke on="f"/>
              <v:imagedata o:title=""/>
              <o:lock v:ext="edit" aspectratio="f"/>
              <v:textbox inset="0mm,0mm,0mm,0mm" style="mso-fit-shape-to-text:t;">
                <w:txbxContent>
                  <w:p w14:paraId="003C4406">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2DD52">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AB2E91">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GwitHvgAQAAwQMAAA4AAAAA&#10;AAAAAQAgAAAAHgEAAGRycy9lMm9Eb2MueG1sUEsFBgAAAAAGAAYAWQEAAHAFAAAAAA==&#10;">
              <v:fill on="f" focussize="0,0"/>
              <v:stroke on="f"/>
              <v:imagedata o:title=""/>
              <o:lock v:ext="edit" aspectratio="f"/>
              <v:textbox inset="0mm,0mm,0mm,0mm" style="mso-fit-shape-to-text:t;">
                <w:txbxContent>
                  <w:p w14:paraId="6EAB2E91">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3A1A1">
    <w:pPr>
      <w:pStyle w:val="20"/>
      <w:ind w:right="360"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BEC0E0">
                          <w:pPr>
                            <w:pStyle w:val="20"/>
                          </w:pPr>
                          <w:r>
                            <w:fldChar w:fldCharType="begin"/>
                          </w:r>
                          <w:r>
                            <w:instrText xml:space="preserve"> PAGE  \* MERGEFORMAT </w:instrText>
                          </w:r>
                          <w:r>
                            <w:fldChar w:fldCharType="separate"/>
                          </w:r>
                          <w:r>
                            <w:t>65</w:t>
                          </w:r>
                          <w:r>
                            <w:fldChar w:fldCharType="end"/>
                          </w:r>
                        </w:p>
                      </w:txbxContent>
                    </wps:txbx>
                    <wps:bodyPr vert="horz" wrap="none" lIns="0" tIns="0" rIns="0" bIns="0" anchor="t" anchorCtr="0" upright="0">
                      <a:spAutoFit/>
                    </wps:bodyPr>
                  </wps:wsp>
                </a:graphicData>
              </a:graphic>
            </wp:anchor>
          </w:drawing>
        </mc:Choice>
        <mc:Fallback>
          <w:pict>
            <v:shape id="文本框 1040"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BJp+3d8BAADCAwAADgAAAAAA&#10;AAABACAAAAAeAQAAZHJzL2Uyb0RvYy54bWxQSwUGAAAAAAYABgBZAQAAbwUAAAAA&#10;">
              <v:fill on="f" focussize="0,0"/>
              <v:stroke on="f"/>
              <v:imagedata o:title=""/>
              <o:lock v:ext="edit" aspectratio="f"/>
              <v:textbox inset="0mm,0mm,0mm,0mm" style="mso-fit-shape-to-text:t;">
                <w:txbxContent>
                  <w:p w14:paraId="5FBEC0E0">
                    <w:pPr>
                      <w:pStyle w:val="20"/>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ACF90">
    <w:pPr>
      <w:pStyle w:val="21"/>
      <w:pBdr>
        <w:top w:val="none" w:color="auto" w:sz="0" w:space="0"/>
        <w:left w:val="none" w:color="auto" w:sz="0" w:space="0"/>
        <w:bottom w:val="none" w:color="auto" w:sz="0" w:space="1"/>
        <w:right w:val="none" w:color="auto" w:sz="0" w:space="0"/>
        <w:between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879B8">
    <w:pPr>
      <w:pStyle w:val="21"/>
      <w:pBdr>
        <w:top w:val="none" w:color="auto" w:sz="0" w:space="0"/>
        <w:left w:val="none" w:color="auto" w:sz="0" w:space="0"/>
        <w:bottom w:val="none" w:color="auto" w:sz="0" w:space="1"/>
        <w:right w:val="none" w:color="auto" w:sz="0" w:space="0"/>
        <w:between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3CF7F">
    <w:pPr>
      <w:pStyle w:val="21"/>
      <w:pBdr>
        <w:top w:val="none" w:color="auto" w:sz="0" w:space="0"/>
        <w:left w:val="none" w:color="auto" w:sz="0" w:space="0"/>
        <w:bottom w:val="none" w:color="auto" w:sz="0" w:space="1"/>
        <w:right w:val="none" w:color="auto" w:sz="0" w:space="0"/>
        <w:between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22595">
    <w:pPr>
      <w:pStyle w:val="21"/>
      <w:pBdr>
        <w:top w:val="none" w:color="auto" w:sz="0" w:space="0"/>
        <w:left w:val="none" w:color="auto" w:sz="0" w:space="0"/>
        <w:bottom w:val="none" w:color="auto" w:sz="0" w:space="1"/>
        <w:right w:val="none" w:color="auto" w:sz="0" w:space="0"/>
        <w:between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DA352"/>
    <w:multiLevelType w:val="singleLevel"/>
    <w:tmpl w:val="827DA352"/>
    <w:lvl w:ilvl="0" w:tentative="0">
      <w:start w:val="2"/>
      <w:numFmt w:val="chineseCounting"/>
      <w:suff w:val="nothing"/>
      <w:lvlText w:val="%1、"/>
      <w:lvlJc w:val="left"/>
      <w:rPr>
        <w:rFonts w:hint="eastAsia"/>
      </w:rPr>
    </w:lvl>
  </w:abstractNum>
  <w:abstractNum w:abstractNumId="1">
    <w:nsid w:val="87CEF440"/>
    <w:multiLevelType w:val="singleLevel"/>
    <w:tmpl w:val="87CEF440"/>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2">
    <w:nsid w:val="B3C616B3"/>
    <w:multiLevelType w:val="singleLevel"/>
    <w:tmpl w:val="B3C616B3"/>
    <w:lvl w:ilvl="0" w:tentative="0">
      <w:start w:val="1"/>
      <w:numFmt w:val="decimal"/>
      <w:suff w:val="nothing"/>
      <w:lvlText w:val="%1）"/>
      <w:lvlJc w:val="left"/>
    </w:lvl>
  </w:abstractNum>
  <w:abstractNum w:abstractNumId="3">
    <w:nsid w:val="C954DB09"/>
    <w:multiLevelType w:val="singleLevel"/>
    <w:tmpl w:val="C954DB09"/>
    <w:lvl w:ilvl="0" w:tentative="0">
      <w:start w:val="1"/>
      <w:numFmt w:val="decimal"/>
      <w:suff w:val="nothing"/>
      <w:lvlText w:val="（%1）"/>
      <w:lvlJc w:val="left"/>
      <w:rPr>
        <w:rFonts w:hint="default"/>
        <w:b/>
        <w:bCs/>
      </w:rPr>
    </w:lvl>
  </w:abstractNum>
  <w:abstractNum w:abstractNumId="4">
    <w:nsid w:val="C9A62373"/>
    <w:multiLevelType w:val="singleLevel"/>
    <w:tmpl w:val="C9A62373"/>
    <w:lvl w:ilvl="0" w:tentative="0">
      <w:start w:val="2"/>
      <w:numFmt w:val="decimal"/>
      <w:suff w:val="nothing"/>
      <w:lvlText w:val="（%1）"/>
      <w:lvlJc w:val="left"/>
    </w:lvl>
  </w:abstractNum>
  <w:abstractNum w:abstractNumId="5">
    <w:nsid w:val="2840E27F"/>
    <w:multiLevelType w:val="singleLevel"/>
    <w:tmpl w:val="2840E27F"/>
    <w:lvl w:ilvl="0" w:tentative="0">
      <w:start w:val="1"/>
      <w:numFmt w:val="decimalEnclosedCircleChinese"/>
      <w:suff w:val="space"/>
      <w:lvlText w:val="%1"/>
      <w:lvlJc w:val="left"/>
      <w:rPr>
        <w:rFonts w:hint="eastAsia"/>
      </w:rPr>
    </w:lvl>
  </w:abstractNum>
  <w:abstractNum w:abstractNumId="6">
    <w:nsid w:val="2FF766C6"/>
    <w:multiLevelType w:val="singleLevel"/>
    <w:tmpl w:val="2FF766C6"/>
    <w:lvl w:ilvl="0" w:tentative="0">
      <w:start w:val="1"/>
      <w:numFmt w:val="decimal"/>
      <w:suff w:val="nothing"/>
      <w:lvlText w:val="（%1）"/>
      <w:lvlJc w:val="left"/>
    </w:lvl>
  </w:abstractNum>
  <w:abstractNum w:abstractNumId="7">
    <w:nsid w:val="333860C4"/>
    <w:multiLevelType w:val="singleLevel"/>
    <w:tmpl w:val="333860C4"/>
    <w:lvl w:ilvl="0" w:tentative="0">
      <w:start w:val="2"/>
      <w:numFmt w:val="decimal"/>
      <w:suff w:val="nothing"/>
      <w:lvlText w:val="%1）"/>
      <w:lvlJc w:val="left"/>
    </w:lvl>
  </w:abstractNum>
  <w:abstractNum w:abstractNumId="8">
    <w:nsid w:val="66F75BD5"/>
    <w:multiLevelType w:val="multilevel"/>
    <w:tmpl w:val="66F75BD5"/>
    <w:lvl w:ilvl="0" w:tentative="0">
      <w:start w:val="1"/>
      <w:numFmt w:val="decimal"/>
      <w:suff w:val="nothing"/>
      <w:lvlText w:val="%1."/>
      <w:lvlJc w:val="left"/>
      <w:pPr>
        <w:ind w:left="425" w:hanging="425"/>
      </w:pPr>
      <w:rPr>
        <w:rFonts w:hint="eastAsia"/>
      </w:rPr>
    </w:lvl>
    <w:lvl w:ilvl="1" w:tentative="0">
      <w:start w:val="1"/>
      <w:numFmt w:val="decimal"/>
      <w:suff w:val="nothing"/>
      <w:lvlText w:val="%1.%2."/>
      <w:lvlJc w:val="left"/>
      <w:pPr>
        <w:ind w:left="567" w:hanging="567"/>
      </w:pPr>
      <w:rPr>
        <w:rFonts w:hint="eastAsia"/>
      </w:rPr>
    </w:lvl>
    <w:lvl w:ilvl="2" w:tentative="0">
      <w:start w:val="1"/>
      <w:numFmt w:val="decimal"/>
      <w:suff w:val="nothing"/>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
    <w:nsid w:val="798EE0DA"/>
    <w:multiLevelType w:val="singleLevel"/>
    <w:tmpl w:val="798EE0DA"/>
    <w:lvl w:ilvl="0" w:tentative="0">
      <w:start w:val="3"/>
      <w:numFmt w:val="chineseCounting"/>
      <w:suff w:val="nothing"/>
      <w:lvlText w:val="（%1）"/>
      <w:lvlJc w:val="left"/>
      <w:rPr>
        <w:rFonts w:hint="eastAsia"/>
      </w:rPr>
    </w:lvl>
  </w:abstractNum>
  <w:num w:numId="1">
    <w:abstractNumId w:val="1"/>
  </w:num>
  <w:num w:numId="2">
    <w:abstractNumId w:val="6"/>
  </w:num>
  <w:num w:numId="3">
    <w:abstractNumId w:val="5"/>
  </w:num>
  <w:num w:numId="4">
    <w:abstractNumId w:val="3"/>
  </w:num>
  <w:num w:numId="5">
    <w:abstractNumId w:val="8"/>
  </w:num>
  <w:num w:numId="6">
    <w:abstractNumId w:val="4"/>
  </w:num>
  <w:num w:numId="7">
    <w:abstractNumId w:val="0"/>
  </w:num>
  <w:num w:numId="8">
    <w:abstractNumId w:val="9"/>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24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FmNjFkOTc0ZjcwODUxOGViYmI3NDRiMWI5YWY5MjYifQ=="/>
  </w:docVars>
  <w:rsids>
    <w:rsidRoot w:val="00172A27"/>
    <w:rsid w:val="000060B3"/>
    <w:rsid w:val="00011645"/>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380D"/>
    <w:rsid w:val="00314F0E"/>
    <w:rsid w:val="00321D8E"/>
    <w:rsid w:val="00325928"/>
    <w:rsid w:val="00332863"/>
    <w:rsid w:val="0033684D"/>
    <w:rsid w:val="00337B42"/>
    <w:rsid w:val="00337D90"/>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D77C9"/>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F551E"/>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444C8"/>
    <w:rsid w:val="0095155F"/>
    <w:rsid w:val="00954429"/>
    <w:rsid w:val="009563CE"/>
    <w:rsid w:val="00964123"/>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D4A6C"/>
    <w:rsid w:val="009E227D"/>
    <w:rsid w:val="009E5019"/>
    <w:rsid w:val="00A04F1B"/>
    <w:rsid w:val="00A0501B"/>
    <w:rsid w:val="00A14947"/>
    <w:rsid w:val="00A27882"/>
    <w:rsid w:val="00A32A83"/>
    <w:rsid w:val="00A368DB"/>
    <w:rsid w:val="00A423AA"/>
    <w:rsid w:val="00A53EC6"/>
    <w:rsid w:val="00A55C0F"/>
    <w:rsid w:val="00A57859"/>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3DA4"/>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07CF"/>
    <w:rsid w:val="00F9212D"/>
    <w:rsid w:val="00F965DA"/>
    <w:rsid w:val="00FA406A"/>
    <w:rsid w:val="00FB503A"/>
    <w:rsid w:val="00FB516C"/>
    <w:rsid w:val="00FD0236"/>
    <w:rsid w:val="00FD18F4"/>
    <w:rsid w:val="00FD54DB"/>
    <w:rsid w:val="00FD619F"/>
    <w:rsid w:val="0100054E"/>
    <w:rsid w:val="01085094"/>
    <w:rsid w:val="011F7F43"/>
    <w:rsid w:val="01290F7E"/>
    <w:rsid w:val="014063FE"/>
    <w:rsid w:val="01430BE7"/>
    <w:rsid w:val="01455A42"/>
    <w:rsid w:val="015D1E09"/>
    <w:rsid w:val="01631969"/>
    <w:rsid w:val="01634939"/>
    <w:rsid w:val="017772A6"/>
    <w:rsid w:val="018B22D7"/>
    <w:rsid w:val="01913DF5"/>
    <w:rsid w:val="01924B58"/>
    <w:rsid w:val="019D55FE"/>
    <w:rsid w:val="01E63F53"/>
    <w:rsid w:val="0217097D"/>
    <w:rsid w:val="022A6766"/>
    <w:rsid w:val="022B54E8"/>
    <w:rsid w:val="022C24DE"/>
    <w:rsid w:val="02642E17"/>
    <w:rsid w:val="02697903"/>
    <w:rsid w:val="026A1507"/>
    <w:rsid w:val="026E2AF7"/>
    <w:rsid w:val="02840131"/>
    <w:rsid w:val="029022B2"/>
    <w:rsid w:val="02925F33"/>
    <w:rsid w:val="029F53A6"/>
    <w:rsid w:val="02BF02CB"/>
    <w:rsid w:val="02E142F0"/>
    <w:rsid w:val="02E76B1E"/>
    <w:rsid w:val="02EA167E"/>
    <w:rsid w:val="02F96569"/>
    <w:rsid w:val="02FB4424"/>
    <w:rsid w:val="0305437B"/>
    <w:rsid w:val="031B4789"/>
    <w:rsid w:val="0323246D"/>
    <w:rsid w:val="033F6241"/>
    <w:rsid w:val="034744E1"/>
    <w:rsid w:val="0355335C"/>
    <w:rsid w:val="03653EFA"/>
    <w:rsid w:val="03734F68"/>
    <w:rsid w:val="03887BE8"/>
    <w:rsid w:val="038A6243"/>
    <w:rsid w:val="038F71C9"/>
    <w:rsid w:val="0397607D"/>
    <w:rsid w:val="039F78D2"/>
    <w:rsid w:val="03C373E3"/>
    <w:rsid w:val="03C926DB"/>
    <w:rsid w:val="03CB07E1"/>
    <w:rsid w:val="03DB0534"/>
    <w:rsid w:val="03E06D69"/>
    <w:rsid w:val="03E759AB"/>
    <w:rsid w:val="03EA7B21"/>
    <w:rsid w:val="03F03059"/>
    <w:rsid w:val="03F67248"/>
    <w:rsid w:val="04104A24"/>
    <w:rsid w:val="04274CE8"/>
    <w:rsid w:val="042E54A7"/>
    <w:rsid w:val="04337DBE"/>
    <w:rsid w:val="043465CE"/>
    <w:rsid w:val="043C5F8E"/>
    <w:rsid w:val="04417874"/>
    <w:rsid w:val="04461020"/>
    <w:rsid w:val="04787C5D"/>
    <w:rsid w:val="04913ABD"/>
    <w:rsid w:val="04C37B39"/>
    <w:rsid w:val="04C85C03"/>
    <w:rsid w:val="04CA3C20"/>
    <w:rsid w:val="04CD2551"/>
    <w:rsid w:val="04D8694C"/>
    <w:rsid w:val="04D92B2F"/>
    <w:rsid w:val="04F80D9E"/>
    <w:rsid w:val="04FD37FB"/>
    <w:rsid w:val="05112F12"/>
    <w:rsid w:val="05163C1F"/>
    <w:rsid w:val="05324B70"/>
    <w:rsid w:val="05341DD6"/>
    <w:rsid w:val="054118AA"/>
    <w:rsid w:val="05500DE3"/>
    <w:rsid w:val="05516375"/>
    <w:rsid w:val="055A12B2"/>
    <w:rsid w:val="05737CC1"/>
    <w:rsid w:val="0577131F"/>
    <w:rsid w:val="058C1C12"/>
    <w:rsid w:val="05916831"/>
    <w:rsid w:val="05981637"/>
    <w:rsid w:val="05AF5900"/>
    <w:rsid w:val="05B4479C"/>
    <w:rsid w:val="05B81B56"/>
    <w:rsid w:val="05BB42A5"/>
    <w:rsid w:val="05EE07A1"/>
    <w:rsid w:val="05F17CC7"/>
    <w:rsid w:val="05F41565"/>
    <w:rsid w:val="05F501C5"/>
    <w:rsid w:val="05F83EAE"/>
    <w:rsid w:val="05FF75B0"/>
    <w:rsid w:val="061F6062"/>
    <w:rsid w:val="0627193B"/>
    <w:rsid w:val="063E7D85"/>
    <w:rsid w:val="064249C6"/>
    <w:rsid w:val="064A71A6"/>
    <w:rsid w:val="067032E2"/>
    <w:rsid w:val="06727064"/>
    <w:rsid w:val="068028AC"/>
    <w:rsid w:val="068D7149"/>
    <w:rsid w:val="068E19BA"/>
    <w:rsid w:val="06977104"/>
    <w:rsid w:val="06A374B1"/>
    <w:rsid w:val="06AE678A"/>
    <w:rsid w:val="06B043AE"/>
    <w:rsid w:val="06C569FA"/>
    <w:rsid w:val="06C93710"/>
    <w:rsid w:val="06CA3863"/>
    <w:rsid w:val="06DC2725"/>
    <w:rsid w:val="06DE46EF"/>
    <w:rsid w:val="06EA6EFA"/>
    <w:rsid w:val="06EF6EAB"/>
    <w:rsid w:val="06F25742"/>
    <w:rsid w:val="070523B2"/>
    <w:rsid w:val="0708077B"/>
    <w:rsid w:val="07112AF1"/>
    <w:rsid w:val="07176075"/>
    <w:rsid w:val="071C7E25"/>
    <w:rsid w:val="071F31CA"/>
    <w:rsid w:val="07293586"/>
    <w:rsid w:val="07293D4B"/>
    <w:rsid w:val="07295285"/>
    <w:rsid w:val="07583140"/>
    <w:rsid w:val="07636392"/>
    <w:rsid w:val="077126CC"/>
    <w:rsid w:val="07753DD1"/>
    <w:rsid w:val="07770C56"/>
    <w:rsid w:val="077F2AF1"/>
    <w:rsid w:val="078132CC"/>
    <w:rsid w:val="078A390B"/>
    <w:rsid w:val="078B6B9E"/>
    <w:rsid w:val="078D75E6"/>
    <w:rsid w:val="078D7776"/>
    <w:rsid w:val="07A12019"/>
    <w:rsid w:val="07A55C8C"/>
    <w:rsid w:val="07B520E6"/>
    <w:rsid w:val="07D4164E"/>
    <w:rsid w:val="07D806C6"/>
    <w:rsid w:val="07DB29DD"/>
    <w:rsid w:val="07ED25AB"/>
    <w:rsid w:val="07F51C41"/>
    <w:rsid w:val="07FE6A73"/>
    <w:rsid w:val="082476B1"/>
    <w:rsid w:val="08273E74"/>
    <w:rsid w:val="082B5124"/>
    <w:rsid w:val="0843241C"/>
    <w:rsid w:val="085F5DFB"/>
    <w:rsid w:val="086C1100"/>
    <w:rsid w:val="08711E48"/>
    <w:rsid w:val="088A4403"/>
    <w:rsid w:val="08901219"/>
    <w:rsid w:val="08AD3ED4"/>
    <w:rsid w:val="08B206E0"/>
    <w:rsid w:val="08BA6ECB"/>
    <w:rsid w:val="08BB280E"/>
    <w:rsid w:val="08C020C0"/>
    <w:rsid w:val="08DA3AE0"/>
    <w:rsid w:val="08DF64FD"/>
    <w:rsid w:val="08EE4992"/>
    <w:rsid w:val="09034D6A"/>
    <w:rsid w:val="0907030B"/>
    <w:rsid w:val="090A1E83"/>
    <w:rsid w:val="090C3459"/>
    <w:rsid w:val="091151DF"/>
    <w:rsid w:val="091B5D39"/>
    <w:rsid w:val="092217DD"/>
    <w:rsid w:val="09275462"/>
    <w:rsid w:val="093A7294"/>
    <w:rsid w:val="093B7794"/>
    <w:rsid w:val="0955056D"/>
    <w:rsid w:val="095C5378"/>
    <w:rsid w:val="096612D7"/>
    <w:rsid w:val="097430E9"/>
    <w:rsid w:val="098175B4"/>
    <w:rsid w:val="09A34AFA"/>
    <w:rsid w:val="09A43E33"/>
    <w:rsid w:val="09AA1359"/>
    <w:rsid w:val="09BB5BCC"/>
    <w:rsid w:val="09BB6E1E"/>
    <w:rsid w:val="09C92CB9"/>
    <w:rsid w:val="09D85DFE"/>
    <w:rsid w:val="09DB3168"/>
    <w:rsid w:val="09E7549D"/>
    <w:rsid w:val="09F653ED"/>
    <w:rsid w:val="09F77876"/>
    <w:rsid w:val="0A056833"/>
    <w:rsid w:val="0A0D2147"/>
    <w:rsid w:val="0A1E5B7A"/>
    <w:rsid w:val="0A255CC4"/>
    <w:rsid w:val="0A263993"/>
    <w:rsid w:val="0A283ED3"/>
    <w:rsid w:val="0A2D3AC2"/>
    <w:rsid w:val="0A2E3071"/>
    <w:rsid w:val="0A3110AA"/>
    <w:rsid w:val="0A393108"/>
    <w:rsid w:val="0A3C7BAD"/>
    <w:rsid w:val="0A440BB4"/>
    <w:rsid w:val="0A6413B8"/>
    <w:rsid w:val="0A673CC2"/>
    <w:rsid w:val="0A677E4F"/>
    <w:rsid w:val="0A717EF0"/>
    <w:rsid w:val="0A876E4C"/>
    <w:rsid w:val="0A955BEC"/>
    <w:rsid w:val="0A9A13A1"/>
    <w:rsid w:val="0AA755DF"/>
    <w:rsid w:val="0ABF34B5"/>
    <w:rsid w:val="0ABF5171"/>
    <w:rsid w:val="0ABF78DB"/>
    <w:rsid w:val="0AC77248"/>
    <w:rsid w:val="0AE57A8B"/>
    <w:rsid w:val="0AF91141"/>
    <w:rsid w:val="0B120D44"/>
    <w:rsid w:val="0B15647B"/>
    <w:rsid w:val="0B325009"/>
    <w:rsid w:val="0B3B6B94"/>
    <w:rsid w:val="0B3F3282"/>
    <w:rsid w:val="0B41561B"/>
    <w:rsid w:val="0B512FB6"/>
    <w:rsid w:val="0B6230F5"/>
    <w:rsid w:val="0B631D94"/>
    <w:rsid w:val="0B7D1FFD"/>
    <w:rsid w:val="0B8347F5"/>
    <w:rsid w:val="0B8B1410"/>
    <w:rsid w:val="0B8F10EA"/>
    <w:rsid w:val="0B904305"/>
    <w:rsid w:val="0B92135E"/>
    <w:rsid w:val="0BA154C5"/>
    <w:rsid w:val="0BA406FA"/>
    <w:rsid w:val="0BB53545"/>
    <w:rsid w:val="0BD27BF6"/>
    <w:rsid w:val="0BD31C1D"/>
    <w:rsid w:val="0BF40511"/>
    <w:rsid w:val="0C303083"/>
    <w:rsid w:val="0C3B3C7D"/>
    <w:rsid w:val="0C4455B3"/>
    <w:rsid w:val="0C46551C"/>
    <w:rsid w:val="0C53185E"/>
    <w:rsid w:val="0C61547A"/>
    <w:rsid w:val="0C6A1E71"/>
    <w:rsid w:val="0C82001E"/>
    <w:rsid w:val="0CA14DDD"/>
    <w:rsid w:val="0CA35A93"/>
    <w:rsid w:val="0CAB2EAE"/>
    <w:rsid w:val="0CBC3A23"/>
    <w:rsid w:val="0CD5125A"/>
    <w:rsid w:val="0CE35CBA"/>
    <w:rsid w:val="0CEA5F50"/>
    <w:rsid w:val="0CF77B46"/>
    <w:rsid w:val="0CF90F11"/>
    <w:rsid w:val="0D0522AA"/>
    <w:rsid w:val="0D0943E6"/>
    <w:rsid w:val="0D0B3D64"/>
    <w:rsid w:val="0D3147F4"/>
    <w:rsid w:val="0D353986"/>
    <w:rsid w:val="0D3B46E4"/>
    <w:rsid w:val="0D3F3A0E"/>
    <w:rsid w:val="0D4258E7"/>
    <w:rsid w:val="0D57709A"/>
    <w:rsid w:val="0D621C7D"/>
    <w:rsid w:val="0D6E42F3"/>
    <w:rsid w:val="0D7A53E2"/>
    <w:rsid w:val="0D7F3E0A"/>
    <w:rsid w:val="0D813000"/>
    <w:rsid w:val="0DAB7B78"/>
    <w:rsid w:val="0DAE2941"/>
    <w:rsid w:val="0DAE46EF"/>
    <w:rsid w:val="0DC67C51"/>
    <w:rsid w:val="0DC7332F"/>
    <w:rsid w:val="0DDA653B"/>
    <w:rsid w:val="0DE93979"/>
    <w:rsid w:val="0DF353A1"/>
    <w:rsid w:val="0DFE5677"/>
    <w:rsid w:val="0DFF12C2"/>
    <w:rsid w:val="0E0636C2"/>
    <w:rsid w:val="0E0742D0"/>
    <w:rsid w:val="0E0D7668"/>
    <w:rsid w:val="0E1A3E9B"/>
    <w:rsid w:val="0E1B7FD7"/>
    <w:rsid w:val="0E2F5830"/>
    <w:rsid w:val="0E3D40ED"/>
    <w:rsid w:val="0E3E1A7F"/>
    <w:rsid w:val="0E454BC5"/>
    <w:rsid w:val="0E4B1F3E"/>
    <w:rsid w:val="0E4E46B2"/>
    <w:rsid w:val="0E573E83"/>
    <w:rsid w:val="0E651252"/>
    <w:rsid w:val="0E720520"/>
    <w:rsid w:val="0E73034D"/>
    <w:rsid w:val="0E772D33"/>
    <w:rsid w:val="0E81413F"/>
    <w:rsid w:val="0E8C1734"/>
    <w:rsid w:val="0E8E498A"/>
    <w:rsid w:val="0E953034"/>
    <w:rsid w:val="0E965A9A"/>
    <w:rsid w:val="0EA115D7"/>
    <w:rsid w:val="0EAA3109"/>
    <w:rsid w:val="0EB13A6B"/>
    <w:rsid w:val="0ECA37AB"/>
    <w:rsid w:val="0ED65CAC"/>
    <w:rsid w:val="0ED85EC8"/>
    <w:rsid w:val="0EEC54CF"/>
    <w:rsid w:val="0F13775A"/>
    <w:rsid w:val="0F1B41B4"/>
    <w:rsid w:val="0F2271A6"/>
    <w:rsid w:val="0F294770"/>
    <w:rsid w:val="0F2F5234"/>
    <w:rsid w:val="0F4C5F6E"/>
    <w:rsid w:val="0F5F3EF3"/>
    <w:rsid w:val="0F5F45FE"/>
    <w:rsid w:val="0F706100"/>
    <w:rsid w:val="0F9A112B"/>
    <w:rsid w:val="0FA43FFC"/>
    <w:rsid w:val="0FB0474F"/>
    <w:rsid w:val="0FB604E0"/>
    <w:rsid w:val="0FBE7B0A"/>
    <w:rsid w:val="0FDA30C2"/>
    <w:rsid w:val="0FE9276C"/>
    <w:rsid w:val="0FEB3BE0"/>
    <w:rsid w:val="0FF341F8"/>
    <w:rsid w:val="0FFC5728"/>
    <w:rsid w:val="10002F26"/>
    <w:rsid w:val="10101691"/>
    <w:rsid w:val="101A2510"/>
    <w:rsid w:val="102B29FC"/>
    <w:rsid w:val="102C1C04"/>
    <w:rsid w:val="10304834"/>
    <w:rsid w:val="10401F77"/>
    <w:rsid w:val="104355C3"/>
    <w:rsid w:val="10437371"/>
    <w:rsid w:val="104515D6"/>
    <w:rsid w:val="105F559A"/>
    <w:rsid w:val="1061740B"/>
    <w:rsid w:val="106D2F64"/>
    <w:rsid w:val="106E096F"/>
    <w:rsid w:val="106F3AA7"/>
    <w:rsid w:val="106F63B8"/>
    <w:rsid w:val="107F4121"/>
    <w:rsid w:val="1081433D"/>
    <w:rsid w:val="108F70E4"/>
    <w:rsid w:val="10AB1F4F"/>
    <w:rsid w:val="10B244F7"/>
    <w:rsid w:val="10B63710"/>
    <w:rsid w:val="10BA747F"/>
    <w:rsid w:val="10CD34F7"/>
    <w:rsid w:val="10D15E88"/>
    <w:rsid w:val="10D73C68"/>
    <w:rsid w:val="10DA1E2D"/>
    <w:rsid w:val="10EA5A3E"/>
    <w:rsid w:val="10F10820"/>
    <w:rsid w:val="10F44B0F"/>
    <w:rsid w:val="10FD111A"/>
    <w:rsid w:val="10FF750B"/>
    <w:rsid w:val="110954C3"/>
    <w:rsid w:val="110B48D6"/>
    <w:rsid w:val="111C2F7A"/>
    <w:rsid w:val="112F0A16"/>
    <w:rsid w:val="113245CC"/>
    <w:rsid w:val="113E5D8A"/>
    <w:rsid w:val="114053BB"/>
    <w:rsid w:val="114535BD"/>
    <w:rsid w:val="114A0BD3"/>
    <w:rsid w:val="115A7068"/>
    <w:rsid w:val="11665CA1"/>
    <w:rsid w:val="116A4DD1"/>
    <w:rsid w:val="11717F0E"/>
    <w:rsid w:val="1198779A"/>
    <w:rsid w:val="11A71DA0"/>
    <w:rsid w:val="11C3061B"/>
    <w:rsid w:val="11E55F16"/>
    <w:rsid w:val="1201359B"/>
    <w:rsid w:val="12067B8B"/>
    <w:rsid w:val="121C32C6"/>
    <w:rsid w:val="121E3807"/>
    <w:rsid w:val="122D652B"/>
    <w:rsid w:val="12302D61"/>
    <w:rsid w:val="123044CF"/>
    <w:rsid w:val="123968AD"/>
    <w:rsid w:val="12455F5C"/>
    <w:rsid w:val="124A2743"/>
    <w:rsid w:val="124A70DD"/>
    <w:rsid w:val="124E3F79"/>
    <w:rsid w:val="12822797"/>
    <w:rsid w:val="128A784E"/>
    <w:rsid w:val="12B13C67"/>
    <w:rsid w:val="12B419DD"/>
    <w:rsid w:val="12BE53D5"/>
    <w:rsid w:val="12C57F16"/>
    <w:rsid w:val="12D116C5"/>
    <w:rsid w:val="12DF6F28"/>
    <w:rsid w:val="12F157AA"/>
    <w:rsid w:val="131A0358"/>
    <w:rsid w:val="131B2827"/>
    <w:rsid w:val="13294F44"/>
    <w:rsid w:val="1335563A"/>
    <w:rsid w:val="134E49AB"/>
    <w:rsid w:val="136441CE"/>
    <w:rsid w:val="137F0A39"/>
    <w:rsid w:val="13830D33"/>
    <w:rsid w:val="13841A3E"/>
    <w:rsid w:val="1384206A"/>
    <w:rsid w:val="13856A5B"/>
    <w:rsid w:val="138A175B"/>
    <w:rsid w:val="138F3E7B"/>
    <w:rsid w:val="13951726"/>
    <w:rsid w:val="13A117B4"/>
    <w:rsid w:val="13A357D8"/>
    <w:rsid w:val="13AC443E"/>
    <w:rsid w:val="13B3480E"/>
    <w:rsid w:val="13C76150"/>
    <w:rsid w:val="13C83333"/>
    <w:rsid w:val="13CC6536"/>
    <w:rsid w:val="13ED41C3"/>
    <w:rsid w:val="13F13F47"/>
    <w:rsid w:val="13FF7A53"/>
    <w:rsid w:val="140E5EE8"/>
    <w:rsid w:val="14162BCB"/>
    <w:rsid w:val="141A6CBF"/>
    <w:rsid w:val="141C0F78"/>
    <w:rsid w:val="14293891"/>
    <w:rsid w:val="142E7791"/>
    <w:rsid w:val="14396509"/>
    <w:rsid w:val="14416548"/>
    <w:rsid w:val="144B482A"/>
    <w:rsid w:val="1450482F"/>
    <w:rsid w:val="145F228C"/>
    <w:rsid w:val="14602C66"/>
    <w:rsid w:val="147E306D"/>
    <w:rsid w:val="148774BA"/>
    <w:rsid w:val="14891A12"/>
    <w:rsid w:val="148D56A6"/>
    <w:rsid w:val="148F3113"/>
    <w:rsid w:val="148F42BD"/>
    <w:rsid w:val="14DD2C3C"/>
    <w:rsid w:val="14DE76DB"/>
    <w:rsid w:val="14EA702C"/>
    <w:rsid w:val="14F57B79"/>
    <w:rsid w:val="14F74BCE"/>
    <w:rsid w:val="15087B4C"/>
    <w:rsid w:val="15090401"/>
    <w:rsid w:val="150B7C96"/>
    <w:rsid w:val="150E4052"/>
    <w:rsid w:val="150F091F"/>
    <w:rsid w:val="151C4384"/>
    <w:rsid w:val="1529774A"/>
    <w:rsid w:val="153C05FF"/>
    <w:rsid w:val="155D3CA0"/>
    <w:rsid w:val="156075D9"/>
    <w:rsid w:val="157E50B1"/>
    <w:rsid w:val="158D0E46"/>
    <w:rsid w:val="159266A5"/>
    <w:rsid w:val="15AE1060"/>
    <w:rsid w:val="15C0628C"/>
    <w:rsid w:val="15D3138B"/>
    <w:rsid w:val="15D346A7"/>
    <w:rsid w:val="15EB17E9"/>
    <w:rsid w:val="15F15AC1"/>
    <w:rsid w:val="15FA0B0A"/>
    <w:rsid w:val="1601158C"/>
    <w:rsid w:val="16087E1D"/>
    <w:rsid w:val="16143AB8"/>
    <w:rsid w:val="162B7AA1"/>
    <w:rsid w:val="163B30E6"/>
    <w:rsid w:val="16525EE6"/>
    <w:rsid w:val="1662140C"/>
    <w:rsid w:val="166B7621"/>
    <w:rsid w:val="167504A0"/>
    <w:rsid w:val="16772F40"/>
    <w:rsid w:val="16846935"/>
    <w:rsid w:val="16885EAC"/>
    <w:rsid w:val="168C7386"/>
    <w:rsid w:val="1692422D"/>
    <w:rsid w:val="16B13CE3"/>
    <w:rsid w:val="16C16E2B"/>
    <w:rsid w:val="16D74CB7"/>
    <w:rsid w:val="16DC22CD"/>
    <w:rsid w:val="16E8367D"/>
    <w:rsid w:val="16F63453"/>
    <w:rsid w:val="16F63AED"/>
    <w:rsid w:val="17011D34"/>
    <w:rsid w:val="170A08EE"/>
    <w:rsid w:val="170E279B"/>
    <w:rsid w:val="1720040C"/>
    <w:rsid w:val="17252CFD"/>
    <w:rsid w:val="173B2478"/>
    <w:rsid w:val="174079F2"/>
    <w:rsid w:val="175179D8"/>
    <w:rsid w:val="175868C3"/>
    <w:rsid w:val="1765033C"/>
    <w:rsid w:val="17701D14"/>
    <w:rsid w:val="17735226"/>
    <w:rsid w:val="177B0CB7"/>
    <w:rsid w:val="17842615"/>
    <w:rsid w:val="17856487"/>
    <w:rsid w:val="1790210E"/>
    <w:rsid w:val="17981ECF"/>
    <w:rsid w:val="17AA23CB"/>
    <w:rsid w:val="17B25002"/>
    <w:rsid w:val="17C668A4"/>
    <w:rsid w:val="17E31AC1"/>
    <w:rsid w:val="17E3298F"/>
    <w:rsid w:val="17F04282"/>
    <w:rsid w:val="17F51899"/>
    <w:rsid w:val="17F54140"/>
    <w:rsid w:val="180E059A"/>
    <w:rsid w:val="180E295A"/>
    <w:rsid w:val="1811141E"/>
    <w:rsid w:val="182673CD"/>
    <w:rsid w:val="18294E05"/>
    <w:rsid w:val="182D2313"/>
    <w:rsid w:val="18315813"/>
    <w:rsid w:val="18357531"/>
    <w:rsid w:val="1847358B"/>
    <w:rsid w:val="18504211"/>
    <w:rsid w:val="18567D4B"/>
    <w:rsid w:val="185A477D"/>
    <w:rsid w:val="1867217A"/>
    <w:rsid w:val="186B1B5B"/>
    <w:rsid w:val="187D188E"/>
    <w:rsid w:val="1881137E"/>
    <w:rsid w:val="188E55BA"/>
    <w:rsid w:val="189D786A"/>
    <w:rsid w:val="189F624C"/>
    <w:rsid w:val="18BC259A"/>
    <w:rsid w:val="18CB508E"/>
    <w:rsid w:val="18D53478"/>
    <w:rsid w:val="18FA2EDF"/>
    <w:rsid w:val="19026E5B"/>
    <w:rsid w:val="19051165"/>
    <w:rsid w:val="19164F4B"/>
    <w:rsid w:val="19173A91"/>
    <w:rsid w:val="191A70DD"/>
    <w:rsid w:val="1921406C"/>
    <w:rsid w:val="192143D6"/>
    <w:rsid w:val="192A5572"/>
    <w:rsid w:val="19395FA8"/>
    <w:rsid w:val="194E3B33"/>
    <w:rsid w:val="19800A63"/>
    <w:rsid w:val="198678C2"/>
    <w:rsid w:val="19AF5011"/>
    <w:rsid w:val="19B17A41"/>
    <w:rsid w:val="19B24FB5"/>
    <w:rsid w:val="19B579D5"/>
    <w:rsid w:val="19B60B57"/>
    <w:rsid w:val="19C7635B"/>
    <w:rsid w:val="19CB2C2D"/>
    <w:rsid w:val="19EF2C2B"/>
    <w:rsid w:val="1A0D1482"/>
    <w:rsid w:val="1A18361C"/>
    <w:rsid w:val="1A1B7550"/>
    <w:rsid w:val="1A1C66C0"/>
    <w:rsid w:val="1A394E55"/>
    <w:rsid w:val="1A42393B"/>
    <w:rsid w:val="1A433660"/>
    <w:rsid w:val="1A4B38F2"/>
    <w:rsid w:val="1A5B5BFF"/>
    <w:rsid w:val="1A7E4214"/>
    <w:rsid w:val="1A7E6175"/>
    <w:rsid w:val="1A811057"/>
    <w:rsid w:val="1A82460D"/>
    <w:rsid w:val="1A8646B9"/>
    <w:rsid w:val="1A904AE5"/>
    <w:rsid w:val="1AAD45DE"/>
    <w:rsid w:val="1AAF7A66"/>
    <w:rsid w:val="1AB51A5B"/>
    <w:rsid w:val="1ABE44D8"/>
    <w:rsid w:val="1ABE486A"/>
    <w:rsid w:val="1ACF2273"/>
    <w:rsid w:val="1AD35795"/>
    <w:rsid w:val="1ADA4D76"/>
    <w:rsid w:val="1AE35E18"/>
    <w:rsid w:val="1AE94FB9"/>
    <w:rsid w:val="1AEB40F5"/>
    <w:rsid w:val="1B046F80"/>
    <w:rsid w:val="1B0E5289"/>
    <w:rsid w:val="1B180781"/>
    <w:rsid w:val="1B3267B5"/>
    <w:rsid w:val="1B395276"/>
    <w:rsid w:val="1B40161D"/>
    <w:rsid w:val="1B415B07"/>
    <w:rsid w:val="1B441859"/>
    <w:rsid w:val="1B527C27"/>
    <w:rsid w:val="1B5B38B2"/>
    <w:rsid w:val="1B617245"/>
    <w:rsid w:val="1B6606B1"/>
    <w:rsid w:val="1B6D7984"/>
    <w:rsid w:val="1B8A3CEC"/>
    <w:rsid w:val="1BA00C8D"/>
    <w:rsid w:val="1BA54B95"/>
    <w:rsid w:val="1BD02610"/>
    <w:rsid w:val="1BD32D2F"/>
    <w:rsid w:val="1BEF07C6"/>
    <w:rsid w:val="1BF47641"/>
    <w:rsid w:val="1C057BD0"/>
    <w:rsid w:val="1C2121C5"/>
    <w:rsid w:val="1C2F2E9F"/>
    <w:rsid w:val="1C4743F8"/>
    <w:rsid w:val="1C4C3A51"/>
    <w:rsid w:val="1C5E7925"/>
    <w:rsid w:val="1C610541"/>
    <w:rsid w:val="1C830E7B"/>
    <w:rsid w:val="1C8B457A"/>
    <w:rsid w:val="1C9139CC"/>
    <w:rsid w:val="1C9B2C01"/>
    <w:rsid w:val="1CA05B4B"/>
    <w:rsid w:val="1CB810E7"/>
    <w:rsid w:val="1CC4373D"/>
    <w:rsid w:val="1CD37CCF"/>
    <w:rsid w:val="1CD40F1D"/>
    <w:rsid w:val="1CF66C4E"/>
    <w:rsid w:val="1CFB0616"/>
    <w:rsid w:val="1CFD070F"/>
    <w:rsid w:val="1D0B55C8"/>
    <w:rsid w:val="1D126A49"/>
    <w:rsid w:val="1D147D3A"/>
    <w:rsid w:val="1D1A12F0"/>
    <w:rsid w:val="1D257F1F"/>
    <w:rsid w:val="1D3C7A0B"/>
    <w:rsid w:val="1D4D47D7"/>
    <w:rsid w:val="1D4D7A81"/>
    <w:rsid w:val="1D5D4C3D"/>
    <w:rsid w:val="1D5F6196"/>
    <w:rsid w:val="1D6132A5"/>
    <w:rsid w:val="1D6152DA"/>
    <w:rsid w:val="1D7768AC"/>
    <w:rsid w:val="1D7C3EC2"/>
    <w:rsid w:val="1D82304D"/>
    <w:rsid w:val="1D8E3BF5"/>
    <w:rsid w:val="1D8E56D5"/>
    <w:rsid w:val="1D943902"/>
    <w:rsid w:val="1DB160B1"/>
    <w:rsid w:val="1DF95513"/>
    <w:rsid w:val="1DFB74DD"/>
    <w:rsid w:val="1E171F22"/>
    <w:rsid w:val="1E3736A4"/>
    <w:rsid w:val="1E3E73CA"/>
    <w:rsid w:val="1E406CF0"/>
    <w:rsid w:val="1E546D6D"/>
    <w:rsid w:val="1E7A43DA"/>
    <w:rsid w:val="1E8C282B"/>
    <w:rsid w:val="1EAC1948"/>
    <w:rsid w:val="1EC23A45"/>
    <w:rsid w:val="1ED55F80"/>
    <w:rsid w:val="1EDB2E6A"/>
    <w:rsid w:val="1EE52F28"/>
    <w:rsid w:val="1F046865"/>
    <w:rsid w:val="1F112126"/>
    <w:rsid w:val="1F1D5B17"/>
    <w:rsid w:val="1F1F56E2"/>
    <w:rsid w:val="1F254E09"/>
    <w:rsid w:val="1F364345"/>
    <w:rsid w:val="1F3E41BC"/>
    <w:rsid w:val="1F4D3D68"/>
    <w:rsid w:val="1F5844BB"/>
    <w:rsid w:val="1F5D5717"/>
    <w:rsid w:val="1F6D7F66"/>
    <w:rsid w:val="1F833C2E"/>
    <w:rsid w:val="1F996BAC"/>
    <w:rsid w:val="1FAA11BB"/>
    <w:rsid w:val="1FAD2A59"/>
    <w:rsid w:val="1FC84609"/>
    <w:rsid w:val="1FDE34D6"/>
    <w:rsid w:val="1FE7539E"/>
    <w:rsid w:val="1FEB039F"/>
    <w:rsid w:val="1FFB1A16"/>
    <w:rsid w:val="1FFC2298"/>
    <w:rsid w:val="200A700D"/>
    <w:rsid w:val="201C5310"/>
    <w:rsid w:val="201E468F"/>
    <w:rsid w:val="202D2E6F"/>
    <w:rsid w:val="203E67B0"/>
    <w:rsid w:val="20547A94"/>
    <w:rsid w:val="206039FF"/>
    <w:rsid w:val="20671BE0"/>
    <w:rsid w:val="20724C6E"/>
    <w:rsid w:val="207C45CB"/>
    <w:rsid w:val="208F0E7D"/>
    <w:rsid w:val="20963CB8"/>
    <w:rsid w:val="20A81A1B"/>
    <w:rsid w:val="20AD1499"/>
    <w:rsid w:val="20B07FB6"/>
    <w:rsid w:val="20B646FB"/>
    <w:rsid w:val="20C47791"/>
    <w:rsid w:val="20EE3329"/>
    <w:rsid w:val="20EF1E6F"/>
    <w:rsid w:val="210448FA"/>
    <w:rsid w:val="21091F11"/>
    <w:rsid w:val="21130FC7"/>
    <w:rsid w:val="21133FC8"/>
    <w:rsid w:val="212226F5"/>
    <w:rsid w:val="21293127"/>
    <w:rsid w:val="213B74B1"/>
    <w:rsid w:val="215A2310"/>
    <w:rsid w:val="215E2E47"/>
    <w:rsid w:val="216F0072"/>
    <w:rsid w:val="21830150"/>
    <w:rsid w:val="21B34D6D"/>
    <w:rsid w:val="21B722D7"/>
    <w:rsid w:val="21BD316D"/>
    <w:rsid w:val="21D06ED2"/>
    <w:rsid w:val="21DE318A"/>
    <w:rsid w:val="21E07965"/>
    <w:rsid w:val="21EF5B80"/>
    <w:rsid w:val="22182B5D"/>
    <w:rsid w:val="221C2AAE"/>
    <w:rsid w:val="221E7C3E"/>
    <w:rsid w:val="22276411"/>
    <w:rsid w:val="222B2001"/>
    <w:rsid w:val="222B72CC"/>
    <w:rsid w:val="22400EBD"/>
    <w:rsid w:val="22564868"/>
    <w:rsid w:val="2257284B"/>
    <w:rsid w:val="22576990"/>
    <w:rsid w:val="227212BF"/>
    <w:rsid w:val="22812EA5"/>
    <w:rsid w:val="22883C87"/>
    <w:rsid w:val="228F28EA"/>
    <w:rsid w:val="2297598E"/>
    <w:rsid w:val="22A77C33"/>
    <w:rsid w:val="22B3658A"/>
    <w:rsid w:val="22BD7457"/>
    <w:rsid w:val="22CC6C01"/>
    <w:rsid w:val="22F47480"/>
    <w:rsid w:val="22FD7D58"/>
    <w:rsid w:val="23121492"/>
    <w:rsid w:val="23197D5A"/>
    <w:rsid w:val="234B4F7E"/>
    <w:rsid w:val="234B5724"/>
    <w:rsid w:val="234F7600"/>
    <w:rsid w:val="235949C4"/>
    <w:rsid w:val="236F6892"/>
    <w:rsid w:val="238F3F3F"/>
    <w:rsid w:val="23913DE8"/>
    <w:rsid w:val="2398757C"/>
    <w:rsid w:val="239B0BC4"/>
    <w:rsid w:val="23A75F8B"/>
    <w:rsid w:val="23B6403B"/>
    <w:rsid w:val="23C23111"/>
    <w:rsid w:val="23C86CBF"/>
    <w:rsid w:val="23DE1C48"/>
    <w:rsid w:val="23FC71CF"/>
    <w:rsid w:val="240210CD"/>
    <w:rsid w:val="242A5787"/>
    <w:rsid w:val="242B4894"/>
    <w:rsid w:val="2435126F"/>
    <w:rsid w:val="24455956"/>
    <w:rsid w:val="24945F95"/>
    <w:rsid w:val="24AF0882"/>
    <w:rsid w:val="24BF09F7"/>
    <w:rsid w:val="24BF247A"/>
    <w:rsid w:val="24E43D6A"/>
    <w:rsid w:val="25082AA1"/>
    <w:rsid w:val="252D53FE"/>
    <w:rsid w:val="25320DCD"/>
    <w:rsid w:val="253229A8"/>
    <w:rsid w:val="25483305"/>
    <w:rsid w:val="255D6CCF"/>
    <w:rsid w:val="256C0CC0"/>
    <w:rsid w:val="25A0096A"/>
    <w:rsid w:val="25B55D4C"/>
    <w:rsid w:val="25D649BC"/>
    <w:rsid w:val="25DF1492"/>
    <w:rsid w:val="25E065AF"/>
    <w:rsid w:val="25E35426"/>
    <w:rsid w:val="25EC2D81"/>
    <w:rsid w:val="25ED6727"/>
    <w:rsid w:val="25EE7927"/>
    <w:rsid w:val="26063E0E"/>
    <w:rsid w:val="26190E48"/>
    <w:rsid w:val="26202C71"/>
    <w:rsid w:val="26213810"/>
    <w:rsid w:val="264779F7"/>
    <w:rsid w:val="264F486A"/>
    <w:rsid w:val="26526498"/>
    <w:rsid w:val="26562602"/>
    <w:rsid w:val="266D6A9E"/>
    <w:rsid w:val="26797917"/>
    <w:rsid w:val="26867B60"/>
    <w:rsid w:val="2694227D"/>
    <w:rsid w:val="26946C61"/>
    <w:rsid w:val="26A76454"/>
    <w:rsid w:val="26C9722F"/>
    <w:rsid w:val="26D31B3A"/>
    <w:rsid w:val="26F266D1"/>
    <w:rsid w:val="270E1B1F"/>
    <w:rsid w:val="27273917"/>
    <w:rsid w:val="273928AB"/>
    <w:rsid w:val="274C6D86"/>
    <w:rsid w:val="27530387"/>
    <w:rsid w:val="27606603"/>
    <w:rsid w:val="27642836"/>
    <w:rsid w:val="277057A2"/>
    <w:rsid w:val="27932534"/>
    <w:rsid w:val="27962024"/>
    <w:rsid w:val="27AB2C49"/>
    <w:rsid w:val="27B134D0"/>
    <w:rsid w:val="27B66FB3"/>
    <w:rsid w:val="27BA5D00"/>
    <w:rsid w:val="27BD24F4"/>
    <w:rsid w:val="27CA3618"/>
    <w:rsid w:val="27E9685F"/>
    <w:rsid w:val="27EC3976"/>
    <w:rsid w:val="28100718"/>
    <w:rsid w:val="28150C75"/>
    <w:rsid w:val="282F4DC7"/>
    <w:rsid w:val="283D0261"/>
    <w:rsid w:val="28596232"/>
    <w:rsid w:val="285D2B42"/>
    <w:rsid w:val="2864688B"/>
    <w:rsid w:val="287E1129"/>
    <w:rsid w:val="28836A4D"/>
    <w:rsid w:val="288A18A7"/>
    <w:rsid w:val="28984952"/>
    <w:rsid w:val="28A05E3D"/>
    <w:rsid w:val="28A17F82"/>
    <w:rsid w:val="28AF4F4D"/>
    <w:rsid w:val="28BF1656"/>
    <w:rsid w:val="28C02D0C"/>
    <w:rsid w:val="28CD7CC8"/>
    <w:rsid w:val="28DF13E3"/>
    <w:rsid w:val="28F620B9"/>
    <w:rsid w:val="28FA4C81"/>
    <w:rsid w:val="2903376A"/>
    <w:rsid w:val="290B25D3"/>
    <w:rsid w:val="291F0E80"/>
    <w:rsid w:val="29206EB8"/>
    <w:rsid w:val="292652B6"/>
    <w:rsid w:val="29341AF5"/>
    <w:rsid w:val="29592679"/>
    <w:rsid w:val="29595666"/>
    <w:rsid w:val="295B0863"/>
    <w:rsid w:val="29623E0D"/>
    <w:rsid w:val="29673C78"/>
    <w:rsid w:val="29715A7F"/>
    <w:rsid w:val="2978368B"/>
    <w:rsid w:val="29804D3A"/>
    <w:rsid w:val="29874881"/>
    <w:rsid w:val="29915199"/>
    <w:rsid w:val="299802D6"/>
    <w:rsid w:val="29C63095"/>
    <w:rsid w:val="29CF181E"/>
    <w:rsid w:val="29E325E0"/>
    <w:rsid w:val="29E6344A"/>
    <w:rsid w:val="29FA07F7"/>
    <w:rsid w:val="2A0F282B"/>
    <w:rsid w:val="2A452503"/>
    <w:rsid w:val="2A4C6982"/>
    <w:rsid w:val="2A5F2C95"/>
    <w:rsid w:val="2A88034A"/>
    <w:rsid w:val="2AA322C0"/>
    <w:rsid w:val="2AA70110"/>
    <w:rsid w:val="2AB54EB7"/>
    <w:rsid w:val="2AB949A8"/>
    <w:rsid w:val="2AC234BF"/>
    <w:rsid w:val="2ACB1715"/>
    <w:rsid w:val="2ACD5E0D"/>
    <w:rsid w:val="2ACF5F79"/>
    <w:rsid w:val="2ADB7AF8"/>
    <w:rsid w:val="2AE82B97"/>
    <w:rsid w:val="2AEF2177"/>
    <w:rsid w:val="2AFB6D6E"/>
    <w:rsid w:val="2B07696E"/>
    <w:rsid w:val="2B155760"/>
    <w:rsid w:val="2B185B55"/>
    <w:rsid w:val="2B1D67DB"/>
    <w:rsid w:val="2B2C335D"/>
    <w:rsid w:val="2B2E4F2A"/>
    <w:rsid w:val="2B36563A"/>
    <w:rsid w:val="2B465B0F"/>
    <w:rsid w:val="2B465CF5"/>
    <w:rsid w:val="2B4C75CA"/>
    <w:rsid w:val="2B5021D4"/>
    <w:rsid w:val="2B547D28"/>
    <w:rsid w:val="2B620B9B"/>
    <w:rsid w:val="2B6366C1"/>
    <w:rsid w:val="2B667F60"/>
    <w:rsid w:val="2B67404D"/>
    <w:rsid w:val="2B6A3EF4"/>
    <w:rsid w:val="2B6A7A50"/>
    <w:rsid w:val="2B795004"/>
    <w:rsid w:val="2B7D1E25"/>
    <w:rsid w:val="2B7E5DD6"/>
    <w:rsid w:val="2BA936A8"/>
    <w:rsid w:val="2BAD3557"/>
    <w:rsid w:val="2BB45CC1"/>
    <w:rsid w:val="2BC00B38"/>
    <w:rsid w:val="2BC10487"/>
    <w:rsid w:val="2BC36FEB"/>
    <w:rsid w:val="2BC52416"/>
    <w:rsid w:val="2BCE04AE"/>
    <w:rsid w:val="2BEE5E5F"/>
    <w:rsid w:val="2C033C92"/>
    <w:rsid w:val="2C2B382E"/>
    <w:rsid w:val="2C315A5A"/>
    <w:rsid w:val="2C40309E"/>
    <w:rsid w:val="2C4B1C25"/>
    <w:rsid w:val="2C516912"/>
    <w:rsid w:val="2C605F93"/>
    <w:rsid w:val="2C721548"/>
    <w:rsid w:val="2C916448"/>
    <w:rsid w:val="2C9E7F33"/>
    <w:rsid w:val="2C9F073C"/>
    <w:rsid w:val="2CB52E1C"/>
    <w:rsid w:val="2CB96BFC"/>
    <w:rsid w:val="2CE555E6"/>
    <w:rsid w:val="2CF94B79"/>
    <w:rsid w:val="2D207CFD"/>
    <w:rsid w:val="2D394EC2"/>
    <w:rsid w:val="2D450775"/>
    <w:rsid w:val="2D530A52"/>
    <w:rsid w:val="2D5A5398"/>
    <w:rsid w:val="2D5E3AFE"/>
    <w:rsid w:val="2D74105A"/>
    <w:rsid w:val="2D7E4062"/>
    <w:rsid w:val="2D9139BA"/>
    <w:rsid w:val="2D9E56F5"/>
    <w:rsid w:val="2DB14526"/>
    <w:rsid w:val="2DB748A4"/>
    <w:rsid w:val="2DC518B5"/>
    <w:rsid w:val="2DCB2E33"/>
    <w:rsid w:val="2DEB0301"/>
    <w:rsid w:val="2DEB6954"/>
    <w:rsid w:val="2E02480A"/>
    <w:rsid w:val="2E1D349F"/>
    <w:rsid w:val="2E2C0160"/>
    <w:rsid w:val="2E300A94"/>
    <w:rsid w:val="2E4A5917"/>
    <w:rsid w:val="2E4C168F"/>
    <w:rsid w:val="2E5709A7"/>
    <w:rsid w:val="2E667F96"/>
    <w:rsid w:val="2E6C3ADF"/>
    <w:rsid w:val="2E8226AB"/>
    <w:rsid w:val="2E9372BE"/>
    <w:rsid w:val="2E9800AD"/>
    <w:rsid w:val="2EA52F70"/>
    <w:rsid w:val="2EAB0AAB"/>
    <w:rsid w:val="2EC42C7A"/>
    <w:rsid w:val="2ECF56A2"/>
    <w:rsid w:val="2F1A353B"/>
    <w:rsid w:val="2F1B0E26"/>
    <w:rsid w:val="2F2342CE"/>
    <w:rsid w:val="2F370591"/>
    <w:rsid w:val="2F506DA5"/>
    <w:rsid w:val="2F553B79"/>
    <w:rsid w:val="2F5B602D"/>
    <w:rsid w:val="2F5C7FF7"/>
    <w:rsid w:val="2F6623BB"/>
    <w:rsid w:val="2F7E5A15"/>
    <w:rsid w:val="2F882B9B"/>
    <w:rsid w:val="2F9419E8"/>
    <w:rsid w:val="2F971030"/>
    <w:rsid w:val="2F9C21A2"/>
    <w:rsid w:val="2FC34D54"/>
    <w:rsid w:val="2FC36AFB"/>
    <w:rsid w:val="2FC40BB7"/>
    <w:rsid w:val="2FD065E6"/>
    <w:rsid w:val="2FD71CAE"/>
    <w:rsid w:val="2FD96870"/>
    <w:rsid w:val="2FEC137B"/>
    <w:rsid w:val="2FF214F8"/>
    <w:rsid w:val="2FF524EA"/>
    <w:rsid w:val="30011AF4"/>
    <w:rsid w:val="301155E8"/>
    <w:rsid w:val="30274F30"/>
    <w:rsid w:val="302B196D"/>
    <w:rsid w:val="30360848"/>
    <w:rsid w:val="30395C43"/>
    <w:rsid w:val="30580BC9"/>
    <w:rsid w:val="305A1066"/>
    <w:rsid w:val="305D5DD5"/>
    <w:rsid w:val="30AE03DF"/>
    <w:rsid w:val="311741D6"/>
    <w:rsid w:val="31187F0C"/>
    <w:rsid w:val="31191C93"/>
    <w:rsid w:val="311E2ED7"/>
    <w:rsid w:val="312E7E68"/>
    <w:rsid w:val="3150593A"/>
    <w:rsid w:val="315619EE"/>
    <w:rsid w:val="315C449C"/>
    <w:rsid w:val="31727460"/>
    <w:rsid w:val="317F3B29"/>
    <w:rsid w:val="318850D4"/>
    <w:rsid w:val="318A34B0"/>
    <w:rsid w:val="318C4BC4"/>
    <w:rsid w:val="31AC0DC2"/>
    <w:rsid w:val="31B82709"/>
    <w:rsid w:val="31BD7698"/>
    <w:rsid w:val="31C27443"/>
    <w:rsid w:val="31D04385"/>
    <w:rsid w:val="31D05482"/>
    <w:rsid w:val="31F14A27"/>
    <w:rsid w:val="31F14C6F"/>
    <w:rsid w:val="31F167D5"/>
    <w:rsid w:val="31FC546F"/>
    <w:rsid w:val="320B03C0"/>
    <w:rsid w:val="32285F6F"/>
    <w:rsid w:val="32292413"/>
    <w:rsid w:val="322A7C16"/>
    <w:rsid w:val="323E5792"/>
    <w:rsid w:val="32400B34"/>
    <w:rsid w:val="324C044C"/>
    <w:rsid w:val="325167F3"/>
    <w:rsid w:val="32541B0A"/>
    <w:rsid w:val="32557D11"/>
    <w:rsid w:val="325F5E35"/>
    <w:rsid w:val="327A2802"/>
    <w:rsid w:val="327B0474"/>
    <w:rsid w:val="327B5BB4"/>
    <w:rsid w:val="328E04C8"/>
    <w:rsid w:val="32954240"/>
    <w:rsid w:val="329E6876"/>
    <w:rsid w:val="32B4735C"/>
    <w:rsid w:val="32BD6FFF"/>
    <w:rsid w:val="32C24615"/>
    <w:rsid w:val="32E20814"/>
    <w:rsid w:val="32EE7231"/>
    <w:rsid w:val="33044C2E"/>
    <w:rsid w:val="3304669A"/>
    <w:rsid w:val="3324727F"/>
    <w:rsid w:val="333015F2"/>
    <w:rsid w:val="334B6320"/>
    <w:rsid w:val="334B673C"/>
    <w:rsid w:val="334C5DB8"/>
    <w:rsid w:val="33525999"/>
    <w:rsid w:val="3365757E"/>
    <w:rsid w:val="336762D8"/>
    <w:rsid w:val="3369683F"/>
    <w:rsid w:val="337411B3"/>
    <w:rsid w:val="338D2B43"/>
    <w:rsid w:val="33992B03"/>
    <w:rsid w:val="33A67FCC"/>
    <w:rsid w:val="33D934D4"/>
    <w:rsid w:val="33FE2F6A"/>
    <w:rsid w:val="340E07E5"/>
    <w:rsid w:val="342015F4"/>
    <w:rsid w:val="34235BF7"/>
    <w:rsid w:val="342F7EA5"/>
    <w:rsid w:val="346355C2"/>
    <w:rsid w:val="34697195"/>
    <w:rsid w:val="34741452"/>
    <w:rsid w:val="347A51A8"/>
    <w:rsid w:val="3491604D"/>
    <w:rsid w:val="34A044E2"/>
    <w:rsid w:val="34A87384"/>
    <w:rsid w:val="34B37867"/>
    <w:rsid w:val="34B9364D"/>
    <w:rsid w:val="34C52FC0"/>
    <w:rsid w:val="34D25427"/>
    <w:rsid w:val="34E01520"/>
    <w:rsid w:val="34EA4438"/>
    <w:rsid w:val="34FC3E0F"/>
    <w:rsid w:val="34FC63AE"/>
    <w:rsid w:val="350357C0"/>
    <w:rsid w:val="350B4EB3"/>
    <w:rsid w:val="350D3D3F"/>
    <w:rsid w:val="350F6899"/>
    <w:rsid w:val="351A0F85"/>
    <w:rsid w:val="351F18AB"/>
    <w:rsid w:val="352A08BB"/>
    <w:rsid w:val="356B4AF0"/>
    <w:rsid w:val="356E73B1"/>
    <w:rsid w:val="3589141A"/>
    <w:rsid w:val="358C5FA8"/>
    <w:rsid w:val="359526FD"/>
    <w:rsid w:val="359C2635"/>
    <w:rsid w:val="35C15DF1"/>
    <w:rsid w:val="35C97A69"/>
    <w:rsid w:val="35E34F81"/>
    <w:rsid w:val="35EB3E83"/>
    <w:rsid w:val="35FE71B8"/>
    <w:rsid w:val="36021CE2"/>
    <w:rsid w:val="36074A7F"/>
    <w:rsid w:val="36251097"/>
    <w:rsid w:val="36371A8D"/>
    <w:rsid w:val="364315C9"/>
    <w:rsid w:val="36662DBA"/>
    <w:rsid w:val="366C094F"/>
    <w:rsid w:val="367714D5"/>
    <w:rsid w:val="367A31FB"/>
    <w:rsid w:val="368541A9"/>
    <w:rsid w:val="36891405"/>
    <w:rsid w:val="368A544A"/>
    <w:rsid w:val="368D4567"/>
    <w:rsid w:val="368E7383"/>
    <w:rsid w:val="36914BCE"/>
    <w:rsid w:val="369171B3"/>
    <w:rsid w:val="36923549"/>
    <w:rsid w:val="36A447FA"/>
    <w:rsid w:val="36AC3612"/>
    <w:rsid w:val="36B57593"/>
    <w:rsid w:val="36B75FBF"/>
    <w:rsid w:val="36BB34E2"/>
    <w:rsid w:val="36BD0C45"/>
    <w:rsid w:val="36CF54A8"/>
    <w:rsid w:val="36D93CDC"/>
    <w:rsid w:val="36DE0416"/>
    <w:rsid w:val="36E6185C"/>
    <w:rsid w:val="36F54638"/>
    <w:rsid w:val="3700139D"/>
    <w:rsid w:val="37113EEF"/>
    <w:rsid w:val="37283886"/>
    <w:rsid w:val="372B32A4"/>
    <w:rsid w:val="373B04F2"/>
    <w:rsid w:val="373F5FFA"/>
    <w:rsid w:val="37403D5B"/>
    <w:rsid w:val="37441B27"/>
    <w:rsid w:val="374A66EF"/>
    <w:rsid w:val="37831746"/>
    <w:rsid w:val="37873738"/>
    <w:rsid w:val="37902C63"/>
    <w:rsid w:val="37991DCD"/>
    <w:rsid w:val="379A1C69"/>
    <w:rsid w:val="379E7A8F"/>
    <w:rsid w:val="37B37F19"/>
    <w:rsid w:val="37B94CD9"/>
    <w:rsid w:val="37E00298"/>
    <w:rsid w:val="37E8067A"/>
    <w:rsid w:val="380D00E1"/>
    <w:rsid w:val="381C7852"/>
    <w:rsid w:val="3830716D"/>
    <w:rsid w:val="384536D3"/>
    <w:rsid w:val="384B29B7"/>
    <w:rsid w:val="384D4AFE"/>
    <w:rsid w:val="38831217"/>
    <w:rsid w:val="38A2649C"/>
    <w:rsid w:val="38A345A1"/>
    <w:rsid w:val="38B302F9"/>
    <w:rsid w:val="38C43790"/>
    <w:rsid w:val="38C538B6"/>
    <w:rsid w:val="38D17360"/>
    <w:rsid w:val="38E057F5"/>
    <w:rsid w:val="38E2156D"/>
    <w:rsid w:val="38E917AD"/>
    <w:rsid w:val="38EE5B87"/>
    <w:rsid w:val="38F12CD3"/>
    <w:rsid w:val="38F34092"/>
    <w:rsid w:val="38F34164"/>
    <w:rsid w:val="38F50DE8"/>
    <w:rsid w:val="38F54312"/>
    <w:rsid w:val="38F94775"/>
    <w:rsid w:val="39065067"/>
    <w:rsid w:val="390C32FF"/>
    <w:rsid w:val="39185892"/>
    <w:rsid w:val="392971ED"/>
    <w:rsid w:val="392E0A81"/>
    <w:rsid w:val="39325651"/>
    <w:rsid w:val="39663086"/>
    <w:rsid w:val="397B72CC"/>
    <w:rsid w:val="39932937"/>
    <w:rsid w:val="39A369DF"/>
    <w:rsid w:val="39C52E90"/>
    <w:rsid w:val="39C64E20"/>
    <w:rsid w:val="39CA2496"/>
    <w:rsid w:val="39CF42F7"/>
    <w:rsid w:val="39D763E0"/>
    <w:rsid w:val="39DF58F2"/>
    <w:rsid w:val="39E135D3"/>
    <w:rsid w:val="39E72CC9"/>
    <w:rsid w:val="3A2A00C1"/>
    <w:rsid w:val="3A2B0CF2"/>
    <w:rsid w:val="3A32005C"/>
    <w:rsid w:val="3A3A2CE3"/>
    <w:rsid w:val="3A3F1885"/>
    <w:rsid w:val="3A3F64D0"/>
    <w:rsid w:val="3A520DAC"/>
    <w:rsid w:val="3A5E69D2"/>
    <w:rsid w:val="3A6848AA"/>
    <w:rsid w:val="3A6A6B30"/>
    <w:rsid w:val="3A7206CF"/>
    <w:rsid w:val="3A7C5D33"/>
    <w:rsid w:val="3A8723CC"/>
    <w:rsid w:val="3A872856"/>
    <w:rsid w:val="3A987C0B"/>
    <w:rsid w:val="3A991B74"/>
    <w:rsid w:val="3AA63631"/>
    <w:rsid w:val="3ACD479C"/>
    <w:rsid w:val="3AEF1D20"/>
    <w:rsid w:val="3AEF3E12"/>
    <w:rsid w:val="3AF82A8E"/>
    <w:rsid w:val="3B0D3A67"/>
    <w:rsid w:val="3B364802"/>
    <w:rsid w:val="3B3763D1"/>
    <w:rsid w:val="3B376729"/>
    <w:rsid w:val="3B3C1DED"/>
    <w:rsid w:val="3B4F0A10"/>
    <w:rsid w:val="3B5E4D0D"/>
    <w:rsid w:val="3B6837D6"/>
    <w:rsid w:val="3B7F19F0"/>
    <w:rsid w:val="3BA12F12"/>
    <w:rsid w:val="3BB51678"/>
    <w:rsid w:val="3BBF3CCF"/>
    <w:rsid w:val="3BC620CB"/>
    <w:rsid w:val="3BE52761"/>
    <w:rsid w:val="3BF451AB"/>
    <w:rsid w:val="3BFD2052"/>
    <w:rsid w:val="3C1B3B1B"/>
    <w:rsid w:val="3C25407B"/>
    <w:rsid w:val="3C277EB3"/>
    <w:rsid w:val="3C2F6E1E"/>
    <w:rsid w:val="3C3110DA"/>
    <w:rsid w:val="3C485100"/>
    <w:rsid w:val="3C4F64BA"/>
    <w:rsid w:val="3C5622AC"/>
    <w:rsid w:val="3C5E715D"/>
    <w:rsid w:val="3C7F41DE"/>
    <w:rsid w:val="3C974C4E"/>
    <w:rsid w:val="3C98178D"/>
    <w:rsid w:val="3C9F0160"/>
    <w:rsid w:val="3CBD0327"/>
    <w:rsid w:val="3CD44068"/>
    <w:rsid w:val="3CDA245A"/>
    <w:rsid w:val="3CE86A81"/>
    <w:rsid w:val="3D0A2EB4"/>
    <w:rsid w:val="3D18555E"/>
    <w:rsid w:val="3D1E06B7"/>
    <w:rsid w:val="3D201F74"/>
    <w:rsid w:val="3D204412"/>
    <w:rsid w:val="3D251A29"/>
    <w:rsid w:val="3D2B65D8"/>
    <w:rsid w:val="3D3E5D33"/>
    <w:rsid w:val="3D424389"/>
    <w:rsid w:val="3D502432"/>
    <w:rsid w:val="3D672041"/>
    <w:rsid w:val="3D6871C6"/>
    <w:rsid w:val="3D720ED7"/>
    <w:rsid w:val="3D8330CD"/>
    <w:rsid w:val="3D8756ED"/>
    <w:rsid w:val="3DAE5967"/>
    <w:rsid w:val="3DC833B9"/>
    <w:rsid w:val="3DCC459A"/>
    <w:rsid w:val="3DCE3E6E"/>
    <w:rsid w:val="3DD422C4"/>
    <w:rsid w:val="3DD72E9B"/>
    <w:rsid w:val="3DDA08CF"/>
    <w:rsid w:val="3DE32B7F"/>
    <w:rsid w:val="3DF00CDD"/>
    <w:rsid w:val="3DF54ADF"/>
    <w:rsid w:val="3DFD6502"/>
    <w:rsid w:val="3E0004F5"/>
    <w:rsid w:val="3E0B1F51"/>
    <w:rsid w:val="3E0D0E3B"/>
    <w:rsid w:val="3E214DB0"/>
    <w:rsid w:val="3E2B3954"/>
    <w:rsid w:val="3E304B29"/>
    <w:rsid w:val="3E3F6B1A"/>
    <w:rsid w:val="3E755F71"/>
    <w:rsid w:val="3E8217C6"/>
    <w:rsid w:val="3EAC0565"/>
    <w:rsid w:val="3EB0398D"/>
    <w:rsid w:val="3EC84D62"/>
    <w:rsid w:val="3ECA2888"/>
    <w:rsid w:val="3ED61844"/>
    <w:rsid w:val="3EDA0523"/>
    <w:rsid w:val="3EE33056"/>
    <w:rsid w:val="3EE82723"/>
    <w:rsid w:val="3F051B12"/>
    <w:rsid w:val="3F073ADC"/>
    <w:rsid w:val="3F090B68"/>
    <w:rsid w:val="3F397CC7"/>
    <w:rsid w:val="3F4B6816"/>
    <w:rsid w:val="3F7B2FDB"/>
    <w:rsid w:val="3F850EA5"/>
    <w:rsid w:val="3F9A1904"/>
    <w:rsid w:val="3FA05CDE"/>
    <w:rsid w:val="3FA228E2"/>
    <w:rsid w:val="3FA550A3"/>
    <w:rsid w:val="3FC165DA"/>
    <w:rsid w:val="3FC2057E"/>
    <w:rsid w:val="3FC27A03"/>
    <w:rsid w:val="3FC537BF"/>
    <w:rsid w:val="3FC9790D"/>
    <w:rsid w:val="3FDD2A8F"/>
    <w:rsid w:val="3FE927CB"/>
    <w:rsid w:val="3FEC0F24"/>
    <w:rsid w:val="3FF027C2"/>
    <w:rsid w:val="3FF35387"/>
    <w:rsid w:val="3FFB69CA"/>
    <w:rsid w:val="40056133"/>
    <w:rsid w:val="401A15ED"/>
    <w:rsid w:val="403D46F7"/>
    <w:rsid w:val="406F1488"/>
    <w:rsid w:val="40714F85"/>
    <w:rsid w:val="40740C03"/>
    <w:rsid w:val="40784565"/>
    <w:rsid w:val="407A6407"/>
    <w:rsid w:val="40A9614C"/>
    <w:rsid w:val="40B62FB9"/>
    <w:rsid w:val="40C877EC"/>
    <w:rsid w:val="40CB6D8B"/>
    <w:rsid w:val="40D4227B"/>
    <w:rsid w:val="40DE6ABE"/>
    <w:rsid w:val="40F57964"/>
    <w:rsid w:val="410302D3"/>
    <w:rsid w:val="41035B06"/>
    <w:rsid w:val="41055DF9"/>
    <w:rsid w:val="412E149E"/>
    <w:rsid w:val="41306BEE"/>
    <w:rsid w:val="413503BA"/>
    <w:rsid w:val="41390D07"/>
    <w:rsid w:val="41407088"/>
    <w:rsid w:val="41466146"/>
    <w:rsid w:val="41646079"/>
    <w:rsid w:val="418111A6"/>
    <w:rsid w:val="4187580D"/>
    <w:rsid w:val="41B01237"/>
    <w:rsid w:val="41B519FF"/>
    <w:rsid w:val="41B90814"/>
    <w:rsid w:val="41BC7167"/>
    <w:rsid w:val="41C45D04"/>
    <w:rsid w:val="41CA2B9F"/>
    <w:rsid w:val="41CF6407"/>
    <w:rsid w:val="41DA3687"/>
    <w:rsid w:val="41F40A13"/>
    <w:rsid w:val="41F5554E"/>
    <w:rsid w:val="41FA52CC"/>
    <w:rsid w:val="41FB145A"/>
    <w:rsid w:val="4200449D"/>
    <w:rsid w:val="420965B4"/>
    <w:rsid w:val="421A7ECF"/>
    <w:rsid w:val="421F7A8A"/>
    <w:rsid w:val="42213106"/>
    <w:rsid w:val="42251667"/>
    <w:rsid w:val="42261B80"/>
    <w:rsid w:val="42295B17"/>
    <w:rsid w:val="422A03A1"/>
    <w:rsid w:val="422C159B"/>
    <w:rsid w:val="42303718"/>
    <w:rsid w:val="42343923"/>
    <w:rsid w:val="423A3BCC"/>
    <w:rsid w:val="42497B09"/>
    <w:rsid w:val="424E1A22"/>
    <w:rsid w:val="424E37D0"/>
    <w:rsid w:val="424E57D2"/>
    <w:rsid w:val="42542AAB"/>
    <w:rsid w:val="42603BE6"/>
    <w:rsid w:val="4264772E"/>
    <w:rsid w:val="42733236"/>
    <w:rsid w:val="427B03DF"/>
    <w:rsid w:val="42943044"/>
    <w:rsid w:val="42996343"/>
    <w:rsid w:val="429C453B"/>
    <w:rsid w:val="42B26C49"/>
    <w:rsid w:val="42BB79A8"/>
    <w:rsid w:val="42BD5972"/>
    <w:rsid w:val="42D4120A"/>
    <w:rsid w:val="42EF06BB"/>
    <w:rsid w:val="43040332"/>
    <w:rsid w:val="43167E11"/>
    <w:rsid w:val="43212C92"/>
    <w:rsid w:val="4326105A"/>
    <w:rsid w:val="43284021"/>
    <w:rsid w:val="433230F1"/>
    <w:rsid w:val="433272A7"/>
    <w:rsid w:val="433A6FE6"/>
    <w:rsid w:val="43480868"/>
    <w:rsid w:val="4350713C"/>
    <w:rsid w:val="435E2C8F"/>
    <w:rsid w:val="436653E0"/>
    <w:rsid w:val="436750FB"/>
    <w:rsid w:val="437714FF"/>
    <w:rsid w:val="4377320F"/>
    <w:rsid w:val="43822E12"/>
    <w:rsid w:val="4383394D"/>
    <w:rsid w:val="438A4450"/>
    <w:rsid w:val="439D4A0F"/>
    <w:rsid w:val="439E42E3"/>
    <w:rsid w:val="43A75821"/>
    <w:rsid w:val="43A86F10"/>
    <w:rsid w:val="43BF2BD7"/>
    <w:rsid w:val="43C4431A"/>
    <w:rsid w:val="43D80310"/>
    <w:rsid w:val="43EC7D40"/>
    <w:rsid w:val="43F76867"/>
    <w:rsid w:val="443F1622"/>
    <w:rsid w:val="444D7A01"/>
    <w:rsid w:val="449A2CFC"/>
    <w:rsid w:val="449F0313"/>
    <w:rsid w:val="44B02B9F"/>
    <w:rsid w:val="44B23222"/>
    <w:rsid w:val="44B951CC"/>
    <w:rsid w:val="44BF6C07"/>
    <w:rsid w:val="44CD14E0"/>
    <w:rsid w:val="44EB3558"/>
    <w:rsid w:val="44F20B0B"/>
    <w:rsid w:val="45286D84"/>
    <w:rsid w:val="452E5F4C"/>
    <w:rsid w:val="45386D54"/>
    <w:rsid w:val="45404891"/>
    <w:rsid w:val="454E105C"/>
    <w:rsid w:val="455530C7"/>
    <w:rsid w:val="45610AF0"/>
    <w:rsid w:val="45612018"/>
    <w:rsid w:val="45646335"/>
    <w:rsid w:val="457A2894"/>
    <w:rsid w:val="458946E9"/>
    <w:rsid w:val="45A47C0E"/>
    <w:rsid w:val="45B20178"/>
    <w:rsid w:val="45B41AAD"/>
    <w:rsid w:val="45B42710"/>
    <w:rsid w:val="45B442E7"/>
    <w:rsid w:val="45BC4EF4"/>
    <w:rsid w:val="45C83899"/>
    <w:rsid w:val="45E3672E"/>
    <w:rsid w:val="45E613B2"/>
    <w:rsid w:val="45FD5429"/>
    <w:rsid w:val="460F14C8"/>
    <w:rsid w:val="46322F0B"/>
    <w:rsid w:val="46422A3B"/>
    <w:rsid w:val="46427327"/>
    <w:rsid w:val="464A2D4F"/>
    <w:rsid w:val="4654512D"/>
    <w:rsid w:val="46577FD6"/>
    <w:rsid w:val="465B295F"/>
    <w:rsid w:val="465B470D"/>
    <w:rsid w:val="46800DBB"/>
    <w:rsid w:val="46AA133B"/>
    <w:rsid w:val="46B314BE"/>
    <w:rsid w:val="46C6514A"/>
    <w:rsid w:val="46D43CE3"/>
    <w:rsid w:val="46D955A7"/>
    <w:rsid w:val="46DC154C"/>
    <w:rsid w:val="46EB6A1F"/>
    <w:rsid w:val="46F41985"/>
    <w:rsid w:val="470133DC"/>
    <w:rsid w:val="47133957"/>
    <w:rsid w:val="471541F7"/>
    <w:rsid w:val="471C0AE0"/>
    <w:rsid w:val="4723347D"/>
    <w:rsid w:val="47305B9A"/>
    <w:rsid w:val="47434A5B"/>
    <w:rsid w:val="47435AA0"/>
    <w:rsid w:val="47456240"/>
    <w:rsid w:val="4751517B"/>
    <w:rsid w:val="476615BC"/>
    <w:rsid w:val="4770328B"/>
    <w:rsid w:val="47A07E0C"/>
    <w:rsid w:val="47A362D2"/>
    <w:rsid w:val="47C50677"/>
    <w:rsid w:val="47C63E08"/>
    <w:rsid w:val="47CC5958"/>
    <w:rsid w:val="47CF32D2"/>
    <w:rsid w:val="47D134B1"/>
    <w:rsid w:val="47D31012"/>
    <w:rsid w:val="47E434A7"/>
    <w:rsid w:val="47E5273D"/>
    <w:rsid w:val="47E80223"/>
    <w:rsid w:val="47E9292E"/>
    <w:rsid w:val="47EA6730"/>
    <w:rsid w:val="480E1DCD"/>
    <w:rsid w:val="48167665"/>
    <w:rsid w:val="48286871"/>
    <w:rsid w:val="4830797A"/>
    <w:rsid w:val="48376F2A"/>
    <w:rsid w:val="48500E3F"/>
    <w:rsid w:val="486046B9"/>
    <w:rsid w:val="4870272E"/>
    <w:rsid w:val="487113BF"/>
    <w:rsid w:val="48760C17"/>
    <w:rsid w:val="48766976"/>
    <w:rsid w:val="489D2DBB"/>
    <w:rsid w:val="48A00EA8"/>
    <w:rsid w:val="48B03585"/>
    <w:rsid w:val="48B3438D"/>
    <w:rsid w:val="48B85E47"/>
    <w:rsid w:val="48C9414A"/>
    <w:rsid w:val="48D64F62"/>
    <w:rsid w:val="48F75AD9"/>
    <w:rsid w:val="49022751"/>
    <w:rsid w:val="490661C4"/>
    <w:rsid w:val="49224F7E"/>
    <w:rsid w:val="492F69C2"/>
    <w:rsid w:val="49337708"/>
    <w:rsid w:val="49366D6C"/>
    <w:rsid w:val="493D3615"/>
    <w:rsid w:val="49584F34"/>
    <w:rsid w:val="49820456"/>
    <w:rsid w:val="49861AA1"/>
    <w:rsid w:val="49902920"/>
    <w:rsid w:val="49A10689"/>
    <w:rsid w:val="49BF206F"/>
    <w:rsid w:val="49C87356"/>
    <w:rsid w:val="49DC7715"/>
    <w:rsid w:val="49FA5FEB"/>
    <w:rsid w:val="49FB5243"/>
    <w:rsid w:val="49FD084F"/>
    <w:rsid w:val="4A023139"/>
    <w:rsid w:val="4A103F1C"/>
    <w:rsid w:val="4A3E237C"/>
    <w:rsid w:val="4A7B35D0"/>
    <w:rsid w:val="4A7B576F"/>
    <w:rsid w:val="4A8C7352"/>
    <w:rsid w:val="4A8E7095"/>
    <w:rsid w:val="4AA43195"/>
    <w:rsid w:val="4AB8064A"/>
    <w:rsid w:val="4AC42881"/>
    <w:rsid w:val="4ACE0663"/>
    <w:rsid w:val="4AE5780A"/>
    <w:rsid w:val="4AF561A9"/>
    <w:rsid w:val="4AF65DDB"/>
    <w:rsid w:val="4B0A58A9"/>
    <w:rsid w:val="4B112CA8"/>
    <w:rsid w:val="4B1D2683"/>
    <w:rsid w:val="4B317529"/>
    <w:rsid w:val="4B407287"/>
    <w:rsid w:val="4B477818"/>
    <w:rsid w:val="4B6252AD"/>
    <w:rsid w:val="4B6E485B"/>
    <w:rsid w:val="4B8C414A"/>
    <w:rsid w:val="4B9B5965"/>
    <w:rsid w:val="4BA33A5A"/>
    <w:rsid w:val="4BDC6EAE"/>
    <w:rsid w:val="4BDF1609"/>
    <w:rsid w:val="4BF83801"/>
    <w:rsid w:val="4BFC4C20"/>
    <w:rsid w:val="4C04492D"/>
    <w:rsid w:val="4C3D1DB0"/>
    <w:rsid w:val="4C4A0649"/>
    <w:rsid w:val="4C5008BC"/>
    <w:rsid w:val="4C5046F3"/>
    <w:rsid w:val="4C547660"/>
    <w:rsid w:val="4C5B5467"/>
    <w:rsid w:val="4C60468B"/>
    <w:rsid w:val="4C6F0ADB"/>
    <w:rsid w:val="4C7342EF"/>
    <w:rsid w:val="4C7B0EF5"/>
    <w:rsid w:val="4C7E5ECA"/>
    <w:rsid w:val="4C820C46"/>
    <w:rsid w:val="4C876AA5"/>
    <w:rsid w:val="4C891FD4"/>
    <w:rsid w:val="4CC971F7"/>
    <w:rsid w:val="4CCC1EC1"/>
    <w:rsid w:val="4CF1216C"/>
    <w:rsid w:val="4CF20306"/>
    <w:rsid w:val="4CF34932"/>
    <w:rsid w:val="4CF7561A"/>
    <w:rsid w:val="4CFD48D1"/>
    <w:rsid w:val="4D003862"/>
    <w:rsid w:val="4D0E00FB"/>
    <w:rsid w:val="4D123770"/>
    <w:rsid w:val="4D176606"/>
    <w:rsid w:val="4D2025A6"/>
    <w:rsid w:val="4D255D82"/>
    <w:rsid w:val="4D3A57A5"/>
    <w:rsid w:val="4D45220C"/>
    <w:rsid w:val="4D485865"/>
    <w:rsid w:val="4D494F7D"/>
    <w:rsid w:val="4D550108"/>
    <w:rsid w:val="4D570E48"/>
    <w:rsid w:val="4D71363B"/>
    <w:rsid w:val="4D714816"/>
    <w:rsid w:val="4D821300"/>
    <w:rsid w:val="4D862070"/>
    <w:rsid w:val="4D9329DF"/>
    <w:rsid w:val="4D961E63"/>
    <w:rsid w:val="4D9F6CFB"/>
    <w:rsid w:val="4DA54C90"/>
    <w:rsid w:val="4DC0115B"/>
    <w:rsid w:val="4DD122C8"/>
    <w:rsid w:val="4DE44FE8"/>
    <w:rsid w:val="4DEC4FB0"/>
    <w:rsid w:val="4DFB6352"/>
    <w:rsid w:val="4E075D8A"/>
    <w:rsid w:val="4E2E4224"/>
    <w:rsid w:val="4E3656AA"/>
    <w:rsid w:val="4E4C73A3"/>
    <w:rsid w:val="4E4F113A"/>
    <w:rsid w:val="4E784ECF"/>
    <w:rsid w:val="4E7D5EEC"/>
    <w:rsid w:val="4E9929B5"/>
    <w:rsid w:val="4E9F7009"/>
    <w:rsid w:val="4EBE4538"/>
    <w:rsid w:val="4EC00FAD"/>
    <w:rsid w:val="4EC54E1A"/>
    <w:rsid w:val="4ED65279"/>
    <w:rsid w:val="4EE03A01"/>
    <w:rsid w:val="4EEE3BC3"/>
    <w:rsid w:val="4EFC390E"/>
    <w:rsid w:val="4F0E7536"/>
    <w:rsid w:val="4F351F9F"/>
    <w:rsid w:val="4F377BCB"/>
    <w:rsid w:val="4F4813F0"/>
    <w:rsid w:val="4F530C1E"/>
    <w:rsid w:val="4F5D4149"/>
    <w:rsid w:val="4F642884"/>
    <w:rsid w:val="4F65598B"/>
    <w:rsid w:val="4F723781"/>
    <w:rsid w:val="4F764366"/>
    <w:rsid w:val="4F9564D6"/>
    <w:rsid w:val="4F9843DC"/>
    <w:rsid w:val="4FB23A3D"/>
    <w:rsid w:val="4FC60E49"/>
    <w:rsid w:val="4FC62A8C"/>
    <w:rsid w:val="4FC97300"/>
    <w:rsid w:val="4FD13FED"/>
    <w:rsid w:val="4FDD4A00"/>
    <w:rsid w:val="4FE20F0D"/>
    <w:rsid w:val="4FE45773"/>
    <w:rsid w:val="4FE51552"/>
    <w:rsid w:val="4FE65048"/>
    <w:rsid w:val="4FEC5731"/>
    <w:rsid w:val="4FF95B97"/>
    <w:rsid w:val="4FFB7978"/>
    <w:rsid w:val="50153B7F"/>
    <w:rsid w:val="501C7D9B"/>
    <w:rsid w:val="50253EC4"/>
    <w:rsid w:val="50412BC6"/>
    <w:rsid w:val="50504C4B"/>
    <w:rsid w:val="5068097D"/>
    <w:rsid w:val="506835E4"/>
    <w:rsid w:val="506D39BB"/>
    <w:rsid w:val="50744D49"/>
    <w:rsid w:val="509C6E7C"/>
    <w:rsid w:val="50A7285A"/>
    <w:rsid w:val="50CD6207"/>
    <w:rsid w:val="50DE74FF"/>
    <w:rsid w:val="50E750E8"/>
    <w:rsid w:val="50F22714"/>
    <w:rsid w:val="50F54CE2"/>
    <w:rsid w:val="51182E64"/>
    <w:rsid w:val="51383FC9"/>
    <w:rsid w:val="51387B25"/>
    <w:rsid w:val="515377B2"/>
    <w:rsid w:val="51537E33"/>
    <w:rsid w:val="51567ABE"/>
    <w:rsid w:val="515E4D30"/>
    <w:rsid w:val="5162104E"/>
    <w:rsid w:val="516E40D7"/>
    <w:rsid w:val="5188727C"/>
    <w:rsid w:val="518965D2"/>
    <w:rsid w:val="518E5997"/>
    <w:rsid w:val="51A23EDE"/>
    <w:rsid w:val="51AE3A7D"/>
    <w:rsid w:val="51AF590D"/>
    <w:rsid w:val="51BD44CE"/>
    <w:rsid w:val="51D41141"/>
    <w:rsid w:val="51D8057B"/>
    <w:rsid w:val="51D85D89"/>
    <w:rsid w:val="51E72621"/>
    <w:rsid w:val="51F24178"/>
    <w:rsid w:val="51F528BC"/>
    <w:rsid w:val="51F74098"/>
    <w:rsid w:val="52197EBE"/>
    <w:rsid w:val="522C26FB"/>
    <w:rsid w:val="523A78CD"/>
    <w:rsid w:val="524F4ABE"/>
    <w:rsid w:val="52526A30"/>
    <w:rsid w:val="52741223"/>
    <w:rsid w:val="528F5E6A"/>
    <w:rsid w:val="52982A6C"/>
    <w:rsid w:val="52B0325F"/>
    <w:rsid w:val="52BE38FC"/>
    <w:rsid w:val="52EC437C"/>
    <w:rsid w:val="52F061DD"/>
    <w:rsid w:val="53010515"/>
    <w:rsid w:val="530F2B07"/>
    <w:rsid w:val="5325057D"/>
    <w:rsid w:val="533F05E1"/>
    <w:rsid w:val="534529CD"/>
    <w:rsid w:val="535449BE"/>
    <w:rsid w:val="53565241"/>
    <w:rsid w:val="535B06A3"/>
    <w:rsid w:val="535B2838"/>
    <w:rsid w:val="536A7743"/>
    <w:rsid w:val="536C61AC"/>
    <w:rsid w:val="53707572"/>
    <w:rsid w:val="53755970"/>
    <w:rsid w:val="537D2167"/>
    <w:rsid w:val="53857F11"/>
    <w:rsid w:val="53A039CC"/>
    <w:rsid w:val="53A1505A"/>
    <w:rsid w:val="53B449A8"/>
    <w:rsid w:val="53C20FB2"/>
    <w:rsid w:val="53D76245"/>
    <w:rsid w:val="53EE096F"/>
    <w:rsid w:val="53EF08A4"/>
    <w:rsid w:val="54063E08"/>
    <w:rsid w:val="541231C2"/>
    <w:rsid w:val="54191296"/>
    <w:rsid w:val="542B7F75"/>
    <w:rsid w:val="542C5FFD"/>
    <w:rsid w:val="543437E8"/>
    <w:rsid w:val="544E58B1"/>
    <w:rsid w:val="54564600"/>
    <w:rsid w:val="5465707B"/>
    <w:rsid w:val="547A010D"/>
    <w:rsid w:val="54832804"/>
    <w:rsid w:val="54866DF9"/>
    <w:rsid w:val="548A27C1"/>
    <w:rsid w:val="548E6F7F"/>
    <w:rsid w:val="54944A00"/>
    <w:rsid w:val="54A159E1"/>
    <w:rsid w:val="54B32BBE"/>
    <w:rsid w:val="54D23DEC"/>
    <w:rsid w:val="54E57B65"/>
    <w:rsid w:val="54F67A7F"/>
    <w:rsid w:val="54F73313"/>
    <w:rsid w:val="54F80955"/>
    <w:rsid w:val="55006BAB"/>
    <w:rsid w:val="5503226D"/>
    <w:rsid w:val="55072635"/>
    <w:rsid w:val="55173480"/>
    <w:rsid w:val="551E08BC"/>
    <w:rsid w:val="552E6DA6"/>
    <w:rsid w:val="555170A7"/>
    <w:rsid w:val="556E620B"/>
    <w:rsid w:val="55852AE6"/>
    <w:rsid w:val="5587536D"/>
    <w:rsid w:val="55944AE1"/>
    <w:rsid w:val="559B174B"/>
    <w:rsid w:val="55BB6F76"/>
    <w:rsid w:val="55BD3B27"/>
    <w:rsid w:val="55BD684B"/>
    <w:rsid w:val="55CE0A58"/>
    <w:rsid w:val="55CE0CF4"/>
    <w:rsid w:val="55CE69D3"/>
    <w:rsid w:val="55D7727B"/>
    <w:rsid w:val="55E01B05"/>
    <w:rsid w:val="55EF0DA6"/>
    <w:rsid w:val="55F45BD2"/>
    <w:rsid w:val="560E6A45"/>
    <w:rsid w:val="56273EA0"/>
    <w:rsid w:val="56373ACB"/>
    <w:rsid w:val="56426CE9"/>
    <w:rsid w:val="56582A17"/>
    <w:rsid w:val="56757125"/>
    <w:rsid w:val="56763A32"/>
    <w:rsid w:val="56777A19"/>
    <w:rsid w:val="56897BA3"/>
    <w:rsid w:val="568B1933"/>
    <w:rsid w:val="56B22A9C"/>
    <w:rsid w:val="56C87B9D"/>
    <w:rsid w:val="56D3653E"/>
    <w:rsid w:val="56D45B12"/>
    <w:rsid w:val="56D576BF"/>
    <w:rsid w:val="56DA342C"/>
    <w:rsid w:val="56E322E1"/>
    <w:rsid w:val="56F118F6"/>
    <w:rsid w:val="56F75D8C"/>
    <w:rsid w:val="56FE711B"/>
    <w:rsid w:val="57047689"/>
    <w:rsid w:val="570F7EF4"/>
    <w:rsid w:val="57190F89"/>
    <w:rsid w:val="572C3717"/>
    <w:rsid w:val="57612A15"/>
    <w:rsid w:val="57713D91"/>
    <w:rsid w:val="57792C45"/>
    <w:rsid w:val="577B33D6"/>
    <w:rsid w:val="5792292F"/>
    <w:rsid w:val="579379BE"/>
    <w:rsid w:val="57AA7EF3"/>
    <w:rsid w:val="57AC6985"/>
    <w:rsid w:val="57B228D8"/>
    <w:rsid w:val="57B63E99"/>
    <w:rsid w:val="57B72A76"/>
    <w:rsid w:val="57C3426C"/>
    <w:rsid w:val="57CE1F93"/>
    <w:rsid w:val="57E24C8E"/>
    <w:rsid w:val="57EC4B4E"/>
    <w:rsid w:val="57EE53E1"/>
    <w:rsid w:val="57F0234F"/>
    <w:rsid w:val="58044C05"/>
    <w:rsid w:val="580F5357"/>
    <w:rsid w:val="58144F27"/>
    <w:rsid w:val="581D7A74"/>
    <w:rsid w:val="582726A1"/>
    <w:rsid w:val="583B24A8"/>
    <w:rsid w:val="583F03B3"/>
    <w:rsid w:val="58523BC2"/>
    <w:rsid w:val="5857422D"/>
    <w:rsid w:val="5866766D"/>
    <w:rsid w:val="586A03F8"/>
    <w:rsid w:val="586E66A0"/>
    <w:rsid w:val="58743C33"/>
    <w:rsid w:val="588571F5"/>
    <w:rsid w:val="588743D1"/>
    <w:rsid w:val="5887701A"/>
    <w:rsid w:val="58883BC4"/>
    <w:rsid w:val="589077FB"/>
    <w:rsid w:val="589957C8"/>
    <w:rsid w:val="58AD0893"/>
    <w:rsid w:val="58C52E9E"/>
    <w:rsid w:val="58C60592"/>
    <w:rsid w:val="58DE3A96"/>
    <w:rsid w:val="58FD3EFD"/>
    <w:rsid w:val="58FE3670"/>
    <w:rsid w:val="59101387"/>
    <w:rsid w:val="59106321"/>
    <w:rsid w:val="59270BB9"/>
    <w:rsid w:val="596077FA"/>
    <w:rsid w:val="59710674"/>
    <w:rsid w:val="597412D1"/>
    <w:rsid w:val="598824D5"/>
    <w:rsid w:val="598C3104"/>
    <w:rsid w:val="598F38D1"/>
    <w:rsid w:val="59907DCD"/>
    <w:rsid w:val="59934492"/>
    <w:rsid w:val="5996188C"/>
    <w:rsid w:val="59AF294E"/>
    <w:rsid w:val="59C0439F"/>
    <w:rsid w:val="59CD1026"/>
    <w:rsid w:val="59E84340"/>
    <w:rsid w:val="59F93409"/>
    <w:rsid w:val="5A067035"/>
    <w:rsid w:val="5A1E534A"/>
    <w:rsid w:val="5A3B69CE"/>
    <w:rsid w:val="5A3E3CD2"/>
    <w:rsid w:val="5A445BD2"/>
    <w:rsid w:val="5A4B40E8"/>
    <w:rsid w:val="5A704792"/>
    <w:rsid w:val="5A865DA5"/>
    <w:rsid w:val="5A9D4E9D"/>
    <w:rsid w:val="5A9E73E6"/>
    <w:rsid w:val="5AA1673B"/>
    <w:rsid w:val="5AAE0E58"/>
    <w:rsid w:val="5ABE2233"/>
    <w:rsid w:val="5AD91E74"/>
    <w:rsid w:val="5ADB4A6A"/>
    <w:rsid w:val="5ADF3ED8"/>
    <w:rsid w:val="5AE476C8"/>
    <w:rsid w:val="5AED5471"/>
    <w:rsid w:val="5AEE3BE5"/>
    <w:rsid w:val="5B104CDD"/>
    <w:rsid w:val="5B110419"/>
    <w:rsid w:val="5B1A676E"/>
    <w:rsid w:val="5B242EC8"/>
    <w:rsid w:val="5B2D4472"/>
    <w:rsid w:val="5B2F5F59"/>
    <w:rsid w:val="5B3951AC"/>
    <w:rsid w:val="5B5D5055"/>
    <w:rsid w:val="5B6C5663"/>
    <w:rsid w:val="5B6C7341"/>
    <w:rsid w:val="5B9A6FA0"/>
    <w:rsid w:val="5BA00AE1"/>
    <w:rsid w:val="5BA97DF8"/>
    <w:rsid w:val="5BB3263B"/>
    <w:rsid w:val="5BB3717E"/>
    <w:rsid w:val="5BDF5D95"/>
    <w:rsid w:val="5BE978C8"/>
    <w:rsid w:val="5BFE7528"/>
    <w:rsid w:val="5BFF1E2F"/>
    <w:rsid w:val="5C07690C"/>
    <w:rsid w:val="5C0F76D6"/>
    <w:rsid w:val="5C163158"/>
    <w:rsid w:val="5C230F36"/>
    <w:rsid w:val="5C262A24"/>
    <w:rsid w:val="5C2826D5"/>
    <w:rsid w:val="5C586F04"/>
    <w:rsid w:val="5C5872CD"/>
    <w:rsid w:val="5C836EE1"/>
    <w:rsid w:val="5C9304A4"/>
    <w:rsid w:val="5C967DF5"/>
    <w:rsid w:val="5CA67217"/>
    <w:rsid w:val="5CB52971"/>
    <w:rsid w:val="5CBB0E30"/>
    <w:rsid w:val="5CC71F9C"/>
    <w:rsid w:val="5CCC3817"/>
    <w:rsid w:val="5CCC562C"/>
    <w:rsid w:val="5CD00CBD"/>
    <w:rsid w:val="5D3120A8"/>
    <w:rsid w:val="5D3D4FD0"/>
    <w:rsid w:val="5D423AD9"/>
    <w:rsid w:val="5D451937"/>
    <w:rsid w:val="5D505EBE"/>
    <w:rsid w:val="5D5759CA"/>
    <w:rsid w:val="5D645DC6"/>
    <w:rsid w:val="5D647EF4"/>
    <w:rsid w:val="5D656145"/>
    <w:rsid w:val="5D70764A"/>
    <w:rsid w:val="5D92680F"/>
    <w:rsid w:val="5D9E3405"/>
    <w:rsid w:val="5D9F1D3D"/>
    <w:rsid w:val="5DA14CA4"/>
    <w:rsid w:val="5DB1764F"/>
    <w:rsid w:val="5DB30608"/>
    <w:rsid w:val="5DB43F93"/>
    <w:rsid w:val="5DC418E2"/>
    <w:rsid w:val="5DDA0D8D"/>
    <w:rsid w:val="5DE8513E"/>
    <w:rsid w:val="5E0A578D"/>
    <w:rsid w:val="5E1216FE"/>
    <w:rsid w:val="5E2467F1"/>
    <w:rsid w:val="5E287173"/>
    <w:rsid w:val="5E2C7EBD"/>
    <w:rsid w:val="5E3818C6"/>
    <w:rsid w:val="5E540D78"/>
    <w:rsid w:val="5E56783C"/>
    <w:rsid w:val="5E5F0DE7"/>
    <w:rsid w:val="5E693981"/>
    <w:rsid w:val="5E8720EC"/>
    <w:rsid w:val="5E8E1E22"/>
    <w:rsid w:val="5EAD444C"/>
    <w:rsid w:val="5EC32CF7"/>
    <w:rsid w:val="5EC939A3"/>
    <w:rsid w:val="5ECA1FD8"/>
    <w:rsid w:val="5ECF5E39"/>
    <w:rsid w:val="5EE83C56"/>
    <w:rsid w:val="5EEB4428"/>
    <w:rsid w:val="5EEC0A0D"/>
    <w:rsid w:val="5F140445"/>
    <w:rsid w:val="5F1A2B43"/>
    <w:rsid w:val="5F1D1431"/>
    <w:rsid w:val="5F24793A"/>
    <w:rsid w:val="5F2A3D64"/>
    <w:rsid w:val="5F3C5C1C"/>
    <w:rsid w:val="5F683CCB"/>
    <w:rsid w:val="5F702B80"/>
    <w:rsid w:val="5F73441E"/>
    <w:rsid w:val="5F903222"/>
    <w:rsid w:val="5FA33D8F"/>
    <w:rsid w:val="5FB837BB"/>
    <w:rsid w:val="5FC42B81"/>
    <w:rsid w:val="5FDE5317"/>
    <w:rsid w:val="5FE64BF0"/>
    <w:rsid w:val="5FF30C7D"/>
    <w:rsid w:val="5FF76DFD"/>
    <w:rsid w:val="601D7E02"/>
    <w:rsid w:val="60331235"/>
    <w:rsid w:val="603E17A8"/>
    <w:rsid w:val="604B3CB5"/>
    <w:rsid w:val="605A49CA"/>
    <w:rsid w:val="605D4C28"/>
    <w:rsid w:val="60655BC8"/>
    <w:rsid w:val="606C731F"/>
    <w:rsid w:val="60725176"/>
    <w:rsid w:val="60793FF2"/>
    <w:rsid w:val="607A375A"/>
    <w:rsid w:val="60827DED"/>
    <w:rsid w:val="609C6EB9"/>
    <w:rsid w:val="60B44CEE"/>
    <w:rsid w:val="60B53011"/>
    <w:rsid w:val="60CC405A"/>
    <w:rsid w:val="60CD7F37"/>
    <w:rsid w:val="60E24BD5"/>
    <w:rsid w:val="60ED1362"/>
    <w:rsid w:val="60F129EA"/>
    <w:rsid w:val="60F4333C"/>
    <w:rsid w:val="60FA777E"/>
    <w:rsid w:val="6105554A"/>
    <w:rsid w:val="61197614"/>
    <w:rsid w:val="61353AE8"/>
    <w:rsid w:val="614E6EF1"/>
    <w:rsid w:val="61593781"/>
    <w:rsid w:val="615F10FE"/>
    <w:rsid w:val="61656047"/>
    <w:rsid w:val="61663552"/>
    <w:rsid w:val="61731EE4"/>
    <w:rsid w:val="61B360B9"/>
    <w:rsid w:val="61BC02FE"/>
    <w:rsid w:val="61BE0AD3"/>
    <w:rsid w:val="61CB1160"/>
    <w:rsid w:val="61CC46CC"/>
    <w:rsid w:val="61E215D8"/>
    <w:rsid w:val="61F77588"/>
    <w:rsid w:val="620F042E"/>
    <w:rsid w:val="62132A20"/>
    <w:rsid w:val="621B3775"/>
    <w:rsid w:val="62287B69"/>
    <w:rsid w:val="62326812"/>
    <w:rsid w:val="6234313C"/>
    <w:rsid w:val="62364782"/>
    <w:rsid w:val="62425545"/>
    <w:rsid w:val="625B7B17"/>
    <w:rsid w:val="625C213B"/>
    <w:rsid w:val="625C2C9A"/>
    <w:rsid w:val="625C57CE"/>
    <w:rsid w:val="62612A92"/>
    <w:rsid w:val="628E1C9B"/>
    <w:rsid w:val="6292482E"/>
    <w:rsid w:val="62A768B8"/>
    <w:rsid w:val="62AA1349"/>
    <w:rsid w:val="62BE1E54"/>
    <w:rsid w:val="62C21944"/>
    <w:rsid w:val="62E64357"/>
    <w:rsid w:val="62F87114"/>
    <w:rsid w:val="63092BE9"/>
    <w:rsid w:val="63332842"/>
    <w:rsid w:val="63375F1A"/>
    <w:rsid w:val="633A163E"/>
    <w:rsid w:val="633B3F08"/>
    <w:rsid w:val="63487A30"/>
    <w:rsid w:val="635A1B7D"/>
    <w:rsid w:val="63723BDC"/>
    <w:rsid w:val="63823AD4"/>
    <w:rsid w:val="6394356A"/>
    <w:rsid w:val="63A956A6"/>
    <w:rsid w:val="63B66333"/>
    <w:rsid w:val="63C61B2C"/>
    <w:rsid w:val="63D40BE9"/>
    <w:rsid w:val="63D42261"/>
    <w:rsid w:val="63EB0A27"/>
    <w:rsid w:val="63EC3A6A"/>
    <w:rsid w:val="64102431"/>
    <w:rsid w:val="64144421"/>
    <w:rsid w:val="64296F6B"/>
    <w:rsid w:val="643C20B5"/>
    <w:rsid w:val="64627425"/>
    <w:rsid w:val="646F78AA"/>
    <w:rsid w:val="6477495A"/>
    <w:rsid w:val="648279D5"/>
    <w:rsid w:val="64847FC8"/>
    <w:rsid w:val="64855F7A"/>
    <w:rsid w:val="649C235B"/>
    <w:rsid w:val="649F7777"/>
    <w:rsid w:val="64A22188"/>
    <w:rsid w:val="64A32DC1"/>
    <w:rsid w:val="64A5243A"/>
    <w:rsid w:val="64B61035"/>
    <w:rsid w:val="64B64D8A"/>
    <w:rsid w:val="64C30216"/>
    <w:rsid w:val="64CD7C78"/>
    <w:rsid w:val="64D92F75"/>
    <w:rsid w:val="64DB0A9B"/>
    <w:rsid w:val="64E531C3"/>
    <w:rsid w:val="64EC4654"/>
    <w:rsid w:val="64ED2D30"/>
    <w:rsid w:val="64F52C32"/>
    <w:rsid w:val="64F531DE"/>
    <w:rsid w:val="64F6392E"/>
    <w:rsid w:val="64FB738F"/>
    <w:rsid w:val="65284FBA"/>
    <w:rsid w:val="65363F24"/>
    <w:rsid w:val="653672AF"/>
    <w:rsid w:val="65373578"/>
    <w:rsid w:val="65402FF4"/>
    <w:rsid w:val="655948BA"/>
    <w:rsid w:val="656C203B"/>
    <w:rsid w:val="65733C50"/>
    <w:rsid w:val="65750EF0"/>
    <w:rsid w:val="65752C9E"/>
    <w:rsid w:val="657E6A64"/>
    <w:rsid w:val="65815B5D"/>
    <w:rsid w:val="65826D65"/>
    <w:rsid w:val="6598373A"/>
    <w:rsid w:val="65A102AF"/>
    <w:rsid w:val="65AD68DC"/>
    <w:rsid w:val="65B5625B"/>
    <w:rsid w:val="65BF610A"/>
    <w:rsid w:val="65C40290"/>
    <w:rsid w:val="65CB657B"/>
    <w:rsid w:val="65D76468"/>
    <w:rsid w:val="65FE7137"/>
    <w:rsid w:val="660202AA"/>
    <w:rsid w:val="66060EAE"/>
    <w:rsid w:val="66067D9A"/>
    <w:rsid w:val="660E1D9A"/>
    <w:rsid w:val="66211A8F"/>
    <w:rsid w:val="662927B2"/>
    <w:rsid w:val="662A1F26"/>
    <w:rsid w:val="66320B8F"/>
    <w:rsid w:val="663C283C"/>
    <w:rsid w:val="66400AB5"/>
    <w:rsid w:val="664E3B3B"/>
    <w:rsid w:val="66515EB5"/>
    <w:rsid w:val="6658247E"/>
    <w:rsid w:val="66782EA9"/>
    <w:rsid w:val="66954995"/>
    <w:rsid w:val="66990C0E"/>
    <w:rsid w:val="66AD6AFC"/>
    <w:rsid w:val="66AE4B55"/>
    <w:rsid w:val="66B61A80"/>
    <w:rsid w:val="66C144C5"/>
    <w:rsid w:val="66C83704"/>
    <w:rsid w:val="66D439F4"/>
    <w:rsid w:val="66DA117A"/>
    <w:rsid w:val="670342D9"/>
    <w:rsid w:val="670A5668"/>
    <w:rsid w:val="671F124A"/>
    <w:rsid w:val="673053A9"/>
    <w:rsid w:val="67362901"/>
    <w:rsid w:val="673B3A73"/>
    <w:rsid w:val="674548F2"/>
    <w:rsid w:val="677A33C6"/>
    <w:rsid w:val="678440F9"/>
    <w:rsid w:val="679A58DA"/>
    <w:rsid w:val="679F4002"/>
    <w:rsid w:val="67AB0BF9"/>
    <w:rsid w:val="67AE2962"/>
    <w:rsid w:val="67BB5C85"/>
    <w:rsid w:val="67D220E2"/>
    <w:rsid w:val="67E245B2"/>
    <w:rsid w:val="67E46C54"/>
    <w:rsid w:val="68092E60"/>
    <w:rsid w:val="680E159A"/>
    <w:rsid w:val="681F6961"/>
    <w:rsid w:val="68245A70"/>
    <w:rsid w:val="684D7F02"/>
    <w:rsid w:val="684E794F"/>
    <w:rsid w:val="68535591"/>
    <w:rsid w:val="685D081F"/>
    <w:rsid w:val="68610A2F"/>
    <w:rsid w:val="686F15D5"/>
    <w:rsid w:val="686F60CA"/>
    <w:rsid w:val="68805514"/>
    <w:rsid w:val="6884278F"/>
    <w:rsid w:val="68906041"/>
    <w:rsid w:val="68A1024E"/>
    <w:rsid w:val="68AF4719"/>
    <w:rsid w:val="68B95597"/>
    <w:rsid w:val="68C55CEA"/>
    <w:rsid w:val="68EA39A3"/>
    <w:rsid w:val="68ED2114"/>
    <w:rsid w:val="68F93287"/>
    <w:rsid w:val="68F949C9"/>
    <w:rsid w:val="690D143F"/>
    <w:rsid w:val="69210D87"/>
    <w:rsid w:val="69316E2F"/>
    <w:rsid w:val="693E1540"/>
    <w:rsid w:val="6949691B"/>
    <w:rsid w:val="694E2071"/>
    <w:rsid w:val="69766163"/>
    <w:rsid w:val="697A3B33"/>
    <w:rsid w:val="697B1C0E"/>
    <w:rsid w:val="697B53BE"/>
    <w:rsid w:val="699833FF"/>
    <w:rsid w:val="69A022B3"/>
    <w:rsid w:val="69A14F23"/>
    <w:rsid w:val="69A74846"/>
    <w:rsid w:val="69B875FD"/>
    <w:rsid w:val="69BD57EB"/>
    <w:rsid w:val="69CC4E56"/>
    <w:rsid w:val="69D44760"/>
    <w:rsid w:val="69D95B40"/>
    <w:rsid w:val="69DA0FBD"/>
    <w:rsid w:val="69EC4EB8"/>
    <w:rsid w:val="69FA4D71"/>
    <w:rsid w:val="69FF6FDA"/>
    <w:rsid w:val="6A06154D"/>
    <w:rsid w:val="6A0777C9"/>
    <w:rsid w:val="6A334FF2"/>
    <w:rsid w:val="6A4F0D15"/>
    <w:rsid w:val="6A51101C"/>
    <w:rsid w:val="6A520EC7"/>
    <w:rsid w:val="6A6F1133"/>
    <w:rsid w:val="6A903B86"/>
    <w:rsid w:val="6A977357"/>
    <w:rsid w:val="6A9A681C"/>
    <w:rsid w:val="6AA10091"/>
    <w:rsid w:val="6AA933EA"/>
    <w:rsid w:val="6AC77447"/>
    <w:rsid w:val="6AD40467"/>
    <w:rsid w:val="6ADB20B7"/>
    <w:rsid w:val="6ADF0BB9"/>
    <w:rsid w:val="6AEA5EDC"/>
    <w:rsid w:val="6AF87E20"/>
    <w:rsid w:val="6B030834"/>
    <w:rsid w:val="6B0B7C00"/>
    <w:rsid w:val="6B1523C9"/>
    <w:rsid w:val="6B322639"/>
    <w:rsid w:val="6B3B6F2B"/>
    <w:rsid w:val="6B3C1381"/>
    <w:rsid w:val="6B69597E"/>
    <w:rsid w:val="6B8D6867"/>
    <w:rsid w:val="6B900B29"/>
    <w:rsid w:val="6B9A3062"/>
    <w:rsid w:val="6BB12556"/>
    <w:rsid w:val="6BCC49E9"/>
    <w:rsid w:val="6BD4493D"/>
    <w:rsid w:val="6BEC5157"/>
    <w:rsid w:val="6BEF307E"/>
    <w:rsid w:val="6BF012D0"/>
    <w:rsid w:val="6BF574D5"/>
    <w:rsid w:val="6BF8008C"/>
    <w:rsid w:val="6BF92453"/>
    <w:rsid w:val="6C00584C"/>
    <w:rsid w:val="6C054650"/>
    <w:rsid w:val="6C1E3456"/>
    <w:rsid w:val="6C2C7857"/>
    <w:rsid w:val="6C3B1940"/>
    <w:rsid w:val="6C3D246C"/>
    <w:rsid w:val="6C441C3E"/>
    <w:rsid w:val="6C474C68"/>
    <w:rsid w:val="6C505D0E"/>
    <w:rsid w:val="6C5535A3"/>
    <w:rsid w:val="6C636C38"/>
    <w:rsid w:val="6C726189"/>
    <w:rsid w:val="6C8861AC"/>
    <w:rsid w:val="6CBE317C"/>
    <w:rsid w:val="6CC85207"/>
    <w:rsid w:val="6CD209D6"/>
    <w:rsid w:val="6CE91505"/>
    <w:rsid w:val="6CEF1588"/>
    <w:rsid w:val="6D1E372B"/>
    <w:rsid w:val="6D257FA0"/>
    <w:rsid w:val="6D282CEC"/>
    <w:rsid w:val="6D286B5F"/>
    <w:rsid w:val="6D2975D3"/>
    <w:rsid w:val="6D3A657B"/>
    <w:rsid w:val="6D611509"/>
    <w:rsid w:val="6D651AFA"/>
    <w:rsid w:val="6D705EF2"/>
    <w:rsid w:val="6DB34098"/>
    <w:rsid w:val="6DB545B6"/>
    <w:rsid w:val="6DBB76BC"/>
    <w:rsid w:val="6DC06713"/>
    <w:rsid w:val="6DC36F06"/>
    <w:rsid w:val="6DE02FB4"/>
    <w:rsid w:val="6DEA65E3"/>
    <w:rsid w:val="6DF817FA"/>
    <w:rsid w:val="6E2D05A3"/>
    <w:rsid w:val="6E320F15"/>
    <w:rsid w:val="6E514CED"/>
    <w:rsid w:val="6E5B3E50"/>
    <w:rsid w:val="6E616C0F"/>
    <w:rsid w:val="6E62222D"/>
    <w:rsid w:val="6E697118"/>
    <w:rsid w:val="6E6C6C08"/>
    <w:rsid w:val="6E804461"/>
    <w:rsid w:val="6E963C85"/>
    <w:rsid w:val="6E972BEF"/>
    <w:rsid w:val="6E9775CB"/>
    <w:rsid w:val="6EB563D5"/>
    <w:rsid w:val="6EBA7973"/>
    <w:rsid w:val="6EC25149"/>
    <w:rsid w:val="6EC7366A"/>
    <w:rsid w:val="6ED92677"/>
    <w:rsid w:val="6EE40E94"/>
    <w:rsid w:val="6EE7451C"/>
    <w:rsid w:val="6EE7654D"/>
    <w:rsid w:val="6EEE535B"/>
    <w:rsid w:val="6F07668A"/>
    <w:rsid w:val="6F0D2199"/>
    <w:rsid w:val="6F0F6AD0"/>
    <w:rsid w:val="6F225983"/>
    <w:rsid w:val="6F265A80"/>
    <w:rsid w:val="6F5B2DE1"/>
    <w:rsid w:val="6F5E0785"/>
    <w:rsid w:val="6F6A36BA"/>
    <w:rsid w:val="6F7101BE"/>
    <w:rsid w:val="6F7D7049"/>
    <w:rsid w:val="6F862D98"/>
    <w:rsid w:val="6F8958F4"/>
    <w:rsid w:val="6F89764B"/>
    <w:rsid w:val="6FA36659"/>
    <w:rsid w:val="6FA76651"/>
    <w:rsid w:val="6FA83C70"/>
    <w:rsid w:val="6FBB507D"/>
    <w:rsid w:val="6FBE7937"/>
    <w:rsid w:val="6FC60C70"/>
    <w:rsid w:val="6FC6728E"/>
    <w:rsid w:val="6FC84312"/>
    <w:rsid w:val="6FCC3D44"/>
    <w:rsid w:val="6FD43281"/>
    <w:rsid w:val="6FE44E92"/>
    <w:rsid w:val="6FF84BF7"/>
    <w:rsid w:val="6FFC5590"/>
    <w:rsid w:val="7000585A"/>
    <w:rsid w:val="70042156"/>
    <w:rsid w:val="700F03E4"/>
    <w:rsid w:val="70167A59"/>
    <w:rsid w:val="701C0038"/>
    <w:rsid w:val="7023058B"/>
    <w:rsid w:val="702923CE"/>
    <w:rsid w:val="70324099"/>
    <w:rsid w:val="703B4AE4"/>
    <w:rsid w:val="703D1F66"/>
    <w:rsid w:val="703F45D4"/>
    <w:rsid w:val="706D1DD0"/>
    <w:rsid w:val="707B186E"/>
    <w:rsid w:val="70856B87"/>
    <w:rsid w:val="70942841"/>
    <w:rsid w:val="70A72179"/>
    <w:rsid w:val="70C8281B"/>
    <w:rsid w:val="70D07922"/>
    <w:rsid w:val="70D311C0"/>
    <w:rsid w:val="70D527EE"/>
    <w:rsid w:val="70D77415"/>
    <w:rsid w:val="70EE4C92"/>
    <w:rsid w:val="7105648A"/>
    <w:rsid w:val="71112D55"/>
    <w:rsid w:val="711B5EDA"/>
    <w:rsid w:val="711C2C1B"/>
    <w:rsid w:val="71216FC1"/>
    <w:rsid w:val="712810C8"/>
    <w:rsid w:val="713E7E5A"/>
    <w:rsid w:val="713F0604"/>
    <w:rsid w:val="714F2325"/>
    <w:rsid w:val="715B5300"/>
    <w:rsid w:val="715D3F72"/>
    <w:rsid w:val="716F3362"/>
    <w:rsid w:val="71775FF0"/>
    <w:rsid w:val="718C1A9B"/>
    <w:rsid w:val="718D5813"/>
    <w:rsid w:val="71BE4C40"/>
    <w:rsid w:val="71BF02EA"/>
    <w:rsid w:val="71C137A6"/>
    <w:rsid w:val="71C823A7"/>
    <w:rsid w:val="71D27F8A"/>
    <w:rsid w:val="71D52148"/>
    <w:rsid w:val="71D655D2"/>
    <w:rsid w:val="71D8296E"/>
    <w:rsid w:val="71F31C95"/>
    <w:rsid w:val="72120736"/>
    <w:rsid w:val="723932A5"/>
    <w:rsid w:val="724237C1"/>
    <w:rsid w:val="724F1D63"/>
    <w:rsid w:val="725105EF"/>
    <w:rsid w:val="72553024"/>
    <w:rsid w:val="725641A6"/>
    <w:rsid w:val="726A6E4E"/>
    <w:rsid w:val="727D0A56"/>
    <w:rsid w:val="72814891"/>
    <w:rsid w:val="728E407C"/>
    <w:rsid w:val="72914E8F"/>
    <w:rsid w:val="729A70DD"/>
    <w:rsid w:val="729B07AB"/>
    <w:rsid w:val="72B00740"/>
    <w:rsid w:val="72DD4D4D"/>
    <w:rsid w:val="72EB6357"/>
    <w:rsid w:val="73052B03"/>
    <w:rsid w:val="730B5DF5"/>
    <w:rsid w:val="73122968"/>
    <w:rsid w:val="73171838"/>
    <w:rsid w:val="731F5D5E"/>
    <w:rsid w:val="734031BE"/>
    <w:rsid w:val="73584A76"/>
    <w:rsid w:val="735C6470"/>
    <w:rsid w:val="73771596"/>
    <w:rsid w:val="738F53D1"/>
    <w:rsid w:val="739346B0"/>
    <w:rsid w:val="73A239B1"/>
    <w:rsid w:val="73AB1F81"/>
    <w:rsid w:val="73AD1AB4"/>
    <w:rsid w:val="73B01345"/>
    <w:rsid w:val="73C31857"/>
    <w:rsid w:val="73C51AD5"/>
    <w:rsid w:val="73DD55B4"/>
    <w:rsid w:val="740534D5"/>
    <w:rsid w:val="74055B35"/>
    <w:rsid w:val="741945EC"/>
    <w:rsid w:val="741E793C"/>
    <w:rsid w:val="74492E19"/>
    <w:rsid w:val="745E3944"/>
    <w:rsid w:val="745F570D"/>
    <w:rsid w:val="74626A42"/>
    <w:rsid w:val="746759A3"/>
    <w:rsid w:val="746918C3"/>
    <w:rsid w:val="7479207F"/>
    <w:rsid w:val="74793E2D"/>
    <w:rsid w:val="74822CE1"/>
    <w:rsid w:val="7484754A"/>
    <w:rsid w:val="74940C67"/>
    <w:rsid w:val="74A52E74"/>
    <w:rsid w:val="74AF640F"/>
    <w:rsid w:val="74CD4655"/>
    <w:rsid w:val="74D15A17"/>
    <w:rsid w:val="74D30328"/>
    <w:rsid w:val="74DC4AE7"/>
    <w:rsid w:val="74ED4046"/>
    <w:rsid w:val="74F91BBA"/>
    <w:rsid w:val="7518720D"/>
    <w:rsid w:val="75194592"/>
    <w:rsid w:val="75271ADB"/>
    <w:rsid w:val="75325D62"/>
    <w:rsid w:val="7539091C"/>
    <w:rsid w:val="753E356A"/>
    <w:rsid w:val="75415741"/>
    <w:rsid w:val="75422471"/>
    <w:rsid w:val="7568473A"/>
    <w:rsid w:val="7574140D"/>
    <w:rsid w:val="757545F4"/>
    <w:rsid w:val="7577036C"/>
    <w:rsid w:val="75851341"/>
    <w:rsid w:val="759072DF"/>
    <w:rsid w:val="75A91E1D"/>
    <w:rsid w:val="75CD34D0"/>
    <w:rsid w:val="75D73DE6"/>
    <w:rsid w:val="75D94184"/>
    <w:rsid w:val="761338CF"/>
    <w:rsid w:val="761D2D29"/>
    <w:rsid w:val="762F62AF"/>
    <w:rsid w:val="763149BF"/>
    <w:rsid w:val="7635099D"/>
    <w:rsid w:val="763530CB"/>
    <w:rsid w:val="7637387F"/>
    <w:rsid w:val="76442676"/>
    <w:rsid w:val="7647352A"/>
    <w:rsid w:val="764A5A81"/>
    <w:rsid w:val="7669689F"/>
    <w:rsid w:val="768A359B"/>
    <w:rsid w:val="769F114D"/>
    <w:rsid w:val="76A205C9"/>
    <w:rsid w:val="76B377ED"/>
    <w:rsid w:val="76C017C7"/>
    <w:rsid w:val="76D17280"/>
    <w:rsid w:val="76D90C20"/>
    <w:rsid w:val="76DE4B81"/>
    <w:rsid w:val="76E83F7B"/>
    <w:rsid w:val="76F55328"/>
    <w:rsid w:val="76F854DD"/>
    <w:rsid w:val="770859BB"/>
    <w:rsid w:val="77091DB7"/>
    <w:rsid w:val="7724705D"/>
    <w:rsid w:val="77253E74"/>
    <w:rsid w:val="77332056"/>
    <w:rsid w:val="776133A2"/>
    <w:rsid w:val="77626DFA"/>
    <w:rsid w:val="77644920"/>
    <w:rsid w:val="77762421"/>
    <w:rsid w:val="77810FAE"/>
    <w:rsid w:val="77843583"/>
    <w:rsid w:val="778C4E61"/>
    <w:rsid w:val="7795437A"/>
    <w:rsid w:val="77A47DCF"/>
    <w:rsid w:val="77AB07A1"/>
    <w:rsid w:val="77B56B1F"/>
    <w:rsid w:val="77CA0A7C"/>
    <w:rsid w:val="77CF0C53"/>
    <w:rsid w:val="77DC4DFE"/>
    <w:rsid w:val="77E617D9"/>
    <w:rsid w:val="77F22BC3"/>
    <w:rsid w:val="780659D7"/>
    <w:rsid w:val="780B1240"/>
    <w:rsid w:val="780F09F4"/>
    <w:rsid w:val="782D7D48"/>
    <w:rsid w:val="783044E0"/>
    <w:rsid w:val="7846424A"/>
    <w:rsid w:val="78472EBC"/>
    <w:rsid w:val="784B4BDC"/>
    <w:rsid w:val="78727511"/>
    <w:rsid w:val="78827754"/>
    <w:rsid w:val="788C297D"/>
    <w:rsid w:val="78A90480"/>
    <w:rsid w:val="78AC657F"/>
    <w:rsid w:val="78B11DE7"/>
    <w:rsid w:val="78BF1E08"/>
    <w:rsid w:val="78D655A1"/>
    <w:rsid w:val="78F66E88"/>
    <w:rsid w:val="79035B06"/>
    <w:rsid w:val="79041559"/>
    <w:rsid w:val="79057E27"/>
    <w:rsid w:val="79212F2D"/>
    <w:rsid w:val="79257D5C"/>
    <w:rsid w:val="79444A09"/>
    <w:rsid w:val="79481BD3"/>
    <w:rsid w:val="794D2D86"/>
    <w:rsid w:val="794F71DB"/>
    <w:rsid w:val="7955517B"/>
    <w:rsid w:val="79621333"/>
    <w:rsid w:val="79912AB2"/>
    <w:rsid w:val="79A81038"/>
    <w:rsid w:val="79A948C0"/>
    <w:rsid w:val="79B1104A"/>
    <w:rsid w:val="79BC0A44"/>
    <w:rsid w:val="79CB512B"/>
    <w:rsid w:val="79CD7D8D"/>
    <w:rsid w:val="79EE2C15"/>
    <w:rsid w:val="7A012FE1"/>
    <w:rsid w:val="7A1A174F"/>
    <w:rsid w:val="7A1D438E"/>
    <w:rsid w:val="7A28574E"/>
    <w:rsid w:val="7A364017"/>
    <w:rsid w:val="7A3E119B"/>
    <w:rsid w:val="7A460C55"/>
    <w:rsid w:val="7A6B44EA"/>
    <w:rsid w:val="7A6E38A0"/>
    <w:rsid w:val="7A8265E1"/>
    <w:rsid w:val="7AA716F4"/>
    <w:rsid w:val="7ACB61C0"/>
    <w:rsid w:val="7AE55D78"/>
    <w:rsid w:val="7AE916D2"/>
    <w:rsid w:val="7AF810EA"/>
    <w:rsid w:val="7B0657E9"/>
    <w:rsid w:val="7B0F7299"/>
    <w:rsid w:val="7B241751"/>
    <w:rsid w:val="7B310FBD"/>
    <w:rsid w:val="7B450F0D"/>
    <w:rsid w:val="7B4C3394"/>
    <w:rsid w:val="7B686D42"/>
    <w:rsid w:val="7B840887"/>
    <w:rsid w:val="7B841746"/>
    <w:rsid w:val="7BA40029"/>
    <w:rsid w:val="7BAA5536"/>
    <w:rsid w:val="7BB7750E"/>
    <w:rsid w:val="7BC65BA9"/>
    <w:rsid w:val="7BD0027A"/>
    <w:rsid w:val="7BDC0F74"/>
    <w:rsid w:val="7BDE0BC1"/>
    <w:rsid w:val="7BEC7C8A"/>
    <w:rsid w:val="7C084414"/>
    <w:rsid w:val="7C091F3A"/>
    <w:rsid w:val="7C18217D"/>
    <w:rsid w:val="7C194E7F"/>
    <w:rsid w:val="7C274A04"/>
    <w:rsid w:val="7C33222D"/>
    <w:rsid w:val="7C3D65BF"/>
    <w:rsid w:val="7C5B523D"/>
    <w:rsid w:val="7C631EB1"/>
    <w:rsid w:val="7C6A634E"/>
    <w:rsid w:val="7C6C5AC7"/>
    <w:rsid w:val="7C940A8C"/>
    <w:rsid w:val="7CAF161C"/>
    <w:rsid w:val="7CB33030"/>
    <w:rsid w:val="7CC35E6A"/>
    <w:rsid w:val="7CC6544B"/>
    <w:rsid w:val="7CDD3EDF"/>
    <w:rsid w:val="7CE74632"/>
    <w:rsid w:val="7CE840C9"/>
    <w:rsid w:val="7CEE1751"/>
    <w:rsid w:val="7CF20131"/>
    <w:rsid w:val="7CFC55FB"/>
    <w:rsid w:val="7D007B00"/>
    <w:rsid w:val="7D0239FF"/>
    <w:rsid w:val="7D302B31"/>
    <w:rsid w:val="7D3A5CA3"/>
    <w:rsid w:val="7D3D47BF"/>
    <w:rsid w:val="7D4E746A"/>
    <w:rsid w:val="7D5471E5"/>
    <w:rsid w:val="7D5611AF"/>
    <w:rsid w:val="7D5E40CD"/>
    <w:rsid w:val="7D7558BB"/>
    <w:rsid w:val="7D84289E"/>
    <w:rsid w:val="7D983CCD"/>
    <w:rsid w:val="7D985324"/>
    <w:rsid w:val="7D9C3085"/>
    <w:rsid w:val="7D9F4260"/>
    <w:rsid w:val="7D9F57FC"/>
    <w:rsid w:val="7DB67184"/>
    <w:rsid w:val="7DCD56F2"/>
    <w:rsid w:val="7DD53BE2"/>
    <w:rsid w:val="7DEB329C"/>
    <w:rsid w:val="7E1D165F"/>
    <w:rsid w:val="7E1F3C97"/>
    <w:rsid w:val="7E380DE2"/>
    <w:rsid w:val="7E3C5221"/>
    <w:rsid w:val="7E4215D3"/>
    <w:rsid w:val="7E4C1ACF"/>
    <w:rsid w:val="7E527BC8"/>
    <w:rsid w:val="7E582D05"/>
    <w:rsid w:val="7E5F4093"/>
    <w:rsid w:val="7E6D4A02"/>
    <w:rsid w:val="7E6E1DAC"/>
    <w:rsid w:val="7E721CFC"/>
    <w:rsid w:val="7E7434D8"/>
    <w:rsid w:val="7EA81185"/>
    <w:rsid w:val="7EAD4DFF"/>
    <w:rsid w:val="7EC82AF1"/>
    <w:rsid w:val="7ED138F8"/>
    <w:rsid w:val="7ED52A97"/>
    <w:rsid w:val="7EE10361"/>
    <w:rsid w:val="7F001CE7"/>
    <w:rsid w:val="7F0A04A3"/>
    <w:rsid w:val="7F0C0FAD"/>
    <w:rsid w:val="7F1A6186"/>
    <w:rsid w:val="7F2304D6"/>
    <w:rsid w:val="7F2C151B"/>
    <w:rsid w:val="7F3844B1"/>
    <w:rsid w:val="7F390D5A"/>
    <w:rsid w:val="7F3D4B93"/>
    <w:rsid w:val="7F464805"/>
    <w:rsid w:val="7F496C35"/>
    <w:rsid w:val="7F5B22F2"/>
    <w:rsid w:val="7F651499"/>
    <w:rsid w:val="7F69341C"/>
    <w:rsid w:val="7F6A503E"/>
    <w:rsid w:val="7F9A3D06"/>
    <w:rsid w:val="7FB71DAC"/>
    <w:rsid w:val="7FD36F57"/>
    <w:rsid w:val="7FD86751"/>
    <w:rsid w:val="7FE374F0"/>
    <w:rsid w:val="7FE47E50"/>
    <w:rsid w:val="7FF60C0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3"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7"/>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adjustRightInd w:val="0"/>
      <w:outlineLvl w:val="1"/>
    </w:pPr>
    <w:rPr>
      <w:rFonts w:ascii="幼圆" w:eastAsia="幼圆"/>
      <w:sz w:val="28"/>
    </w:rPr>
  </w:style>
  <w:style w:type="paragraph" w:styleId="4">
    <w:name w:val="heading 3"/>
    <w:basedOn w:val="1"/>
    <w:next w:val="1"/>
    <w:qFormat/>
    <w:locked/>
    <w:uiPriority w:val="0"/>
    <w:pPr>
      <w:keepNext/>
      <w:keepLines/>
      <w:spacing w:line="360" w:lineRule="auto"/>
      <w:outlineLvl w:val="2"/>
    </w:pPr>
    <w:rPr>
      <w:b/>
      <w:bCs/>
      <w:szCs w:val="32"/>
    </w:rPr>
  </w:style>
  <w:style w:type="paragraph" w:styleId="5">
    <w:name w:val="heading 4"/>
    <w:basedOn w:val="1"/>
    <w:next w:val="1"/>
    <w:qFormat/>
    <w:locked/>
    <w:uiPriority w:val="1"/>
    <w:pPr>
      <w:jc w:val="center"/>
      <w:outlineLvl w:val="3"/>
    </w:pPr>
    <w:rPr>
      <w:rFonts w:ascii="宋体" w:hAnsi="宋体" w:eastAsia="宋体" w:cs="宋体"/>
      <w:b/>
      <w:bCs/>
      <w:sz w:val="24"/>
      <w:szCs w:val="24"/>
      <w:lang w:val="zh-CN" w:eastAsia="zh-CN" w:bidi="zh-CN"/>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locked/>
    <w:uiPriority w:val="0"/>
    <w:pPr>
      <w:ind w:firstLine="420"/>
    </w:pPr>
  </w:style>
  <w:style w:type="paragraph" w:styleId="7">
    <w:name w:val="caption"/>
    <w:basedOn w:val="1"/>
    <w:next w:val="1"/>
    <w:qFormat/>
    <w:locked/>
    <w:uiPriority w:val="35"/>
    <w:pPr>
      <w:spacing w:before="152" w:after="160"/>
    </w:pPr>
    <w:rPr>
      <w:rFonts w:ascii="Arial" w:hAnsi="Arial" w:eastAsia="黑体" w:cs="Arial"/>
      <w:sz w:val="20"/>
      <w:szCs w:val="20"/>
    </w:rPr>
  </w:style>
  <w:style w:type="paragraph" w:styleId="8">
    <w:name w:val="annotation text"/>
    <w:basedOn w:val="1"/>
    <w:link w:val="40"/>
    <w:semiHidden/>
    <w:qFormat/>
    <w:uiPriority w:val="0"/>
    <w:pPr>
      <w:jc w:val="left"/>
    </w:pPr>
    <w:rPr>
      <w:kern w:val="0"/>
      <w:sz w:val="24"/>
      <w:szCs w:val="20"/>
    </w:rPr>
  </w:style>
  <w:style w:type="paragraph" w:styleId="9">
    <w:name w:val="Salutation"/>
    <w:basedOn w:val="1"/>
    <w:next w:val="1"/>
    <w:qFormat/>
    <w:locked/>
    <w:uiPriority w:val="0"/>
    <w:pPr>
      <w:spacing w:line="240" w:lineRule="auto"/>
    </w:pPr>
    <w:rPr>
      <w:b/>
      <w:bCs/>
    </w:rPr>
  </w:style>
  <w:style w:type="paragraph" w:styleId="10">
    <w:name w:val="Body Text"/>
    <w:basedOn w:val="1"/>
    <w:next w:val="11"/>
    <w:link w:val="41"/>
    <w:qFormat/>
    <w:uiPriority w:val="0"/>
    <w:pPr>
      <w:widowControl/>
      <w:snapToGrid w:val="0"/>
      <w:spacing w:before="60" w:after="160" w:line="259" w:lineRule="auto"/>
      <w:ind w:right="113"/>
    </w:pPr>
    <w:rPr>
      <w:kern w:val="0"/>
      <w:sz w:val="18"/>
      <w:szCs w:val="20"/>
    </w:rPr>
  </w:style>
  <w:style w:type="paragraph" w:styleId="11">
    <w:name w:val="List Bullet 5"/>
    <w:basedOn w:val="1"/>
    <w:qFormat/>
    <w:locked/>
    <w:uiPriority w:val="0"/>
    <w:pPr>
      <w:numPr>
        <w:ilvl w:val="0"/>
        <w:numId w:val="1"/>
      </w:numPr>
    </w:pPr>
  </w:style>
  <w:style w:type="paragraph" w:styleId="12">
    <w:name w:val="Body Text Indent"/>
    <w:basedOn w:val="1"/>
    <w:link w:val="42"/>
    <w:qFormat/>
    <w:uiPriority w:val="0"/>
    <w:pPr>
      <w:spacing w:after="120"/>
      <w:ind w:left="420" w:leftChars="200"/>
    </w:pPr>
    <w:rPr>
      <w:kern w:val="0"/>
      <w:sz w:val="24"/>
      <w:szCs w:val="20"/>
    </w:rPr>
  </w:style>
  <w:style w:type="paragraph" w:styleId="13">
    <w:name w:val="Block Text"/>
    <w:basedOn w:val="1"/>
    <w:qFormat/>
    <w:locked/>
    <w:uiPriority w:val="0"/>
    <w:pPr>
      <w:spacing w:beforeLines="50" w:line="600" w:lineRule="exact"/>
      <w:ind w:left="42" w:leftChars="20" w:right="42" w:rightChars="20" w:firstLine="560"/>
    </w:pPr>
    <w:rPr>
      <w:rFonts w:ascii="宋体"/>
      <w:sz w:val="28"/>
    </w:rPr>
  </w:style>
  <w:style w:type="paragraph" w:styleId="14">
    <w:name w:val="Plain Text"/>
    <w:basedOn w:val="1"/>
    <w:next w:val="15"/>
    <w:qFormat/>
    <w:locked/>
    <w:uiPriority w:val="0"/>
    <w:rPr>
      <w:rFonts w:ascii="宋体" w:hAnsi="Courier New" w:cs="Courier New"/>
      <w:szCs w:val="21"/>
    </w:rPr>
  </w:style>
  <w:style w:type="paragraph" w:customStyle="1" w:styleId="15">
    <w:name w:val="Default"/>
    <w:basedOn w:val="16"/>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
    <w:name w:val="纯文本1"/>
    <w:basedOn w:val="1"/>
    <w:qFormat/>
    <w:uiPriority w:val="0"/>
    <w:pPr>
      <w:adjustRightInd w:val="0"/>
    </w:pPr>
    <w:rPr>
      <w:rFonts w:ascii="宋体" w:hAnsi="Courier New"/>
      <w:szCs w:val="20"/>
    </w:rPr>
  </w:style>
  <w:style w:type="paragraph" w:styleId="17">
    <w:name w:val="Date"/>
    <w:basedOn w:val="1"/>
    <w:next w:val="1"/>
    <w:link w:val="43"/>
    <w:qFormat/>
    <w:uiPriority w:val="0"/>
    <w:pPr>
      <w:ind w:left="100" w:leftChars="2500"/>
    </w:pPr>
    <w:rPr>
      <w:kern w:val="0"/>
      <w:sz w:val="24"/>
      <w:szCs w:val="20"/>
    </w:rPr>
  </w:style>
  <w:style w:type="paragraph" w:styleId="18">
    <w:name w:val="Body Text Indent 2"/>
    <w:basedOn w:val="1"/>
    <w:qFormat/>
    <w:locked/>
    <w:uiPriority w:val="0"/>
    <w:pPr>
      <w:widowControl w:val="0"/>
      <w:spacing w:after="120" w:line="480" w:lineRule="auto"/>
      <w:ind w:left="420" w:leftChars="200"/>
      <w:jc w:val="both"/>
    </w:pPr>
    <w:rPr>
      <w:rFonts w:ascii="Times New Roman" w:hAnsi="Times New Roman" w:eastAsia="宋体" w:cs="Times New Roman"/>
      <w:kern w:val="2"/>
      <w:sz w:val="21"/>
      <w:szCs w:val="24"/>
      <w:lang w:val="en-US" w:eastAsia="zh-CN" w:bidi="ar-SA"/>
    </w:rPr>
  </w:style>
  <w:style w:type="paragraph" w:styleId="19">
    <w:name w:val="Balloon Text"/>
    <w:basedOn w:val="1"/>
    <w:link w:val="44"/>
    <w:semiHidden/>
    <w:qFormat/>
    <w:uiPriority w:val="0"/>
    <w:rPr>
      <w:kern w:val="0"/>
      <w:sz w:val="18"/>
      <w:szCs w:val="20"/>
    </w:rPr>
  </w:style>
  <w:style w:type="paragraph" w:styleId="20">
    <w:name w:val="footer"/>
    <w:basedOn w:val="1"/>
    <w:link w:val="39"/>
    <w:qFormat/>
    <w:uiPriority w:val="99"/>
    <w:pPr>
      <w:tabs>
        <w:tab w:val="center" w:pos="4153"/>
        <w:tab w:val="right" w:pos="8306"/>
      </w:tabs>
      <w:snapToGrid w:val="0"/>
      <w:jc w:val="left"/>
    </w:pPr>
    <w:rPr>
      <w:kern w:val="0"/>
      <w:sz w:val="18"/>
      <w:szCs w:val="20"/>
    </w:rPr>
  </w:style>
  <w:style w:type="paragraph" w:styleId="21">
    <w:name w:val="header"/>
    <w:basedOn w:val="1"/>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22">
    <w:name w:val="List"/>
    <w:basedOn w:val="1"/>
    <w:next w:val="1"/>
    <w:qFormat/>
    <w:locked/>
    <w:uiPriority w:val="0"/>
    <w:pPr>
      <w:widowControl/>
      <w:spacing w:line="440" w:lineRule="exact"/>
      <w:ind w:left="200" w:hanging="200"/>
      <w:jc w:val="left"/>
    </w:pPr>
    <w:rPr>
      <w:kern w:val="0"/>
      <w:szCs w:val="20"/>
    </w:rPr>
  </w:style>
  <w:style w:type="paragraph" w:styleId="23">
    <w:name w:val="Body Text Indent 3"/>
    <w:basedOn w:val="1"/>
    <w:qFormat/>
    <w:locked/>
    <w:uiPriority w:val="0"/>
    <w:pPr>
      <w:spacing w:after="120"/>
      <w:ind w:left="420" w:leftChars="200"/>
    </w:pPr>
    <w:rPr>
      <w:sz w:val="16"/>
      <w:szCs w:val="16"/>
    </w:rPr>
  </w:style>
  <w:style w:type="paragraph" w:styleId="24">
    <w:name w:val="table of figures"/>
    <w:basedOn w:val="1"/>
    <w:next w:val="1"/>
    <w:qFormat/>
    <w:locked/>
    <w:uiPriority w:val="0"/>
    <w:pPr>
      <w:widowControl w:val="0"/>
      <w:ind w:leftChars="200" w:hanging="200" w:hangingChars="200"/>
      <w:jc w:val="both"/>
    </w:pPr>
    <w:rPr>
      <w:rFonts w:ascii="Calibri" w:hAnsi="Calibri" w:cs="Times New Roman"/>
      <w:kern w:val="2"/>
      <w:sz w:val="21"/>
      <w:szCs w:val="22"/>
    </w:rPr>
  </w:style>
  <w:style w:type="paragraph" w:styleId="25">
    <w:name w:val="toc 2"/>
    <w:basedOn w:val="1"/>
    <w:next w:val="1"/>
    <w:qFormat/>
    <w:locked/>
    <w:uiPriority w:val="39"/>
    <w:pPr>
      <w:widowControl/>
      <w:tabs>
        <w:tab w:val="right" w:leader="dot" w:pos="8777"/>
      </w:tabs>
      <w:spacing w:before="50" w:beforeLines="50"/>
      <w:ind w:firstLine="0" w:firstLineChars="0"/>
    </w:pPr>
    <w:rPr>
      <w:rFonts w:ascii="Calibri" w:hAnsi="Calibri" w:eastAsia="仿宋_GB2312"/>
      <w:smallCaps/>
      <w:szCs w:val="20"/>
    </w:rPr>
  </w:style>
  <w:style w:type="paragraph" w:styleId="26">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8"/>
    <w:next w:val="8"/>
    <w:link w:val="47"/>
    <w:semiHidden/>
    <w:qFormat/>
    <w:uiPriority w:val="0"/>
    <w:rPr>
      <w:b/>
      <w:sz w:val="24"/>
      <w:szCs w:val="20"/>
    </w:rPr>
  </w:style>
  <w:style w:type="paragraph" w:styleId="28">
    <w:name w:val="Body Text First Indent"/>
    <w:basedOn w:val="1"/>
    <w:next w:val="29"/>
    <w:unhideWhenUsed/>
    <w:qFormat/>
    <w:locked/>
    <w:uiPriority w:val="99"/>
    <w:pPr>
      <w:ind w:firstLine="420" w:firstLineChars="100"/>
    </w:pPr>
    <w:rPr>
      <w:rFonts w:ascii="Calibri" w:hAnsi="Calibri"/>
      <w:szCs w:val="22"/>
    </w:rPr>
  </w:style>
  <w:style w:type="paragraph" w:styleId="29">
    <w:name w:val="Body Text First Indent 2"/>
    <w:basedOn w:val="12"/>
    <w:next w:val="1"/>
    <w:qFormat/>
    <w:locked/>
    <w:uiPriority w:val="0"/>
    <w:pPr>
      <w:spacing w:after="120" w:line="360" w:lineRule="auto"/>
      <w:ind w:left="420" w:leftChars="200" w:firstLine="420" w:firstLineChars="200"/>
    </w:pPr>
    <w:rPr>
      <w:rFonts w:eastAsia="仿宋_GB2312"/>
    </w:r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locked/>
    <w:uiPriority w:val="0"/>
    <w:rPr>
      <w:b/>
    </w:rPr>
  </w:style>
  <w:style w:type="character" w:styleId="34">
    <w:name w:val="page number"/>
    <w:basedOn w:val="32"/>
    <w:qFormat/>
    <w:locked/>
    <w:uiPriority w:val="0"/>
  </w:style>
  <w:style w:type="character" w:styleId="35">
    <w:name w:val="Hyperlink"/>
    <w:basedOn w:val="32"/>
    <w:qFormat/>
    <w:locked/>
    <w:uiPriority w:val="0"/>
    <w:rPr>
      <w:color w:val="0000FF"/>
      <w:u w:val="single"/>
    </w:rPr>
  </w:style>
  <w:style w:type="character" w:styleId="36">
    <w:name w:val="annotation reference"/>
    <w:semiHidden/>
    <w:qFormat/>
    <w:uiPriority w:val="0"/>
    <w:rPr>
      <w:sz w:val="21"/>
    </w:rPr>
  </w:style>
  <w:style w:type="character" w:customStyle="1" w:styleId="37">
    <w:name w:val="标题 1 Char"/>
    <w:link w:val="2"/>
    <w:qFormat/>
    <w:uiPriority w:val="99"/>
    <w:rPr>
      <w:rFonts w:eastAsia="黑体"/>
      <w:b/>
      <w:bCs/>
      <w:color w:val="000000"/>
      <w:kern w:val="44"/>
      <w:sz w:val="30"/>
      <w:szCs w:val="30"/>
    </w:rPr>
  </w:style>
  <w:style w:type="paragraph" w:customStyle="1" w:styleId="3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39">
    <w:name w:val="页脚 Char"/>
    <w:link w:val="20"/>
    <w:qFormat/>
    <w:locked/>
    <w:uiPriority w:val="99"/>
    <w:rPr>
      <w:sz w:val="18"/>
    </w:rPr>
  </w:style>
  <w:style w:type="character" w:customStyle="1" w:styleId="40">
    <w:name w:val="批注文字 Char"/>
    <w:link w:val="8"/>
    <w:qFormat/>
    <w:locked/>
    <w:uiPriority w:val="0"/>
    <w:rPr>
      <w:rFonts w:ascii="Times New Roman" w:hAnsi="Times New Roman" w:eastAsia="宋体"/>
      <w:sz w:val="24"/>
    </w:rPr>
  </w:style>
  <w:style w:type="character" w:customStyle="1" w:styleId="41">
    <w:name w:val="正文文本 Char"/>
    <w:link w:val="10"/>
    <w:qFormat/>
    <w:locked/>
    <w:uiPriority w:val="0"/>
    <w:rPr>
      <w:sz w:val="18"/>
    </w:rPr>
  </w:style>
  <w:style w:type="character" w:customStyle="1" w:styleId="42">
    <w:name w:val="正文文本缩进 Char"/>
    <w:link w:val="12"/>
    <w:semiHidden/>
    <w:qFormat/>
    <w:locked/>
    <w:uiPriority w:val="0"/>
    <w:rPr>
      <w:rFonts w:ascii="Times New Roman" w:hAnsi="Times New Roman" w:eastAsia="宋体"/>
      <w:sz w:val="24"/>
    </w:rPr>
  </w:style>
  <w:style w:type="character" w:customStyle="1" w:styleId="43">
    <w:name w:val="日期 Char"/>
    <w:link w:val="17"/>
    <w:qFormat/>
    <w:locked/>
    <w:uiPriority w:val="0"/>
    <w:rPr>
      <w:rFonts w:ascii="Times New Roman" w:hAnsi="Times New Roman" w:eastAsia="宋体"/>
      <w:sz w:val="24"/>
    </w:rPr>
  </w:style>
  <w:style w:type="character" w:customStyle="1" w:styleId="44">
    <w:name w:val="批注框文本 Char"/>
    <w:link w:val="19"/>
    <w:semiHidden/>
    <w:qFormat/>
    <w:locked/>
    <w:uiPriority w:val="0"/>
    <w:rPr>
      <w:rFonts w:ascii="Times New Roman" w:hAnsi="Times New Roman" w:eastAsia="宋体"/>
      <w:sz w:val="18"/>
    </w:rPr>
  </w:style>
  <w:style w:type="character" w:customStyle="1" w:styleId="45">
    <w:name w:val="页眉 Char"/>
    <w:link w:val="21"/>
    <w:qFormat/>
    <w:locked/>
    <w:uiPriority w:val="0"/>
    <w:rPr>
      <w:sz w:val="18"/>
    </w:rPr>
  </w:style>
  <w:style w:type="character" w:customStyle="1" w:styleId="46">
    <w:name w:val="普通(网站) Char"/>
    <w:link w:val="26"/>
    <w:qFormat/>
    <w:locked/>
    <w:uiPriority w:val="0"/>
    <w:rPr>
      <w:rFonts w:ascii="宋体" w:hAnsi="宋体" w:eastAsia="宋体"/>
      <w:sz w:val="24"/>
    </w:rPr>
  </w:style>
  <w:style w:type="character" w:customStyle="1" w:styleId="47">
    <w:name w:val="批注主题 Char"/>
    <w:link w:val="27"/>
    <w:semiHidden/>
    <w:qFormat/>
    <w:locked/>
    <w:uiPriority w:val="0"/>
    <w:rPr>
      <w:rFonts w:ascii="Times New Roman" w:hAnsi="Times New Roman" w:eastAsia="宋体"/>
      <w:b/>
      <w:kern w:val="2"/>
      <w:sz w:val="24"/>
    </w:rPr>
  </w:style>
  <w:style w:type="paragraph" w:customStyle="1" w:styleId="48">
    <w:name w:val="xl27"/>
    <w:basedOn w:val="1"/>
    <w:qFormat/>
    <w:uiPriority w:val="0"/>
    <w:pPr>
      <w:widowControl/>
      <w:pBdr>
        <w:bottom w:val="single" w:color="auto" w:sz="12" w:space="0"/>
      </w:pBdr>
      <w:spacing w:before="100" w:beforeLines="0" w:after="100" w:afterLines="0"/>
      <w:jc w:val="center"/>
    </w:pPr>
    <w:rPr>
      <w:rFonts w:ascii="宋体" w:hAnsi="宋体" w:eastAsia="宋体" w:cs="Times New Roman"/>
      <w:kern w:val="0"/>
      <w:szCs w:val="20"/>
    </w:rPr>
  </w:style>
  <w:style w:type="paragraph" w:customStyle="1" w:styleId="49">
    <w:name w:val="无间隔11"/>
    <w:basedOn w:val="50"/>
    <w:link w:val="53"/>
    <w:qFormat/>
    <w:uiPriority w:val="0"/>
    <w:pPr>
      <w:adjustRightInd w:val="0"/>
      <w:snapToGrid w:val="0"/>
      <w:spacing w:line="240" w:lineRule="auto"/>
      <w:jc w:val="center"/>
    </w:pPr>
    <w:rPr>
      <w:rFonts w:ascii="Times New Roman" w:hAnsi="Times New Roman" w:eastAsia="宋体"/>
      <w:kern w:val="0"/>
      <w:sz w:val="21"/>
      <w:szCs w:val="21"/>
    </w:rPr>
  </w:style>
  <w:style w:type="paragraph" w:styleId="50">
    <w:name w:val="No Spacing"/>
    <w:basedOn w:val="51"/>
    <w:qFormat/>
    <w:uiPriority w:val="0"/>
    <w:pPr>
      <w:widowControl w:val="0"/>
      <w:adjustRightInd w:val="0"/>
      <w:spacing w:line="360" w:lineRule="atLeast"/>
      <w:jc w:val="both"/>
      <w:textAlignment w:val="baseline"/>
    </w:pPr>
    <w:rPr>
      <w:rFonts w:ascii="Times New Roman" w:hAnsi="Times New Roman" w:eastAsia="宋体" w:cs="Times New Roman"/>
      <w:kern w:val="2"/>
      <w:sz w:val="24"/>
      <w:szCs w:val="24"/>
      <w:lang w:val="en-US" w:eastAsia="zh-CN" w:bidi="ar-SA"/>
    </w:rPr>
  </w:style>
  <w:style w:type="paragraph" w:customStyle="1" w:styleId="51">
    <w:name w:val="表格修改"/>
    <w:basedOn w:val="1"/>
    <w:qFormat/>
    <w:uiPriority w:val="0"/>
    <w:pPr>
      <w:spacing w:before="40" w:after="40" w:line="240" w:lineRule="auto"/>
      <w:ind w:firstLine="0" w:firstLineChars="0"/>
      <w:jc w:val="center"/>
    </w:pPr>
    <w:rPr>
      <w:rFonts w:ascii="Calibri" w:hAnsi="宋体"/>
      <w:sz w:val="20"/>
    </w:rPr>
  </w:style>
  <w:style w:type="paragraph" w:customStyle="1" w:styleId="52">
    <w:name w:val="无 间 隔"/>
    <w:basedOn w:val="1"/>
    <w:qFormat/>
    <w:uiPriority w:val="0"/>
    <w:pPr>
      <w:autoSpaceDE w:val="0"/>
      <w:autoSpaceDN w:val="0"/>
      <w:adjustRightInd w:val="0"/>
      <w:spacing w:line="240" w:lineRule="auto"/>
      <w:ind w:left="-24" w:leftChars="-10" w:right="-24" w:rightChars="-10" w:firstLine="0" w:firstLineChars="0"/>
      <w:jc w:val="center"/>
    </w:pPr>
    <w:rPr>
      <w:bCs/>
      <w:color w:val="000000"/>
      <w:kern w:val="0"/>
      <w:sz w:val="21"/>
      <w:szCs w:val="21"/>
    </w:rPr>
  </w:style>
  <w:style w:type="character" w:customStyle="1" w:styleId="53">
    <w:name w:val="无间隔11 Char"/>
    <w:link w:val="49"/>
    <w:qFormat/>
    <w:uiPriority w:val="0"/>
    <w:rPr>
      <w:rFonts w:ascii="Times New Roman" w:hAnsi="Times New Roman" w:eastAsia="宋体"/>
      <w:kern w:val="0"/>
      <w:sz w:val="21"/>
      <w:szCs w:val="21"/>
    </w:rPr>
  </w:style>
  <w:style w:type="paragraph" w:customStyle="1" w:styleId="54">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5">
    <w:name w:val="日期 字符"/>
    <w:semiHidden/>
    <w:qFormat/>
    <w:uiPriority w:val="0"/>
    <w:rPr>
      <w:rFonts w:ascii="Times New Roman" w:hAnsi="Times New Roman" w:eastAsia="宋体"/>
      <w:sz w:val="24"/>
    </w:rPr>
  </w:style>
  <w:style w:type="character" w:customStyle="1" w:styleId="56">
    <w:name w:val="页脚 字符"/>
    <w:basedOn w:val="32"/>
    <w:qFormat/>
    <w:uiPriority w:val="99"/>
  </w:style>
  <w:style w:type="character" w:customStyle="1" w:styleId="57">
    <w:name w:val="表格 Char"/>
    <w:link w:val="58"/>
    <w:qFormat/>
    <w:locked/>
    <w:uiPriority w:val="0"/>
    <w:rPr>
      <w:rFonts w:ascii="宋体"/>
      <w:sz w:val="21"/>
    </w:rPr>
  </w:style>
  <w:style w:type="paragraph" w:customStyle="1" w:styleId="58">
    <w:name w:val="表格"/>
    <w:basedOn w:val="22"/>
    <w:next w:val="1"/>
    <w:link w:val="57"/>
    <w:qFormat/>
    <w:uiPriority w:val="0"/>
    <w:pPr>
      <w:adjustRightInd w:val="0"/>
      <w:snapToGrid w:val="0"/>
      <w:spacing w:beforeLines="10" w:afterLines="10" w:line="259" w:lineRule="auto"/>
      <w:jc w:val="center"/>
    </w:pPr>
    <w:rPr>
      <w:rFonts w:ascii="宋体"/>
      <w:kern w:val="0"/>
      <w:szCs w:val="20"/>
    </w:rPr>
  </w:style>
  <w:style w:type="character" w:customStyle="1" w:styleId="59">
    <w:name w:val="批注文字 字符1"/>
    <w:semiHidden/>
    <w:qFormat/>
    <w:uiPriority w:val="0"/>
    <w:rPr>
      <w:rFonts w:ascii="Times New Roman" w:hAnsi="Times New Roman" w:eastAsia="宋体"/>
      <w:sz w:val="24"/>
    </w:rPr>
  </w:style>
  <w:style w:type="character" w:customStyle="1" w:styleId="60">
    <w:name w:val="正文文本 字符1"/>
    <w:semiHidden/>
    <w:qFormat/>
    <w:uiPriority w:val="0"/>
    <w:rPr>
      <w:rFonts w:ascii="Times New Roman" w:hAnsi="Times New Roman" w:eastAsia="宋体"/>
      <w:sz w:val="24"/>
    </w:rPr>
  </w:style>
  <w:style w:type="paragraph" w:customStyle="1" w:styleId="6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2">
    <w:name w:val="Table Paragraph"/>
    <w:basedOn w:val="1"/>
    <w:qFormat/>
    <w:uiPriority w:val="1"/>
    <w:pPr>
      <w:autoSpaceDE w:val="0"/>
      <w:autoSpaceDN w:val="0"/>
      <w:jc w:val="left"/>
    </w:pPr>
    <w:rPr>
      <w:rFonts w:ascii="宋体" w:hAnsi="宋体" w:cs="宋体"/>
      <w:kern w:val="0"/>
      <w:sz w:val="22"/>
      <w:szCs w:val="22"/>
      <w:lang w:eastAsia="en-US" w:bidi="en-US"/>
    </w:rPr>
  </w:style>
  <w:style w:type="paragraph" w:customStyle="1" w:styleId="6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4">
    <w:name w:val="表内格式"/>
    <w:qFormat/>
    <w:uiPriority w:val="0"/>
    <w:pPr>
      <w:jc w:val="center"/>
    </w:pPr>
    <w:rPr>
      <w:rFonts w:ascii="Times New Roman" w:hAnsi="Times New Roman" w:eastAsia="宋体" w:cs="Times New Roman"/>
      <w:bCs/>
      <w:kern w:val="2"/>
      <w:sz w:val="21"/>
      <w:szCs w:val="21"/>
      <w:lang w:val="en-US" w:eastAsia="zh-CN" w:bidi="ar-SA"/>
    </w:rPr>
  </w:style>
  <w:style w:type="paragraph" w:customStyle="1" w:styleId="65">
    <w:name w:val="表格文字"/>
    <w:basedOn w:val="10"/>
    <w:next w:val="1"/>
    <w:qFormat/>
    <w:uiPriority w:val="0"/>
    <w:pPr>
      <w:spacing w:line="240" w:lineRule="auto"/>
      <w:ind w:firstLine="0" w:firstLineChars="0"/>
      <w:jc w:val="center"/>
    </w:pPr>
    <w:rPr>
      <w:kern w:val="44"/>
      <w:sz w:val="21"/>
    </w:rPr>
  </w:style>
  <w:style w:type="paragraph" w:customStyle="1" w:styleId="66">
    <w:name w:val="表 内容"/>
    <w:basedOn w:val="1"/>
    <w:qFormat/>
    <w:uiPriority w:val="0"/>
    <w:pPr>
      <w:widowControl w:val="0"/>
      <w:adjustRightInd w:val="0"/>
      <w:snapToGrid w:val="0"/>
      <w:spacing w:beforeLines="15" w:afterLines="15" w:line="240" w:lineRule="auto"/>
      <w:jc w:val="center"/>
    </w:pPr>
    <w:rPr>
      <w:b/>
      <w:color w:val="auto"/>
      <w:szCs w:val="21"/>
    </w:rPr>
  </w:style>
  <w:style w:type="paragraph" w:customStyle="1" w:styleId="67">
    <w:name w:val="c正文"/>
    <w:qFormat/>
    <w:uiPriority w:val="0"/>
    <w:pPr>
      <w:adjustRightInd w:val="0"/>
      <w:snapToGrid w:val="0"/>
      <w:spacing w:line="500" w:lineRule="exact"/>
      <w:ind w:firstLine="200" w:firstLineChars="200"/>
    </w:pPr>
    <w:rPr>
      <w:rFonts w:ascii="Calibri" w:hAnsi="Calibri" w:eastAsia="宋体" w:cs="Times New Roman"/>
      <w:color w:val="000000"/>
      <w:kern w:val="44"/>
      <w:sz w:val="24"/>
      <w:szCs w:val="22"/>
      <w:lang w:val="en-US" w:eastAsia="zh-CN" w:bidi="ar-SA"/>
    </w:rPr>
  </w:style>
  <w:style w:type="paragraph" w:customStyle="1" w:styleId="68">
    <w:name w:val="正文001"/>
    <w:basedOn w:val="1"/>
    <w:qFormat/>
    <w:uiPriority w:val="0"/>
    <w:pPr>
      <w:spacing w:before="60" w:line="420" w:lineRule="exact"/>
      <w:ind w:firstLine="482"/>
    </w:pPr>
    <w:rPr>
      <w:sz w:val="24"/>
      <w:szCs w:val="20"/>
    </w:rPr>
  </w:style>
  <w:style w:type="character" w:customStyle="1" w:styleId="69">
    <w:name w:val="fontstyle01"/>
    <w:basedOn w:val="32"/>
    <w:qFormat/>
    <w:uiPriority w:val="0"/>
    <w:rPr>
      <w:rFonts w:ascii="TimesNewRomanPS-BoldMT" w:hAnsi="TimesNewRomanPS-BoldMT" w:eastAsia="TimesNewRomanPS-BoldMT" w:cs="TimesNewRomanPS-BoldMT"/>
      <w:b/>
      <w:bCs/>
      <w:color w:val="000000"/>
      <w:sz w:val="30"/>
      <w:szCs w:val="30"/>
    </w:rPr>
  </w:style>
  <w:style w:type="character" w:customStyle="1" w:styleId="70">
    <w:name w:val="fontstyle21"/>
    <w:basedOn w:val="32"/>
    <w:qFormat/>
    <w:uiPriority w:val="0"/>
    <w:rPr>
      <w:rFonts w:ascii="黑体" w:hAnsi="宋体" w:eastAsia="黑体" w:cs="黑体"/>
      <w:b/>
      <w:bCs/>
      <w:color w:val="000000"/>
      <w:sz w:val="30"/>
      <w:szCs w:val="30"/>
    </w:rPr>
  </w:style>
  <w:style w:type="paragraph" w:customStyle="1" w:styleId="71">
    <w:name w:val="WPSOffice手动目录 1"/>
    <w:qFormat/>
    <w:uiPriority w:val="0"/>
    <w:pPr>
      <w:ind w:leftChars="0"/>
    </w:pPr>
    <w:rPr>
      <w:rFonts w:ascii="Times New Roman" w:hAnsi="Times New Roman" w:eastAsia="宋体" w:cs="Times New Roman"/>
      <w:sz w:val="20"/>
      <w:szCs w:val="20"/>
    </w:rPr>
  </w:style>
  <w:style w:type="character" w:customStyle="1" w:styleId="72">
    <w:name w:val="font01"/>
    <w:basedOn w:val="32"/>
    <w:qFormat/>
    <w:uiPriority w:val="0"/>
    <w:rPr>
      <w:rFonts w:hint="eastAsia" w:ascii="宋体" w:hAnsi="宋体" w:eastAsia="宋体" w:cs="宋体"/>
      <w:color w:val="000000"/>
      <w:sz w:val="22"/>
      <w:szCs w:val="22"/>
      <w:u w:val="none"/>
    </w:rPr>
  </w:style>
  <w:style w:type="paragraph" w:customStyle="1" w:styleId="73">
    <w:name w:val="正文-ls"/>
    <w:basedOn w:val="1"/>
    <w:qFormat/>
    <w:uiPriority w:val="0"/>
    <w:pPr>
      <w:spacing w:line="360" w:lineRule="auto"/>
      <w:ind w:firstLine="200" w:firstLineChars="200"/>
    </w:pPr>
    <w:rPr>
      <w:rFonts w:hAnsi="宋体" w:cs="宋体"/>
      <w:sz w:val="24"/>
      <w:szCs w:val="20"/>
    </w:rPr>
  </w:style>
  <w:style w:type="paragraph" w:customStyle="1" w:styleId="74">
    <w:name w:val="_Style 5"/>
    <w:basedOn w:val="1"/>
    <w:qFormat/>
    <w:uiPriority w:val="99"/>
    <w:pPr>
      <w:ind w:firstLine="420" w:firstLineChars="200"/>
    </w:pPr>
    <w:rPr>
      <w:rFonts w:ascii="Calibri"/>
    </w:rPr>
  </w:style>
  <w:style w:type="paragraph" w:customStyle="1" w:styleId="75">
    <w:name w:val="惠泽表格"/>
    <w:basedOn w:val="1"/>
    <w:qFormat/>
    <w:uiPriority w:val="0"/>
    <w:pPr>
      <w:spacing w:line="480" w:lineRule="exact"/>
      <w:jc w:val="center"/>
    </w:pPr>
    <w:rPr>
      <w:rFonts w:ascii="黑体" w:hAnsi="黑体" w:eastAsia="黑体" w:cs="宋体"/>
      <w:sz w:val="24"/>
    </w:rPr>
  </w:style>
  <w:style w:type="paragraph" w:customStyle="1" w:styleId="76">
    <w:name w:val="报告表样式"/>
    <w:basedOn w:val="1"/>
    <w:qFormat/>
    <w:uiPriority w:val="0"/>
    <w:pPr>
      <w:adjustRightInd w:val="0"/>
      <w:snapToGrid w:val="0"/>
      <w:spacing w:line="360" w:lineRule="auto"/>
      <w:ind w:firstLine="200" w:firstLineChars="200"/>
    </w:pPr>
    <w:rPr>
      <w:kern w:val="0"/>
      <w:sz w:val="28"/>
      <w:szCs w:val="28"/>
    </w:rPr>
  </w:style>
  <w:style w:type="paragraph" w:customStyle="1" w:styleId="77">
    <w:name w:val="Body text|1"/>
    <w:basedOn w:val="1"/>
    <w:qFormat/>
    <w:uiPriority w:val="0"/>
    <w:pPr>
      <w:widowControl w:val="0"/>
      <w:shd w:val="clear" w:color="auto" w:fill="auto"/>
      <w:spacing w:line="468" w:lineRule="auto"/>
      <w:ind w:firstLine="400"/>
    </w:pPr>
    <w:rPr>
      <w:rFonts w:ascii="宋体" w:hAnsi="宋体" w:eastAsia="宋体" w:cs="宋体"/>
      <w:sz w:val="28"/>
      <w:szCs w:val="28"/>
      <w:u w:val="none"/>
      <w:shd w:val="clear" w:color="auto" w:fill="auto"/>
      <w:lang w:val="zh-TW" w:eastAsia="zh-TW" w:bidi="zh-TW"/>
    </w:rPr>
  </w:style>
  <w:style w:type="table" w:customStyle="1" w:styleId="78">
    <w:name w:val="Table Normal"/>
    <w:unhideWhenUsed/>
    <w:qFormat/>
    <w:uiPriority w:val="0"/>
    <w:tblPr>
      <w:tblCellMar>
        <w:top w:w="0" w:type="dxa"/>
        <w:left w:w="0" w:type="dxa"/>
        <w:bottom w:w="0" w:type="dxa"/>
        <w:right w:w="0" w:type="dxa"/>
      </w:tblCellMar>
    </w:tblPr>
  </w:style>
  <w:style w:type="paragraph" w:customStyle="1" w:styleId="79">
    <w:name w:val="表头"/>
    <w:basedOn w:val="1"/>
    <w:next w:val="1"/>
    <w:link w:val="80"/>
    <w:qFormat/>
    <w:uiPriority w:val="0"/>
    <w:pPr>
      <w:pBdr>
        <w:top w:val="none" w:color="auto" w:sz="0" w:space="1"/>
        <w:left w:val="none" w:color="auto" w:sz="0" w:space="4"/>
        <w:bottom w:val="none" w:color="auto" w:sz="0" w:space="1"/>
        <w:right w:val="none" w:color="auto" w:sz="0" w:space="4"/>
      </w:pBdr>
      <w:adjustRightInd w:val="0"/>
      <w:snapToGrid w:val="0"/>
      <w:spacing w:line="240" w:lineRule="auto"/>
      <w:ind w:firstLine="0" w:firstLineChars="0"/>
      <w:jc w:val="center"/>
    </w:pPr>
    <w:rPr>
      <w:b/>
      <w:sz w:val="24"/>
    </w:rPr>
  </w:style>
  <w:style w:type="character" w:customStyle="1" w:styleId="80">
    <w:name w:val="表头 Char"/>
    <w:link w:val="79"/>
    <w:qFormat/>
    <w:uiPriority w:val="0"/>
    <w:rPr>
      <w:b/>
      <w:sz w:val="24"/>
    </w:rPr>
  </w:style>
  <w:style w:type="paragraph" w:customStyle="1" w:styleId="81">
    <w:name w:val="正文首行缩进2个字 Char"/>
    <w:basedOn w:val="1"/>
    <w:qFormat/>
    <w:uiPriority w:val="0"/>
    <w:pPr>
      <w:ind w:firstLine="480" w:firstLineChars="200"/>
    </w:pPr>
    <w:rPr>
      <w:rFonts w:eastAsia="楷体"/>
      <w:sz w:val="24"/>
      <w:szCs w:val="24"/>
    </w:rPr>
  </w:style>
  <w:style w:type="paragraph" w:customStyle="1" w:styleId="82">
    <w:name w:val="BG表头"/>
    <w:basedOn w:val="1"/>
    <w:qFormat/>
    <w:uiPriority w:val="0"/>
    <w:pPr>
      <w:jc w:val="center"/>
    </w:pPr>
    <w:rPr>
      <w:rFonts w:ascii="宋体" w:hAnsi="宋体"/>
      <w:szCs w:val="21"/>
    </w:rPr>
  </w:style>
  <w:style w:type="paragraph" w:customStyle="1" w:styleId="83">
    <w:name w:val="表格内容"/>
    <w:basedOn w:val="84"/>
    <w:next w:val="1"/>
    <w:qFormat/>
    <w:uiPriority w:val="0"/>
    <w:pPr>
      <w:tabs>
        <w:tab w:val="left" w:pos="2340"/>
      </w:tabs>
      <w:snapToGrid w:val="0"/>
      <w:spacing w:line="240" w:lineRule="auto"/>
      <w:ind w:firstLine="0" w:firstLineChars="0"/>
      <w:jc w:val="center"/>
    </w:pPr>
    <w:rPr>
      <w:rFonts w:eastAsia="宋体" w:cs="Times New Roman"/>
      <w:kern w:val="2"/>
      <w:sz w:val="21"/>
      <w:szCs w:val="22"/>
    </w:rPr>
  </w:style>
  <w:style w:type="paragraph" w:customStyle="1" w:styleId="84">
    <w:name w:val="表格标题"/>
    <w:basedOn w:val="7"/>
    <w:qFormat/>
    <w:uiPriority w:val="0"/>
    <w:pPr>
      <w:spacing w:line="360" w:lineRule="auto"/>
      <w:jc w:val="center"/>
    </w:pPr>
    <w:rPr>
      <w:rFonts w:eastAsia="宋体" w:cs="Arial"/>
      <w:b/>
      <w:sz w:val="21"/>
    </w:rPr>
  </w:style>
  <w:style w:type="paragraph" w:customStyle="1" w:styleId="85">
    <w:name w:val="表   头"/>
    <w:basedOn w:val="1"/>
    <w:qFormat/>
    <w:uiPriority w:val="0"/>
    <w:pPr>
      <w:snapToGrid w:val="0"/>
      <w:spacing w:line="240" w:lineRule="auto"/>
      <w:ind w:firstLine="0" w:firstLineChars="0"/>
      <w:jc w:val="center"/>
    </w:pPr>
    <w:rPr>
      <w:b/>
    </w:rPr>
  </w:style>
  <w:style w:type="paragraph" w:customStyle="1" w:styleId="86">
    <w:name w:val="无间隔表格内"/>
    <w:basedOn w:val="85"/>
    <w:qFormat/>
    <w:uiPriority w:val="0"/>
    <w:pPr>
      <w:spacing w:line="240" w:lineRule="auto"/>
    </w:pPr>
    <w:rPr>
      <w:b w:val="0"/>
      <w:sz w:val="21"/>
    </w:rPr>
  </w:style>
  <w:style w:type="paragraph" w:customStyle="1" w:styleId="87">
    <w:name w:val="样式1"/>
    <w:basedOn w:val="1"/>
    <w:qFormat/>
    <w:uiPriority w:val="0"/>
    <w:pPr>
      <w:spacing w:line="360" w:lineRule="auto"/>
      <w:ind w:firstLine="567"/>
    </w:pPr>
    <w:rPr>
      <w:sz w:val="24"/>
      <w:szCs w:val="20"/>
    </w:rPr>
  </w:style>
  <w:style w:type="paragraph" w:styleId="88">
    <w:name w:val="List Paragraph"/>
    <w:basedOn w:val="1"/>
    <w:qFormat/>
    <w:uiPriority w:val="1"/>
    <w:pPr>
      <w:ind w:left="1317" w:hanging="601"/>
    </w:pPr>
    <w:rPr>
      <w:rFonts w:ascii="宋体" w:hAnsi="宋体" w:eastAsia="宋体" w:cs="宋体"/>
      <w:lang w:val="zh-CN" w:eastAsia="zh-CN" w:bidi="zh-CN"/>
    </w:rPr>
  </w:style>
  <w:style w:type="paragraph" w:customStyle="1" w:styleId="89">
    <w:name w:val="德正表格"/>
    <w:basedOn w:val="1"/>
    <w:qFormat/>
    <w:uiPriority w:val="0"/>
    <w:pPr>
      <w:pBdr>
        <w:top w:val="none" w:color="auto" w:sz="0" w:space="1"/>
        <w:left w:val="none" w:color="auto" w:sz="0" w:space="4"/>
        <w:bottom w:val="none" w:color="auto" w:sz="0" w:space="1"/>
        <w:right w:val="none" w:color="auto" w:sz="0" w:space="4"/>
      </w:pBdr>
      <w:adjustRightInd w:val="0"/>
      <w:snapToGrid w:val="0"/>
      <w:spacing w:line="240" w:lineRule="auto"/>
      <w:ind w:firstLine="0" w:firstLineChars="0"/>
      <w:jc w:val="center"/>
    </w:pPr>
    <w:rPr>
      <w:rFonts w:ascii="Times New Roman" w:hAnsi="Times New Roman" w:eastAsia="宋体"/>
    </w:rPr>
  </w:style>
  <w:style w:type="character" w:customStyle="1" w:styleId="90">
    <w:name w:val="font71"/>
    <w:basedOn w:val="32"/>
    <w:qFormat/>
    <w:uiPriority w:val="0"/>
    <w:rPr>
      <w:rFonts w:hint="eastAsia" w:ascii="宋体" w:hAnsi="宋体" w:eastAsia="宋体" w:cs="宋体"/>
      <w:b/>
      <w:bCs/>
      <w:color w:val="FF0000"/>
      <w:sz w:val="20"/>
      <w:szCs w:val="20"/>
      <w:u w:val="none"/>
    </w:rPr>
  </w:style>
  <w:style w:type="paragraph" w:customStyle="1" w:styleId="91">
    <w:name w:val="Normal Indent1"/>
    <w:qFormat/>
    <w:uiPriority w:val="0"/>
    <w:pPr>
      <w:widowControl w:val="0"/>
      <w:ind w:firstLine="200" w:firstLineChars="200"/>
      <w:jc w:val="both"/>
    </w:pPr>
    <w:rPr>
      <w:rFonts w:ascii="Times New Roman" w:hAnsi="Times New Roman" w:eastAsia="楷体_GB2312" w:cs="Times New Roman"/>
      <w:kern w:val="2"/>
      <w:sz w:val="21"/>
      <w:szCs w:val="24"/>
      <w:lang w:val="en-US" w:eastAsia="zh-CN" w:bidi="ar-SA"/>
    </w:rPr>
  </w:style>
  <w:style w:type="paragraph" w:customStyle="1" w:styleId="92">
    <w:name w:val="惠泽正文"/>
    <w:basedOn w:val="1"/>
    <w:qFormat/>
    <w:uiPriority w:val="0"/>
    <w:pPr>
      <w:spacing w:line="480" w:lineRule="exact"/>
      <w:ind w:firstLine="480" w:firstLineChars="200"/>
    </w:pPr>
    <w:rPr>
      <w:rFonts w:hAnsi="宋体" w:cs="宋体"/>
      <w:sz w:val="24"/>
      <w:szCs w:val="20"/>
    </w:rPr>
  </w:style>
  <w:style w:type="paragraph" w:customStyle="1" w:styleId="93">
    <w:name w:val="君邦正文"/>
    <w:qFormat/>
    <w:uiPriority w:val="0"/>
    <w:pPr>
      <w:spacing w:after="60" w:line="360" w:lineRule="auto"/>
      <w:ind w:firstLine="480" w:firstLineChars="200"/>
      <w:jc w:val="both"/>
    </w:pPr>
    <w:rPr>
      <w:rFonts w:ascii="Times New Roman" w:hAnsi="Times New Roman" w:eastAsia="宋体" w:cs="Times New Roman"/>
      <w:bCs/>
      <w:sz w:val="24"/>
      <w:lang w:val="en-US" w:eastAsia="zh-CN" w:bidi="ar-SA"/>
    </w:rPr>
  </w:style>
  <w:style w:type="paragraph" w:customStyle="1" w:styleId="94">
    <w:name w:val="【表中文字】"/>
    <w:basedOn w:val="1"/>
    <w:qFormat/>
    <w:uiPriority w:val="0"/>
    <w:pPr>
      <w:widowControl w:val="0"/>
      <w:spacing w:line="240" w:lineRule="auto"/>
      <w:jc w:val="center"/>
    </w:pPr>
    <w:rPr>
      <w:color w:val="auto"/>
      <w:sz w:val="21"/>
      <w:szCs w:val="20"/>
    </w:rPr>
  </w:style>
  <w:style w:type="character" w:customStyle="1" w:styleId="95">
    <w:name w:val="font11"/>
    <w:basedOn w:val="32"/>
    <w:qFormat/>
    <w:uiPriority w:val="0"/>
    <w:rPr>
      <w:rFonts w:hint="eastAsia" w:ascii="宋体" w:hAnsi="宋体" w:eastAsia="宋体" w:cs="宋体"/>
      <w:color w:val="000000"/>
      <w:sz w:val="20"/>
      <w:szCs w:val="20"/>
      <w:u w:val="none"/>
    </w:rPr>
  </w:style>
  <w:style w:type="character" w:customStyle="1" w:styleId="96">
    <w:name w:val="font21"/>
    <w:basedOn w:val="32"/>
    <w:qFormat/>
    <w:uiPriority w:val="0"/>
    <w:rPr>
      <w:rFonts w:hint="eastAsia" w:ascii="宋体" w:hAnsi="宋体" w:eastAsia="宋体" w:cs="宋体"/>
      <w:b/>
      <w:bCs/>
      <w:color w:val="000000"/>
      <w:sz w:val="20"/>
      <w:szCs w:val="20"/>
      <w:u w:val="none"/>
    </w:rPr>
  </w:style>
  <w:style w:type="character" w:customStyle="1" w:styleId="97">
    <w:name w:val="表号 Char"/>
    <w:link w:val="98"/>
    <w:qFormat/>
    <w:uiPriority w:val="0"/>
    <w:rPr>
      <w:rFonts w:ascii="Times New Roman" w:hAnsi="Times New Roman" w:eastAsia="宋体" w:cs="Times New Roman"/>
      <w:b/>
      <w:bCs/>
      <w:szCs w:val="21"/>
    </w:rPr>
  </w:style>
  <w:style w:type="paragraph" w:customStyle="1" w:styleId="98">
    <w:name w:val="表号"/>
    <w:basedOn w:val="1"/>
    <w:link w:val="97"/>
    <w:qFormat/>
    <w:uiPriority w:val="0"/>
    <w:pPr>
      <w:ind w:firstLine="720" w:firstLineChars="200"/>
      <w:jc w:val="center"/>
    </w:pPr>
    <w:rPr>
      <w:rFonts w:ascii="Times New Roman" w:hAnsi="Times New Roman" w:eastAsia="宋体" w:cs="Times New Roman"/>
      <w:b/>
      <w:bCs/>
      <w:szCs w:val="21"/>
    </w:rPr>
  </w:style>
  <w:style w:type="paragraph" w:customStyle="1" w:styleId="99">
    <w:name w:val="Char1"/>
    <w:basedOn w:val="1"/>
    <w:qFormat/>
    <w:uiPriority w:val="0"/>
    <w:pPr>
      <w:widowControl/>
      <w:spacing w:after="160" w:line="240" w:lineRule="exact"/>
      <w:ind w:firstLine="0" w:firstLineChars="0"/>
      <w:jc w:val="left"/>
    </w:pPr>
    <w:rPr>
      <w:rFonts w:ascii="Times New Roman" w:hAnsi="Times New Roman" w:eastAsia="仿宋_GB2312"/>
      <w:sz w:val="28"/>
    </w:rPr>
  </w:style>
  <w:style w:type="paragraph" w:customStyle="1" w:styleId="100">
    <w:name w:val="Tab.5C"/>
    <w:basedOn w:val="1"/>
    <w:qFormat/>
    <w:uiPriority w:val="0"/>
    <w:pPr>
      <w:jc w:val="center"/>
    </w:pPr>
    <w:rPr>
      <w:rFonts w:eastAsia="仿宋"/>
      <w:szCs w:val="21"/>
    </w:rPr>
  </w:style>
  <w:style w:type="paragraph" w:customStyle="1" w:styleId="101">
    <w:name w:val="content"/>
    <w:qFormat/>
    <w:uiPriority w:val="0"/>
    <w:pPr>
      <w:adjustRightInd w:val="0"/>
      <w:spacing w:line="360" w:lineRule="auto"/>
      <w:ind w:firstLine="480" w:firstLineChars="200"/>
    </w:pPr>
    <w:rPr>
      <w:rFonts w:ascii="Calibri" w:hAnsi="Calibri" w:eastAsia="宋体" w:cs="Times New Roman"/>
      <w:sz w:val="24"/>
      <w:szCs w:val="24"/>
      <w:lang w:val="en-US" w:eastAsia="zh-CN" w:bidi="ar-SA"/>
    </w:rPr>
  </w:style>
  <w:style w:type="paragraph" w:customStyle="1" w:styleId="102">
    <w:name w:val="环评正文"/>
    <w:basedOn w:val="1"/>
    <w:qFormat/>
    <w:uiPriority w:val="0"/>
    <w:pPr>
      <w:spacing w:line="360" w:lineRule="auto"/>
      <w:ind w:firstLine="480" w:firstLineChars="200"/>
    </w:pPr>
    <w:rPr>
      <w:sz w:val="24"/>
      <w:szCs w:val="20"/>
    </w:rPr>
  </w:style>
  <w:style w:type="paragraph" w:customStyle="1" w:styleId="103">
    <w:name w:val="万马"/>
    <w:qFormat/>
    <w:uiPriority w:val="0"/>
    <w:pPr>
      <w:widowControl w:val="0"/>
      <w:adjustRightInd/>
      <w:snapToGrid/>
      <w:spacing w:line="360" w:lineRule="auto"/>
      <w:ind w:firstLine="200" w:firstLineChars="200"/>
      <w:jc w:val="left"/>
    </w:pPr>
    <w:rPr>
      <w:rFonts w:ascii="宋体" w:hAnsi="Times New Roman" w:eastAsia="宋体" w:cs="宋体"/>
      <w:bCs/>
      <w:kern w:val="2"/>
      <w:sz w:val="24"/>
      <w:szCs w:val="21"/>
      <w:lang w:val="en-US" w:eastAsia="zh-CN" w:bidi="ar-SA"/>
    </w:rPr>
  </w:style>
  <w:style w:type="paragraph" w:customStyle="1" w:styleId="104">
    <w:name w:val="一帆工贸-正文"/>
    <w:basedOn w:val="1"/>
    <w:qFormat/>
    <w:uiPriority w:val="0"/>
    <w:pPr>
      <w:spacing w:line="360" w:lineRule="auto"/>
      <w:ind w:firstLine="480" w:firstLineChars="200"/>
    </w:pPr>
    <w:rPr>
      <w:rFonts w:hint="eastAsia" w:ascii="Times New Roman" w:hAnsi="Times New Roman"/>
      <w:sz w:val="24"/>
    </w:rPr>
  </w:style>
  <w:style w:type="character" w:customStyle="1" w:styleId="105">
    <w:name w:val="font61"/>
    <w:basedOn w:val="32"/>
    <w:qFormat/>
    <w:uiPriority w:val="0"/>
    <w:rPr>
      <w:rFonts w:hint="default" w:ascii="Times New Roman" w:hAnsi="Times New Roman" w:cs="Times New Roman"/>
      <w:b/>
      <w:bCs/>
      <w:color w:val="000000"/>
      <w:sz w:val="16"/>
      <w:szCs w:val="16"/>
      <w:u w:val="none"/>
    </w:rPr>
  </w:style>
  <w:style w:type="paragraph" w:customStyle="1" w:styleId="106">
    <w:name w:val="正文样式1"/>
    <w:qFormat/>
    <w:uiPriority w:val="0"/>
    <w:pPr>
      <w:widowControl w:val="0"/>
      <w:spacing w:line="500" w:lineRule="exact"/>
      <w:ind w:firstLine="200" w:firstLineChars="200"/>
      <w:jc w:val="both"/>
    </w:pPr>
    <w:rPr>
      <w:rFonts w:ascii="Times New Roman" w:hAnsi="Times New Roman" w:eastAsia="宋体" w:cs="Times New Roman"/>
      <w:color w:val="000000"/>
      <w:kern w:val="0"/>
      <w:sz w:val="24"/>
      <w:szCs w:val="20"/>
      <w:lang w:val="en-US" w:eastAsia="zh-CN" w:bidi="ar-SA"/>
    </w:rPr>
  </w:style>
  <w:style w:type="paragraph" w:customStyle="1" w:styleId="107">
    <w:name w:val="小四+首行缩进"/>
    <w:basedOn w:val="1"/>
    <w:qFormat/>
    <w:uiPriority w:val="0"/>
    <w:pPr>
      <w:spacing w:line="360" w:lineRule="auto"/>
      <w:ind w:firstLine="482"/>
    </w:pPr>
    <w:rPr>
      <w:rFonts w:ascii="宋体" w:hAnsi="宋体"/>
      <w:kern w:val="0"/>
      <w:sz w:val="24"/>
      <w:szCs w:val="20"/>
    </w:rPr>
  </w:style>
  <w:style w:type="paragraph" w:customStyle="1" w:styleId="108">
    <w:name w:val="Other|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0.wmf"/><Relationship Id="rId50" Type="http://schemas.openxmlformats.org/officeDocument/2006/relationships/oleObject" Target="embeddings/oleObject16.bin"/><Relationship Id="rId5" Type="http://schemas.openxmlformats.org/officeDocument/2006/relationships/header" Target="header1.xml"/><Relationship Id="rId49" Type="http://schemas.openxmlformats.org/officeDocument/2006/relationships/image" Target="media/image19.wmf"/><Relationship Id="rId48" Type="http://schemas.openxmlformats.org/officeDocument/2006/relationships/oleObject" Target="embeddings/oleObject15.bin"/><Relationship Id="rId47" Type="http://schemas.openxmlformats.org/officeDocument/2006/relationships/image" Target="media/image18.wmf"/><Relationship Id="rId46" Type="http://schemas.openxmlformats.org/officeDocument/2006/relationships/oleObject" Target="embeddings/oleObject14.bin"/><Relationship Id="rId45" Type="http://schemas.openxmlformats.org/officeDocument/2006/relationships/image" Target="media/image17.wmf"/><Relationship Id="rId44" Type="http://schemas.openxmlformats.org/officeDocument/2006/relationships/oleObject" Target="embeddings/oleObject13.bin"/><Relationship Id="rId43" Type="http://schemas.openxmlformats.org/officeDocument/2006/relationships/image" Target="media/image16.wmf"/><Relationship Id="rId42" Type="http://schemas.openxmlformats.org/officeDocument/2006/relationships/oleObject" Target="embeddings/oleObject12.bin"/><Relationship Id="rId41" Type="http://schemas.openxmlformats.org/officeDocument/2006/relationships/image" Target="media/image15.emf"/><Relationship Id="rId40" Type="http://schemas.openxmlformats.org/officeDocument/2006/relationships/oleObject" Target="embeddings/oleObject11.bin"/><Relationship Id="rId4" Type="http://schemas.openxmlformats.org/officeDocument/2006/relationships/endnotes" Target="endnotes.xml"/><Relationship Id="rId39" Type="http://schemas.openxmlformats.org/officeDocument/2006/relationships/image" Target="media/image14.wmf"/><Relationship Id="rId38" Type="http://schemas.openxmlformats.org/officeDocument/2006/relationships/oleObject" Target="embeddings/oleObject10.bin"/><Relationship Id="rId37" Type="http://schemas.openxmlformats.org/officeDocument/2006/relationships/image" Target="media/image13.emf"/><Relationship Id="rId36" Type="http://schemas.openxmlformats.org/officeDocument/2006/relationships/oleObject" Target="embeddings/oleObject9.bin"/><Relationship Id="rId35" Type="http://schemas.openxmlformats.org/officeDocument/2006/relationships/image" Target="media/image12.emf"/><Relationship Id="rId34" Type="http://schemas.openxmlformats.org/officeDocument/2006/relationships/oleObject" Target="embeddings/oleObject8.bin"/><Relationship Id="rId33" Type="http://schemas.openxmlformats.org/officeDocument/2006/relationships/image" Target="media/image11.emf"/><Relationship Id="rId32" Type="http://schemas.openxmlformats.org/officeDocument/2006/relationships/oleObject" Target="embeddings/oleObject7.bin"/><Relationship Id="rId31" Type="http://schemas.openxmlformats.org/officeDocument/2006/relationships/image" Target="media/image10.e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9.emf"/><Relationship Id="rId28" Type="http://schemas.openxmlformats.org/officeDocument/2006/relationships/oleObject" Target="embeddings/oleObject5.bin"/><Relationship Id="rId27" Type="http://schemas.openxmlformats.org/officeDocument/2006/relationships/image" Target="media/image8.emf"/><Relationship Id="rId26" Type="http://schemas.openxmlformats.org/officeDocument/2006/relationships/oleObject" Target="embeddings/oleObject4.bin"/><Relationship Id="rId25" Type="http://schemas.openxmlformats.org/officeDocument/2006/relationships/image" Target="media/image7.emf"/><Relationship Id="rId24" Type="http://schemas.openxmlformats.org/officeDocument/2006/relationships/oleObject" Target="embeddings/oleObject3.bin"/><Relationship Id="rId23" Type="http://schemas.openxmlformats.org/officeDocument/2006/relationships/image" Target="media/image6.png"/><Relationship Id="rId22" Type="http://schemas.openxmlformats.org/officeDocument/2006/relationships/image" Target="media/image5.emf"/><Relationship Id="rId21" Type="http://schemas.openxmlformats.org/officeDocument/2006/relationships/oleObject" Target="embeddings/oleObject2.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110</Pages>
  <Words>19399</Words>
  <Characters>20769</Characters>
  <Lines>13</Lines>
  <Paragraphs>3</Paragraphs>
  <TotalTime>13</TotalTime>
  <ScaleCrop>false</ScaleCrop>
  <LinksUpToDate>false</LinksUpToDate>
  <CharactersWithSpaces>20883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Wjf</cp:lastModifiedBy>
  <cp:lastPrinted>2021-05-07T07:50:00Z</cp:lastPrinted>
  <dcterms:modified xsi:type="dcterms:W3CDTF">2025-09-05T03:37:16Z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269D7ECFF42F4A20859EDD9D51A02D19_13</vt:lpwstr>
  </property>
  <property fmtid="{D5CDD505-2E9C-101B-9397-08002B2CF9AE}" pid="4" name="KSOTemplateDocerSaveRecord">
    <vt:lpwstr>eyJoZGlkIjoiYTZkZDY5YjY0MzJjNjBlYWE5YjAzNjE5ODMxYWM5ZDUiLCJ1c2VySWQiOiIxNjg1MTYzOTMzIn0=</vt:lpwstr>
  </property>
</Properties>
</file>