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FC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firstLine="0" w:firstLineChars="0"/>
        <w:jc w:val="center"/>
        <w:textAlignment w:val="auto"/>
        <w:rPr>
          <w:rFonts w:ascii="宋体" w:hAnsi="宋体" w:eastAsia="宋体"/>
          <w:b/>
          <w:color w:val="FF0000"/>
          <w:w w:val="47"/>
          <w:sz w:val="144"/>
          <w:szCs w:val="144"/>
        </w:rPr>
      </w:pPr>
      <w:r>
        <w:rPr>
          <w:rFonts w:hint="eastAsia" w:ascii="宋体" w:hAnsi="宋体" w:eastAsia="宋体"/>
          <w:b/>
          <w:color w:val="FF0000"/>
          <w:w w:val="47"/>
          <w:sz w:val="144"/>
          <w:szCs w:val="144"/>
        </w:rPr>
        <w:t>宝鸡市</w:t>
      </w:r>
      <w:r>
        <w:rPr>
          <w:rFonts w:ascii="宋体" w:hAnsi="宋体" w:eastAsia="宋体"/>
          <w:b/>
          <w:color w:val="FF0000"/>
          <w:w w:val="47"/>
          <w:sz w:val="144"/>
          <w:szCs w:val="144"/>
        </w:rPr>
        <w:t>跨部门综合监管工作</w:t>
      </w:r>
    </w:p>
    <w:p w14:paraId="6772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firstLine="0" w:firstLineChars="0"/>
        <w:jc w:val="center"/>
        <w:textAlignment w:val="auto"/>
        <w:rPr>
          <w:rFonts w:ascii="宋体" w:hAnsi="宋体" w:eastAsia="宋体"/>
          <w:b/>
          <w:color w:val="FF0000"/>
          <w:w w:val="47"/>
          <w:sz w:val="144"/>
          <w:szCs w:val="144"/>
        </w:rPr>
      </w:pPr>
      <w:r>
        <w:rPr>
          <w:rFonts w:hint="eastAsia" w:ascii="宋体" w:hAnsi="宋体" w:eastAsia="宋体"/>
          <w:b/>
          <w:color w:val="FF0000"/>
          <w:w w:val="47"/>
          <w:sz w:val="144"/>
          <w:szCs w:val="144"/>
        </w:rPr>
        <w:t>领导</w:t>
      </w:r>
      <w:r>
        <w:rPr>
          <w:rFonts w:ascii="宋体" w:hAnsi="宋体" w:eastAsia="宋体"/>
          <w:b/>
          <w:color w:val="FF0000"/>
          <w:w w:val="47"/>
          <w:sz w:val="144"/>
          <w:szCs w:val="144"/>
        </w:rPr>
        <w:t>小组</w:t>
      </w:r>
      <w:r>
        <w:rPr>
          <w:rFonts w:hint="eastAsia" w:ascii="宋体" w:hAnsi="宋体" w:eastAsia="宋体"/>
          <w:b/>
          <w:color w:val="FF0000"/>
          <w:w w:val="47"/>
          <w:sz w:val="144"/>
          <w:szCs w:val="144"/>
        </w:rPr>
        <w:t>办公室</w:t>
      </w:r>
      <w:r>
        <w:rPr>
          <w:rFonts w:ascii="宋体" w:hAnsi="宋体" w:eastAsia="宋体"/>
          <w:b/>
          <w:color w:val="FF0000"/>
          <w:w w:val="47"/>
          <w:sz w:val="144"/>
          <w:szCs w:val="144"/>
        </w:rPr>
        <w:t>文件</w:t>
      </w:r>
    </w:p>
    <w:p w14:paraId="7CFD2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仿宋_GB2312" w:hAnsi="仿宋" w:cs="Times New Roman"/>
          <w:color w:val="000000"/>
          <w:szCs w:val="32"/>
        </w:rPr>
      </w:pPr>
    </w:p>
    <w:p w14:paraId="6FC18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仿宋_GB2312" w:hAnsi="仿宋" w:cs="Times New Roman"/>
          <w:color w:val="000000"/>
          <w:szCs w:val="32"/>
        </w:rPr>
      </w:pPr>
    </w:p>
    <w:p w14:paraId="125E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jc w:val="center"/>
        <w:textAlignment w:val="auto"/>
        <w:rPr>
          <w:color w:val="FF0000"/>
          <w:w w:val="45"/>
          <w:szCs w:val="32"/>
        </w:rPr>
      </w:pPr>
      <w:r>
        <w:rPr>
          <w:rFonts w:hint="eastAsia" w:ascii="仿宋_GB2312" w:hAnsi="仿宋" w:cs="Times New Roman"/>
          <w:color w:val="000000"/>
          <w:szCs w:val="32"/>
        </w:rPr>
        <w:t>宝市综监办字</w:t>
      </w:r>
      <w:r>
        <w:rPr>
          <w:rFonts w:hint="eastAsia" w:ascii="仿宋_GB2312" w:hAnsi="仿宋" w:eastAsia="仿宋" w:cs="Times New Roman"/>
          <w:color w:val="000000"/>
          <w:szCs w:val="32"/>
        </w:rPr>
        <w:t>﹝</w:t>
      </w:r>
      <w:r>
        <w:rPr>
          <w:rFonts w:hint="eastAsia" w:ascii="仿宋_GB2312" w:hAnsi="仿宋" w:cs="Times New Roman"/>
          <w:color w:val="000000"/>
          <w:szCs w:val="32"/>
        </w:rPr>
        <w:t>2024</w:t>
      </w:r>
      <w:r>
        <w:rPr>
          <w:rFonts w:hint="eastAsia" w:ascii="仿宋_GB2312" w:hAnsi="仿宋" w:eastAsia="仿宋" w:cs="Times New Roman"/>
          <w:color w:val="000000"/>
          <w:szCs w:val="32"/>
        </w:rPr>
        <w:t>﹞</w:t>
      </w:r>
      <w:r>
        <w:rPr>
          <w:rFonts w:hint="eastAsia" w:ascii="仿宋_GB2312" w:hAnsi="仿宋" w:eastAsia="仿宋" w:cs="Times New Roman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" w:cs="Times New Roman"/>
          <w:color w:val="000000"/>
          <w:szCs w:val="32"/>
        </w:rPr>
        <w:t>号</w:t>
      </w:r>
    </w:p>
    <w:p w14:paraId="0E2E5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jc w:val="left"/>
        <w:textAlignment w:val="auto"/>
        <w:rPr>
          <w:color w:val="FF0000"/>
          <w:w w:val="45"/>
          <w:szCs w:val="32"/>
        </w:rPr>
      </w:pPr>
      <w:r>
        <w:rPr>
          <w:rFonts w:hint="eastAsia" w:ascii="华文中宋" w:hAnsi="华文中宋" w:eastAsia="华文中宋" w:cs="Times New Roman"/>
          <w:color w:val="FF0000"/>
          <w:w w:val="50"/>
          <w:szCs w:val="32"/>
          <w:u w:val="thick" w:color="FF0000"/>
        </w:rPr>
        <w:t xml:space="preserve">                                                                                                                  </w:t>
      </w:r>
    </w:p>
    <w:p w14:paraId="63168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</w:pPr>
    </w:p>
    <w:p w14:paraId="5369CF4C">
      <w:pPr>
        <w:spacing w:line="560" w:lineRule="exact"/>
        <w:jc w:val="left"/>
      </w:pPr>
    </w:p>
    <w:p w14:paraId="45866C41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80" w:lineRule="atLeast"/>
        <w:ind w:leftChars="0"/>
        <w:jc w:val="center"/>
        <w:outlineLvl w:val="0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关于印发《食品安全综合监管“一业一查”</w:t>
      </w:r>
    </w:p>
    <w:p w14:paraId="78111B1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80" w:lineRule="atLeast"/>
        <w:ind w:leftChars="0"/>
        <w:jc w:val="center"/>
        <w:outlineLvl w:val="0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合规经营指南》的通知</w:t>
      </w:r>
    </w:p>
    <w:p w14:paraId="55372C0A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80" w:lineRule="atLeast"/>
        <w:ind w:leftChars="0" w:firstLine="640" w:firstLineChars="200"/>
        <w:jc w:val="left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1430B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各县、区人民政府，高新区管委会，市跨部门综合监管工作领导小组成员单位，市级相关单位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</w:t>
      </w:r>
    </w:p>
    <w:p w14:paraId="470BB3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为加强食品安全综合监管，指导市场主体依法合规开展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生产经营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活动，宝鸡市市场监督管理局会同宝鸡市卫生健康委员会、宝鸡市农业农村局、宝鸡海关、宝鸡市发展改革委员会、宝鸡市工业和信息化局、宝鸡市教育局、宝鸡市商务局联合制定了《食品安全综合监管“一业一查”合规经营指南》，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经同意，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现予以印发。</w:t>
      </w:r>
    </w:p>
    <w:p w14:paraId="14E057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请各县区及相关部门将合规经营指南及时告知食品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生产经营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市场主体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在门户网站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及公众号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媒体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予以公布。</w:t>
      </w:r>
    </w:p>
    <w:p w14:paraId="1D401A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710AEE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 w14:paraId="232AFF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宝鸡市跨部门综合监管工作</w:t>
      </w:r>
    </w:p>
    <w:p w14:paraId="3E0FD1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4800" w:firstLineChars="15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领导小组办公室（代章）</w:t>
      </w:r>
    </w:p>
    <w:p w14:paraId="19E47B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　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p w14:paraId="7967FDE2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375B2E3E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6163EA90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25D350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mE2ZDA2NDNjMTczOTc5Nzg0NDMwZTU2MjUzZjYifQ=="/>
  </w:docVars>
  <w:rsids>
    <w:rsidRoot w:val="00000000"/>
    <w:rsid w:val="1738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Title"/>
    <w:basedOn w:val="1"/>
    <w:next w:val="1"/>
    <w:qFormat/>
    <w:uiPriority w:val="0"/>
    <w:pPr>
      <w:adjustRightInd w:val="0"/>
      <w:snapToGrid w:val="0"/>
      <w:spacing w:line="600" w:lineRule="exact"/>
      <w:jc w:val="left"/>
      <w:outlineLvl w:val="0"/>
    </w:pPr>
    <w:rPr>
      <w:rFonts w:ascii="Cambria" w:hAnsi="Cambria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2024-09-20T08:04:16Z</dcterms:created>
  <dc:creator>Lenovo</dc:creator>
  <cp:lastModifiedBy>会思想的芦苇</cp:lastModifiedBy>
  <dcterms:modified xsi:type="dcterms:W3CDTF">2024-09-20T08:04:31Z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5623F5FAE6554EC0860EC854F1FB00AF_12</vt:lpwstr>
  </property>
</Properties>
</file>