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凤翔区2023年度住宅用地供应计划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一、住宅用地总量和结构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2023年度凤翔区住宅用地计划供应17.7581公顷，其中产权住宅用地0公顷（商品住宅用地17.7581公顷，共有产权住宅用地0公顷），租赁住宅用地0公顷（保障性租赁住宅用地0公顷，市场化租赁住宅用地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0公顷），其他住宅用地0公顷，详见附表。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二、住宅用地供应布局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根据人口结构情况、居民住宅需求、房地产市场走势，合理确定计划供应的住宅用地规模。在区域分布上，城市建成区计划供应17.7581公顷，达到均衡合理布局，有利于促进职住平衡。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三、住宅用地供应保障措施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（一）组织领导方面。为保证供地计划的有效实施，各相关部门必须加强组织领导，密切协调配合，共同组织做好建设项目用地各项前期准备工作，有关单位要充分发挥职能优势，积极配合做好计划实施工作。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（二）规划编制方面。坚持符合土地利用总体规划和城市总体规划原则。保证土地利用总体规划和城市总体规划的实施，共同促进城市的可持续发展。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（三）财政保障方面。统筹安排，健全土地收储、供应的财政保障机制，切实发挥财政资金的保障作用，为土地供应计划顺利实施提供坚强的财力保障。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本计划向社会公开,网址为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single"/>
        </w:rPr>
        <w:t>http://www.fengxiang.gov.cn/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宝鸡市（凤翔区）2023年度住宅用地供应计划表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             单位：公顷</w:t>
      </w:r>
    </w:p>
    <w:tbl>
      <w:tblPr>
        <w:tblStyle w:val="3"/>
        <w:tblW w:w="8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985"/>
        <w:gridCol w:w="1050"/>
        <w:gridCol w:w="1177"/>
        <w:gridCol w:w="773"/>
        <w:gridCol w:w="900"/>
        <w:gridCol w:w="1362"/>
        <w:gridCol w:w="819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市（县）</w:t>
            </w:r>
          </w:p>
        </w:tc>
        <w:tc>
          <w:tcPr>
            <w:tcW w:w="9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总量</w:t>
            </w:r>
          </w:p>
        </w:tc>
        <w:tc>
          <w:tcPr>
            <w:tcW w:w="30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产权住宅用地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租赁住宅用地</w:t>
            </w:r>
          </w:p>
        </w:tc>
        <w:tc>
          <w:tcPr>
            <w:tcW w:w="7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其他住宅用地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住宅用地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共有产权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住宅用地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保障性租赁住宅用地</w:t>
            </w: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市场化租赁住宅用地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小计</w:t>
            </w:r>
          </w:p>
        </w:tc>
        <w:tc>
          <w:tcPr>
            <w:tcW w:w="7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③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⑤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⑥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⑦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凤翔区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17.7581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17.7581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592571D9"/>
    <w:rsid w:val="592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646</Characters>
  <Lines>0</Lines>
  <Paragraphs>0</Paragraphs>
  <TotalTime>3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2023-04-11T02:39:00Z</dcterms:created>
  <dc:creator>披星带月</dc:creator>
  <cp:lastModifiedBy>披星带月</cp:lastModifiedBy>
  <dcterms:modified xsi:type="dcterms:W3CDTF">2023-04-11T02:43:16Z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C10BABD03EAD40C59F1A8DC5AFF00724_11</vt:lpwstr>
  </property>
</Properties>
</file>