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FFE" w:rsidRDefault="00CD3A2D">
      <w:pPr>
        <w:widowControl/>
        <w:spacing w:line="600" w:lineRule="exact"/>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宝鸡市凤翔区</w:t>
      </w:r>
    </w:p>
    <w:p w:rsidR="000F6FFE" w:rsidRDefault="00CD3A2D">
      <w:pPr>
        <w:widowControl/>
        <w:spacing w:line="600" w:lineRule="exact"/>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烟草制品零售点合理布局规划</w:t>
      </w:r>
      <w:r w:rsidR="006713B1">
        <w:rPr>
          <w:rFonts w:ascii="方正小标宋简体" w:eastAsia="方正小标宋简体" w:hAnsi="方正小标宋简体" w:cs="方正小标宋简体" w:hint="eastAsia"/>
          <w:bCs/>
          <w:color w:val="000000"/>
          <w:kern w:val="0"/>
          <w:sz w:val="44"/>
          <w:szCs w:val="44"/>
        </w:rPr>
        <w:t>(草案)</w:t>
      </w:r>
    </w:p>
    <w:p w:rsidR="000F6FFE" w:rsidRDefault="00CD3A2D" w:rsidP="006713B1">
      <w:pPr>
        <w:spacing w:beforeLines="50" w:afterLines="50"/>
        <w:jc w:val="center"/>
        <w:rPr>
          <w:rFonts w:ascii="黑体" w:eastAsia="黑体" w:hAnsi="黑体" w:cs="黑体"/>
          <w:szCs w:val="32"/>
        </w:rPr>
      </w:pPr>
      <w:r>
        <w:rPr>
          <w:rFonts w:ascii="黑体" w:eastAsia="黑体" w:hAnsi="黑体" w:cs="黑体" w:hint="eastAsia"/>
          <w:szCs w:val="32"/>
        </w:rPr>
        <w:t>第一章  总  则</w:t>
      </w:r>
    </w:p>
    <w:p w:rsidR="000F6FFE" w:rsidRDefault="00CD3A2D">
      <w:pPr>
        <w:spacing w:line="360" w:lineRule="auto"/>
        <w:ind w:firstLine="640"/>
        <w:rPr>
          <w:rFonts w:ascii="仿宋_GB2312" w:eastAsia="仿宋_GB2312"/>
          <w:szCs w:val="32"/>
        </w:rPr>
      </w:pPr>
      <w:r>
        <w:rPr>
          <w:rFonts w:ascii="黑体" w:eastAsia="黑体" w:hAnsi="黑体" w:cs="黑体" w:hint="eastAsia"/>
          <w:szCs w:val="32"/>
        </w:rPr>
        <w:t xml:space="preserve">第一条  </w:t>
      </w:r>
      <w:r>
        <w:rPr>
          <w:rFonts w:ascii="仿宋_GB2312" w:eastAsia="仿宋_GB2312" w:hint="eastAsia"/>
          <w:szCs w:val="32"/>
        </w:rPr>
        <w:t>为加强烟草专卖零售许可管理，合理布局烟草制品零售点，规范卷烟市场流通秩序，保护未成年人身心健康，进一步维护国家利益和消费者的合法权益，根据《中华人民共和国行政许可法》《中华人民共和国未成年人保护法》《中华人民共和国烟草专卖法》《中华人民共和国烟草专卖法实施条例》《烟草专卖许可证管理办法》等法律、法规、规章，结合宝鸡市凤翔区（以下简称我区）烟草制品零售市场实际，制定本规划。</w:t>
      </w:r>
    </w:p>
    <w:p w:rsidR="000F6FFE" w:rsidRDefault="00CD3A2D">
      <w:pPr>
        <w:spacing w:line="360" w:lineRule="auto"/>
        <w:rPr>
          <w:rFonts w:ascii="仿宋_GB2312" w:eastAsia="仿宋_GB2312"/>
          <w:szCs w:val="32"/>
        </w:rPr>
      </w:pPr>
      <w:r>
        <w:rPr>
          <w:rFonts w:ascii="黑体" w:eastAsia="黑体" w:hAnsi="黑体" w:cs="黑体" w:hint="eastAsia"/>
          <w:szCs w:val="32"/>
        </w:rPr>
        <w:t xml:space="preserve">    第二条</w:t>
      </w:r>
      <w:r>
        <w:rPr>
          <w:rFonts w:ascii="仿宋_GB2312" w:eastAsia="仿宋_GB2312" w:hint="eastAsia"/>
          <w:szCs w:val="32"/>
        </w:rPr>
        <w:t xml:space="preserve">  本规划适用于在我区行政区划内申请烟草专卖零售许可证经营卷烟、雪茄烟零售业务的公民、法人和其他组织。已取得烟草专卖零售许可证的公民、法人和其他组织，在许可证有效期内经营主体或经营地址发生变化，重新申办烟草专卖零售许可证的，遵照本规划。</w:t>
      </w:r>
    </w:p>
    <w:p w:rsidR="000F6FFE" w:rsidRDefault="00CD3A2D">
      <w:pPr>
        <w:spacing w:line="360" w:lineRule="auto"/>
        <w:ind w:firstLine="640"/>
        <w:rPr>
          <w:rFonts w:ascii="仿宋_GB2312" w:eastAsia="仿宋_GB2312"/>
          <w:szCs w:val="32"/>
        </w:rPr>
      </w:pPr>
      <w:r>
        <w:rPr>
          <w:rFonts w:ascii="黑体" w:eastAsia="黑体" w:hAnsi="黑体" w:cs="黑体" w:hint="eastAsia"/>
          <w:szCs w:val="32"/>
        </w:rPr>
        <w:t>第三条</w:t>
      </w:r>
      <w:r>
        <w:rPr>
          <w:rFonts w:ascii="仿宋_GB2312" w:eastAsia="仿宋_GB2312" w:hint="eastAsia"/>
          <w:szCs w:val="32"/>
        </w:rPr>
        <w:t xml:space="preserve">  本规划所称烟草制品零售点（以下简称零售点），是指依法取得烟草专卖零售许可证（经营范围为卷烟、雪茄烟本店零售，不含电子烟，下同）的公民、法人或其他组织开展烟草制品零售业务的经营场所。</w:t>
      </w:r>
    </w:p>
    <w:p w:rsidR="000F6FFE" w:rsidRDefault="00CD3A2D">
      <w:pPr>
        <w:spacing w:line="360" w:lineRule="auto"/>
        <w:ind w:firstLine="640"/>
        <w:rPr>
          <w:rFonts w:ascii="仿宋_GB2312" w:eastAsia="仿宋_GB2312"/>
          <w:szCs w:val="32"/>
        </w:rPr>
      </w:pPr>
      <w:r>
        <w:rPr>
          <w:rFonts w:ascii="黑体" w:eastAsia="黑体" w:hAnsi="黑体" w:cs="黑体" w:hint="eastAsia"/>
          <w:szCs w:val="32"/>
        </w:rPr>
        <w:t xml:space="preserve">第四条  </w:t>
      </w:r>
      <w:r>
        <w:rPr>
          <w:rFonts w:ascii="仿宋_GB2312" w:eastAsia="仿宋_GB2312" w:hint="eastAsia"/>
          <w:szCs w:val="32"/>
        </w:rPr>
        <w:t>零售点合理布局遵循以下基本原则：</w:t>
      </w:r>
    </w:p>
    <w:p w:rsidR="000F6FFE" w:rsidRDefault="00CD3A2D">
      <w:pPr>
        <w:autoSpaceDE w:val="0"/>
        <w:autoSpaceDN w:val="0"/>
        <w:adjustRightInd w:val="0"/>
        <w:spacing w:line="590" w:lineRule="exact"/>
        <w:ind w:firstLineChars="200" w:firstLine="640"/>
        <w:rPr>
          <w:rFonts w:ascii="仿宋_GB2312" w:eastAsia="仿宋_GB2312"/>
          <w:szCs w:val="32"/>
          <w:lang w:val="zh-CN"/>
        </w:rPr>
      </w:pPr>
      <w:r>
        <w:rPr>
          <w:rFonts w:ascii="仿宋_GB2312" w:eastAsia="仿宋_GB2312" w:hint="eastAsia"/>
          <w:szCs w:val="32"/>
          <w:lang w:val="zh-CN"/>
        </w:rPr>
        <w:t>（一）依法行政原则。烟草制品零售点合理布局规划以</w:t>
      </w:r>
      <w:r>
        <w:rPr>
          <w:rFonts w:ascii="仿宋_GB2312" w:eastAsia="仿宋_GB2312" w:hint="eastAsia"/>
          <w:szCs w:val="32"/>
          <w:lang w:val="zh-CN"/>
        </w:rPr>
        <w:lastRenderedPageBreak/>
        <w:t>法律、法规、规章为依据，保证符合法定条件的行政相对人有依法取得烟草专卖零售许可证的平等权利。零售点布局规划经过深入调研，广泛听取意见，依法履行听证、备案等程序，按照相关规定及时公示，并向社会公布，其执行情况接受社会的监督，做到公开、公平、公正。</w:t>
      </w:r>
    </w:p>
    <w:p w:rsidR="000F6FFE" w:rsidRDefault="00CD3A2D">
      <w:pPr>
        <w:autoSpaceDE w:val="0"/>
        <w:autoSpaceDN w:val="0"/>
        <w:adjustRightInd w:val="0"/>
        <w:spacing w:line="590" w:lineRule="exact"/>
        <w:ind w:firstLineChars="200" w:firstLine="640"/>
        <w:rPr>
          <w:rFonts w:ascii="仿宋_GB2312" w:eastAsia="仿宋_GB2312"/>
          <w:szCs w:val="32"/>
          <w:lang w:val="zh-CN"/>
        </w:rPr>
      </w:pPr>
      <w:r>
        <w:rPr>
          <w:rFonts w:ascii="仿宋_GB2312" w:eastAsia="仿宋_GB2312" w:hint="eastAsia"/>
          <w:szCs w:val="32"/>
          <w:lang w:val="zh-CN"/>
        </w:rPr>
        <w:t>（二）科学规划原则。烟草制品零售点合理布局规划量化分析烟草制品零售相关的人口数量、地理位置、交通状况、经济发展水平、消费需求等因素，尊重客观事实，遵循市场规律，预测发展趋势，合理测算数量范围与间距标准，既便于消费者购买，又保护零售户经营利益，限制零售点之间无序竞争。</w:t>
      </w:r>
    </w:p>
    <w:p w:rsidR="000F6FFE" w:rsidRDefault="00CD3A2D">
      <w:pPr>
        <w:autoSpaceDE w:val="0"/>
        <w:autoSpaceDN w:val="0"/>
        <w:adjustRightInd w:val="0"/>
        <w:spacing w:line="590" w:lineRule="exact"/>
        <w:ind w:firstLineChars="200" w:firstLine="640"/>
        <w:rPr>
          <w:rFonts w:ascii="仿宋_GB2312" w:eastAsia="仿宋_GB2312"/>
          <w:szCs w:val="32"/>
          <w:lang w:val="zh-CN"/>
        </w:rPr>
      </w:pPr>
      <w:r>
        <w:rPr>
          <w:rFonts w:ascii="仿宋_GB2312" w:eastAsia="仿宋_GB2312" w:hint="eastAsia"/>
          <w:szCs w:val="32"/>
          <w:lang w:val="zh-CN"/>
        </w:rPr>
        <w:t>（三）服务社会原则。烟草制品零售点合理布局规划以服务社会为主，统筹考虑控烟履约、未成年人保护、便利消费者和卷烟零售户经营利益等因素，关注民生，服务就业与稳定，对社会弱势群体予以重点帮扶和政策倾斜，提高政务服务水平，不断提升行政服务效能，方便群众办事。</w:t>
      </w:r>
    </w:p>
    <w:p w:rsidR="000F6FFE" w:rsidRDefault="00CD3A2D">
      <w:pPr>
        <w:autoSpaceDE w:val="0"/>
        <w:autoSpaceDN w:val="0"/>
        <w:adjustRightInd w:val="0"/>
        <w:spacing w:line="590" w:lineRule="exact"/>
        <w:ind w:firstLineChars="200" w:firstLine="640"/>
        <w:rPr>
          <w:rFonts w:ascii="仿宋_GB2312" w:eastAsia="仿宋_GB2312"/>
          <w:szCs w:val="32"/>
          <w:lang w:val="zh-CN"/>
        </w:rPr>
      </w:pPr>
      <w:r>
        <w:rPr>
          <w:rFonts w:ascii="仿宋_GB2312" w:eastAsia="仿宋_GB2312" w:hint="eastAsia"/>
          <w:szCs w:val="32"/>
          <w:lang w:val="zh-CN"/>
        </w:rPr>
        <w:t>（四）均衡发展原则。烟草制品零售点合理布局规划体现前瞻性，坚持均衡发展，保持零售点数量与烟草制品消费需求相适应、零售点分布与卷烟市场区位相协调，维持零售户数量的合理稳定，在便利消费的同时坚持零售点数量平衡。</w:t>
      </w:r>
    </w:p>
    <w:p w:rsidR="000F6FFE" w:rsidRDefault="00CD3A2D">
      <w:pPr>
        <w:autoSpaceDE w:val="0"/>
        <w:autoSpaceDN w:val="0"/>
        <w:adjustRightInd w:val="0"/>
        <w:spacing w:line="590" w:lineRule="exact"/>
        <w:ind w:firstLineChars="200" w:firstLine="640"/>
        <w:rPr>
          <w:rFonts w:ascii="仿宋_GB2312" w:eastAsia="仿宋_GB2312"/>
          <w:szCs w:val="32"/>
        </w:rPr>
      </w:pPr>
      <w:r>
        <w:rPr>
          <w:rFonts w:ascii="黑体" w:eastAsia="黑体" w:hAnsi="黑体" w:cs="黑体"/>
          <w:szCs w:val="32"/>
        </w:rPr>
        <w:t>第</w:t>
      </w:r>
      <w:r>
        <w:rPr>
          <w:rFonts w:ascii="黑体" w:eastAsia="黑体" w:hAnsi="黑体" w:cs="黑体" w:hint="eastAsia"/>
          <w:szCs w:val="32"/>
        </w:rPr>
        <w:t>五</w:t>
      </w:r>
      <w:r>
        <w:rPr>
          <w:rFonts w:ascii="黑体" w:eastAsia="黑体" w:hAnsi="黑体" w:cs="黑体"/>
          <w:szCs w:val="32"/>
        </w:rPr>
        <w:t>条</w:t>
      </w:r>
      <w:r w:rsidR="006713B1">
        <w:rPr>
          <w:rFonts w:ascii="黑体" w:eastAsia="黑体" w:hAnsi="黑体" w:cs="黑体" w:hint="eastAsia"/>
          <w:szCs w:val="32"/>
        </w:rPr>
        <w:t xml:space="preserve">  </w:t>
      </w:r>
      <w:r>
        <w:rPr>
          <w:rFonts w:ascii="仿宋_GB2312" w:eastAsia="仿宋_GB2312"/>
          <w:szCs w:val="32"/>
        </w:rPr>
        <w:t>结合我</w:t>
      </w:r>
      <w:r>
        <w:rPr>
          <w:rFonts w:ascii="仿宋_GB2312" w:eastAsia="仿宋_GB2312" w:hint="eastAsia"/>
          <w:szCs w:val="32"/>
        </w:rPr>
        <w:t>区</w:t>
      </w:r>
      <w:r>
        <w:rPr>
          <w:rFonts w:ascii="仿宋_GB2312" w:eastAsia="仿宋_GB2312"/>
          <w:szCs w:val="32"/>
        </w:rPr>
        <w:t>经济发展需要，避免过度竞争，使</w:t>
      </w:r>
      <w:r>
        <w:rPr>
          <w:rFonts w:ascii="仿宋_GB2312" w:eastAsia="仿宋_GB2312" w:hint="eastAsia"/>
          <w:szCs w:val="32"/>
          <w:lang w:val="zh-CN"/>
        </w:rPr>
        <w:t>烟草制品零售点</w:t>
      </w:r>
      <w:r>
        <w:rPr>
          <w:rFonts w:ascii="仿宋_GB2312" w:eastAsia="仿宋_GB2312"/>
          <w:szCs w:val="32"/>
        </w:rPr>
        <w:t>数量和盈利水平适中，保持市场主体规模相对稳定</w:t>
      </w:r>
      <w:r>
        <w:rPr>
          <w:rFonts w:ascii="仿宋_GB2312" w:eastAsia="仿宋_GB2312" w:hint="eastAsia"/>
          <w:szCs w:val="32"/>
        </w:rPr>
        <w:t>，</w:t>
      </w:r>
      <w:r>
        <w:rPr>
          <w:rFonts w:ascii="仿宋_GB2312" w:eastAsia="仿宋_GB2312"/>
          <w:szCs w:val="32"/>
        </w:rPr>
        <w:t>增速合理。</w:t>
      </w:r>
    </w:p>
    <w:p w:rsidR="000F6FFE" w:rsidRDefault="00CD3A2D">
      <w:pPr>
        <w:autoSpaceDE w:val="0"/>
        <w:autoSpaceDN w:val="0"/>
        <w:adjustRightInd w:val="0"/>
        <w:spacing w:line="590" w:lineRule="exact"/>
        <w:ind w:firstLineChars="200" w:firstLine="640"/>
        <w:rPr>
          <w:rFonts w:ascii="仿宋_GB2312" w:eastAsia="仿宋_GB2312"/>
          <w:szCs w:val="32"/>
        </w:rPr>
      </w:pPr>
      <w:r>
        <w:rPr>
          <w:rFonts w:ascii="黑体" w:eastAsia="黑体" w:hAnsi="黑体" w:cs="黑体"/>
          <w:szCs w:val="32"/>
        </w:rPr>
        <w:lastRenderedPageBreak/>
        <w:t>第</w:t>
      </w:r>
      <w:r>
        <w:rPr>
          <w:rFonts w:ascii="黑体" w:eastAsia="黑体" w:hAnsi="黑体" w:cs="黑体" w:hint="eastAsia"/>
          <w:szCs w:val="32"/>
        </w:rPr>
        <w:t>六</w:t>
      </w:r>
      <w:r>
        <w:rPr>
          <w:rFonts w:ascii="黑体" w:eastAsia="黑体" w:hAnsi="黑体" w:cs="黑体"/>
          <w:szCs w:val="32"/>
        </w:rPr>
        <w:t>条</w:t>
      </w:r>
      <w:r w:rsidR="006713B1">
        <w:rPr>
          <w:rFonts w:ascii="黑体" w:eastAsia="黑体" w:hAnsi="黑体" w:cs="黑体" w:hint="eastAsia"/>
          <w:szCs w:val="32"/>
        </w:rPr>
        <w:t xml:space="preserve">  </w:t>
      </w:r>
      <w:r>
        <w:rPr>
          <w:rFonts w:ascii="仿宋_GB2312" w:eastAsia="仿宋_GB2312" w:hint="eastAsia"/>
          <w:szCs w:val="32"/>
        </w:rPr>
        <w:t>零售点合理布局根据经济社会发展、消费水平变化等，实行定期评价、动态管理，动态调整最小单元格及零售点数量，经法定程序发布后实施，新标准发布后旧标准自动废止。</w:t>
      </w:r>
    </w:p>
    <w:p w:rsidR="000F6FFE" w:rsidRDefault="00CD3A2D">
      <w:pPr>
        <w:spacing w:line="560" w:lineRule="exact"/>
        <w:jc w:val="center"/>
        <w:rPr>
          <w:rFonts w:ascii="仿宋_GB2312" w:eastAsia="仿宋_GB2312"/>
          <w:szCs w:val="32"/>
        </w:rPr>
      </w:pPr>
      <w:r>
        <w:rPr>
          <w:rFonts w:ascii="黑体" w:eastAsia="黑体" w:hAnsi="黑体" w:hint="eastAsia"/>
          <w:szCs w:val="32"/>
        </w:rPr>
        <w:t>第二章  合理布局标准</w:t>
      </w:r>
    </w:p>
    <w:p w:rsidR="000F6FFE" w:rsidRDefault="00CD3A2D">
      <w:pPr>
        <w:spacing w:line="560" w:lineRule="exact"/>
        <w:ind w:firstLineChars="200" w:firstLine="640"/>
        <w:rPr>
          <w:rFonts w:ascii="仿宋_GB2312" w:eastAsia="仿宋_GB2312" w:hAnsi="宋体"/>
          <w:szCs w:val="32"/>
        </w:rPr>
      </w:pPr>
      <w:r>
        <w:rPr>
          <w:rFonts w:ascii="黑体" w:eastAsia="黑体" w:hAnsi="黑体" w:cs="仿宋_GB2312" w:hint="eastAsia"/>
          <w:szCs w:val="32"/>
        </w:rPr>
        <w:t xml:space="preserve">第七条  </w:t>
      </w:r>
      <w:r>
        <w:rPr>
          <w:rFonts w:ascii="仿宋_GB2312" w:eastAsia="仿宋_GB2312" w:hAnsi="宋体" w:hint="eastAsia"/>
          <w:szCs w:val="32"/>
        </w:rPr>
        <w:t>零售点布局规定应当遵循以下标准</w:t>
      </w:r>
    </w:p>
    <w:p w:rsidR="000F6FFE" w:rsidRDefault="00CD3A2D">
      <w:pPr>
        <w:spacing w:line="560" w:lineRule="exact"/>
        <w:ind w:firstLineChars="200" w:firstLine="640"/>
        <w:rPr>
          <w:rFonts w:ascii="仿宋_GB2312" w:eastAsia="仿宋_GB2312" w:hAnsi="宋体"/>
          <w:szCs w:val="32"/>
        </w:rPr>
      </w:pPr>
      <w:r>
        <w:rPr>
          <w:rFonts w:ascii="仿宋_GB2312" w:eastAsia="仿宋_GB2312" w:hAnsi="宋体" w:hint="eastAsia"/>
          <w:szCs w:val="32"/>
        </w:rPr>
        <w:t>本规定合理布局“总量+间距+限制性规定”的控制的模式。</w:t>
      </w:r>
    </w:p>
    <w:p w:rsidR="000F6FFE" w:rsidRDefault="00CD3A2D">
      <w:pPr>
        <w:spacing w:line="560" w:lineRule="exact"/>
        <w:ind w:firstLineChars="200" w:firstLine="640"/>
        <w:rPr>
          <w:rFonts w:ascii="仿宋_GB2312" w:eastAsia="仿宋_GB2312"/>
          <w:szCs w:val="32"/>
        </w:rPr>
      </w:pPr>
      <w:r>
        <w:rPr>
          <w:rFonts w:ascii="仿宋_GB2312" w:eastAsia="仿宋_GB2312" w:hint="eastAsia"/>
          <w:szCs w:val="32"/>
        </w:rPr>
        <w:t>总量指采取该控制方式区域内的持证户不得超过规定的持证总量。</w:t>
      </w:r>
    </w:p>
    <w:p w:rsidR="000F6FFE" w:rsidRDefault="00CD3A2D">
      <w:pPr>
        <w:spacing w:line="560" w:lineRule="exact"/>
        <w:ind w:firstLineChars="200" w:firstLine="640"/>
        <w:rPr>
          <w:rFonts w:ascii="仿宋_GB2312" w:eastAsia="仿宋_GB2312"/>
          <w:szCs w:val="32"/>
        </w:rPr>
      </w:pPr>
      <w:r>
        <w:rPr>
          <w:rFonts w:ascii="仿宋_GB2312" w:eastAsia="仿宋_GB2312" w:hAnsi="宋体" w:hint="eastAsia"/>
          <w:szCs w:val="32"/>
        </w:rPr>
        <w:t>间距指采取该控</w:t>
      </w:r>
      <w:r>
        <w:rPr>
          <w:rFonts w:ascii="仿宋_GB2312" w:eastAsia="仿宋_GB2312" w:hint="eastAsia"/>
          <w:szCs w:val="32"/>
        </w:rPr>
        <w:t>制方式区域内的新办申请或重新申领申请零售点与已设的相邻零售点之间应符合规定的距离标准。</w:t>
      </w:r>
    </w:p>
    <w:p w:rsidR="000F6FFE" w:rsidRDefault="00CD3A2D">
      <w:pPr>
        <w:spacing w:line="560" w:lineRule="exact"/>
        <w:ind w:firstLineChars="200" w:firstLine="640"/>
        <w:rPr>
          <w:rFonts w:ascii="仿宋_GB2312" w:eastAsia="仿宋_GB2312"/>
          <w:szCs w:val="32"/>
        </w:rPr>
      </w:pPr>
      <w:r>
        <w:rPr>
          <w:rFonts w:ascii="仿宋_GB2312" w:eastAsia="仿宋_GB2312" w:hAnsi="宋体" w:hint="eastAsia"/>
          <w:szCs w:val="32"/>
        </w:rPr>
        <w:t>限制性规定</w:t>
      </w:r>
      <w:r>
        <w:rPr>
          <w:rFonts w:ascii="仿宋_GB2312" w:eastAsia="仿宋_GB2312" w:hint="eastAsia"/>
          <w:szCs w:val="32"/>
        </w:rPr>
        <w:t>指新办申请或重新申领申请零售点应符合限制性规定。</w:t>
      </w:r>
    </w:p>
    <w:p w:rsidR="000F6FFE" w:rsidRDefault="00CD3A2D">
      <w:pPr>
        <w:spacing w:line="590" w:lineRule="exact"/>
        <w:ind w:firstLineChars="200" w:firstLine="640"/>
        <w:contextualSpacing/>
        <w:rPr>
          <w:rFonts w:ascii="楷体_GB2312" w:eastAsia="楷体_GB2312" w:hAnsi="宋体"/>
          <w:szCs w:val="32"/>
        </w:rPr>
      </w:pPr>
      <w:r>
        <w:rPr>
          <w:rFonts w:ascii="楷体_GB2312" w:eastAsia="楷体_GB2312" w:hAnsi="楷体_GB2312" w:cs="楷体_GB2312" w:hint="eastAsia"/>
          <w:szCs w:val="32"/>
        </w:rPr>
        <w:t>（一）</w:t>
      </w:r>
      <w:r>
        <w:rPr>
          <w:rFonts w:ascii="楷体_GB2312" w:eastAsia="楷体_GB2312" w:hAnsi="宋体" w:hint="eastAsia"/>
          <w:szCs w:val="32"/>
        </w:rPr>
        <w:t>市场单元划分</w:t>
      </w:r>
    </w:p>
    <w:p w:rsidR="000F6FFE" w:rsidRDefault="00CD3A2D">
      <w:pPr>
        <w:spacing w:line="590" w:lineRule="exact"/>
        <w:ind w:firstLineChars="200" w:firstLine="640"/>
        <w:contextualSpacing/>
        <w:rPr>
          <w:rFonts w:ascii="仿宋_GB2312" w:eastAsia="仿宋_GB2312" w:hAnsi="华文仿宋"/>
          <w:szCs w:val="32"/>
        </w:rPr>
      </w:pPr>
      <w:r>
        <w:rPr>
          <w:rFonts w:ascii="仿宋_GB2312" w:eastAsia="仿宋_GB2312" w:hAnsi="华文仿宋" w:hint="eastAsia"/>
          <w:szCs w:val="32"/>
        </w:rPr>
        <w:t>依据我区居民居住特点，参照城乡建设规定、市场类型、消费环境等因素，结合地理位置和社会功能属性，将烟草制品零售市场按地域依次分为主城区、镇中心区和行政村三级网格。结合市场类型、零售商圈等对网格单元进行细分，形成最小市场单元格。</w:t>
      </w:r>
    </w:p>
    <w:p w:rsidR="000F6FFE" w:rsidRDefault="00CD3A2D">
      <w:pPr>
        <w:spacing w:line="590" w:lineRule="exact"/>
        <w:ind w:firstLineChars="200" w:firstLine="640"/>
        <w:contextualSpacing/>
        <w:rPr>
          <w:rFonts w:ascii="楷体_GB2312" w:eastAsia="楷体_GB2312" w:hAnsi="宋体"/>
          <w:szCs w:val="32"/>
        </w:rPr>
      </w:pPr>
      <w:r>
        <w:rPr>
          <w:rFonts w:ascii="楷体_GB2312" w:eastAsia="楷体_GB2312" w:hAnsi="宋体" w:hint="eastAsia"/>
          <w:szCs w:val="32"/>
        </w:rPr>
        <w:t>（二）零售点布局模式</w:t>
      </w:r>
    </w:p>
    <w:p w:rsidR="000F6FFE" w:rsidRDefault="00CD3A2D">
      <w:pPr>
        <w:spacing w:line="590" w:lineRule="exact"/>
        <w:ind w:firstLineChars="200" w:firstLine="640"/>
        <w:contextualSpacing/>
        <w:rPr>
          <w:rFonts w:ascii="仿宋_GB2312" w:eastAsia="仿宋_GB2312" w:hAnsi="华文仿宋"/>
          <w:szCs w:val="32"/>
        </w:rPr>
      </w:pPr>
      <w:r>
        <w:rPr>
          <w:rFonts w:ascii="仿宋_GB2312" w:eastAsia="仿宋_GB2312" w:hAnsi="华文仿宋" w:hint="eastAsia"/>
          <w:szCs w:val="32"/>
        </w:rPr>
        <w:t>针对不同类型的网格单元，组合运用数量、间距、人口、保护性冻结、周期性调节五种布局控制模式，组成市场单元</w:t>
      </w:r>
      <w:r>
        <w:rPr>
          <w:rFonts w:ascii="仿宋_GB2312" w:eastAsia="仿宋_GB2312" w:hAnsi="华文仿宋" w:hint="eastAsia"/>
          <w:szCs w:val="32"/>
        </w:rPr>
        <w:lastRenderedPageBreak/>
        <w:t>差异化布局模型。</w:t>
      </w:r>
    </w:p>
    <w:p w:rsidR="000F6FFE" w:rsidRDefault="00CD3A2D">
      <w:pPr>
        <w:spacing w:line="590" w:lineRule="exact"/>
        <w:ind w:firstLineChars="200" w:firstLine="640"/>
        <w:contextualSpacing/>
        <w:rPr>
          <w:rFonts w:ascii="楷体_GB2312" w:eastAsia="楷体_GB2312" w:hAnsi="宋体"/>
          <w:szCs w:val="32"/>
        </w:rPr>
      </w:pPr>
      <w:r>
        <w:rPr>
          <w:rFonts w:ascii="楷体_GB2312" w:eastAsia="楷体_GB2312" w:hAnsi="宋体" w:hint="eastAsia"/>
          <w:szCs w:val="32"/>
        </w:rPr>
        <w:t>（三）零售点规定数量</w:t>
      </w:r>
    </w:p>
    <w:p w:rsidR="000F6FFE" w:rsidRDefault="00CD3A2D">
      <w:pPr>
        <w:spacing w:line="590" w:lineRule="exact"/>
        <w:ind w:firstLineChars="200" w:firstLine="640"/>
        <w:contextualSpacing/>
        <w:rPr>
          <w:rFonts w:ascii="仿宋_GB2312" w:eastAsia="仿宋_GB2312" w:hAnsi="华文仿宋"/>
          <w:szCs w:val="32"/>
        </w:rPr>
      </w:pPr>
      <w:r>
        <w:rPr>
          <w:rFonts w:ascii="仿宋_GB2312" w:eastAsia="仿宋_GB2312" w:hAnsi="华文仿宋" w:hint="eastAsia"/>
          <w:szCs w:val="32"/>
        </w:rPr>
        <w:t>单元格内零售点规定数量由区烟草专卖局根据地理位置、经济发展、人口数量、街道总长度等因素建模测算合理确定，将单元格划分为发展区、一般区和饱和区三个区域。</w:t>
      </w:r>
    </w:p>
    <w:p w:rsidR="000F6FFE" w:rsidRDefault="00CD3A2D">
      <w:pPr>
        <w:spacing w:line="590" w:lineRule="exact"/>
        <w:ind w:firstLineChars="200" w:firstLine="640"/>
        <w:contextualSpacing/>
        <w:rPr>
          <w:rFonts w:ascii="仿宋_GB2312" w:eastAsia="仿宋_GB2312" w:hAnsi="华文仿宋"/>
          <w:szCs w:val="32"/>
        </w:rPr>
      </w:pPr>
      <w:r>
        <w:rPr>
          <w:rFonts w:ascii="仿宋_GB2312" w:eastAsia="仿宋_GB2312" w:hAnsi="华文仿宋" w:hint="eastAsia"/>
          <w:szCs w:val="32"/>
        </w:rPr>
        <w:t>发展区指该单元格现有零售点数量少于建模测算确定的合理数量，该网格单元可以按照测算的合理数量，增加卷烟零售点。</w:t>
      </w:r>
    </w:p>
    <w:p w:rsidR="000F6FFE" w:rsidRDefault="00CD3A2D">
      <w:pPr>
        <w:spacing w:line="590" w:lineRule="exact"/>
        <w:ind w:firstLineChars="200" w:firstLine="640"/>
        <w:contextualSpacing/>
        <w:rPr>
          <w:rFonts w:ascii="仿宋_GB2312" w:eastAsia="仿宋_GB2312" w:hAnsi="华文仿宋"/>
          <w:szCs w:val="32"/>
        </w:rPr>
      </w:pPr>
      <w:r>
        <w:rPr>
          <w:rFonts w:ascii="仿宋_GB2312" w:eastAsia="仿宋_GB2312" w:hAnsi="华文仿宋" w:hint="eastAsia"/>
          <w:szCs w:val="32"/>
        </w:rPr>
        <w:t>一般区指该单元格现有零售点数量等于建模测算确定的合理数量，该网格单元卷烟零售点实行“退一进一”。</w:t>
      </w:r>
    </w:p>
    <w:p w:rsidR="000F6FFE" w:rsidRDefault="00CD3A2D">
      <w:pPr>
        <w:spacing w:line="590" w:lineRule="exact"/>
        <w:ind w:firstLineChars="200" w:firstLine="640"/>
        <w:contextualSpacing/>
        <w:rPr>
          <w:rFonts w:ascii="仿宋_GB2312" w:eastAsia="仿宋_GB2312" w:hAnsi="华文仿宋"/>
          <w:szCs w:val="32"/>
        </w:rPr>
      </w:pPr>
      <w:r>
        <w:rPr>
          <w:rFonts w:ascii="仿宋_GB2312" w:eastAsia="仿宋_GB2312" w:hAnsi="华文仿宋" w:hint="eastAsia"/>
          <w:szCs w:val="32"/>
        </w:rPr>
        <w:t>饱和区指该单元格现有零售点数量大于建模测算确定的合理数量，该网格单元在尊重现状的原则下，通过公平竞争、自然淘汰、依法注销等综合调控手段，逐步调整优化。</w:t>
      </w:r>
    </w:p>
    <w:p w:rsidR="000F6FFE" w:rsidRDefault="00CD3A2D">
      <w:pPr>
        <w:spacing w:line="590" w:lineRule="exact"/>
        <w:ind w:firstLineChars="200" w:firstLine="640"/>
        <w:contextualSpacing/>
        <w:rPr>
          <w:rFonts w:ascii="仿宋_GB2312" w:eastAsia="仿宋_GB2312" w:hAnsi="仿宋_GB2312" w:cs="仿宋_GB2312"/>
          <w:szCs w:val="32"/>
        </w:rPr>
      </w:pPr>
      <w:r>
        <w:rPr>
          <w:rFonts w:ascii="楷体_GB2312" w:eastAsia="楷体_GB2312" w:hAnsi="宋体" w:hint="eastAsia"/>
          <w:szCs w:val="32"/>
        </w:rPr>
        <w:t>（四）三级网格零售点布局</w:t>
      </w:r>
    </w:p>
    <w:p w:rsidR="000F6FFE" w:rsidRDefault="00CD3A2D">
      <w:pPr>
        <w:spacing w:line="560" w:lineRule="exact"/>
        <w:ind w:firstLineChars="200" w:firstLine="640"/>
        <w:rPr>
          <w:rFonts w:ascii="仿宋_GB2312" w:eastAsia="仿宋_GB2312" w:hAnsi="宋体"/>
          <w:szCs w:val="32"/>
        </w:rPr>
      </w:pPr>
      <w:r>
        <w:rPr>
          <w:rFonts w:ascii="楷体_GB2312" w:eastAsia="楷体_GB2312" w:hAnsi="楷体_GB2312" w:cs="楷体_GB2312" w:hint="eastAsia"/>
          <w:szCs w:val="32"/>
        </w:rPr>
        <w:t>1.一级网格为主城区</w:t>
      </w:r>
      <w:r>
        <w:rPr>
          <w:rFonts w:ascii="仿宋_GB2312" w:eastAsia="仿宋_GB2312" w:hAnsi="宋体" w:hint="eastAsia"/>
          <w:szCs w:val="32"/>
        </w:rPr>
        <w:t>，主城区包括东关社区、东湖社区、东大街社区、南环路社区、凤鸣路社区、关中社区、南大街社区、西城社区等8个社区和东大街村、西大街村、北大街村、行司巷村等4个行政村（涵盖雍城大道北段、太白巷、东湖路、秦凤路、雍兴路、南大街、北大街、长青路、秦景南路、秦景北路、秦武南北路、秦公路、雍城大道东西段、西府大道中段、东关街、东大街、二马路、凤鸣路、西大街、西关街、凤泉东西路、凤舞路等22条街道，行司巷、党校路、韦家巷、文昌巷、毡匠巷、诸志巷、太平巷、财神庙巷、雍辉路、通文巷、灶爷庙巷、流巷、县前巷、辛巷、府前巷、</w:t>
      </w:r>
      <w:r>
        <w:rPr>
          <w:rFonts w:ascii="仿宋_GB2312" w:eastAsia="仿宋_GB2312" w:hAnsi="宋体" w:hint="eastAsia"/>
          <w:szCs w:val="32"/>
        </w:rPr>
        <w:lastRenderedPageBreak/>
        <w:t>东西马道巷、儒林巷、西小巷、军仓巷、关中路、福海路、</w:t>
      </w:r>
      <w:r w:rsidR="00B3081B">
        <w:rPr>
          <w:rFonts w:ascii="仿宋_GB2312" w:eastAsia="仿宋_GB2312" w:hAnsi="宋体" w:hint="eastAsia"/>
          <w:szCs w:val="32"/>
        </w:rPr>
        <w:t>文化路、</w:t>
      </w:r>
      <w:r>
        <w:rPr>
          <w:rFonts w:ascii="仿宋_GB2312" w:eastAsia="仿宋_GB2312" w:hAnsi="宋体" w:hint="eastAsia"/>
          <w:szCs w:val="32"/>
        </w:rPr>
        <w:t>肋子缝等2</w:t>
      </w:r>
      <w:r w:rsidR="00B3081B">
        <w:rPr>
          <w:rFonts w:ascii="仿宋_GB2312" w:eastAsia="仿宋_GB2312" w:hAnsi="宋体" w:hint="eastAsia"/>
          <w:szCs w:val="32"/>
        </w:rPr>
        <w:t>3</w:t>
      </w:r>
      <w:r>
        <w:rPr>
          <w:rFonts w:ascii="仿宋_GB2312" w:eastAsia="仿宋_GB2312" w:hAnsi="宋体" w:hint="eastAsia"/>
          <w:szCs w:val="32"/>
        </w:rPr>
        <w:t>个城中村巷道），综合考虑零售点服务面积、人口、经济、零售户综合盈利水平等因素，根据社区和城中村名称，将主城区划分为12个最小单元格，按照</w:t>
      </w:r>
      <w:r>
        <w:rPr>
          <w:rFonts w:ascii="仿宋_GB2312" w:eastAsia="仿宋_GB2312" w:hAnsi="宋体" w:hint="eastAsia"/>
          <w:bCs/>
          <w:szCs w:val="32"/>
        </w:rPr>
        <w:t>“</w:t>
      </w:r>
      <w:r>
        <w:rPr>
          <w:rFonts w:ascii="仿宋_GB2312" w:eastAsia="仿宋_GB2312" w:hAnsi="宋体" w:hint="eastAsia"/>
          <w:szCs w:val="32"/>
        </w:rPr>
        <w:t>总量+间距</w:t>
      </w:r>
      <w:r>
        <w:rPr>
          <w:rFonts w:ascii="仿宋_GB2312" w:eastAsia="仿宋_GB2312" w:hAnsi="宋体" w:hint="eastAsia"/>
          <w:bCs/>
          <w:szCs w:val="32"/>
        </w:rPr>
        <w:t>”的标准</w:t>
      </w:r>
      <w:r>
        <w:rPr>
          <w:rFonts w:ascii="仿宋_GB2312" w:eastAsia="仿宋_GB2312" w:hAnsi="宋体" w:hint="eastAsia"/>
          <w:szCs w:val="32"/>
        </w:rPr>
        <w:t>布局。</w:t>
      </w:r>
    </w:p>
    <w:p w:rsidR="000F6FFE" w:rsidRDefault="00CD3A2D">
      <w:pPr>
        <w:spacing w:line="560" w:lineRule="exact"/>
        <w:ind w:firstLineChars="200" w:firstLine="640"/>
        <w:rPr>
          <w:rFonts w:ascii="仿宋_GB2312" w:eastAsia="仿宋_GB2312" w:hAnsi="宋体"/>
          <w:szCs w:val="32"/>
        </w:rPr>
      </w:pPr>
      <w:r>
        <w:rPr>
          <w:rFonts w:ascii="仿宋_GB2312" w:eastAsia="仿宋_GB2312" w:hAnsi="宋体" w:hint="eastAsia"/>
          <w:szCs w:val="32"/>
        </w:rPr>
        <w:t>零售点总量以单元格常住人口每</w:t>
      </w:r>
      <w:r w:rsidR="0008536E">
        <w:rPr>
          <w:rFonts w:ascii="仿宋_GB2312" w:eastAsia="仿宋_GB2312" w:hAnsi="宋体" w:hint="eastAsia"/>
          <w:szCs w:val="32"/>
        </w:rPr>
        <w:t>2</w:t>
      </w:r>
      <w:r>
        <w:rPr>
          <w:rFonts w:ascii="仿宋_GB2312" w:eastAsia="仿宋_GB2312" w:hAnsi="宋体" w:hint="eastAsia"/>
          <w:szCs w:val="32"/>
        </w:rPr>
        <w:t>00人设置1个零售点，且两个零售点的间隔距离不低于50米。</w:t>
      </w:r>
    </w:p>
    <w:p w:rsidR="000F6FFE" w:rsidRDefault="00CD3A2D">
      <w:pPr>
        <w:spacing w:line="560" w:lineRule="exact"/>
        <w:ind w:firstLineChars="200" w:firstLine="640"/>
        <w:rPr>
          <w:rFonts w:ascii="仿宋_GB2312" w:eastAsia="仿宋_GB2312" w:hAnsi="宋体"/>
          <w:szCs w:val="32"/>
        </w:rPr>
      </w:pPr>
      <w:r>
        <w:rPr>
          <w:rFonts w:ascii="楷体_GB2312" w:eastAsia="楷体_GB2312" w:hAnsi="楷体_GB2312" w:cs="楷体_GB2312" w:hint="eastAsia"/>
          <w:szCs w:val="32"/>
        </w:rPr>
        <w:t>2.二级网格为镇中心区，</w:t>
      </w:r>
      <w:r>
        <w:rPr>
          <w:rFonts w:ascii="仿宋_GB2312" w:eastAsia="仿宋_GB2312" w:hAnsi="宋体" w:hint="eastAsia"/>
          <w:szCs w:val="32"/>
        </w:rPr>
        <w:t>全区11个镇中心区（不含城关镇）划分11个最小单元格，按照</w:t>
      </w:r>
      <w:r>
        <w:rPr>
          <w:rFonts w:ascii="仿宋_GB2312" w:eastAsia="仿宋_GB2312" w:hAnsi="宋体" w:hint="eastAsia"/>
          <w:bCs/>
          <w:szCs w:val="32"/>
        </w:rPr>
        <w:t>“</w:t>
      </w:r>
      <w:r>
        <w:rPr>
          <w:rFonts w:ascii="仿宋_GB2312" w:eastAsia="仿宋_GB2312" w:hAnsi="宋体" w:hint="eastAsia"/>
          <w:szCs w:val="32"/>
        </w:rPr>
        <w:t>总量+间距</w:t>
      </w:r>
      <w:r>
        <w:rPr>
          <w:rFonts w:ascii="仿宋_GB2312" w:eastAsia="仿宋_GB2312" w:hAnsi="宋体" w:hint="eastAsia"/>
          <w:bCs/>
          <w:szCs w:val="32"/>
        </w:rPr>
        <w:t>”</w:t>
      </w:r>
      <w:r>
        <w:rPr>
          <w:rFonts w:ascii="仿宋_GB2312" w:eastAsia="仿宋_GB2312" w:hAnsi="宋体" w:hint="eastAsia"/>
          <w:szCs w:val="32"/>
        </w:rPr>
        <w:t>的标准</w:t>
      </w:r>
      <w:r>
        <w:rPr>
          <w:rFonts w:ascii="仿宋_GB2312" w:eastAsia="仿宋_GB2312" w:hint="eastAsia"/>
          <w:szCs w:val="32"/>
        </w:rPr>
        <w:t>布局</w:t>
      </w:r>
      <w:r>
        <w:rPr>
          <w:rFonts w:ascii="仿宋_GB2312" w:eastAsia="仿宋_GB2312" w:hAnsi="宋体" w:hint="eastAsia"/>
          <w:szCs w:val="32"/>
        </w:rPr>
        <w:t>。</w:t>
      </w:r>
    </w:p>
    <w:p w:rsidR="000F6FFE" w:rsidRDefault="00CD3A2D">
      <w:pPr>
        <w:spacing w:line="560" w:lineRule="exact"/>
        <w:ind w:firstLineChars="200" w:firstLine="640"/>
        <w:rPr>
          <w:rFonts w:ascii="仿宋_GB2312" w:eastAsia="仿宋_GB2312" w:hAnsi="宋体"/>
          <w:szCs w:val="32"/>
        </w:rPr>
      </w:pPr>
      <w:r>
        <w:rPr>
          <w:rFonts w:ascii="仿宋_GB2312" w:eastAsia="仿宋_GB2312" w:hAnsi="宋体" w:hint="eastAsia"/>
          <w:szCs w:val="32"/>
        </w:rPr>
        <w:t>零售点总量以单元格街道长度每50米设置1个零售点的标准设置，且两个零售点的间隔距离不低于50米。</w:t>
      </w:r>
    </w:p>
    <w:p w:rsidR="000F6FFE" w:rsidRDefault="00CD3A2D">
      <w:pPr>
        <w:spacing w:line="560" w:lineRule="exact"/>
        <w:ind w:firstLineChars="200" w:firstLine="640"/>
        <w:rPr>
          <w:rFonts w:ascii="仿宋_GB2312" w:eastAsia="仿宋_GB2312" w:hAnsi="宋体"/>
          <w:szCs w:val="32"/>
        </w:rPr>
      </w:pPr>
      <w:r>
        <w:rPr>
          <w:rFonts w:ascii="楷体_GB2312" w:eastAsia="楷体_GB2312" w:hAnsi="楷体_GB2312" w:cs="楷体_GB2312" w:hint="eastAsia"/>
          <w:szCs w:val="32"/>
        </w:rPr>
        <w:t>3.三级网格</w:t>
      </w:r>
      <w:bookmarkStart w:id="0" w:name="_GoBack"/>
      <w:bookmarkEnd w:id="0"/>
      <w:r>
        <w:rPr>
          <w:rFonts w:ascii="楷体_GB2312" w:eastAsia="楷体_GB2312" w:hAnsi="楷体_GB2312" w:cs="楷体_GB2312" w:hint="eastAsia"/>
          <w:szCs w:val="32"/>
        </w:rPr>
        <w:t>为行政村</w:t>
      </w:r>
      <w:r>
        <w:rPr>
          <w:rFonts w:ascii="仿宋_GB2312" w:eastAsia="仿宋_GB2312" w:hAnsi="宋体" w:hint="eastAsia"/>
          <w:szCs w:val="32"/>
        </w:rPr>
        <w:t>，全区143个行政村（不含主城区4个行政村、镇中心区13个行政村），划分143个最小单元格，按照</w:t>
      </w:r>
      <w:r>
        <w:rPr>
          <w:rFonts w:ascii="仿宋_GB2312" w:eastAsia="仿宋_GB2312" w:hAnsi="宋体" w:hint="eastAsia"/>
          <w:bCs/>
          <w:szCs w:val="32"/>
        </w:rPr>
        <w:t>“总量+间距”</w:t>
      </w:r>
      <w:r>
        <w:rPr>
          <w:rFonts w:ascii="仿宋_GB2312" w:eastAsia="仿宋_GB2312" w:hAnsi="宋体" w:hint="eastAsia"/>
          <w:szCs w:val="32"/>
        </w:rPr>
        <w:t>的标准</w:t>
      </w:r>
      <w:r>
        <w:rPr>
          <w:rFonts w:ascii="仿宋_GB2312" w:eastAsia="仿宋_GB2312" w:hint="eastAsia"/>
          <w:szCs w:val="32"/>
        </w:rPr>
        <w:t>布局</w:t>
      </w:r>
      <w:r>
        <w:rPr>
          <w:rFonts w:ascii="仿宋_GB2312" w:eastAsia="仿宋_GB2312" w:hAnsi="宋体" w:hint="eastAsia"/>
          <w:szCs w:val="32"/>
        </w:rPr>
        <w:t>。</w:t>
      </w:r>
    </w:p>
    <w:p w:rsidR="000F6FFE" w:rsidRDefault="00CD3A2D">
      <w:pPr>
        <w:spacing w:line="560" w:lineRule="exact"/>
        <w:ind w:firstLineChars="200" w:firstLine="640"/>
        <w:rPr>
          <w:rFonts w:ascii="仿宋_GB2312" w:eastAsia="仿宋_GB2312" w:hAnsi="宋体"/>
          <w:szCs w:val="32"/>
        </w:rPr>
      </w:pPr>
      <w:r>
        <w:rPr>
          <w:rFonts w:ascii="仿宋_GB2312" w:eastAsia="仿宋_GB2312" w:hAnsi="宋体" w:hint="eastAsia"/>
          <w:szCs w:val="32"/>
        </w:rPr>
        <w:t>零售点总量以单元格常住人口每400人设置1个零售点，</w:t>
      </w:r>
      <w:r w:rsidR="007E500F">
        <w:rPr>
          <w:rFonts w:ascii="仿宋_GB2312" w:eastAsia="仿宋_GB2312" w:hint="eastAsia"/>
          <w:szCs w:val="32"/>
        </w:rPr>
        <w:t>400人以下的空白行政村可以设置1个零售点，400人以上每满400人增设1个零售点，</w:t>
      </w:r>
      <w:r>
        <w:rPr>
          <w:rFonts w:ascii="仿宋_GB2312" w:eastAsia="仿宋_GB2312" w:hAnsi="宋体" w:hint="eastAsia"/>
          <w:szCs w:val="32"/>
        </w:rPr>
        <w:t>且两个零售点的间隔距离不低于50米。</w:t>
      </w:r>
    </w:p>
    <w:p w:rsidR="000F6FFE" w:rsidRDefault="00CD3A2D">
      <w:pPr>
        <w:spacing w:line="560" w:lineRule="exact"/>
        <w:ind w:firstLineChars="200" w:firstLine="640"/>
        <w:rPr>
          <w:rFonts w:ascii="仿宋_GB2312" w:eastAsia="仿宋_GB2312" w:hAnsi="宋体"/>
          <w:szCs w:val="32"/>
        </w:rPr>
      </w:pPr>
      <w:r>
        <w:rPr>
          <w:rFonts w:ascii="仿宋_GB2312" w:eastAsia="仿宋_GB2312" w:hAnsi="宋体" w:hint="eastAsia"/>
          <w:szCs w:val="32"/>
        </w:rPr>
        <w:t>以上布局标准必须同时满足“总量+间距”</w:t>
      </w:r>
      <w:r w:rsidR="009D04F2">
        <w:rPr>
          <w:rFonts w:ascii="仿宋_GB2312" w:eastAsia="仿宋_GB2312" w:hAnsi="宋体" w:hint="eastAsia"/>
          <w:szCs w:val="32"/>
        </w:rPr>
        <w:t>要求</w:t>
      </w:r>
      <w:r>
        <w:rPr>
          <w:rFonts w:ascii="仿宋_GB2312" w:eastAsia="仿宋_GB2312" w:hAnsi="宋体" w:hint="eastAsia"/>
          <w:szCs w:val="32"/>
        </w:rPr>
        <w:t>。</w:t>
      </w:r>
    </w:p>
    <w:p w:rsidR="000F6FFE" w:rsidRDefault="00CD3A2D">
      <w:pPr>
        <w:spacing w:line="590" w:lineRule="exact"/>
        <w:ind w:firstLineChars="200" w:firstLine="640"/>
        <w:contextualSpacing/>
        <w:rPr>
          <w:rFonts w:ascii="楷体_GB2312" w:eastAsia="楷体_GB2312" w:hAnsi="宋体"/>
          <w:szCs w:val="32"/>
        </w:rPr>
      </w:pPr>
      <w:r>
        <w:rPr>
          <w:rFonts w:ascii="楷体_GB2312" w:eastAsia="楷体_GB2312" w:hAnsi="宋体" w:hint="eastAsia"/>
          <w:szCs w:val="32"/>
        </w:rPr>
        <w:t>（五）特殊区域标准</w:t>
      </w:r>
    </w:p>
    <w:p w:rsidR="000F6FFE" w:rsidRDefault="00CD3A2D">
      <w:pPr>
        <w:autoSpaceDE w:val="0"/>
        <w:autoSpaceDN w:val="0"/>
        <w:adjustRightInd w:val="0"/>
        <w:spacing w:line="560" w:lineRule="exact"/>
        <w:ind w:firstLine="630"/>
        <w:rPr>
          <w:rFonts w:ascii="仿宋_GB2312" w:eastAsia="仿宋_GB2312" w:hAnsi="宋体" w:cs="宋体"/>
          <w:kern w:val="0"/>
          <w:szCs w:val="32"/>
        </w:rPr>
      </w:pPr>
      <w:r>
        <w:rPr>
          <w:rFonts w:ascii="仿宋_GB2312" w:eastAsia="仿宋_GB2312" w:hint="eastAsia"/>
          <w:szCs w:val="32"/>
        </w:rPr>
        <w:t>1.</w:t>
      </w:r>
      <w:r>
        <w:rPr>
          <w:rFonts w:ascii="仿宋_GB2312" w:eastAsia="仿宋_GB2312" w:hAnsi="宋体" w:cs="宋体" w:hint="eastAsia"/>
          <w:kern w:val="0"/>
          <w:szCs w:val="32"/>
        </w:rPr>
        <w:t>连锁经营企业（不含加盟店、挂名店），在申请烟草专卖零售许可证时，应当根据各个分店所在位置分别提出申请，遵循“一店一证”的原则。</w:t>
      </w:r>
    </w:p>
    <w:p w:rsidR="000F6FFE" w:rsidRDefault="00CD3A2D">
      <w:pPr>
        <w:spacing w:line="360" w:lineRule="auto"/>
        <w:ind w:firstLineChars="200" w:firstLine="640"/>
        <w:rPr>
          <w:rFonts w:ascii="仿宋_GB2312" w:eastAsia="仿宋_GB2312" w:hAnsi="宋体" w:cs="宋体"/>
          <w:kern w:val="0"/>
          <w:szCs w:val="32"/>
        </w:rPr>
      </w:pPr>
      <w:r>
        <w:rPr>
          <w:rFonts w:ascii="仿宋_GB2312" w:eastAsia="仿宋_GB2312" w:hAnsi="宋体" w:cs="宋体" w:hint="eastAsia"/>
          <w:kern w:val="0"/>
          <w:szCs w:val="32"/>
        </w:rPr>
        <w:lastRenderedPageBreak/>
        <w:t>2.</w:t>
      </w:r>
      <w:r>
        <w:rPr>
          <w:rFonts w:ascii="仿宋_GB2312" w:eastAsia="仿宋_GB2312" w:hAnsi="宋体" w:cs="宋体"/>
          <w:kern w:val="0"/>
          <w:szCs w:val="32"/>
        </w:rPr>
        <w:t>封闭式住宅小区内设置零售点的，300户以下的设置1个零售点，300户以上的</w:t>
      </w:r>
      <w:r>
        <w:rPr>
          <w:rFonts w:ascii="仿宋_GB2312" w:eastAsia="仿宋_GB2312" w:hAnsi="宋体" w:cs="宋体" w:hint="eastAsia"/>
          <w:kern w:val="0"/>
          <w:szCs w:val="32"/>
        </w:rPr>
        <w:t>，</w:t>
      </w:r>
      <w:r>
        <w:rPr>
          <w:rFonts w:ascii="仿宋_GB2312" w:eastAsia="仿宋_GB2312" w:hAnsi="宋体" w:cs="宋体"/>
          <w:kern w:val="0"/>
          <w:szCs w:val="32"/>
        </w:rPr>
        <w:t>每</w:t>
      </w:r>
      <w:r w:rsidR="007E500F">
        <w:rPr>
          <w:rFonts w:ascii="仿宋_GB2312" w:eastAsia="仿宋_GB2312" w:hAnsi="宋体" w:cs="宋体" w:hint="eastAsia"/>
          <w:kern w:val="0"/>
          <w:szCs w:val="32"/>
        </w:rPr>
        <w:t>满</w:t>
      </w:r>
      <w:r>
        <w:rPr>
          <w:rFonts w:ascii="仿宋_GB2312" w:eastAsia="仿宋_GB2312" w:hAnsi="宋体" w:cs="宋体"/>
          <w:kern w:val="0"/>
          <w:szCs w:val="32"/>
        </w:rPr>
        <w:t>300户增设1个零售点，</w:t>
      </w:r>
      <w:r w:rsidR="007E500F">
        <w:rPr>
          <w:rFonts w:ascii="仿宋_GB2312" w:eastAsia="仿宋_GB2312" w:hint="eastAsia"/>
          <w:szCs w:val="32"/>
        </w:rPr>
        <w:t>零售点间距不得低于50米，</w:t>
      </w:r>
      <w:r>
        <w:rPr>
          <w:rFonts w:ascii="仿宋_GB2312" w:eastAsia="仿宋_GB2312" w:hAnsi="宋体" w:cs="宋体"/>
          <w:kern w:val="0"/>
          <w:szCs w:val="32"/>
        </w:rPr>
        <w:t>总数不</w:t>
      </w:r>
      <w:r w:rsidR="007E500F">
        <w:rPr>
          <w:rFonts w:ascii="仿宋_GB2312" w:eastAsia="仿宋_GB2312" w:hAnsi="宋体" w:cs="宋体" w:hint="eastAsia"/>
          <w:kern w:val="0"/>
          <w:szCs w:val="32"/>
        </w:rPr>
        <w:t>得</w:t>
      </w:r>
      <w:r>
        <w:rPr>
          <w:rFonts w:ascii="仿宋_GB2312" w:eastAsia="仿宋_GB2312" w:hAnsi="宋体" w:cs="宋体"/>
          <w:kern w:val="0"/>
          <w:szCs w:val="32"/>
        </w:rPr>
        <w:t>超过</w:t>
      </w:r>
      <w:r>
        <w:rPr>
          <w:rFonts w:ascii="仿宋_GB2312" w:eastAsia="仿宋_GB2312" w:hAnsi="宋体" w:cs="宋体" w:hint="eastAsia"/>
          <w:kern w:val="0"/>
          <w:szCs w:val="32"/>
        </w:rPr>
        <w:t>2</w:t>
      </w:r>
      <w:r>
        <w:rPr>
          <w:rFonts w:ascii="仿宋_GB2312" w:eastAsia="仿宋_GB2312" w:hAnsi="宋体" w:cs="宋体"/>
          <w:kern w:val="0"/>
          <w:szCs w:val="32"/>
        </w:rPr>
        <w:t>个；该区域内申请烟草专卖零售许可证的，其经营场所应</w:t>
      </w:r>
      <w:r>
        <w:rPr>
          <w:rFonts w:ascii="仿宋_GB2312" w:eastAsia="仿宋_GB2312" w:hAnsi="宋体" w:cs="宋体" w:hint="eastAsia"/>
          <w:kern w:val="0"/>
          <w:szCs w:val="32"/>
        </w:rPr>
        <w:t>为</w:t>
      </w:r>
      <w:r>
        <w:rPr>
          <w:rFonts w:ascii="仿宋_GB2312" w:eastAsia="仿宋_GB2312" w:hAnsi="宋体" w:cs="宋体"/>
          <w:kern w:val="0"/>
          <w:szCs w:val="32"/>
        </w:rPr>
        <w:t>商业用途性质</w:t>
      </w:r>
      <w:r>
        <w:rPr>
          <w:rFonts w:ascii="仿宋_GB2312" w:eastAsia="仿宋_GB2312" w:hAnsi="宋体" w:cs="宋体" w:hint="eastAsia"/>
          <w:kern w:val="0"/>
          <w:szCs w:val="32"/>
        </w:rPr>
        <w:t>。</w:t>
      </w:r>
    </w:p>
    <w:p w:rsidR="000F6FFE" w:rsidRDefault="00CD3A2D">
      <w:pPr>
        <w:spacing w:line="360" w:lineRule="auto"/>
        <w:ind w:firstLineChars="200" w:firstLine="640"/>
        <w:rPr>
          <w:rFonts w:ascii="仿宋_GB2312" w:eastAsia="仿宋_GB2312"/>
          <w:szCs w:val="32"/>
        </w:rPr>
      </w:pPr>
      <w:r>
        <w:rPr>
          <w:rFonts w:ascii="仿宋_GB2312" w:eastAsia="仿宋_GB2312" w:hAnsi="宋体" w:cs="宋体" w:hint="eastAsia"/>
          <w:kern w:val="0"/>
          <w:szCs w:val="32"/>
        </w:rPr>
        <w:t>3.</w:t>
      </w:r>
      <w:r>
        <w:rPr>
          <w:rFonts w:ascii="仿宋_GB2312" w:eastAsia="仿宋_GB2312" w:hint="eastAsia"/>
          <w:szCs w:val="32"/>
        </w:rPr>
        <w:t>人口较为集中（相对独立的）综合性商（农）贸市场、大型专业市场或商业步行街，根据该区域内固定商铺（含门面）数量，每100户（个）设置1个零售点，零售点间距不得低于50米，设置总数最多不超过2个。若该区域内固定商铺（含门面）数量不足100户（个），且无零售点的，可以设置1个零售点。</w:t>
      </w:r>
      <w:r>
        <w:rPr>
          <w:rFonts w:ascii="仿宋_GB2312" w:eastAsia="仿宋_GB2312" w:hAnsi="宋体" w:hint="eastAsia"/>
          <w:szCs w:val="32"/>
        </w:rPr>
        <w:t>市场沿街的零售点布局，不适用于此项规定，应符合本条第（四）款的标准</w:t>
      </w:r>
      <w:r>
        <w:rPr>
          <w:rFonts w:ascii="仿宋_GB2312" w:eastAsia="仿宋_GB2312" w:hAnsi="宋体" w:hint="eastAsia"/>
          <w:szCs w:val="32"/>
          <w:lang w:val="zh-CN"/>
        </w:rPr>
        <w:t>。</w:t>
      </w:r>
    </w:p>
    <w:p w:rsidR="000F6FFE" w:rsidRDefault="00CD3A2D">
      <w:pPr>
        <w:spacing w:line="360" w:lineRule="auto"/>
        <w:ind w:firstLineChars="200" w:firstLine="640"/>
        <w:rPr>
          <w:rFonts w:ascii="仿宋_GB2312" w:eastAsia="仿宋_GB2312"/>
          <w:szCs w:val="32"/>
        </w:rPr>
      </w:pPr>
      <w:r>
        <w:rPr>
          <w:rFonts w:ascii="仿宋_GB2312" w:eastAsia="仿宋_GB2312" w:hAnsi="宋体" w:hint="eastAsia"/>
          <w:szCs w:val="32"/>
        </w:rPr>
        <w:t>4.</w:t>
      </w:r>
      <w:r>
        <w:rPr>
          <w:rFonts w:ascii="仿宋_GB2312" w:eastAsia="仿宋_GB2312" w:hint="eastAsia"/>
          <w:szCs w:val="32"/>
        </w:rPr>
        <w:t xml:space="preserve">机场、火车站、汽车站等公共场所内可以设置1-2个零售点。 </w:t>
      </w:r>
    </w:p>
    <w:p w:rsidR="000F6FFE" w:rsidRDefault="00CD3A2D">
      <w:pPr>
        <w:spacing w:line="360" w:lineRule="auto"/>
        <w:ind w:firstLineChars="200" w:firstLine="640"/>
        <w:rPr>
          <w:rFonts w:ascii="仿宋_GB2312" w:eastAsia="仿宋_GB2312"/>
          <w:szCs w:val="32"/>
        </w:rPr>
      </w:pPr>
      <w:r>
        <w:rPr>
          <w:rFonts w:ascii="仿宋_GB2312" w:eastAsia="仿宋_GB2312" w:hint="eastAsia"/>
          <w:szCs w:val="32"/>
        </w:rPr>
        <w:t>5.风景旅游区内可以设置1-2个零售点。文化旅游管理部门或森林管理部门规定不宜设置的除外。</w:t>
      </w:r>
    </w:p>
    <w:p w:rsidR="000F6FFE" w:rsidRDefault="00CD3A2D">
      <w:pPr>
        <w:ind w:firstLineChars="200" w:firstLine="640"/>
        <w:rPr>
          <w:rFonts w:ascii="仿宋_GB2312" w:eastAsia="仿宋_GB2312" w:hAnsi="宋体"/>
          <w:szCs w:val="32"/>
        </w:rPr>
      </w:pPr>
      <w:r>
        <w:rPr>
          <w:rFonts w:ascii="仿宋_GB2312" w:eastAsia="仿宋_GB2312" w:hAnsi="宋体" w:hint="eastAsia"/>
          <w:szCs w:val="32"/>
        </w:rPr>
        <w:t>6.高速公路服务区，道路单侧仅设置1个零售点；</w:t>
      </w:r>
    </w:p>
    <w:p w:rsidR="000F6FFE" w:rsidRDefault="00CD3A2D">
      <w:pPr>
        <w:spacing w:line="360" w:lineRule="auto"/>
        <w:ind w:firstLineChars="200" w:firstLine="640"/>
        <w:rPr>
          <w:rFonts w:ascii="仿宋_GB2312" w:eastAsia="仿宋_GB2312"/>
          <w:szCs w:val="32"/>
        </w:rPr>
      </w:pPr>
      <w:r>
        <w:rPr>
          <w:rFonts w:ascii="仿宋_GB2312" w:eastAsia="仿宋_GB2312" w:hint="eastAsia"/>
          <w:szCs w:val="32"/>
        </w:rPr>
        <w:t>7.商场、超市在同一建筑内只设置1个零售点。</w:t>
      </w:r>
    </w:p>
    <w:p w:rsidR="000F6FFE" w:rsidRDefault="00CD3A2D">
      <w:pPr>
        <w:spacing w:line="560" w:lineRule="exact"/>
        <w:ind w:firstLineChars="200" w:firstLine="640"/>
        <w:rPr>
          <w:rFonts w:ascii="楷体_GB2312" w:eastAsia="楷体_GB2312" w:hAnsi="宋体"/>
          <w:szCs w:val="32"/>
        </w:rPr>
      </w:pPr>
      <w:r>
        <w:rPr>
          <w:rFonts w:ascii="楷体_GB2312" w:eastAsia="楷体_GB2312" w:hAnsi="宋体" w:hint="eastAsia"/>
          <w:szCs w:val="32"/>
        </w:rPr>
        <w:t xml:space="preserve">（六）触控机制 </w:t>
      </w:r>
    </w:p>
    <w:p w:rsidR="000F6FFE" w:rsidRDefault="00CD3A2D">
      <w:pPr>
        <w:spacing w:line="590" w:lineRule="exact"/>
        <w:ind w:firstLineChars="200" w:firstLine="640"/>
        <w:contextualSpacing/>
        <w:rPr>
          <w:rFonts w:ascii="仿宋_GB2312" w:eastAsia="仿宋_GB2312" w:hAnsi="华文仿宋"/>
          <w:szCs w:val="32"/>
        </w:rPr>
      </w:pPr>
      <w:r>
        <w:rPr>
          <w:rFonts w:ascii="仿宋_GB2312" w:eastAsia="仿宋_GB2312" w:hAnsi="楷体" w:cs="楷体" w:hint="eastAsia"/>
          <w:szCs w:val="32"/>
        </w:rPr>
        <w:t>1.保护性冻结。</w:t>
      </w:r>
      <w:r>
        <w:rPr>
          <w:rFonts w:ascii="仿宋_GB2312" w:eastAsia="仿宋_GB2312" w:hAnsi="华文仿宋" w:hint="eastAsia"/>
          <w:szCs w:val="32"/>
        </w:rPr>
        <w:t>市场单元在动态评测周期内因拆迁、改建等城市规定因素或受政策法规、社会发展影响发生动态变化，出于维护市场秩序、保护零售户利益的目的，将该市场单元予以零售许可冻结。</w:t>
      </w:r>
    </w:p>
    <w:p w:rsidR="000F6FFE" w:rsidRDefault="00CD3A2D">
      <w:pPr>
        <w:spacing w:line="590" w:lineRule="exact"/>
        <w:ind w:firstLineChars="200" w:firstLine="640"/>
        <w:contextualSpacing/>
        <w:rPr>
          <w:rFonts w:ascii="仿宋_GB2312" w:eastAsia="仿宋_GB2312" w:hAnsi="华文仿宋"/>
          <w:szCs w:val="32"/>
        </w:rPr>
      </w:pPr>
      <w:r>
        <w:rPr>
          <w:rFonts w:ascii="仿宋_GB2312" w:eastAsia="仿宋_GB2312" w:hAnsi="楷体" w:cs="楷体" w:hint="eastAsia"/>
          <w:szCs w:val="32"/>
        </w:rPr>
        <w:lastRenderedPageBreak/>
        <w:t>2.周期性调节。</w:t>
      </w:r>
      <w:r>
        <w:rPr>
          <w:rFonts w:ascii="仿宋_GB2312" w:eastAsia="仿宋_GB2312" w:hAnsi="华文仿宋" w:hint="eastAsia"/>
          <w:szCs w:val="32"/>
        </w:rPr>
        <w:t>因城镇建设、人口流动等变化，导致市场单元原测算确定的合理数量变化较大的，根据实际情况对该市场单元内零售点规定数量予以调节，但调节数量不得超过所在市场单元标准规定的数量。</w:t>
      </w:r>
    </w:p>
    <w:p w:rsidR="000F6FFE" w:rsidRDefault="00CD3A2D">
      <w:pPr>
        <w:spacing w:line="590" w:lineRule="exact"/>
        <w:ind w:firstLineChars="200" w:firstLine="640"/>
        <w:contextualSpacing/>
        <w:rPr>
          <w:rFonts w:ascii="黑体" w:eastAsia="黑体" w:hAnsi="黑体"/>
          <w:szCs w:val="32"/>
        </w:rPr>
      </w:pPr>
      <w:r>
        <w:rPr>
          <w:rFonts w:ascii="仿宋_GB2312" w:eastAsia="仿宋_GB2312" w:hAnsi="楷体" w:cs="楷体" w:hint="eastAsia"/>
          <w:szCs w:val="32"/>
        </w:rPr>
        <w:t>3.临时性设点。</w:t>
      </w:r>
      <w:r>
        <w:rPr>
          <w:rFonts w:ascii="仿宋_GB2312" w:eastAsia="仿宋_GB2312" w:hAnsi="华文仿宋" w:hint="eastAsia"/>
          <w:szCs w:val="32"/>
        </w:rPr>
        <w:t>因新建居民区、工业区等城市规定建设导致市场单元变化较大或产生新的市场单元，可依据实际情况临时增设1－2个零售点，待动态调整时再统一规定。</w:t>
      </w:r>
    </w:p>
    <w:p w:rsidR="000F6FFE" w:rsidRDefault="00CD3A2D">
      <w:pPr>
        <w:spacing w:line="560" w:lineRule="exact"/>
        <w:ind w:firstLineChars="200" w:firstLine="640"/>
        <w:contextualSpacing/>
        <w:rPr>
          <w:rFonts w:ascii="仿宋_GB2312" w:eastAsia="仿宋_GB2312" w:hAnsi="华文仿宋"/>
          <w:szCs w:val="32"/>
        </w:rPr>
      </w:pPr>
      <w:r>
        <w:rPr>
          <w:rFonts w:ascii="黑体" w:eastAsia="黑体" w:hAnsi="黑体" w:hint="eastAsia"/>
          <w:szCs w:val="32"/>
        </w:rPr>
        <w:t xml:space="preserve">第八条  </w:t>
      </w:r>
      <w:r>
        <w:rPr>
          <w:rFonts w:ascii="仿宋_GB2312" w:eastAsia="仿宋_GB2312" w:hAnsi="华文仿宋" w:hint="eastAsia"/>
          <w:szCs w:val="32"/>
        </w:rPr>
        <w:t>较高级别视力残疾、听力残疾、言语残疾和肢体残疾，且确属家庭经济困难（相关部门出具书面材料）的，参照以下标准和本规定第七条零售点合理布局数量、间距的限制予以适当放宽，但新址在中小学、幼儿园周围的，必须符合中小学、幼儿园周围间距限制：</w:t>
      </w:r>
    </w:p>
    <w:p w:rsidR="000F6FFE" w:rsidRDefault="00CD3A2D">
      <w:pPr>
        <w:spacing w:line="560" w:lineRule="exact"/>
        <w:ind w:firstLineChars="200" w:firstLine="640"/>
        <w:contextualSpacing/>
        <w:rPr>
          <w:rFonts w:ascii="仿宋_GB2312" w:eastAsia="仿宋_GB2312" w:hAnsi="华文仿宋"/>
          <w:szCs w:val="32"/>
        </w:rPr>
      </w:pPr>
      <w:r>
        <w:rPr>
          <w:rFonts w:ascii="仿宋_GB2312" w:eastAsia="仿宋_GB2312" w:hAnsi="仿宋_GB2312" w:cs="仿宋_GB2312" w:hint="eastAsia"/>
          <w:szCs w:val="32"/>
        </w:rPr>
        <w:t>持有合法有效的残疾人证明文件(视力残疾，一级盲、二级盲；听力、言语残疾一、二、三级；肢体残疾，重度一级、中度二级)</w:t>
      </w:r>
      <w:r>
        <w:rPr>
          <w:rFonts w:ascii="仿宋_GB2312" w:eastAsia="仿宋_GB2312" w:hAnsi="华文仿宋" w:hint="eastAsia"/>
          <w:szCs w:val="32"/>
        </w:rPr>
        <w:t>，</w:t>
      </w:r>
      <w:r>
        <w:rPr>
          <w:rFonts w:ascii="仿宋_GB2312" w:eastAsia="仿宋_GB2312" w:hAnsi="仿宋" w:cs="仿宋" w:hint="eastAsia"/>
          <w:szCs w:val="32"/>
        </w:rPr>
        <w:t>本人经营且首次申请的,零售点数量可按</w:t>
      </w:r>
      <w:r>
        <w:rPr>
          <w:rFonts w:ascii="仿宋_GB2312" w:eastAsia="仿宋_GB2312" w:hAnsi="华文仿宋" w:hint="eastAsia"/>
          <w:szCs w:val="32"/>
        </w:rPr>
        <w:t>该区域市场单元建模测算的合理数量增加1户，零售点间距按本规定第七条第四款间距标准的50%执行。</w:t>
      </w:r>
    </w:p>
    <w:p w:rsidR="000F6FFE" w:rsidRDefault="00CD3A2D">
      <w:pPr>
        <w:autoSpaceDE w:val="0"/>
        <w:autoSpaceDN w:val="0"/>
        <w:adjustRightInd w:val="0"/>
        <w:spacing w:line="560" w:lineRule="exact"/>
        <w:ind w:firstLineChars="200" w:firstLine="640"/>
        <w:rPr>
          <w:rFonts w:ascii="仿宋_GB2312" w:eastAsia="仿宋_GB2312" w:hAnsi="仿宋_GB2312" w:cs="仿宋_GB2312"/>
          <w:szCs w:val="32"/>
        </w:rPr>
      </w:pPr>
      <w:r>
        <w:rPr>
          <w:rFonts w:ascii="黑体" w:eastAsia="黑体" w:hAnsi="黑体" w:cs="黑体" w:hint="eastAsia"/>
          <w:szCs w:val="32"/>
        </w:rPr>
        <w:t xml:space="preserve">第九条  </w:t>
      </w:r>
      <w:r>
        <w:rPr>
          <w:rFonts w:ascii="仿宋_GB2312" w:eastAsia="仿宋_GB2312" w:hAnsi="仿宋_GB2312" w:cs="仿宋_GB2312" w:hint="eastAsia"/>
          <w:szCs w:val="32"/>
        </w:rPr>
        <w:t>有下列情形之一的，依法不予放宽办证条件：</w:t>
      </w:r>
    </w:p>
    <w:p w:rsidR="000F6FFE" w:rsidRDefault="00CD3A2D">
      <w:pPr>
        <w:autoSpaceDE w:val="0"/>
        <w:autoSpaceDN w:val="0"/>
        <w:adjustRightInd w:val="0"/>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1.有固定职业及稳定收入来源的；</w:t>
      </w:r>
    </w:p>
    <w:p w:rsidR="000F6FFE" w:rsidRDefault="00CD3A2D">
      <w:pPr>
        <w:autoSpaceDE w:val="0"/>
        <w:autoSpaceDN w:val="0"/>
        <w:adjustRightInd w:val="0"/>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2.享受退休、退职、退养待遇具有稳定生活保障的；</w:t>
      </w:r>
    </w:p>
    <w:p w:rsidR="000F6FFE" w:rsidRDefault="00CD3A2D">
      <w:pPr>
        <w:autoSpaceDE w:val="0"/>
        <w:autoSpaceDN w:val="0"/>
        <w:adjustRightInd w:val="0"/>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3.非本人或直系亲属（仅限配偶、父母、子女或法定监护人）经营的；</w:t>
      </w:r>
    </w:p>
    <w:p w:rsidR="000F6FFE" w:rsidRDefault="00CD3A2D">
      <w:pPr>
        <w:autoSpaceDE w:val="0"/>
        <w:autoSpaceDN w:val="0"/>
        <w:adjustRightInd w:val="0"/>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4.较低级别的视力残疾、听力残疾、言语残疾和肢体残疾且可以从事一般社会工作的；</w:t>
      </w:r>
    </w:p>
    <w:p w:rsidR="000F6FFE" w:rsidRDefault="00CD3A2D">
      <w:pPr>
        <w:autoSpaceDE w:val="0"/>
        <w:autoSpaceDN w:val="0"/>
        <w:adjustRightInd w:val="0"/>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lastRenderedPageBreak/>
        <w:t>5.已在本行政区域或在其他市县内享受过一次放宽办证政策的；</w:t>
      </w:r>
    </w:p>
    <w:p w:rsidR="000F6FFE" w:rsidRDefault="00CD3A2D">
      <w:pPr>
        <w:autoSpaceDE w:val="0"/>
        <w:autoSpaceDN w:val="0"/>
        <w:adjustRightInd w:val="0"/>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6.法律法规及其他规范性文件规定的不予放宽的情形。</w:t>
      </w:r>
    </w:p>
    <w:p w:rsidR="000F6FFE" w:rsidRDefault="00CD3A2D" w:rsidP="006713B1">
      <w:pPr>
        <w:spacing w:beforeLines="50" w:afterLines="50"/>
        <w:jc w:val="center"/>
        <w:rPr>
          <w:rFonts w:ascii="黑体" w:eastAsia="黑体" w:hAnsi="黑体" w:cs="黑体"/>
          <w:szCs w:val="32"/>
        </w:rPr>
      </w:pPr>
      <w:r>
        <w:rPr>
          <w:rFonts w:ascii="黑体" w:eastAsia="黑体" w:hAnsi="黑体" w:cs="黑体" w:hint="eastAsia"/>
          <w:szCs w:val="32"/>
        </w:rPr>
        <w:t>第三章  申办条件</w:t>
      </w:r>
    </w:p>
    <w:p w:rsidR="000F6FFE" w:rsidRDefault="00CD3A2D">
      <w:pPr>
        <w:spacing w:line="360" w:lineRule="auto"/>
        <w:ind w:firstLineChars="200" w:firstLine="640"/>
        <w:rPr>
          <w:rFonts w:ascii="仿宋_GB2312" w:eastAsia="仿宋_GB2312"/>
          <w:szCs w:val="32"/>
        </w:rPr>
      </w:pPr>
      <w:r>
        <w:rPr>
          <w:rFonts w:ascii="黑体" w:eastAsia="黑体" w:hAnsi="黑体" w:cs="黑体" w:hint="eastAsia"/>
          <w:szCs w:val="32"/>
        </w:rPr>
        <w:t>第十条</w:t>
      </w:r>
      <w:r>
        <w:rPr>
          <w:rFonts w:ascii="仿宋_GB2312" w:eastAsia="仿宋_GB2312" w:hint="eastAsia"/>
          <w:szCs w:val="32"/>
        </w:rPr>
        <w:t xml:space="preserve">  申请烟草专卖零售许可证应具备以下条件：</w:t>
      </w:r>
    </w:p>
    <w:p w:rsidR="000F6FFE" w:rsidRDefault="00CD3A2D">
      <w:pPr>
        <w:spacing w:line="360" w:lineRule="auto"/>
        <w:ind w:firstLineChars="200" w:firstLine="640"/>
        <w:rPr>
          <w:rFonts w:ascii="仿宋_GB2312" w:eastAsia="仿宋_GB2312"/>
          <w:szCs w:val="32"/>
        </w:rPr>
      </w:pPr>
      <w:r>
        <w:rPr>
          <w:rFonts w:ascii="仿宋_GB2312" w:eastAsia="仿宋_GB2312" w:hint="eastAsia"/>
          <w:szCs w:val="32"/>
        </w:rPr>
        <w:t xml:space="preserve">（一）具有与经营烟草制品零售业务相适应的资金； </w:t>
      </w:r>
    </w:p>
    <w:p w:rsidR="000F6FFE" w:rsidRDefault="00CD3A2D">
      <w:pPr>
        <w:spacing w:line="360" w:lineRule="auto"/>
        <w:ind w:firstLine="640"/>
        <w:rPr>
          <w:rFonts w:ascii="仿宋_GB2312" w:eastAsia="仿宋_GB2312"/>
          <w:szCs w:val="32"/>
        </w:rPr>
      </w:pPr>
      <w:r>
        <w:rPr>
          <w:rFonts w:ascii="仿宋_GB2312" w:eastAsia="仿宋_GB2312" w:hint="eastAsia"/>
          <w:szCs w:val="32"/>
        </w:rPr>
        <w:t>（二）有与住所相独立的固定经营场所；</w:t>
      </w:r>
    </w:p>
    <w:p w:rsidR="000F6FFE" w:rsidRDefault="00CD3A2D">
      <w:pPr>
        <w:spacing w:line="360" w:lineRule="auto"/>
        <w:ind w:firstLine="640"/>
        <w:rPr>
          <w:rFonts w:ascii="仿宋_GB2312" w:eastAsia="仿宋_GB2312"/>
          <w:szCs w:val="32"/>
        </w:rPr>
      </w:pPr>
      <w:r>
        <w:rPr>
          <w:rFonts w:ascii="仿宋_GB2312" w:eastAsia="仿宋_GB2312" w:hint="eastAsia"/>
          <w:szCs w:val="32"/>
        </w:rPr>
        <w:t>（三）符合本规划的要求；</w:t>
      </w:r>
    </w:p>
    <w:p w:rsidR="000F6FFE" w:rsidRDefault="00CD3A2D">
      <w:pPr>
        <w:spacing w:line="360" w:lineRule="auto"/>
        <w:rPr>
          <w:rFonts w:ascii="仿宋_GB2312" w:eastAsia="仿宋_GB2312"/>
          <w:szCs w:val="32"/>
        </w:rPr>
      </w:pPr>
      <w:r>
        <w:rPr>
          <w:rFonts w:ascii="仿宋_GB2312" w:eastAsia="仿宋_GB2312" w:hint="eastAsia"/>
          <w:szCs w:val="32"/>
        </w:rPr>
        <w:t xml:space="preserve">    （四）国家烟草专卖局规定的其他条件。 </w:t>
      </w:r>
    </w:p>
    <w:p w:rsidR="000F6FFE" w:rsidRDefault="00CD3A2D">
      <w:pPr>
        <w:spacing w:line="360" w:lineRule="auto"/>
        <w:ind w:firstLine="640"/>
        <w:rPr>
          <w:rFonts w:ascii="仿宋_GB2312" w:eastAsia="仿宋_GB2312"/>
          <w:szCs w:val="32"/>
        </w:rPr>
      </w:pPr>
      <w:r>
        <w:rPr>
          <w:rFonts w:ascii="黑体" w:eastAsia="黑体" w:hAnsi="黑体" w:cs="黑体" w:hint="eastAsia"/>
          <w:szCs w:val="32"/>
        </w:rPr>
        <w:t>第十一条</w:t>
      </w:r>
      <w:r>
        <w:rPr>
          <w:rFonts w:ascii="仿宋_GB2312" w:eastAsia="仿宋_GB2312" w:hint="eastAsia"/>
          <w:szCs w:val="32"/>
        </w:rPr>
        <w:t xml:space="preserve">  两个或两个以上申请人的申请因合理布局所限，无法同时都给予行政许可的，应当根据受理的先后顺序作出是否准予行政许可的决定。</w:t>
      </w:r>
    </w:p>
    <w:p w:rsidR="000F6FFE" w:rsidRDefault="00CD3A2D">
      <w:pPr>
        <w:spacing w:line="360" w:lineRule="auto"/>
        <w:ind w:firstLineChars="200" w:firstLine="640"/>
        <w:rPr>
          <w:rFonts w:ascii="仿宋_GB2312" w:eastAsia="仿宋_GB2312"/>
          <w:kern w:val="0"/>
          <w:szCs w:val="32"/>
        </w:rPr>
      </w:pPr>
      <w:r>
        <w:rPr>
          <w:rFonts w:ascii="黑体" w:eastAsia="黑体" w:hAnsi="黑体" w:cs="黑体" w:hint="eastAsia"/>
          <w:szCs w:val="32"/>
        </w:rPr>
        <w:t xml:space="preserve">第十二条  </w:t>
      </w:r>
      <w:r>
        <w:rPr>
          <w:rFonts w:ascii="仿宋_GB2312" w:eastAsia="仿宋_GB2312" w:hint="eastAsia"/>
          <w:szCs w:val="32"/>
        </w:rPr>
        <w:t>有下列情形之一的，不予发放烟草专卖零售许可证：</w:t>
      </w:r>
    </w:p>
    <w:p w:rsidR="000F6FFE" w:rsidRDefault="00CD3A2D">
      <w:pPr>
        <w:spacing w:line="360" w:lineRule="auto"/>
        <w:ind w:firstLineChars="200" w:firstLine="640"/>
        <w:rPr>
          <w:rFonts w:ascii="仿宋_GB2312" w:eastAsia="仿宋_GB2312"/>
          <w:szCs w:val="32"/>
        </w:rPr>
      </w:pPr>
      <w:r>
        <w:rPr>
          <w:rFonts w:ascii="仿宋_GB2312" w:eastAsia="仿宋_GB2312" w:hint="eastAsia"/>
          <w:szCs w:val="32"/>
        </w:rPr>
        <w:t>（一）申请主体资格方面：</w:t>
      </w:r>
    </w:p>
    <w:p w:rsidR="000F6FFE" w:rsidRDefault="00CD3A2D">
      <w:pPr>
        <w:spacing w:line="360" w:lineRule="auto"/>
        <w:ind w:firstLineChars="200" w:firstLine="640"/>
        <w:rPr>
          <w:rFonts w:ascii="仿宋_GB2312" w:eastAsia="仿宋_GB2312"/>
          <w:szCs w:val="32"/>
        </w:rPr>
      </w:pPr>
      <w:r>
        <w:rPr>
          <w:rFonts w:ascii="仿宋_GB2312" w:eastAsia="仿宋_GB2312" w:hint="eastAsia"/>
          <w:szCs w:val="32"/>
        </w:rPr>
        <w:t>1.未领取工商营业执照的；</w:t>
      </w:r>
    </w:p>
    <w:p w:rsidR="000F6FFE" w:rsidRDefault="00CD3A2D">
      <w:pPr>
        <w:spacing w:line="360" w:lineRule="auto"/>
        <w:ind w:firstLineChars="200" w:firstLine="640"/>
        <w:rPr>
          <w:rFonts w:ascii="仿宋_GB2312" w:eastAsia="仿宋_GB2312"/>
          <w:szCs w:val="32"/>
        </w:rPr>
      </w:pPr>
      <w:r>
        <w:rPr>
          <w:rFonts w:ascii="仿宋_GB2312" w:eastAsia="仿宋_GB2312" w:hint="eastAsia"/>
          <w:szCs w:val="32"/>
        </w:rPr>
        <w:t>2.申请人为</w:t>
      </w:r>
      <w:r>
        <w:rPr>
          <w:rFonts w:ascii="仿宋_GB2312" w:eastAsia="仿宋_GB2312"/>
          <w:szCs w:val="32"/>
        </w:rPr>
        <w:t>无民事行为能力人</w:t>
      </w:r>
      <w:r>
        <w:rPr>
          <w:rFonts w:ascii="仿宋_GB2312" w:eastAsia="仿宋_GB2312" w:hint="eastAsia"/>
          <w:szCs w:val="32"/>
        </w:rPr>
        <w:t>、</w:t>
      </w:r>
      <w:r>
        <w:rPr>
          <w:rFonts w:ascii="仿宋_GB2312" w:eastAsia="仿宋_GB2312"/>
          <w:szCs w:val="32"/>
        </w:rPr>
        <w:t>限制民事行为能力人</w:t>
      </w:r>
      <w:r>
        <w:rPr>
          <w:rFonts w:ascii="仿宋_GB2312" w:eastAsia="仿宋_GB2312" w:hint="eastAsia"/>
          <w:szCs w:val="32"/>
        </w:rPr>
        <w:t>的</w:t>
      </w:r>
      <w:r>
        <w:rPr>
          <w:rFonts w:ascii="仿宋_GB2312" w:eastAsia="仿宋_GB2312"/>
          <w:szCs w:val="32"/>
        </w:rPr>
        <w:t>；</w:t>
      </w:r>
    </w:p>
    <w:p w:rsidR="000F6FFE" w:rsidRDefault="00CD3A2D">
      <w:pPr>
        <w:spacing w:line="360" w:lineRule="auto"/>
        <w:ind w:firstLineChars="200" w:firstLine="640"/>
        <w:rPr>
          <w:rFonts w:ascii="仿宋_GB2312" w:eastAsia="仿宋_GB2312"/>
          <w:szCs w:val="32"/>
        </w:rPr>
      </w:pPr>
      <w:r>
        <w:rPr>
          <w:rFonts w:ascii="仿宋_GB2312" w:eastAsia="仿宋_GB2312" w:hint="eastAsia"/>
          <w:szCs w:val="32"/>
        </w:rPr>
        <w:t>3.外商投资的商业企业（零售业态属于“娱乐服务类”的企业或有《烟草专卖许可证管理办法》第六十三条情形的除外）或者个体工商户，及其以特许、吸纳加盟店及其他再投资等形式从事烟草专卖品经营业务的；</w:t>
      </w:r>
    </w:p>
    <w:p w:rsidR="000F6FFE" w:rsidRDefault="00CD3A2D">
      <w:pPr>
        <w:spacing w:line="360" w:lineRule="auto"/>
        <w:ind w:firstLineChars="200" w:firstLine="640"/>
        <w:rPr>
          <w:rFonts w:ascii="仿宋_GB2312" w:eastAsia="仿宋_GB2312"/>
          <w:szCs w:val="32"/>
        </w:rPr>
      </w:pPr>
      <w:r>
        <w:rPr>
          <w:rFonts w:ascii="仿宋_GB2312" w:eastAsia="仿宋_GB2312" w:hint="eastAsia"/>
          <w:szCs w:val="32"/>
        </w:rPr>
        <w:t>4.取消从事烟草专卖业务资格不满三年的；</w:t>
      </w:r>
    </w:p>
    <w:p w:rsidR="000F6FFE" w:rsidRDefault="00CD3A2D">
      <w:pPr>
        <w:spacing w:line="360" w:lineRule="auto"/>
        <w:ind w:firstLineChars="200" w:firstLine="640"/>
        <w:rPr>
          <w:rFonts w:ascii="仿宋_GB2312" w:eastAsia="仿宋_GB2312"/>
          <w:szCs w:val="32"/>
        </w:rPr>
      </w:pPr>
      <w:r>
        <w:rPr>
          <w:rFonts w:ascii="仿宋_GB2312" w:eastAsia="仿宋_GB2312" w:hint="eastAsia"/>
          <w:szCs w:val="32"/>
        </w:rPr>
        <w:lastRenderedPageBreak/>
        <w:t>5.申请人隐瞒有关情况或者提供虚假材料，或因隐瞒有关情况或者提供虚假材料，烟草专卖局作出不予受理或者不予发证决定后，一年内再次提出申请的；</w:t>
      </w:r>
    </w:p>
    <w:p w:rsidR="000F6FFE" w:rsidRDefault="00CD3A2D">
      <w:pPr>
        <w:spacing w:line="360" w:lineRule="auto"/>
        <w:ind w:firstLineChars="200" w:firstLine="640"/>
        <w:rPr>
          <w:rFonts w:ascii="仿宋_GB2312" w:eastAsia="仿宋_GB2312"/>
          <w:szCs w:val="32"/>
        </w:rPr>
      </w:pPr>
      <w:r>
        <w:rPr>
          <w:rFonts w:ascii="仿宋_GB2312" w:eastAsia="仿宋_GB2312" w:hint="eastAsia"/>
          <w:szCs w:val="32"/>
        </w:rPr>
        <w:t>6.因申请人以欺骗、贿赂等不正当手段取得的烟草专卖许可证被撤销后，申请人三年内再次提出申请的；</w:t>
      </w:r>
    </w:p>
    <w:p w:rsidR="000F6FFE" w:rsidRDefault="00CD3A2D">
      <w:pPr>
        <w:spacing w:line="360" w:lineRule="auto"/>
        <w:ind w:firstLineChars="200" w:firstLine="640"/>
        <w:rPr>
          <w:rFonts w:ascii="仿宋_GB2312" w:eastAsia="仿宋_GB2312"/>
          <w:szCs w:val="32"/>
        </w:rPr>
      </w:pPr>
      <w:r>
        <w:rPr>
          <w:rFonts w:ascii="仿宋_GB2312" w:eastAsia="仿宋_GB2312" w:hint="eastAsia"/>
          <w:szCs w:val="32"/>
        </w:rPr>
        <w:t>7.未领取烟草专卖零售许可证经营烟草专卖品业务，并且一年内被执法机关处罚两次以上，在三年内申请领取烟草专卖零售许可证的；</w:t>
      </w:r>
    </w:p>
    <w:p w:rsidR="000F6FFE" w:rsidRDefault="00CD3A2D">
      <w:pPr>
        <w:spacing w:line="360" w:lineRule="auto"/>
        <w:ind w:firstLineChars="200" w:firstLine="640"/>
        <w:rPr>
          <w:rFonts w:ascii="仿宋_GB2312" w:eastAsia="仿宋_GB2312"/>
          <w:szCs w:val="32"/>
        </w:rPr>
      </w:pPr>
      <w:r>
        <w:rPr>
          <w:rFonts w:ascii="仿宋_GB2312" w:eastAsia="仿宋_GB2312" w:hint="eastAsia"/>
          <w:szCs w:val="32"/>
        </w:rPr>
        <w:t>8.未领取烟草专卖零售许可证经营烟草专卖品业务被追究刑事责任，在三年内申请领取烟草专卖零售许可证的；</w:t>
      </w:r>
    </w:p>
    <w:p w:rsidR="000F6FFE" w:rsidRDefault="00CD3A2D">
      <w:pPr>
        <w:spacing w:line="360" w:lineRule="auto"/>
        <w:ind w:firstLineChars="200" w:firstLine="640"/>
        <w:rPr>
          <w:rFonts w:ascii="仿宋_GB2312" w:eastAsia="仿宋_GB2312"/>
          <w:szCs w:val="32"/>
        </w:rPr>
      </w:pPr>
      <w:r>
        <w:rPr>
          <w:rFonts w:ascii="仿宋_GB2312" w:eastAsia="仿宋_GB2312" w:hint="eastAsia"/>
          <w:szCs w:val="32"/>
        </w:rPr>
        <w:t>9.依据《陕西省违法失信“黑名单”信息共享和联合惩戒办法》，被列入各级人民政府、法院等社会公共信用信息平台《违法失信黑名单》的申请主体，不予发放烟草专卖零售许可证，直至其被移出“黑名单”。</w:t>
      </w:r>
    </w:p>
    <w:p w:rsidR="000F6FFE" w:rsidRDefault="00CD3A2D">
      <w:pPr>
        <w:spacing w:line="360" w:lineRule="auto"/>
        <w:ind w:firstLineChars="200" w:firstLine="640"/>
        <w:rPr>
          <w:rFonts w:ascii="仿宋_GB2312" w:eastAsia="仿宋_GB2312"/>
          <w:szCs w:val="32"/>
        </w:rPr>
      </w:pPr>
      <w:r>
        <w:rPr>
          <w:rFonts w:ascii="仿宋_GB2312" w:eastAsia="仿宋_GB2312" w:hint="eastAsia"/>
          <w:szCs w:val="32"/>
        </w:rPr>
        <w:t>（二）经营场所方面</w:t>
      </w:r>
    </w:p>
    <w:p w:rsidR="000F6FFE" w:rsidRDefault="00CD3A2D">
      <w:pPr>
        <w:spacing w:line="360" w:lineRule="auto"/>
        <w:ind w:firstLineChars="200" w:firstLine="640"/>
        <w:rPr>
          <w:rFonts w:ascii="仿宋_GB2312" w:eastAsia="仿宋_GB2312"/>
          <w:szCs w:val="32"/>
        </w:rPr>
      </w:pPr>
      <w:r>
        <w:rPr>
          <w:rFonts w:ascii="仿宋_GB2312" w:eastAsia="仿宋_GB2312" w:hint="eastAsia"/>
          <w:szCs w:val="32"/>
        </w:rPr>
        <w:t>1.无固定经营场所的；</w:t>
      </w:r>
    </w:p>
    <w:p w:rsidR="000F6FFE" w:rsidRDefault="00CD3A2D">
      <w:pPr>
        <w:spacing w:line="360" w:lineRule="auto"/>
        <w:ind w:firstLineChars="200" w:firstLine="640"/>
        <w:rPr>
          <w:rFonts w:ascii="仿宋_GB2312" w:eastAsia="仿宋_GB2312"/>
          <w:szCs w:val="32"/>
        </w:rPr>
      </w:pPr>
      <w:r>
        <w:rPr>
          <w:rFonts w:ascii="仿宋_GB2312" w:eastAsia="仿宋_GB2312" w:hint="eastAsia"/>
          <w:szCs w:val="32"/>
        </w:rPr>
        <w:t>2.经营场所与住所不相独立的；</w:t>
      </w:r>
    </w:p>
    <w:p w:rsidR="000F6FFE" w:rsidRDefault="00CD3A2D">
      <w:pPr>
        <w:spacing w:line="360" w:lineRule="auto"/>
        <w:ind w:firstLineChars="200" w:firstLine="640"/>
        <w:rPr>
          <w:rFonts w:ascii="仿宋_GB2312" w:eastAsia="仿宋_GB2312"/>
          <w:szCs w:val="32"/>
        </w:rPr>
      </w:pPr>
      <w:r>
        <w:rPr>
          <w:rFonts w:ascii="仿宋_GB2312" w:eastAsia="仿宋_GB2312" w:hint="eastAsia"/>
          <w:szCs w:val="32"/>
        </w:rPr>
        <w:t>3.商业办公楼、写字楼、公寓、住宅楼等，除地面一楼平层（含地下一层）对公众全开放的店铺以外的其它经营场所；</w:t>
      </w:r>
    </w:p>
    <w:p w:rsidR="000F6FFE" w:rsidRDefault="00CD3A2D">
      <w:pPr>
        <w:spacing w:line="360" w:lineRule="auto"/>
        <w:ind w:firstLineChars="200" w:firstLine="640"/>
        <w:rPr>
          <w:rFonts w:ascii="仿宋_GB2312" w:eastAsia="仿宋_GB2312"/>
          <w:szCs w:val="32"/>
        </w:rPr>
      </w:pPr>
      <w:r>
        <w:rPr>
          <w:rFonts w:ascii="仿宋_GB2312" w:eastAsia="仿宋_GB2312" w:hint="eastAsia"/>
          <w:szCs w:val="32"/>
        </w:rPr>
        <w:t>4.经营场所基于安全因素不适宜经营烟草制品的，包括但不限于生产、经营、存储有毒有害、放射性、易挥发类物</w:t>
      </w:r>
      <w:r>
        <w:rPr>
          <w:rFonts w:ascii="仿宋_GB2312" w:eastAsia="仿宋_GB2312" w:hint="eastAsia"/>
          <w:szCs w:val="32"/>
        </w:rPr>
        <w:lastRenderedPageBreak/>
        <w:t>质，容易造成烟草制品污染的易燃易爆品、油漆化工、农药化肥、机油制品、汽车美容、装潢装修、皮革塑料、废品回收、公厕等（具备安全保障措施的加油站便利店除外）；</w:t>
      </w:r>
    </w:p>
    <w:p w:rsidR="000F6FFE" w:rsidRDefault="00CD3A2D">
      <w:pPr>
        <w:spacing w:line="360" w:lineRule="auto"/>
        <w:ind w:firstLineChars="200" w:firstLine="640"/>
        <w:rPr>
          <w:rFonts w:ascii="仿宋_GB2312" w:eastAsia="仿宋_GB2312"/>
          <w:szCs w:val="32"/>
        </w:rPr>
      </w:pPr>
      <w:r>
        <w:rPr>
          <w:rFonts w:ascii="仿宋_GB2312" w:eastAsia="仿宋_GB2312" w:hint="eastAsia"/>
          <w:szCs w:val="32"/>
        </w:rPr>
        <w:t>5.主营业务与烟草制品零售业务没有直接互补营销关系的经营场所，包括但不限于母婴用品、学生用品、文化体育、书报杂志、传真打印、医械药店、化妆洗涤、洗浴按摩、足疗美容、美发美甲、五金建材、家具家私、家用电器、电子音像、金银珠宝、服装鞋帽、床上用品、劳保用品、汽车销售、修理修配、物流配送、快递网点、中介劳务、寄卖典当、殡葬祭祀、金融证券、彩票销售、仪器仪表、通信器材、农具农资、餐饮小吃、瓜果蔬菜、粮油调料、生鲜肉品、水产海鲜、棋牌茶楼、健身场馆、工艺美术、广告设计、烧烤店、冷饮店、蛋糕店、鲜花店、渔具店、宠物店、照相馆、旅行社、影剧院、歌舞厅、游戏厅、台球厅、网吧等；</w:t>
      </w:r>
    </w:p>
    <w:p w:rsidR="000F6FFE" w:rsidRDefault="00CD3A2D">
      <w:pPr>
        <w:spacing w:line="360" w:lineRule="auto"/>
        <w:ind w:firstLineChars="200" w:firstLine="640"/>
        <w:rPr>
          <w:rFonts w:ascii="仿宋_GB2312" w:eastAsia="仿宋_GB2312"/>
          <w:szCs w:val="32"/>
        </w:rPr>
      </w:pPr>
      <w:r>
        <w:rPr>
          <w:rFonts w:ascii="仿宋_GB2312" w:eastAsia="仿宋_GB2312" w:hint="eastAsia"/>
          <w:szCs w:val="32"/>
        </w:rPr>
        <w:t>6.同一经营地址已申领烟草专卖零售许可证的。（门牌号不同但空间连续构成同一经营场所的，按一址申请办证。）</w:t>
      </w:r>
    </w:p>
    <w:p w:rsidR="000F6FFE" w:rsidRDefault="00CD3A2D">
      <w:pPr>
        <w:pStyle w:val="HTML"/>
        <w:widowControl/>
        <w:ind w:firstLineChars="200" w:firstLine="640"/>
        <w:rPr>
          <w:rFonts w:ascii="仿宋_GB2312" w:eastAsia="仿宋_GB2312" w:cs="仿宋_GB2312" w:hint="default"/>
          <w:sz w:val="32"/>
          <w:szCs w:val="32"/>
        </w:rPr>
      </w:pPr>
      <w:r>
        <w:rPr>
          <w:rFonts w:ascii="仿宋_GB2312" w:eastAsia="仿宋_GB2312" w:cs="仿宋_GB2312"/>
          <w:sz w:val="32"/>
          <w:szCs w:val="32"/>
        </w:rPr>
        <w:t>（三）经营模式方面</w:t>
      </w:r>
    </w:p>
    <w:p w:rsidR="000F6FFE" w:rsidRDefault="00CD3A2D">
      <w:pPr>
        <w:spacing w:line="360" w:lineRule="auto"/>
        <w:ind w:firstLineChars="200" w:firstLine="640"/>
        <w:rPr>
          <w:rFonts w:ascii="仿宋_GB2312" w:eastAsia="仿宋_GB2312"/>
          <w:szCs w:val="32"/>
        </w:rPr>
      </w:pPr>
      <w:r>
        <w:rPr>
          <w:rFonts w:ascii="仿宋_GB2312" w:eastAsia="仿宋_GB2312" w:hint="eastAsia"/>
          <w:szCs w:val="32"/>
        </w:rPr>
        <w:t>1.利用自动售货机等自助模式销售烟草制品的；</w:t>
      </w:r>
    </w:p>
    <w:p w:rsidR="000F6FFE" w:rsidRDefault="00CD3A2D">
      <w:pPr>
        <w:spacing w:line="360" w:lineRule="auto"/>
        <w:ind w:firstLineChars="200" w:firstLine="640"/>
        <w:rPr>
          <w:rFonts w:ascii="仿宋_GB2312" w:eastAsia="仿宋_GB2312"/>
          <w:szCs w:val="32"/>
        </w:rPr>
      </w:pPr>
      <w:r>
        <w:rPr>
          <w:rFonts w:ascii="仿宋_GB2312" w:eastAsia="仿宋_GB2312" w:hint="eastAsia"/>
          <w:szCs w:val="32"/>
        </w:rPr>
        <w:t>2.通过信息网络销售烟草制品的。</w:t>
      </w:r>
    </w:p>
    <w:p w:rsidR="000F6FFE" w:rsidRDefault="00CD3A2D">
      <w:pPr>
        <w:spacing w:line="360" w:lineRule="auto"/>
        <w:ind w:firstLineChars="200" w:firstLine="640"/>
        <w:rPr>
          <w:rFonts w:ascii="仿宋_GB2312" w:eastAsia="仿宋_GB2312"/>
          <w:szCs w:val="32"/>
        </w:rPr>
      </w:pPr>
      <w:r>
        <w:rPr>
          <w:rFonts w:ascii="仿宋_GB2312" w:eastAsia="仿宋_GB2312" w:hint="eastAsia"/>
          <w:szCs w:val="32"/>
        </w:rPr>
        <w:t>（四）特殊区域</w:t>
      </w:r>
    </w:p>
    <w:p w:rsidR="000F6FFE" w:rsidRDefault="00CD3A2D">
      <w:pPr>
        <w:spacing w:line="360" w:lineRule="auto"/>
        <w:ind w:firstLineChars="200" w:firstLine="640"/>
        <w:rPr>
          <w:rFonts w:ascii="仿宋_GB2312" w:eastAsia="仿宋_GB2312"/>
          <w:szCs w:val="32"/>
        </w:rPr>
      </w:pPr>
      <w:r>
        <w:rPr>
          <w:rFonts w:ascii="仿宋_GB2312" w:eastAsia="仿宋_GB2312" w:hint="eastAsia"/>
          <w:szCs w:val="32"/>
        </w:rPr>
        <w:t>1.</w:t>
      </w:r>
      <w:r>
        <w:rPr>
          <w:rFonts w:ascii="仿宋_GB2312" w:eastAsia="仿宋_GB2312"/>
          <w:szCs w:val="32"/>
        </w:rPr>
        <w:t>中小学校</w:t>
      </w:r>
      <w:r>
        <w:rPr>
          <w:rFonts w:ascii="仿宋_GB2312" w:eastAsia="仿宋_GB2312" w:hint="eastAsia"/>
          <w:szCs w:val="32"/>
        </w:rPr>
        <w:t>、幼儿园周围100</w:t>
      </w:r>
      <w:r>
        <w:rPr>
          <w:rFonts w:ascii="仿宋_GB2312" w:eastAsia="仿宋_GB2312"/>
          <w:szCs w:val="32"/>
        </w:rPr>
        <w:t>米</w:t>
      </w:r>
      <w:r>
        <w:rPr>
          <w:rFonts w:ascii="仿宋_GB2312" w:eastAsia="仿宋_GB2312" w:hint="eastAsia"/>
          <w:szCs w:val="32"/>
        </w:rPr>
        <w:t>以</w:t>
      </w:r>
      <w:r>
        <w:rPr>
          <w:rFonts w:ascii="仿宋_GB2312" w:eastAsia="仿宋_GB2312"/>
          <w:szCs w:val="32"/>
        </w:rPr>
        <w:t>内的</w:t>
      </w:r>
      <w:r>
        <w:rPr>
          <w:rFonts w:ascii="仿宋_GB2312" w:eastAsia="仿宋_GB2312" w:hint="eastAsia"/>
          <w:szCs w:val="32"/>
        </w:rPr>
        <w:t>；</w:t>
      </w:r>
    </w:p>
    <w:p w:rsidR="000F6FFE" w:rsidRDefault="00CD3A2D">
      <w:pPr>
        <w:spacing w:line="360" w:lineRule="auto"/>
        <w:ind w:firstLineChars="200" w:firstLine="640"/>
        <w:rPr>
          <w:rFonts w:ascii="仿宋_GB2312" w:eastAsia="仿宋_GB2312"/>
          <w:szCs w:val="32"/>
        </w:rPr>
      </w:pPr>
      <w:r>
        <w:rPr>
          <w:rFonts w:ascii="仿宋_GB2312" w:eastAsia="仿宋_GB2312" w:hint="eastAsia"/>
          <w:szCs w:val="32"/>
        </w:rPr>
        <w:t>2.县级以上人民政府或行业主管部门明令禁止经营烟</w:t>
      </w:r>
      <w:r>
        <w:rPr>
          <w:rFonts w:ascii="仿宋_GB2312" w:eastAsia="仿宋_GB2312" w:hint="eastAsia"/>
          <w:szCs w:val="32"/>
        </w:rPr>
        <w:lastRenderedPageBreak/>
        <w:t>草制品的区域，包括但不限于党政机关内部、医疗卫生机构内部、青少年活动中心内部等；</w:t>
      </w:r>
    </w:p>
    <w:p w:rsidR="000F6FFE" w:rsidRDefault="00CD3A2D">
      <w:pPr>
        <w:spacing w:line="360" w:lineRule="auto"/>
        <w:ind w:firstLineChars="200" w:firstLine="640"/>
        <w:rPr>
          <w:rFonts w:ascii="仿宋_GB2312" w:eastAsia="仿宋_GB2312"/>
          <w:szCs w:val="32"/>
        </w:rPr>
      </w:pPr>
      <w:r>
        <w:rPr>
          <w:rFonts w:ascii="仿宋_GB2312" w:eastAsia="仿宋_GB2312" w:hint="eastAsia"/>
          <w:szCs w:val="32"/>
        </w:rPr>
        <w:t>3.</w:t>
      </w:r>
      <w:r>
        <w:rPr>
          <w:rFonts w:ascii="仿宋_GB2312" w:eastAsia="仿宋_GB2312"/>
          <w:szCs w:val="32"/>
        </w:rPr>
        <w:t>已被</w:t>
      </w:r>
      <w:r>
        <w:rPr>
          <w:rFonts w:ascii="仿宋_GB2312" w:eastAsia="仿宋_GB2312" w:hint="eastAsia"/>
          <w:szCs w:val="32"/>
        </w:rPr>
        <w:t>县</w:t>
      </w:r>
      <w:r>
        <w:rPr>
          <w:rFonts w:ascii="仿宋_GB2312" w:eastAsia="仿宋_GB2312"/>
          <w:szCs w:val="32"/>
        </w:rPr>
        <w:t>级以上人民政府纳入拆迁规划</w:t>
      </w:r>
      <w:r>
        <w:rPr>
          <w:rFonts w:ascii="仿宋_GB2312" w:eastAsia="仿宋_GB2312" w:hint="eastAsia"/>
          <w:szCs w:val="32"/>
        </w:rPr>
        <w:t>区域（拆迁区域以政府公告或有关职能部门文件为依据）；</w:t>
      </w:r>
    </w:p>
    <w:p w:rsidR="000F6FFE" w:rsidRDefault="00CD3A2D">
      <w:pPr>
        <w:spacing w:line="360" w:lineRule="auto"/>
        <w:ind w:firstLineChars="200" w:firstLine="640"/>
        <w:rPr>
          <w:rFonts w:ascii="仿宋_GB2312" w:eastAsia="仿宋_GB2312"/>
          <w:szCs w:val="32"/>
        </w:rPr>
      </w:pPr>
      <w:r>
        <w:rPr>
          <w:rFonts w:ascii="仿宋_GB2312" w:eastAsia="仿宋_GB2312" w:hint="eastAsia"/>
          <w:szCs w:val="32"/>
        </w:rPr>
        <w:t>4.未经城市规划部门批准建造的建筑场所。</w:t>
      </w:r>
    </w:p>
    <w:p w:rsidR="000F6FFE" w:rsidRDefault="00CD3A2D">
      <w:pPr>
        <w:spacing w:line="360" w:lineRule="auto"/>
        <w:ind w:firstLineChars="200" w:firstLine="640"/>
        <w:rPr>
          <w:rFonts w:ascii="仿宋_GB2312" w:eastAsia="仿宋_GB2312"/>
          <w:szCs w:val="32"/>
        </w:rPr>
      </w:pPr>
      <w:r>
        <w:rPr>
          <w:rFonts w:ascii="仿宋_GB2312" w:eastAsia="仿宋_GB2312" w:hint="eastAsia"/>
          <w:szCs w:val="32"/>
        </w:rPr>
        <w:t>（五）法律、法规和规章规定的其他不予发证的情形。</w:t>
      </w:r>
    </w:p>
    <w:p w:rsidR="000F6FFE" w:rsidRDefault="00CD3A2D">
      <w:pPr>
        <w:spacing w:line="360" w:lineRule="auto"/>
        <w:ind w:firstLineChars="200" w:firstLine="640"/>
        <w:rPr>
          <w:rFonts w:ascii="仿宋_GB2312" w:eastAsia="仿宋_GB2312"/>
          <w:szCs w:val="32"/>
        </w:rPr>
      </w:pPr>
      <w:r>
        <w:rPr>
          <w:rFonts w:ascii="黑体" w:eastAsia="黑体" w:hAnsi="黑体" w:cs="黑体" w:hint="eastAsia"/>
          <w:szCs w:val="32"/>
        </w:rPr>
        <w:t>第十三条</w:t>
      </w:r>
      <w:r>
        <w:rPr>
          <w:rFonts w:ascii="仿宋_GB2312" w:eastAsia="仿宋_GB2312" w:hint="eastAsia"/>
          <w:szCs w:val="32"/>
        </w:rPr>
        <w:t xml:space="preserve">  有下列情形之一的，设置零售点不受本规划第二章布局标准限制:</w:t>
      </w:r>
    </w:p>
    <w:p w:rsidR="000F6FFE" w:rsidRDefault="00CD3A2D">
      <w:pPr>
        <w:spacing w:line="360" w:lineRule="auto"/>
        <w:ind w:firstLineChars="200" w:firstLine="640"/>
        <w:rPr>
          <w:rFonts w:ascii="仿宋_GB2312" w:eastAsia="仿宋_GB2312"/>
          <w:szCs w:val="32"/>
        </w:rPr>
      </w:pPr>
      <w:r>
        <w:rPr>
          <w:rFonts w:ascii="仿宋_GB2312" w:eastAsia="仿宋_GB2312" w:hint="eastAsia"/>
          <w:szCs w:val="32"/>
        </w:rPr>
        <w:t>（一）因道路规划、城市建设等客观原因导致原持证经 营场所拆迁，需更换新址继续经营的;</w:t>
      </w:r>
    </w:p>
    <w:p w:rsidR="000F6FFE" w:rsidRDefault="00CD3A2D">
      <w:pPr>
        <w:spacing w:line="600" w:lineRule="exact"/>
        <w:ind w:firstLineChars="200" w:firstLine="640"/>
        <w:rPr>
          <w:rFonts w:ascii="仿宋_GB2312" w:eastAsia="仿宋_GB2312" w:hAnsi="宋体"/>
          <w:szCs w:val="32"/>
        </w:rPr>
      </w:pPr>
      <w:r>
        <w:rPr>
          <w:rFonts w:ascii="仿宋_GB2312" w:eastAsia="仿宋_GB2312" w:hint="eastAsia"/>
          <w:szCs w:val="32"/>
        </w:rPr>
        <w:t>（二）</w:t>
      </w:r>
      <w:r>
        <w:rPr>
          <w:rFonts w:ascii="仿宋_GB2312" w:eastAsia="仿宋_GB2312" w:hAnsi="宋体" w:hint="eastAsia"/>
          <w:szCs w:val="32"/>
        </w:rPr>
        <w:t>经营主体为自然人，自然人死亡或丧失民事行为能力，区烟草专卖局作出注销决定后3个月以内，其父母、配偶、子女在原经营场所重新申领许可证的；</w:t>
      </w:r>
    </w:p>
    <w:p w:rsidR="000F6FFE" w:rsidRDefault="00CD3A2D">
      <w:pPr>
        <w:spacing w:line="360" w:lineRule="auto"/>
        <w:ind w:firstLineChars="200" w:firstLine="640"/>
        <w:rPr>
          <w:rFonts w:ascii="仿宋_GB2312" w:eastAsia="仿宋_GB2312"/>
          <w:szCs w:val="32"/>
        </w:rPr>
      </w:pPr>
      <w:r>
        <w:rPr>
          <w:rFonts w:ascii="仿宋_GB2312" w:eastAsia="仿宋_GB2312" w:hint="eastAsia"/>
          <w:szCs w:val="32"/>
        </w:rPr>
        <w:t xml:space="preserve">（三）因法院判决法人或其他组织分立、合并，或个体工商户转型为企业等，在原经营场所重新申领许可证的；  </w:t>
      </w:r>
    </w:p>
    <w:p w:rsidR="000F6FFE" w:rsidRDefault="00CD3A2D">
      <w:pPr>
        <w:spacing w:line="360" w:lineRule="auto"/>
        <w:ind w:firstLineChars="200" w:firstLine="640"/>
        <w:rPr>
          <w:rFonts w:ascii="仿宋_GB2312" w:eastAsia="仿宋_GB2312"/>
          <w:szCs w:val="32"/>
        </w:rPr>
      </w:pPr>
      <w:r>
        <w:rPr>
          <w:rFonts w:ascii="仿宋_GB2312" w:eastAsia="仿宋_GB2312" w:hint="eastAsia"/>
          <w:szCs w:val="32"/>
        </w:rPr>
        <w:t>（四）</w:t>
      </w:r>
      <w:r>
        <w:rPr>
          <w:rFonts w:ascii="仿宋_GB2312" w:eastAsia="仿宋_GB2312"/>
          <w:szCs w:val="32"/>
        </w:rPr>
        <w:t>中小学校</w:t>
      </w:r>
      <w:r>
        <w:rPr>
          <w:rFonts w:ascii="仿宋_GB2312" w:eastAsia="仿宋_GB2312" w:hint="eastAsia"/>
          <w:szCs w:val="32"/>
        </w:rPr>
        <w:t>、幼儿园周围100</w:t>
      </w:r>
      <w:r>
        <w:rPr>
          <w:rFonts w:ascii="仿宋_GB2312" w:eastAsia="仿宋_GB2312"/>
          <w:szCs w:val="32"/>
        </w:rPr>
        <w:t>米</w:t>
      </w:r>
      <w:r>
        <w:rPr>
          <w:rFonts w:ascii="仿宋_GB2312" w:eastAsia="仿宋_GB2312" w:hint="eastAsia"/>
          <w:szCs w:val="32"/>
        </w:rPr>
        <w:t>以</w:t>
      </w:r>
      <w:r>
        <w:rPr>
          <w:rFonts w:ascii="仿宋_GB2312" w:eastAsia="仿宋_GB2312"/>
          <w:szCs w:val="32"/>
        </w:rPr>
        <w:t>内的</w:t>
      </w:r>
      <w:r>
        <w:rPr>
          <w:rFonts w:ascii="仿宋_GB2312" w:eastAsia="仿宋_GB2312" w:hint="eastAsia"/>
          <w:szCs w:val="32"/>
        </w:rPr>
        <w:t>原持证零售户，在烟草专卖零售许可证有效期内或区烟草专卖局规定的期限内，主动歇业后申请到我辖区内其他地址经营的；</w:t>
      </w:r>
    </w:p>
    <w:p w:rsidR="000F6FFE" w:rsidRDefault="00CD3A2D">
      <w:pPr>
        <w:spacing w:line="360" w:lineRule="auto"/>
        <w:ind w:firstLineChars="200" w:firstLine="640"/>
        <w:rPr>
          <w:rFonts w:ascii="仿宋_GB2312" w:eastAsia="仿宋_GB2312"/>
          <w:szCs w:val="32"/>
        </w:rPr>
      </w:pPr>
      <w:r>
        <w:rPr>
          <w:rFonts w:ascii="仿宋_GB2312" w:eastAsia="仿宋_GB2312" w:hint="eastAsia"/>
          <w:szCs w:val="32"/>
        </w:rPr>
        <w:t>（五）法律、法规、规章等规定的其他情形。</w:t>
      </w:r>
    </w:p>
    <w:p w:rsidR="000F6FFE" w:rsidRDefault="00CD3A2D" w:rsidP="006713B1">
      <w:pPr>
        <w:spacing w:beforeLines="50" w:afterLines="50"/>
        <w:jc w:val="center"/>
        <w:rPr>
          <w:rFonts w:ascii="黑体" w:eastAsia="黑体" w:hAnsi="黑体" w:cs="黑体"/>
          <w:szCs w:val="32"/>
        </w:rPr>
      </w:pPr>
      <w:r>
        <w:rPr>
          <w:rFonts w:ascii="黑体" w:eastAsia="黑体" w:hAnsi="黑体" w:cs="黑体" w:hint="eastAsia"/>
          <w:szCs w:val="32"/>
        </w:rPr>
        <w:t>第四章  附  则</w:t>
      </w:r>
    </w:p>
    <w:p w:rsidR="000F6FFE" w:rsidRDefault="00CD3A2D">
      <w:pPr>
        <w:spacing w:line="360" w:lineRule="auto"/>
        <w:rPr>
          <w:rFonts w:ascii="仿宋_GB2312" w:eastAsia="仿宋_GB2312"/>
          <w:szCs w:val="32"/>
        </w:rPr>
      </w:pPr>
      <w:r>
        <w:rPr>
          <w:rFonts w:ascii="黑体" w:eastAsia="黑体" w:hAnsi="黑体" w:cs="黑体" w:hint="eastAsia"/>
          <w:szCs w:val="32"/>
        </w:rPr>
        <w:t xml:space="preserve">    第十四条</w:t>
      </w:r>
      <w:r>
        <w:rPr>
          <w:rFonts w:ascii="仿宋_GB2312" w:eastAsia="仿宋_GB2312" w:hint="eastAsia"/>
          <w:szCs w:val="32"/>
        </w:rPr>
        <w:t xml:space="preserve">  本规划所称的“合理布局”，是指在我区行政区划范围内，按照“合理配置、公平公正、先后有序、有</w:t>
      </w:r>
      <w:r>
        <w:rPr>
          <w:rFonts w:ascii="仿宋_GB2312" w:eastAsia="仿宋_GB2312" w:hint="eastAsia"/>
          <w:szCs w:val="32"/>
        </w:rPr>
        <w:lastRenderedPageBreak/>
        <w:t>利消费、便于管理”的要求，根据辖区人口分布特点以及交通、经济、消费水平等情况，对烟草制品零售点进行的规划布局。</w:t>
      </w:r>
    </w:p>
    <w:p w:rsidR="000F6FFE" w:rsidRDefault="00CD3A2D">
      <w:pPr>
        <w:spacing w:line="360" w:lineRule="auto"/>
        <w:ind w:firstLine="645"/>
        <w:rPr>
          <w:rFonts w:ascii="仿宋_GB2312" w:eastAsia="仿宋_GB2312"/>
          <w:szCs w:val="32"/>
        </w:rPr>
      </w:pPr>
      <w:r>
        <w:rPr>
          <w:rFonts w:ascii="黑体" w:eastAsia="黑体" w:hAnsi="黑体" w:cs="黑体" w:hint="eastAsia"/>
          <w:szCs w:val="32"/>
        </w:rPr>
        <w:t>第十五条</w:t>
      </w:r>
      <w:r>
        <w:rPr>
          <w:rFonts w:ascii="仿宋_GB2312" w:eastAsia="仿宋_GB2312" w:hint="eastAsia"/>
          <w:szCs w:val="32"/>
        </w:rPr>
        <w:t xml:space="preserve">  本规划所称的“零售点间距”，是指申请者拟从事烟草制品零售业务的经营场所与最近的烟草制品零售点之间的距离（测量标准见附件</w:t>
      </w:r>
      <w:r w:rsidR="000C4710">
        <w:rPr>
          <w:rFonts w:ascii="仿宋_GB2312" w:eastAsia="仿宋_GB2312" w:hint="eastAsia"/>
          <w:szCs w:val="32"/>
        </w:rPr>
        <w:t>4</w:t>
      </w:r>
      <w:r>
        <w:rPr>
          <w:rFonts w:ascii="仿宋_GB2312" w:eastAsia="仿宋_GB2312" w:hint="eastAsia"/>
          <w:szCs w:val="32"/>
        </w:rPr>
        <w:t>）。经营场所有两个以上出入口的，各出入口应当同时达到零售点间距标准。</w:t>
      </w:r>
    </w:p>
    <w:p w:rsidR="000F6FFE" w:rsidRDefault="00CD3A2D">
      <w:pPr>
        <w:spacing w:line="360" w:lineRule="auto"/>
        <w:ind w:firstLine="645"/>
        <w:rPr>
          <w:rFonts w:ascii="仿宋_GB2312" w:eastAsia="仿宋_GB2312"/>
          <w:szCs w:val="32"/>
        </w:rPr>
      </w:pPr>
      <w:r>
        <w:rPr>
          <w:rFonts w:ascii="黑体" w:eastAsia="黑体" w:hAnsi="黑体" w:cs="黑体" w:hint="eastAsia"/>
          <w:szCs w:val="32"/>
        </w:rPr>
        <w:t xml:space="preserve">第十六条  </w:t>
      </w:r>
      <w:r>
        <w:rPr>
          <w:rFonts w:ascii="仿宋_GB2312" w:eastAsia="仿宋_GB2312" w:hint="eastAsia"/>
          <w:szCs w:val="32"/>
        </w:rPr>
        <w:t>本规划中“中小学校”是指以未成年人为教育对象，实施中等和初等教育的学校，包括普通小学、普通中学和其他以未成年人为教育对象的实施中等和初等教育的各类学校，如职业中学、中等专业学校等。“幼儿园”是指经</w:t>
      </w:r>
      <w:r w:rsidR="00F668BC">
        <w:rPr>
          <w:rFonts w:ascii="仿宋_GB2312" w:eastAsia="仿宋_GB2312" w:hint="eastAsia"/>
          <w:szCs w:val="32"/>
        </w:rPr>
        <w:t>政府</w:t>
      </w:r>
      <w:r>
        <w:rPr>
          <w:rFonts w:ascii="仿宋_GB2312" w:eastAsia="仿宋_GB2312" w:hint="eastAsia"/>
          <w:szCs w:val="32"/>
        </w:rPr>
        <w:t>教育行政管理部门核准登记注册的幼儿园。</w:t>
      </w:r>
    </w:p>
    <w:p w:rsidR="000F6FFE" w:rsidRDefault="00CD3A2D">
      <w:pPr>
        <w:spacing w:line="360" w:lineRule="auto"/>
        <w:ind w:firstLineChars="200" w:firstLine="640"/>
        <w:rPr>
          <w:rFonts w:ascii="仿宋_GB2312" w:eastAsia="仿宋_GB2312"/>
          <w:szCs w:val="32"/>
        </w:rPr>
      </w:pPr>
      <w:r>
        <w:rPr>
          <w:rFonts w:ascii="仿宋_GB2312" w:eastAsia="仿宋_GB2312" w:hint="eastAsia"/>
          <w:szCs w:val="32"/>
        </w:rPr>
        <w:t>“</w:t>
      </w:r>
      <w:r>
        <w:rPr>
          <w:rFonts w:ascii="仿宋_GB2312" w:eastAsia="仿宋_GB2312"/>
          <w:szCs w:val="32"/>
        </w:rPr>
        <w:t>中小学校</w:t>
      </w:r>
      <w:r>
        <w:rPr>
          <w:rFonts w:ascii="仿宋_GB2312" w:eastAsia="仿宋_GB2312" w:hint="eastAsia"/>
          <w:szCs w:val="32"/>
        </w:rPr>
        <w:t>、幼儿园周围</w:t>
      </w:r>
      <w:r>
        <w:rPr>
          <w:rFonts w:ascii="仿宋_GB2312" w:eastAsia="仿宋_GB2312"/>
          <w:szCs w:val="32"/>
        </w:rPr>
        <w:t>100米</w:t>
      </w:r>
      <w:r>
        <w:rPr>
          <w:rFonts w:ascii="仿宋_GB2312" w:eastAsia="仿宋_GB2312" w:hint="eastAsia"/>
          <w:szCs w:val="32"/>
        </w:rPr>
        <w:t>以</w:t>
      </w:r>
      <w:r>
        <w:rPr>
          <w:rFonts w:ascii="仿宋_GB2312" w:eastAsia="仿宋_GB2312"/>
          <w:szCs w:val="32"/>
        </w:rPr>
        <w:t>内</w:t>
      </w:r>
      <w:r>
        <w:rPr>
          <w:rFonts w:ascii="仿宋_GB2312" w:eastAsia="仿宋_GB2312" w:hint="eastAsia"/>
          <w:szCs w:val="32"/>
        </w:rPr>
        <w:t>”，是指</w:t>
      </w:r>
      <w:r>
        <w:rPr>
          <w:rFonts w:ascii="仿宋_GB2312" w:eastAsia="仿宋_GB2312" w:hAnsi="仿宋" w:cs="宋体" w:hint="eastAsia"/>
          <w:szCs w:val="32"/>
          <w:lang w:bidi="ug-CN"/>
        </w:rPr>
        <w:t>以中小学校、幼儿园日常可通行的出入口（大门、侧门等）中间点为圆心，100米为半径的距</w:t>
      </w:r>
      <w:r>
        <w:rPr>
          <w:rFonts w:ascii="仿宋_GB2312" w:eastAsia="仿宋_GB2312" w:hint="eastAsia"/>
          <w:szCs w:val="32"/>
        </w:rPr>
        <w:t>离。测量基准点为中小学校、幼儿园日常可通行的出入口（大门、侧门等）中间点与测量目标出入口的最近点。</w:t>
      </w:r>
    </w:p>
    <w:p w:rsidR="000F6FFE" w:rsidRDefault="00CD3A2D">
      <w:pPr>
        <w:spacing w:line="360" w:lineRule="auto"/>
        <w:ind w:firstLine="630"/>
        <w:rPr>
          <w:rFonts w:ascii="仿宋_GB2312" w:eastAsia="仿宋_GB2312"/>
          <w:szCs w:val="32"/>
        </w:rPr>
      </w:pPr>
      <w:r>
        <w:rPr>
          <w:rFonts w:ascii="黑体" w:eastAsia="黑体" w:hAnsi="黑体" w:cs="黑体" w:hint="eastAsia"/>
          <w:szCs w:val="32"/>
        </w:rPr>
        <w:t>第十七条</w:t>
      </w:r>
      <w:r>
        <w:rPr>
          <w:rFonts w:ascii="仿宋_GB2312" w:eastAsia="仿宋_GB2312" w:hint="eastAsia"/>
          <w:szCs w:val="32"/>
        </w:rPr>
        <w:t xml:space="preserve">  本规划中“无固定经营场所”，是指违章建筑、待拆迁建筑、活动板房、易拆除的临时搭建物、流动摊点等，能提供城市规划部门或镇级以上政府部门批准文件的除外。</w:t>
      </w:r>
    </w:p>
    <w:p w:rsidR="000F6FFE" w:rsidRDefault="00CD3A2D">
      <w:pPr>
        <w:spacing w:line="360" w:lineRule="auto"/>
        <w:ind w:firstLineChars="200" w:firstLine="640"/>
        <w:rPr>
          <w:rFonts w:ascii="仿宋_GB2312" w:eastAsia="仿宋_GB2312"/>
          <w:szCs w:val="32"/>
        </w:rPr>
      </w:pPr>
      <w:r>
        <w:rPr>
          <w:rFonts w:ascii="黑体" w:eastAsia="黑体" w:hAnsi="黑体" w:cs="黑体" w:hint="eastAsia"/>
          <w:szCs w:val="32"/>
        </w:rPr>
        <w:t xml:space="preserve">第十八条  </w:t>
      </w:r>
      <w:r>
        <w:rPr>
          <w:rFonts w:ascii="仿宋_GB2312" w:eastAsia="仿宋_GB2312" w:hint="eastAsia"/>
          <w:szCs w:val="32"/>
        </w:rPr>
        <w:t>本规划中“经营场所与住所相独立”，是指</w:t>
      </w:r>
      <w:r>
        <w:rPr>
          <w:rFonts w:ascii="仿宋_GB2312" w:eastAsia="仿宋_GB2312" w:hint="eastAsia"/>
          <w:szCs w:val="32"/>
        </w:rPr>
        <w:lastRenderedPageBreak/>
        <w:t>经营场所自成一体，有独立的出入口，且不与住所相连通。</w:t>
      </w:r>
    </w:p>
    <w:p w:rsidR="000F6FFE" w:rsidRDefault="00CD3A2D">
      <w:pPr>
        <w:spacing w:line="360" w:lineRule="auto"/>
        <w:ind w:firstLineChars="200" w:firstLine="640"/>
        <w:rPr>
          <w:rFonts w:ascii="仿宋_GB2312" w:eastAsia="仿宋_GB2312"/>
          <w:szCs w:val="32"/>
        </w:rPr>
      </w:pPr>
      <w:r>
        <w:rPr>
          <w:rFonts w:ascii="黑体" w:eastAsia="黑体" w:hAnsi="黑体" w:cs="黑体" w:hint="eastAsia"/>
          <w:szCs w:val="32"/>
        </w:rPr>
        <w:t xml:space="preserve">第十九条  </w:t>
      </w:r>
      <w:r>
        <w:rPr>
          <w:rFonts w:ascii="仿宋_GB2312" w:eastAsia="仿宋_GB2312" w:hint="eastAsia"/>
          <w:szCs w:val="32"/>
        </w:rPr>
        <w:t>本规划中的“</w:t>
      </w:r>
      <w:r w:rsidR="009D04F2">
        <w:rPr>
          <w:rFonts w:ascii="仿宋_GB2312" w:eastAsia="仿宋_GB2312" w:hint="eastAsia"/>
          <w:szCs w:val="32"/>
        </w:rPr>
        <w:t>社</w:t>
      </w:r>
      <w:r>
        <w:rPr>
          <w:rFonts w:ascii="仿宋_GB2312" w:eastAsia="仿宋_GB2312" w:hint="eastAsia"/>
          <w:szCs w:val="32"/>
        </w:rPr>
        <w:t>区”“行政村”的</w:t>
      </w:r>
      <w:r w:rsidR="009D04F2">
        <w:rPr>
          <w:rFonts w:ascii="仿宋_GB2312" w:eastAsia="仿宋_GB2312" w:hint="eastAsia"/>
          <w:szCs w:val="32"/>
        </w:rPr>
        <w:t>常住</w:t>
      </w:r>
      <w:r>
        <w:rPr>
          <w:rFonts w:ascii="仿宋_GB2312" w:eastAsia="仿宋_GB2312" w:hint="eastAsia"/>
          <w:szCs w:val="32"/>
        </w:rPr>
        <w:t>人口数量，以区</w:t>
      </w:r>
      <w:r w:rsidR="00F570C5">
        <w:rPr>
          <w:rFonts w:ascii="仿宋_GB2312" w:eastAsia="仿宋_GB2312" w:hint="eastAsia"/>
          <w:szCs w:val="32"/>
        </w:rPr>
        <w:t>政府</w:t>
      </w:r>
      <w:r>
        <w:rPr>
          <w:rFonts w:ascii="仿宋_GB2312" w:eastAsia="仿宋_GB2312" w:hint="eastAsia"/>
          <w:szCs w:val="32"/>
        </w:rPr>
        <w:t>统计部门的数据认定或以</w:t>
      </w:r>
      <w:r w:rsidR="00F570C5">
        <w:rPr>
          <w:rFonts w:ascii="仿宋_GB2312" w:eastAsia="仿宋_GB2312" w:hint="eastAsia"/>
          <w:szCs w:val="32"/>
        </w:rPr>
        <w:t>区</w:t>
      </w:r>
      <w:r>
        <w:rPr>
          <w:rFonts w:ascii="仿宋_GB2312" w:eastAsia="仿宋_GB2312" w:hint="eastAsia"/>
          <w:szCs w:val="32"/>
        </w:rPr>
        <w:t>烟草专卖局实地调查的数据认定；本规划中的“住宅小区”户数，以小区实际常住户数认定。</w:t>
      </w:r>
    </w:p>
    <w:p w:rsidR="000F6FFE" w:rsidRDefault="00CD3A2D">
      <w:pPr>
        <w:spacing w:line="360" w:lineRule="auto"/>
        <w:ind w:firstLine="630"/>
        <w:rPr>
          <w:rFonts w:ascii="仿宋_GB2312" w:eastAsia="仿宋_GB2312"/>
          <w:szCs w:val="32"/>
        </w:rPr>
      </w:pPr>
      <w:r>
        <w:rPr>
          <w:rFonts w:ascii="黑体" w:eastAsia="黑体" w:hAnsi="黑体" w:cs="黑体" w:hint="eastAsia"/>
          <w:szCs w:val="32"/>
        </w:rPr>
        <w:t xml:space="preserve">第二十条  </w:t>
      </w:r>
      <w:r>
        <w:rPr>
          <w:rFonts w:ascii="仿宋_GB2312" w:eastAsia="仿宋_GB2312" w:hint="eastAsia"/>
          <w:szCs w:val="32"/>
        </w:rPr>
        <w:t>本规划中描述数字“以上”“不低于”“不超过”“内”均包含本数。</w:t>
      </w:r>
    </w:p>
    <w:p w:rsidR="000F6FFE" w:rsidRDefault="00CD3A2D">
      <w:pPr>
        <w:spacing w:line="360" w:lineRule="auto"/>
        <w:ind w:firstLineChars="200" w:firstLine="640"/>
        <w:rPr>
          <w:rFonts w:ascii="仿宋_GB2312" w:eastAsia="仿宋_GB2312"/>
          <w:szCs w:val="32"/>
        </w:rPr>
      </w:pPr>
      <w:r>
        <w:rPr>
          <w:rFonts w:ascii="黑体" w:eastAsia="黑体" w:hAnsi="黑体" w:cs="黑体" w:hint="eastAsia"/>
          <w:szCs w:val="32"/>
        </w:rPr>
        <w:t xml:space="preserve">第二十一条  </w:t>
      </w:r>
      <w:r>
        <w:rPr>
          <w:rFonts w:ascii="仿宋_GB2312" w:eastAsia="仿宋_GB2312" w:hint="eastAsia"/>
          <w:szCs w:val="32"/>
        </w:rPr>
        <w:t>本规划实施过程中，法律、法规、规章和上级规范性文件对烟草制品零售点合理布局另有规定的，从其规定。</w:t>
      </w:r>
    </w:p>
    <w:p w:rsidR="000F6FFE" w:rsidRDefault="00CD3A2D">
      <w:pPr>
        <w:spacing w:line="360" w:lineRule="auto"/>
        <w:ind w:firstLineChars="200" w:firstLine="640"/>
        <w:rPr>
          <w:rFonts w:ascii="仿宋_GB2312" w:eastAsia="仿宋_GB2312"/>
          <w:szCs w:val="32"/>
        </w:rPr>
      </w:pPr>
      <w:r>
        <w:rPr>
          <w:rFonts w:ascii="黑体" w:eastAsia="黑体" w:hAnsi="黑体" w:cs="黑体" w:hint="eastAsia"/>
          <w:szCs w:val="32"/>
        </w:rPr>
        <w:t xml:space="preserve">第二十二条  </w:t>
      </w:r>
      <w:r>
        <w:rPr>
          <w:rFonts w:ascii="仿宋_GB2312" w:eastAsia="仿宋_GB2312" w:hint="eastAsia"/>
          <w:szCs w:val="32"/>
        </w:rPr>
        <w:t>本规划由宝鸡市凤翔区烟草专卖局负责解释。</w:t>
      </w:r>
    </w:p>
    <w:p w:rsidR="000F6FFE" w:rsidRDefault="00CD3A2D">
      <w:pPr>
        <w:spacing w:line="360" w:lineRule="auto"/>
        <w:ind w:firstLine="640"/>
        <w:rPr>
          <w:rFonts w:ascii="仿宋_GB2312" w:eastAsia="仿宋_GB2312"/>
          <w:szCs w:val="32"/>
        </w:rPr>
      </w:pPr>
      <w:r>
        <w:rPr>
          <w:rFonts w:ascii="黑体" w:eastAsia="黑体" w:hAnsi="黑体" w:cs="黑体" w:hint="eastAsia"/>
          <w:szCs w:val="32"/>
        </w:rPr>
        <w:t xml:space="preserve">第二十三条  </w:t>
      </w:r>
      <w:r>
        <w:rPr>
          <w:rFonts w:ascii="仿宋_GB2312" w:eastAsia="仿宋_GB2312" w:hint="eastAsia"/>
          <w:szCs w:val="32"/>
        </w:rPr>
        <w:t>本规划有效期限为五年，自公布之日起施</w:t>
      </w:r>
    </w:p>
    <w:p w:rsidR="000F6FFE" w:rsidRDefault="00CD3A2D">
      <w:pPr>
        <w:spacing w:line="360" w:lineRule="auto"/>
        <w:rPr>
          <w:rFonts w:ascii="仿宋_GB2312" w:eastAsia="仿宋_GB2312"/>
          <w:szCs w:val="32"/>
        </w:rPr>
      </w:pPr>
      <w:r>
        <w:rPr>
          <w:rFonts w:ascii="仿宋_GB2312" w:eastAsia="仿宋_GB2312" w:hint="eastAsia"/>
          <w:szCs w:val="32"/>
        </w:rPr>
        <w:t>行。2022年12月5日发布的关于印发《宝鸡市凤翔区烟草制品零售点合理布局规定》的通知（宝凤规〔2022〕002-烟草专卖局 001）同时废止。</w:t>
      </w:r>
    </w:p>
    <w:p w:rsidR="000F6FFE" w:rsidRDefault="000F6FFE">
      <w:pPr>
        <w:spacing w:line="360" w:lineRule="auto"/>
        <w:rPr>
          <w:rFonts w:ascii="仿宋_GB2312" w:eastAsia="仿宋_GB2312"/>
          <w:szCs w:val="32"/>
        </w:rPr>
      </w:pPr>
    </w:p>
    <w:p w:rsidR="000F6FFE" w:rsidRDefault="00CD3A2D">
      <w:pPr>
        <w:spacing w:line="360" w:lineRule="auto"/>
        <w:ind w:firstLineChars="200" w:firstLine="640"/>
        <w:rPr>
          <w:rFonts w:ascii="仿宋_GB2312" w:eastAsia="仿宋_GB2312"/>
          <w:szCs w:val="32"/>
        </w:rPr>
      </w:pPr>
      <w:r>
        <w:rPr>
          <w:rFonts w:ascii="仿宋_GB2312" w:eastAsia="仿宋_GB2312" w:hint="eastAsia"/>
          <w:szCs w:val="32"/>
        </w:rPr>
        <w:t>附件：</w:t>
      </w:r>
    </w:p>
    <w:p w:rsidR="000F6FFE" w:rsidRDefault="00CD3A2D">
      <w:pPr>
        <w:spacing w:line="360" w:lineRule="auto"/>
        <w:ind w:firstLineChars="200" w:firstLine="640"/>
        <w:rPr>
          <w:rFonts w:ascii="仿宋_GB2312" w:eastAsia="仿宋_GB2312"/>
          <w:szCs w:val="32"/>
        </w:rPr>
      </w:pPr>
      <w:r>
        <w:rPr>
          <w:rFonts w:ascii="宋体" w:hAnsi="宋体" w:cs="宋体" w:hint="eastAsia"/>
          <w:szCs w:val="32"/>
        </w:rPr>
        <w:t>1.</w:t>
      </w:r>
      <w:r>
        <w:rPr>
          <w:rFonts w:ascii="仿宋_GB2312" w:eastAsia="仿宋_GB2312" w:hint="eastAsia"/>
          <w:szCs w:val="32"/>
        </w:rPr>
        <w:t>烟草制品零售点最小市场单元合理布局规划明细表（主城区）</w:t>
      </w:r>
    </w:p>
    <w:p w:rsidR="000F6FFE" w:rsidRDefault="00CD3A2D">
      <w:pPr>
        <w:spacing w:line="360" w:lineRule="auto"/>
        <w:ind w:firstLineChars="200" w:firstLine="640"/>
        <w:rPr>
          <w:rFonts w:ascii="仿宋_GB2312" w:eastAsia="仿宋_GB2312"/>
          <w:szCs w:val="32"/>
        </w:rPr>
      </w:pPr>
      <w:r>
        <w:rPr>
          <w:rFonts w:ascii="仿宋_GB2312" w:eastAsia="仿宋_GB2312" w:hint="eastAsia"/>
          <w:szCs w:val="32"/>
        </w:rPr>
        <w:t>2.烟草制品零售点最小市场单元合理布局规划明细表（镇中心区）</w:t>
      </w:r>
    </w:p>
    <w:p w:rsidR="000F6FFE" w:rsidRDefault="00CD3A2D">
      <w:pPr>
        <w:spacing w:line="360" w:lineRule="auto"/>
        <w:ind w:firstLineChars="200" w:firstLine="640"/>
        <w:rPr>
          <w:rFonts w:ascii="仿宋_GB2312" w:eastAsia="仿宋_GB2312"/>
          <w:szCs w:val="32"/>
        </w:rPr>
      </w:pPr>
      <w:r>
        <w:rPr>
          <w:rFonts w:ascii="仿宋_GB2312" w:eastAsia="仿宋_GB2312" w:hint="eastAsia"/>
          <w:szCs w:val="32"/>
        </w:rPr>
        <w:lastRenderedPageBreak/>
        <w:t>3.烟草制品零售点最小市场单元合理布局规划明细表（行政村）</w:t>
      </w:r>
    </w:p>
    <w:p w:rsidR="000C56DB" w:rsidRPr="00471512" w:rsidRDefault="00CD3A2D" w:rsidP="00471512">
      <w:pPr>
        <w:spacing w:line="360" w:lineRule="auto"/>
        <w:ind w:firstLineChars="200" w:firstLine="640"/>
        <w:rPr>
          <w:rFonts w:ascii="仿宋_GB2312" w:eastAsia="仿宋_GB2312"/>
          <w:szCs w:val="32"/>
        </w:rPr>
      </w:pPr>
      <w:r>
        <w:rPr>
          <w:rFonts w:ascii="仿宋_GB2312" w:eastAsia="仿宋_GB2312" w:hint="eastAsia"/>
          <w:szCs w:val="32"/>
        </w:rPr>
        <w:t>4.宝鸡市凤翔区烟草制品零售点经营场所勘验测量标准</w:t>
      </w:r>
    </w:p>
    <w:p w:rsidR="000F6FFE" w:rsidRDefault="00CD3A2D">
      <w:pPr>
        <w:jc w:val="left"/>
        <w:rPr>
          <w:rFonts w:ascii="黑体" w:eastAsia="黑体" w:hAnsi="黑体" w:cs="黑体"/>
          <w:szCs w:val="32"/>
        </w:rPr>
      </w:pPr>
      <w:r>
        <w:rPr>
          <w:rFonts w:ascii="黑体" w:eastAsia="黑体" w:hAnsi="黑体" w:cs="黑体" w:hint="eastAsia"/>
          <w:szCs w:val="32"/>
        </w:rPr>
        <w:t>附件1</w:t>
      </w:r>
    </w:p>
    <w:tbl>
      <w:tblPr>
        <w:tblW w:w="8237" w:type="dxa"/>
        <w:tblInd w:w="93" w:type="dxa"/>
        <w:tblLook w:val="04A0"/>
      </w:tblPr>
      <w:tblGrid>
        <w:gridCol w:w="582"/>
        <w:gridCol w:w="1134"/>
        <w:gridCol w:w="993"/>
        <w:gridCol w:w="1134"/>
        <w:gridCol w:w="850"/>
        <w:gridCol w:w="851"/>
        <w:gridCol w:w="850"/>
        <w:gridCol w:w="1134"/>
        <w:gridCol w:w="709"/>
      </w:tblGrid>
      <w:tr w:rsidR="000C56DB" w:rsidRPr="000C56DB" w:rsidTr="000C56DB">
        <w:trPr>
          <w:trHeight w:val="840"/>
        </w:trPr>
        <w:tc>
          <w:tcPr>
            <w:tcW w:w="8237" w:type="dxa"/>
            <w:gridSpan w:val="9"/>
            <w:tcBorders>
              <w:top w:val="nil"/>
              <w:left w:val="nil"/>
              <w:bottom w:val="nil"/>
              <w:right w:val="nil"/>
            </w:tcBorders>
            <w:shd w:val="clear" w:color="auto" w:fill="auto"/>
            <w:noWrap/>
            <w:vAlign w:val="center"/>
            <w:hideMark/>
          </w:tcPr>
          <w:p w:rsidR="000C56DB" w:rsidRPr="000C56DB" w:rsidRDefault="000C56DB" w:rsidP="000C56DB">
            <w:pPr>
              <w:widowControl/>
              <w:jc w:val="left"/>
              <w:textAlignment w:val="center"/>
              <w:rPr>
                <w:rFonts w:ascii="宋体" w:hAnsi="宋体" w:cs="宋体"/>
                <w:b/>
                <w:bCs/>
                <w:color w:val="000000"/>
                <w:kern w:val="0"/>
                <w:sz w:val="28"/>
                <w:szCs w:val="32"/>
              </w:rPr>
            </w:pPr>
            <w:r>
              <w:rPr>
                <w:rFonts w:ascii="宋体" w:hAnsi="宋体" w:cs="宋体" w:hint="eastAsia"/>
                <w:b/>
                <w:bCs/>
                <w:color w:val="000000"/>
                <w:kern w:val="0"/>
                <w:sz w:val="28"/>
                <w:szCs w:val="32"/>
              </w:rPr>
              <w:t xml:space="preserve">  </w:t>
            </w:r>
            <w:r w:rsidRPr="000C56DB">
              <w:rPr>
                <w:rFonts w:ascii="宋体" w:hAnsi="宋体" w:cs="宋体" w:hint="eastAsia"/>
                <w:b/>
                <w:bCs/>
                <w:color w:val="000000"/>
                <w:kern w:val="0"/>
                <w:sz w:val="28"/>
                <w:szCs w:val="32"/>
              </w:rPr>
              <w:t>烟草制品零售点最小市场单元合理布局规划明细表（主城区）</w:t>
            </w:r>
          </w:p>
        </w:tc>
      </w:tr>
      <w:tr w:rsidR="000C56DB" w:rsidRPr="000C56DB" w:rsidTr="000C56DB">
        <w:trPr>
          <w:trHeight w:val="102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序号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网格类型</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单元格名称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标准</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拟布局数量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现存数量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增减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区域划分</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备注</w:t>
            </w:r>
          </w:p>
        </w:tc>
      </w:tr>
      <w:tr w:rsidR="000C56DB" w:rsidRPr="000C56DB" w:rsidTr="000C56DB">
        <w:trPr>
          <w:trHeight w:val="6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主城区</w:t>
            </w:r>
          </w:p>
        </w:tc>
        <w:tc>
          <w:tcPr>
            <w:tcW w:w="993"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东关社区</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以网格常住人口每200人设置1个零售点，且两个零售点的间隔距离不低于50米</w:t>
            </w:r>
          </w:p>
        </w:tc>
        <w:tc>
          <w:tcPr>
            <w:tcW w:w="850" w:type="dxa"/>
            <w:tcBorders>
              <w:top w:val="nil"/>
              <w:left w:val="nil"/>
              <w:bottom w:val="single" w:sz="4" w:space="0" w:color="auto"/>
              <w:right w:val="single" w:sz="4" w:space="0" w:color="auto"/>
            </w:tcBorders>
            <w:shd w:val="clear" w:color="000000" w:fill="FFFFFF"/>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54</w:t>
            </w:r>
          </w:p>
        </w:tc>
        <w:tc>
          <w:tcPr>
            <w:tcW w:w="851"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47</w:t>
            </w:r>
          </w:p>
        </w:tc>
        <w:tc>
          <w:tcPr>
            <w:tcW w:w="850"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7</w:t>
            </w:r>
          </w:p>
        </w:tc>
        <w:tc>
          <w:tcPr>
            <w:tcW w:w="1134"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发展区</w:t>
            </w:r>
          </w:p>
        </w:tc>
        <w:tc>
          <w:tcPr>
            <w:tcW w:w="709"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p>
        </w:tc>
      </w:tr>
      <w:tr w:rsidR="000C56DB" w:rsidRPr="000C56DB" w:rsidTr="000C56DB">
        <w:trPr>
          <w:trHeight w:val="6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2</w:t>
            </w:r>
          </w:p>
        </w:tc>
        <w:tc>
          <w:tcPr>
            <w:tcW w:w="1134"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主城区</w:t>
            </w:r>
          </w:p>
        </w:tc>
        <w:tc>
          <w:tcPr>
            <w:tcW w:w="993"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东湖社区</w:t>
            </w:r>
          </w:p>
        </w:tc>
        <w:tc>
          <w:tcPr>
            <w:tcW w:w="1134" w:type="dxa"/>
            <w:vMerge/>
            <w:tcBorders>
              <w:top w:val="nil"/>
              <w:left w:val="single" w:sz="4" w:space="0" w:color="auto"/>
              <w:bottom w:val="single" w:sz="4" w:space="0" w:color="auto"/>
              <w:right w:val="single" w:sz="4" w:space="0" w:color="auto"/>
            </w:tcBorders>
            <w:vAlign w:val="center"/>
            <w:hideMark/>
          </w:tcPr>
          <w:p w:rsidR="000C56DB" w:rsidRPr="000C56DB" w:rsidRDefault="000C56DB" w:rsidP="000C56DB">
            <w:pPr>
              <w:widowControl/>
              <w:jc w:val="left"/>
              <w:rPr>
                <w:rFonts w:ascii="仿宋" w:eastAsia="仿宋" w:hAnsi="仿宋" w:cs="宋体"/>
                <w:color w:val="000000"/>
                <w:kern w:val="0"/>
                <w:sz w:val="22"/>
                <w:szCs w:val="22"/>
              </w:rPr>
            </w:pPr>
          </w:p>
        </w:tc>
        <w:tc>
          <w:tcPr>
            <w:tcW w:w="850" w:type="dxa"/>
            <w:tcBorders>
              <w:top w:val="nil"/>
              <w:left w:val="nil"/>
              <w:bottom w:val="single" w:sz="4" w:space="0" w:color="auto"/>
              <w:right w:val="single" w:sz="4" w:space="0" w:color="auto"/>
            </w:tcBorders>
            <w:shd w:val="clear" w:color="000000" w:fill="FFFFFF"/>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32</w:t>
            </w:r>
          </w:p>
        </w:tc>
        <w:tc>
          <w:tcPr>
            <w:tcW w:w="851"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29</w:t>
            </w:r>
          </w:p>
        </w:tc>
        <w:tc>
          <w:tcPr>
            <w:tcW w:w="850"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3</w:t>
            </w:r>
          </w:p>
        </w:tc>
        <w:tc>
          <w:tcPr>
            <w:tcW w:w="1134"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发展区</w:t>
            </w:r>
          </w:p>
        </w:tc>
        <w:tc>
          <w:tcPr>
            <w:tcW w:w="709"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p>
        </w:tc>
      </w:tr>
      <w:tr w:rsidR="000C56DB" w:rsidRPr="000C56DB" w:rsidTr="000C56DB">
        <w:trPr>
          <w:trHeight w:val="6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3</w:t>
            </w:r>
          </w:p>
        </w:tc>
        <w:tc>
          <w:tcPr>
            <w:tcW w:w="1134"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主城区</w:t>
            </w:r>
          </w:p>
        </w:tc>
        <w:tc>
          <w:tcPr>
            <w:tcW w:w="993"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东大街社区</w:t>
            </w:r>
          </w:p>
        </w:tc>
        <w:tc>
          <w:tcPr>
            <w:tcW w:w="1134" w:type="dxa"/>
            <w:vMerge/>
            <w:tcBorders>
              <w:top w:val="nil"/>
              <w:left w:val="single" w:sz="4" w:space="0" w:color="auto"/>
              <w:bottom w:val="single" w:sz="4" w:space="0" w:color="auto"/>
              <w:right w:val="single" w:sz="4" w:space="0" w:color="auto"/>
            </w:tcBorders>
            <w:vAlign w:val="center"/>
            <w:hideMark/>
          </w:tcPr>
          <w:p w:rsidR="000C56DB" w:rsidRPr="000C56DB" w:rsidRDefault="000C56DB" w:rsidP="000C56DB">
            <w:pPr>
              <w:widowControl/>
              <w:jc w:val="left"/>
              <w:rPr>
                <w:rFonts w:ascii="仿宋" w:eastAsia="仿宋" w:hAnsi="仿宋" w:cs="宋体"/>
                <w:color w:val="000000"/>
                <w:kern w:val="0"/>
                <w:sz w:val="22"/>
                <w:szCs w:val="22"/>
              </w:rPr>
            </w:pPr>
          </w:p>
        </w:tc>
        <w:tc>
          <w:tcPr>
            <w:tcW w:w="850" w:type="dxa"/>
            <w:tcBorders>
              <w:top w:val="nil"/>
              <w:left w:val="nil"/>
              <w:bottom w:val="single" w:sz="4" w:space="0" w:color="auto"/>
              <w:right w:val="single" w:sz="4" w:space="0" w:color="auto"/>
            </w:tcBorders>
            <w:shd w:val="clear" w:color="000000" w:fill="FFFFFF"/>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27</w:t>
            </w:r>
          </w:p>
        </w:tc>
        <w:tc>
          <w:tcPr>
            <w:tcW w:w="851"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21</w:t>
            </w:r>
          </w:p>
        </w:tc>
        <w:tc>
          <w:tcPr>
            <w:tcW w:w="850"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6</w:t>
            </w:r>
          </w:p>
        </w:tc>
        <w:tc>
          <w:tcPr>
            <w:tcW w:w="1134"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发展区</w:t>
            </w:r>
          </w:p>
        </w:tc>
        <w:tc>
          <w:tcPr>
            <w:tcW w:w="709"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p>
        </w:tc>
      </w:tr>
      <w:tr w:rsidR="000C56DB" w:rsidRPr="000C56DB" w:rsidTr="000C56DB">
        <w:trPr>
          <w:trHeight w:val="6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4</w:t>
            </w:r>
          </w:p>
        </w:tc>
        <w:tc>
          <w:tcPr>
            <w:tcW w:w="1134"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主城区</w:t>
            </w:r>
          </w:p>
        </w:tc>
        <w:tc>
          <w:tcPr>
            <w:tcW w:w="993"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南环路社区</w:t>
            </w:r>
          </w:p>
        </w:tc>
        <w:tc>
          <w:tcPr>
            <w:tcW w:w="1134" w:type="dxa"/>
            <w:vMerge/>
            <w:tcBorders>
              <w:top w:val="nil"/>
              <w:left w:val="single" w:sz="4" w:space="0" w:color="auto"/>
              <w:bottom w:val="single" w:sz="4" w:space="0" w:color="auto"/>
              <w:right w:val="single" w:sz="4" w:space="0" w:color="auto"/>
            </w:tcBorders>
            <w:vAlign w:val="center"/>
            <w:hideMark/>
          </w:tcPr>
          <w:p w:rsidR="000C56DB" w:rsidRPr="000C56DB" w:rsidRDefault="000C56DB" w:rsidP="000C56DB">
            <w:pPr>
              <w:widowControl/>
              <w:jc w:val="left"/>
              <w:rPr>
                <w:rFonts w:ascii="仿宋" w:eastAsia="仿宋" w:hAnsi="仿宋" w:cs="宋体"/>
                <w:color w:val="000000"/>
                <w:kern w:val="0"/>
                <w:sz w:val="22"/>
                <w:szCs w:val="22"/>
              </w:rPr>
            </w:pPr>
          </w:p>
        </w:tc>
        <w:tc>
          <w:tcPr>
            <w:tcW w:w="850" w:type="dxa"/>
            <w:tcBorders>
              <w:top w:val="nil"/>
              <w:left w:val="nil"/>
              <w:bottom w:val="single" w:sz="4" w:space="0" w:color="auto"/>
              <w:right w:val="single" w:sz="4" w:space="0" w:color="auto"/>
            </w:tcBorders>
            <w:shd w:val="clear" w:color="000000" w:fill="FFFFFF"/>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70</w:t>
            </w:r>
          </w:p>
        </w:tc>
        <w:tc>
          <w:tcPr>
            <w:tcW w:w="851"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66</w:t>
            </w:r>
          </w:p>
        </w:tc>
        <w:tc>
          <w:tcPr>
            <w:tcW w:w="850"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4</w:t>
            </w:r>
          </w:p>
        </w:tc>
        <w:tc>
          <w:tcPr>
            <w:tcW w:w="1134"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发展区</w:t>
            </w:r>
          </w:p>
        </w:tc>
        <w:tc>
          <w:tcPr>
            <w:tcW w:w="709"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p>
        </w:tc>
      </w:tr>
      <w:tr w:rsidR="000C56DB" w:rsidRPr="000C56DB" w:rsidTr="000C56DB">
        <w:trPr>
          <w:trHeight w:val="6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5</w:t>
            </w:r>
          </w:p>
        </w:tc>
        <w:tc>
          <w:tcPr>
            <w:tcW w:w="1134"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主城区</w:t>
            </w:r>
          </w:p>
        </w:tc>
        <w:tc>
          <w:tcPr>
            <w:tcW w:w="993"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凤鸣路社区</w:t>
            </w:r>
          </w:p>
        </w:tc>
        <w:tc>
          <w:tcPr>
            <w:tcW w:w="1134" w:type="dxa"/>
            <w:vMerge/>
            <w:tcBorders>
              <w:top w:val="nil"/>
              <w:left w:val="single" w:sz="4" w:space="0" w:color="auto"/>
              <w:bottom w:val="single" w:sz="4" w:space="0" w:color="auto"/>
              <w:right w:val="single" w:sz="4" w:space="0" w:color="auto"/>
            </w:tcBorders>
            <w:vAlign w:val="center"/>
            <w:hideMark/>
          </w:tcPr>
          <w:p w:rsidR="000C56DB" w:rsidRPr="000C56DB" w:rsidRDefault="000C56DB" w:rsidP="000C56DB">
            <w:pPr>
              <w:widowControl/>
              <w:jc w:val="left"/>
              <w:rPr>
                <w:rFonts w:ascii="仿宋" w:eastAsia="仿宋" w:hAnsi="仿宋" w:cs="宋体"/>
                <w:color w:val="000000"/>
                <w:kern w:val="0"/>
                <w:sz w:val="22"/>
                <w:szCs w:val="22"/>
              </w:rPr>
            </w:pPr>
          </w:p>
        </w:tc>
        <w:tc>
          <w:tcPr>
            <w:tcW w:w="850" w:type="dxa"/>
            <w:tcBorders>
              <w:top w:val="nil"/>
              <w:left w:val="nil"/>
              <w:bottom w:val="single" w:sz="4" w:space="0" w:color="auto"/>
              <w:right w:val="single" w:sz="4" w:space="0" w:color="auto"/>
            </w:tcBorders>
            <w:shd w:val="clear" w:color="000000" w:fill="FFFFFF"/>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70</w:t>
            </w:r>
          </w:p>
        </w:tc>
        <w:tc>
          <w:tcPr>
            <w:tcW w:w="851"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64</w:t>
            </w:r>
          </w:p>
        </w:tc>
        <w:tc>
          <w:tcPr>
            <w:tcW w:w="850"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6</w:t>
            </w:r>
          </w:p>
        </w:tc>
        <w:tc>
          <w:tcPr>
            <w:tcW w:w="1134"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发展区</w:t>
            </w:r>
          </w:p>
        </w:tc>
        <w:tc>
          <w:tcPr>
            <w:tcW w:w="709"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p>
        </w:tc>
      </w:tr>
      <w:tr w:rsidR="000C56DB" w:rsidRPr="000C56DB" w:rsidTr="000C56DB">
        <w:trPr>
          <w:trHeight w:val="6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6</w:t>
            </w:r>
          </w:p>
        </w:tc>
        <w:tc>
          <w:tcPr>
            <w:tcW w:w="1134"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主城区</w:t>
            </w:r>
          </w:p>
        </w:tc>
        <w:tc>
          <w:tcPr>
            <w:tcW w:w="993"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关中社区</w:t>
            </w:r>
          </w:p>
        </w:tc>
        <w:tc>
          <w:tcPr>
            <w:tcW w:w="1134" w:type="dxa"/>
            <w:vMerge/>
            <w:tcBorders>
              <w:top w:val="nil"/>
              <w:left w:val="single" w:sz="4" w:space="0" w:color="auto"/>
              <w:bottom w:val="single" w:sz="4" w:space="0" w:color="auto"/>
              <w:right w:val="single" w:sz="4" w:space="0" w:color="auto"/>
            </w:tcBorders>
            <w:vAlign w:val="center"/>
            <w:hideMark/>
          </w:tcPr>
          <w:p w:rsidR="000C56DB" w:rsidRPr="000C56DB" w:rsidRDefault="000C56DB" w:rsidP="000C56DB">
            <w:pPr>
              <w:widowControl/>
              <w:jc w:val="left"/>
              <w:rPr>
                <w:rFonts w:ascii="仿宋" w:eastAsia="仿宋" w:hAnsi="仿宋" w:cs="宋体"/>
                <w:color w:val="000000"/>
                <w:kern w:val="0"/>
                <w:sz w:val="22"/>
                <w:szCs w:val="22"/>
              </w:rPr>
            </w:pPr>
          </w:p>
        </w:tc>
        <w:tc>
          <w:tcPr>
            <w:tcW w:w="850" w:type="dxa"/>
            <w:tcBorders>
              <w:top w:val="nil"/>
              <w:left w:val="nil"/>
              <w:bottom w:val="single" w:sz="4" w:space="0" w:color="auto"/>
              <w:right w:val="single" w:sz="4" w:space="0" w:color="auto"/>
            </w:tcBorders>
            <w:shd w:val="clear" w:color="000000" w:fill="FFFFFF"/>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81</w:t>
            </w:r>
          </w:p>
        </w:tc>
        <w:tc>
          <w:tcPr>
            <w:tcW w:w="851"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73</w:t>
            </w:r>
          </w:p>
        </w:tc>
        <w:tc>
          <w:tcPr>
            <w:tcW w:w="850"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8</w:t>
            </w:r>
          </w:p>
        </w:tc>
        <w:tc>
          <w:tcPr>
            <w:tcW w:w="1134"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发展区</w:t>
            </w:r>
          </w:p>
        </w:tc>
        <w:tc>
          <w:tcPr>
            <w:tcW w:w="709"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p>
        </w:tc>
      </w:tr>
      <w:tr w:rsidR="000C56DB" w:rsidRPr="000C56DB" w:rsidTr="000C56DB">
        <w:trPr>
          <w:trHeight w:val="6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7</w:t>
            </w:r>
          </w:p>
        </w:tc>
        <w:tc>
          <w:tcPr>
            <w:tcW w:w="1134"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主城区</w:t>
            </w:r>
          </w:p>
        </w:tc>
        <w:tc>
          <w:tcPr>
            <w:tcW w:w="993"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南大街社区</w:t>
            </w:r>
          </w:p>
        </w:tc>
        <w:tc>
          <w:tcPr>
            <w:tcW w:w="1134" w:type="dxa"/>
            <w:vMerge/>
            <w:tcBorders>
              <w:top w:val="nil"/>
              <w:left w:val="single" w:sz="4" w:space="0" w:color="auto"/>
              <w:bottom w:val="single" w:sz="4" w:space="0" w:color="auto"/>
              <w:right w:val="single" w:sz="4" w:space="0" w:color="auto"/>
            </w:tcBorders>
            <w:vAlign w:val="center"/>
            <w:hideMark/>
          </w:tcPr>
          <w:p w:rsidR="000C56DB" w:rsidRPr="000C56DB" w:rsidRDefault="000C56DB" w:rsidP="000C56DB">
            <w:pPr>
              <w:widowControl/>
              <w:jc w:val="left"/>
              <w:rPr>
                <w:rFonts w:ascii="仿宋" w:eastAsia="仿宋" w:hAnsi="仿宋" w:cs="宋体"/>
                <w:color w:val="000000"/>
                <w:kern w:val="0"/>
                <w:sz w:val="22"/>
                <w:szCs w:val="22"/>
              </w:rPr>
            </w:pPr>
          </w:p>
        </w:tc>
        <w:tc>
          <w:tcPr>
            <w:tcW w:w="850" w:type="dxa"/>
            <w:tcBorders>
              <w:top w:val="nil"/>
              <w:left w:val="nil"/>
              <w:bottom w:val="single" w:sz="4" w:space="0" w:color="auto"/>
              <w:right w:val="single" w:sz="4" w:space="0" w:color="auto"/>
            </w:tcBorders>
            <w:shd w:val="clear" w:color="000000" w:fill="FFFFFF"/>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52</w:t>
            </w:r>
          </w:p>
        </w:tc>
        <w:tc>
          <w:tcPr>
            <w:tcW w:w="851"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43</w:t>
            </w:r>
          </w:p>
        </w:tc>
        <w:tc>
          <w:tcPr>
            <w:tcW w:w="850"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9</w:t>
            </w:r>
          </w:p>
        </w:tc>
        <w:tc>
          <w:tcPr>
            <w:tcW w:w="1134"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发展区</w:t>
            </w:r>
          </w:p>
        </w:tc>
        <w:tc>
          <w:tcPr>
            <w:tcW w:w="709"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p>
        </w:tc>
      </w:tr>
      <w:tr w:rsidR="000C56DB" w:rsidRPr="000C56DB" w:rsidTr="000C56DB">
        <w:trPr>
          <w:trHeight w:val="6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8</w:t>
            </w:r>
          </w:p>
        </w:tc>
        <w:tc>
          <w:tcPr>
            <w:tcW w:w="1134"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主城区</w:t>
            </w:r>
          </w:p>
        </w:tc>
        <w:tc>
          <w:tcPr>
            <w:tcW w:w="993"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西城社区</w:t>
            </w:r>
          </w:p>
        </w:tc>
        <w:tc>
          <w:tcPr>
            <w:tcW w:w="1134" w:type="dxa"/>
            <w:vMerge/>
            <w:tcBorders>
              <w:top w:val="nil"/>
              <w:left w:val="single" w:sz="4" w:space="0" w:color="auto"/>
              <w:bottom w:val="single" w:sz="4" w:space="0" w:color="auto"/>
              <w:right w:val="single" w:sz="4" w:space="0" w:color="auto"/>
            </w:tcBorders>
            <w:vAlign w:val="center"/>
            <w:hideMark/>
          </w:tcPr>
          <w:p w:rsidR="000C56DB" w:rsidRPr="000C56DB" w:rsidRDefault="000C56DB" w:rsidP="000C56DB">
            <w:pPr>
              <w:widowControl/>
              <w:jc w:val="left"/>
              <w:rPr>
                <w:rFonts w:ascii="仿宋" w:eastAsia="仿宋" w:hAnsi="仿宋" w:cs="宋体"/>
                <w:color w:val="000000"/>
                <w:kern w:val="0"/>
                <w:sz w:val="22"/>
                <w:szCs w:val="22"/>
              </w:rPr>
            </w:pPr>
          </w:p>
        </w:tc>
        <w:tc>
          <w:tcPr>
            <w:tcW w:w="850" w:type="dxa"/>
            <w:tcBorders>
              <w:top w:val="nil"/>
              <w:left w:val="nil"/>
              <w:bottom w:val="single" w:sz="4" w:space="0" w:color="auto"/>
              <w:right w:val="single" w:sz="4" w:space="0" w:color="auto"/>
            </w:tcBorders>
            <w:shd w:val="clear" w:color="000000" w:fill="FFFFFF"/>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32</w:t>
            </w:r>
          </w:p>
        </w:tc>
        <w:tc>
          <w:tcPr>
            <w:tcW w:w="851"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22</w:t>
            </w:r>
          </w:p>
        </w:tc>
        <w:tc>
          <w:tcPr>
            <w:tcW w:w="850"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10</w:t>
            </w:r>
          </w:p>
        </w:tc>
        <w:tc>
          <w:tcPr>
            <w:tcW w:w="1134"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发展区</w:t>
            </w:r>
          </w:p>
        </w:tc>
        <w:tc>
          <w:tcPr>
            <w:tcW w:w="709"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p>
        </w:tc>
      </w:tr>
      <w:tr w:rsidR="000C56DB" w:rsidRPr="000C56DB" w:rsidTr="000C56DB">
        <w:trPr>
          <w:trHeight w:val="6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9</w:t>
            </w:r>
          </w:p>
        </w:tc>
        <w:tc>
          <w:tcPr>
            <w:tcW w:w="1134"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主城区</w:t>
            </w:r>
          </w:p>
        </w:tc>
        <w:tc>
          <w:tcPr>
            <w:tcW w:w="993"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东大街村</w:t>
            </w:r>
          </w:p>
        </w:tc>
        <w:tc>
          <w:tcPr>
            <w:tcW w:w="1134" w:type="dxa"/>
            <w:vMerge/>
            <w:tcBorders>
              <w:top w:val="nil"/>
              <w:left w:val="single" w:sz="4" w:space="0" w:color="auto"/>
              <w:bottom w:val="single" w:sz="4" w:space="0" w:color="auto"/>
              <w:right w:val="single" w:sz="4" w:space="0" w:color="auto"/>
            </w:tcBorders>
            <w:vAlign w:val="center"/>
            <w:hideMark/>
          </w:tcPr>
          <w:p w:rsidR="000C56DB" w:rsidRPr="000C56DB" w:rsidRDefault="000C56DB" w:rsidP="000C56DB">
            <w:pPr>
              <w:widowControl/>
              <w:jc w:val="left"/>
              <w:rPr>
                <w:rFonts w:ascii="仿宋" w:eastAsia="仿宋" w:hAnsi="仿宋" w:cs="宋体"/>
                <w:color w:val="000000"/>
                <w:kern w:val="0"/>
                <w:sz w:val="22"/>
                <w:szCs w:val="22"/>
              </w:rPr>
            </w:pPr>
          </w:p>
        </w:tc>
        <w:tc>
          <w:tcPr>
            <w:tcW w:w="850" w:type="dxa"/>
            <w:tcBorders>
              <w:top w:val="nil"/>
              <w:left w:val="nil"/>
              <w:bottom w:val="single" w:sz="4" w:space="0" w:color="auto"/>
              <w:right w:val="single" w:sz="4" w:space="0" w:color="auto"/>
            </w:tcBorders>
            <w:shd w:val="clear" w:color="000000" w:fill="FFFFFF"/>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17</w:t>
            </w:r>
          </w:p>
        </w:tc>
        <w:tc>
          <w:tcPr>
            <w:tcW w:w="851" w:type="dxa"/>
            <w:tcBorders>
              <w:top w:val="nil"/>
              <w:left w:val="nil"/>
              <w:bottom w:val="single" w:sz="4" w:space="0" w:color="auto"/>
              <w:right w:val="single" w:sz="4" w:space="0" w:color="auto"/>
            </w:tcBorders>
            <w:shd w:val="clear" w:color="auto" w:fill="auto"/>
            <w:noWrap/>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15</w:t>
            </w:r>
          </w:p>
        </w:tc>
        <w:tc>
          <w:tcPr>
            <w:tcW w:w="850"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2</w:t>
            </w:r>
          </w:p>
        </w:tc>
        <w:tc>
          <w:tcPr>
            <w:tcW w:w="1134"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发展区</w:t>
            </w:r>
          </w:p>
        </w:tc>
        <w:tc>
          <w:tcPr>
            <w:tcW w:w="709" w:type="dxa"/>
            <w:tcBorders>
              <w:top w:val="nil"/>
              <w:left w:val="nil"/>
              <w:bottom w:val="single" w:sz="4" w:space="0" w:color="auto"/>
              <w:right w:val="single" w:sz="4" w:space="0" w:color="auto"/>
            </w:tcBorders>
            <w:shd w:val="clear" w:color="auto" w:fill="auto"/>
            <w:noWrap/>
            <w:vAlign w:val="center"/>
            <w:hideMark/>
          </w:tcPr>
          <w:p w:rsidR="000C56DB" w:rsidRPr="000C56DB" w:rsidRDefault="000C56DB" w:rsidP="000C56DB">
            <w:pPr>
              <w:widowControl/>
              <w:jc w:val="center"/>
              <w:rPr>
                <w:rFonts w:ascii="仿宋" w:eastAsia="仿宋" w:hAnsi="仿宋" w:cs="宋体"/>
                <w:color w:val="000000"/>
                <w:kern w:val="0"/>
                <w:sz w:val="22"/>
                <w:szCs w:val="22"/>
              </w:rPr>
            </w:pPr>
          </w:p>
        </w:tc>
      </w:tr>
      <w:tr w:rsidR="000C56DB" w:rsidRPr="000C56DB" w:rsidTr="000C56DB">
        <w:trPr>
          <w:trHeight w:val="6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10</w:t>
            </w:r>
          </w:p>
        </w:tc>
        <w:tc>
          <w:tcPr>
            <w:tcW w:w="1134"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主城区</w:t>
            </w:r>
          </w:p>
        </w:tc>
        <w:tc>
          <w:tcPr>
            <w:tcW w:w="993"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西大街村</w:t>
            </w:r>
          </w:p>
        </w:tc>
        <w:tc>
          <w:tcPr>
            <w:tcW w:w="1134" w:type="dxa"/>
            <w:vMerge/>
            <w:tcBorders>
              <w:top w:val="nil"/>
              <w:left w:val="single" w:sz="4" w:space="0" w:color="auto"/>
              <w:bottom w:val="single" w:sz="4" w:space="0" w:color="auto"/>
              <w:right w:val="single" w:sz="4" w:space="0" w:color="auto"/>
            </w:tcBorders>
            <w:vAlign w:val="center"/>
            <w:hideMark/>
          </w:tcPr>
          <w:p w:rsidR="000C56DB" w:rsidRPr="000C56DB" w:rsidRDefault="000C56DB" w:rsidP="000C56DB">
            <w:pPr>
              <w:widowControl/>
              <w:jc w:val="left"/>
              <w:rPr>
                <w:rFonts w:ascii="仿宋" w:eastAsia="仿宋" w:hAnsi="仿宋" w:cs="宋体"/>
                <w:color w:val="000000"/>
                <w:kern w:val="0"/>
                <w:sz w:val="22"/>
                <w:szCs w:val="22"/>
              </w:rPr>
            </w:pPr>
          </w:p>
        </w:tc>
        <w:tc>
          <w:tcPr>
            <w:tcW w:w="850" w:type="dxa"/>
            <w:tcBorders>
              <w:top w:val="nil"/>
              <w:left w:val="nil"/>
              <w:bottom w:val="single" w:sz="4" w:space="0" w:color="auto"/>
              <w:right w:val="single" w:sz="4" w:space="0" w:color="auto"/>
            </w:tcBorders>
            <w:shd w:val="clear" w:color="000000" w:fill="FFFFFF"/>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6</w:t>
            </w:r>
          </w:p>
        </w:tc>
        <w:tc>
          <w:tcPr>
            <w:tcW w:w="851" w:type="dxa"/>
            <w:tcBorders>
              <w:top w:val="nil"/>
              <w:left w:val="nil"/>
              <w:bottom w:val="single" w:sz="4" w:space="0" w:color="auto"/>
              <w:right w:val="single" w:sz="4" w:space="0" w:color="auto"/>
            </w:tcBorders>
            <w:shd w:val="clear" w:color="auto" w:fill="auto"/>
            <w:noWrap/>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6</w:t>
            </w:r>
          </w:p>
        </w:tc>
        <w:tc>
          <w:tcPr>
            <w:tcW w:w="850"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一般区</w:t>
            </w:r>
          </w:p>
        </w:tc>
        <w:tc>
          <w:tcPr>
            <w:tcW w:w="709" w:type="dxa"/>
            <w:tcBorders>
              <w:top w:val="nil"/>
              <w:left w:val="nil"/>
              <w:bottom w:val="single" w:sz="4" w:space="0" w:color="auto"/>
              <w:right w:val="single" w:sz="4" w:space="0" w:color="auto"/>
            </w:tcBorders>
            <w:shd w:val="clear" w:color="auto" w:fill="auto"/>
            <w:noWrap/>
            <w:vAlign w:val="center"/>
            <w:hideMark/>
          </w:tcPr>
          <w:p w:rsidR="000C56DB" w:rsidRPr="000C56DB" w:rsidRDefault="000C56DB" w:rsidP="000C56DB">
            <w:pPr>
              <w:widowControl/>
              <w:jc w:val="center"/>
              <w:rPr>
                <w:rFonts w:ascii="仿宋" w:eastAsia="仿宋" w:hAnsi="仿宋" w:cs="宋体"/>
                <w:color w:val="000000"/>
                <w:kern w:val="0"/>
                <w:sz w:val="22"/>
                <w:szCs w:val="22"/>
              </w:rPr>
            </w:pPr>
          </w:p>
        </w:tc>
      </w:tr>
      <w:tr w:rsidR="000C56DB" w:rsidRPr="000C56DB" w:rsidTr="000C56DB">
        <w:trPr>
          <w:trHeight w:val="6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11</w:t>
            </w:r>
          </w:p>
        </w:tc>
        <w:tc>
          <w:tcPr>
            <w:tcW w:w="1134"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主城区</w:t>
            </w:r>
          </w:p>
        </w:tc>
        <w:tc>
          <w:tcPr>
            <w:tcW w:w="993"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北大街村</w:t>
            </w:r>
          </w:p>
        </w:tc>
        <w:tc>
          <w:tcPr>
            <w:tcW w:w="1134" w:type="dxa"/>
            <w:vMerge/>
            <w:tcBorders>
              <w:top w:val="nil"/>
              <w:left w:val="single" w:sz="4" w:space="0" w:color="auto"/>
              <w:bottom w:val="single" w:sz="4" w:space="0" w:color="auto"/>
              <w:right w:val="single" w:sz="4" w:space="0" w:color="auto"/>
            </w:tcBorders>
            <w:vAlign w:val="center"/>
            <w:hideMark/>
          </w:tcPr>
          <w:p w:rsidR="000C56DB" w:rsidRPr="000C56DB" w:rsidRDefault="000C56DB" w:rsidP="000C56DB">
            <w:pPr>
              <w:widowControl/>
              <w:jc w:val="left"/>
              <w:rPr>
                <w:rFonts w:ascii="仿宋" w:eastAsia="仿宋" w:hAnsi="仿宋" w:cs="宋体"/>
                <w:color w:val="000000"/>
                <w:kern w:val="0"/>
                <w:sz w:val="22"/>
                <w:szCs w:val="22"/>
              </w:rPr>
            </w:pPr>
          </w:p>
        </w:tc>
        <w:tc>
          <w:tcPr>
            <w:tcW w:w="850" w:type="dxa"/>
            <w:tcBorders>
              <w:top w:val="nil"/>
              <w:left w:val="nil"/>
              <w:bottom w:val="single" w:sz="4" w:space="0" w:color="auto"/>
              <w:right w:val="single" w:sz="4" w:space="0" w:color="auto"/>
            </w:tcBorders>
            <w:shd w:val="clear" w:color="000000" w:fill="FFFFFF"/>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4</w:t>
            </w:r>
          </w:p>
        </w:tc>
        <w:tc>
          <w:tcPr>
            <w:tcW w:w="851" w:type="dxa"/>
            <w:tcBorders>
              <w:top w:val="nil"/>
              <w:left w:val="nil"/>
              <w:bottom w:val="single" w:sz="4" w:space="0" w:color="auto"/>
              <w:right w:val="single" w:sz="4" w:space="0" w:color="auto"/>
            </w:tcBorders>
            <w:shd w:val="clear" w:color="auto" w:fill="auto"/>
            <w:noWrap/>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4</w:t>
            </w:r>
          </w:p>
        </w:tc>
        <w:tc>
          <w:tcPr>
            <w:tcW w:w="850"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一般区</w:t>
            </w:r>
          </w:p>
        </w:tc>
        <w:tc>
          <w:tcPr>
            <w:tcW w:w="709" w:type="dxa"/>
            <w:tcBorders>
              <w:top w:val="nil"/>
              <w:left w:val="nil"/>
              <w:bottom w:val="single" w:sz="4" w:space="0" w:color="auto"/>
              <w:right w:val="single" w:sz="4" w:space="0" w:color="auto"/>
            </w:tcBorders>
            <w:shd w:val="clear" w:color="auto" w:fill="auto"/>
            <w:noWrap/>
            <w:vAlign w:val="center"/>
            <w:hideMark/>
          </w:tcPr>
          <w:p w:rsidR="000C56DB" w:rsidRPr="000C56DB" w:rsidRDefault="000C56DB" w:rsidP="000C56DB">
            <w:pPr>
              <w:widowControl/>
              <w:jc w:val="center"/>
              <w:rPr>
                <w:rFonts w:ascii="仿宋" w:eastAsia="仿宋" w:hAnsi="仿宋" w:cs="宋体"/>
                <w:color w:val="000000"/>
                <w:kern w:val="0"/>
                <w:sz w:val="22"/>
                <w:szCs w:val="22"/>
              </w:rPr>
            </w:pPr>
          </w:p>
        </w:tc>
      </w:tr>
      <w:tr w:rsidR="000C56DB" w:rsidRPr="000C56DB" w:rsidTr="000C56DB">
        <w:trPr>
          <w:trHeight w:val="6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12</w:t>
            </w:r>
          </w:p>
        </w:tc>
        <w:tc>
          <w:tcPr>
            <w:tcW w:w="1134"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主城区</w:t>
            </w:r>
          </w:p>
        </w:tc>
        <w:tc>
          <w:tcPr>
            <w:tcW w:w="993"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行司巷村</w:t>
            </w:r>
          </w:p>
        </w:tc>
        <w:tc>
          <w:tcPr>
            <w:tcW w:w="1134" w:type="dxa"/>
            <w:vMerge/>
            <w:tcBorders>
              <w:top w:val="nil"/>
              <w:left w:val="single" w:sz="4" w:space="0" w:color="auto"/>
              <w:bottom w:val="single" w:sz="4" w:space="0" w:color="auto"/>
              <w:right w:val="single" w:sz="4" w:space="0" w:color="auto"/>
            </w:tcBorders>
            <w:vAlign w:val="center"/>
            <w:hideMark/>
          </w:tcPr>
          <w:p w:rsidR="000C56DB" w:rsidRPr="000C56DB" w:rsidRDefault="000C56DB" w:rsidP="000C56DB">
            <w:pPr>
              <w:widowControl/>
              <w:jc w:val="left"/>
              <w:rPr>
                <w:rFonts w:ascii="仿宋" w:eastAsia="仿宋" w:hAnsi="仿宋" w:cs="宋体"/>
                <w:color w:val="000000"/>
                <w:kern w:val="0"/>
                <w:sz w:val="22"/>
                <w:szCs w:val="22"/>
              </w:rPr>
            </w:pPr>
          </w:p>
        </w:tc>
        <w:tc>
          <w:tcPr>
            <w:tcW w:w="850" w:type="dxa"/>
            <w:tcBorders>
              <w:top w:val="nil"/>
              <w:left w:val="nil"/>
              <w:bottom w:val="single" w:sz="4" w:space="0" w:color="auto"/>
              <w:right w:val="single" w:sz="4" w:space="0" w:color="auto"/>
            </w:tcBorders>
            <w:shd w:val="clear" w:color="000000" w:fill="FFFFFF"/>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5</w:t>
            </w:r>
          </w:p>
        </w:tc>
        <w:tc>
          <w:tcPr>
            <w:tcW w:w="851" w:type="dxa"/>
            <w:tcBorders>
              <w:top w:val="nil"/>
              <w:left w:val="nil"/>
              <w:bottom w:val="single" w:sz="4" w:space="0" w:color="auto"/>
              <w:right w:val="single" w:sz="4" w:space="0" w:color="auto"/>
            </w:tcBorders>
            <w:shd w:val="clear" w:color="auto" w:fill="auto"/>
            <w:noWrap/>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8</w:t>
            </w:r>
          </w:p>
        </w:tc>
        <w:tc>
          <w:tcPr>
            <w:tcW w:w="850"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-3</w:t>
            </w:r>
          </w:p>
        </w:tc>
        <w:tc>
          <w:tcPr>
            <w:tcW w:w="1134"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饱和区</w:t>
            </w:r>
          </w:p>
        </w:tc>
        <w:tc>
          <w:tcPr>
            <w:tcW w:w="709" w:type="dxa"/>
            <w:tcBorders>
              <w:top w:val="nil"/>
              <w:left w:val="nil"/>
              <w:bottom w:val="single" w:sz="4" w:space="0" w:color="auto"/>
              <w:right w:val="single" w:sz="4" w:space="0" w:color="auto"/>
            </w:tcBorders>
            <w:shd w:val="clear" w:color="auto" w:fill="auto"/>
            <w:noWrap/>
            <w:vAlign w:val="center"/>
            <w:hideMark/>
          </w:tcPr>
          <w:p w:rsidR="000C56DB" w:rsidRPr="000C56DB" w:rsidRDefault="000C56DB" w:rsidP="000C56DB">
            <w:pPr>
              <w:widowControl/>
              <w:jc w:val="center"/>
              <w:rPr>
                <w:rFonts w:ascii="仿宋" w:eastAsia="仿宋" w:hAnsi="仿宋" w:cs="宋体"/>
                <w:color w:val="000000"/>
                <w:kern w:val="0"/>
                <w:sz w:val="22"/>
                <w:szCs w:val="22"/>
              </w:rPr>
            </w:pPr>
          </w:p>
        </w:tc>
      </w:tr>
    </w:tbl>
    <w:p w:rsidR="000F6FFE" w:rsidRDefault="00CD3A2D">
      <w:pPr>
        <w:jc w:val="left"/>
        <w:rPr>
          <w:rFonts w:ascii="黑体" w:eastAsia="黑体" w:hAnsi="黑体" w:cs="黑体"/>
          <w:szCs w:val="32"/>
        </w:rPr>
      </w:pPr>
      <w:r>
        <w:rPr>
          <w:rFonts w:ascii="黑体" w:eastAsia="黑体" w:hAnsi="黑体" w:cs="黑体" w:hint="eastAsia"/>
          <w:szCs w:val="32"/>
        </w:rPr>
        <w:t>附件2</w:t>
      </w:r>
    </w:p>
    <w:p w:rsidR="000F6FFE" w:rsidRDefault="000C56DB">
      <w:pPr>
        <w:widowControl/>
        <w:jc w:val="left"/>
        <w:textAlignment w:val="center"/>
        <w:rPr>
          <w:rFonts w:ascii="宋体" w:hAnsi="宋体" w:cs="宋体"/>
          <w:color w:val="000000"/>
          <w:sz w:val="22"/>
        </w:rPr>
      </w:pPr>
      <w:r>
        <w:rPr>
          <w:rFonts w:ascii="宋体" w:hAnsi="宋体" w:cs="宋体" w:hint="eastAsia"/>
          <w:b/>
          <w:bCs/>
          <w:color w:val="000000"/>
          <w:kern w:val="0"/>
          <w:sz w:val="28"/>
          <w:szCs w:val="32"/>
        </w:rPr>
        <w:t xml:space="preserve">  </w:t>
      </w:r>
      <w:r w:rsidR="00CD3A2D">
        <w:rPr>
          <w:rFonts w:ascii="宋体" w:hAnsi="宋体" w:cs="宋体" w:hint="eastAsia"/>
          <w:b/>
          <w:bCs/>
          <w:color w:val="000000"/>
          <w:kern w:val="0"/>
          <w:sz w:val="28"/>
          <w:szCs w:val="32"/>
        </w:rPr>
        <w:t>烟草制品零售点最小市场单元合理布局规划明细表（镇中心区）</w:t>
      </w:r>
    </w:p>
    <w:tbl>
      <w:tblPr>
        <w:tblW w:w="8237" w:type="dxa"/>
        <w:tblInd w:w="93" w:type="dxa"/>
        <w:tblLook w:val="04A0"/>
      </w:tblPr>
      <w:tblGrid>
        <w:gridCol w:w="436"/>
        <w:gridCol w:w="572"/>
        <w:gridCol w:w="1239"/>
        <w:gridCol w:w="878"/>
        <w:gridCol w:w="940"/>
        <w:gridCol w:w="660"/>
        <w:gridCol w:w="819"/>
        <w:gridCol w:w="850"/>
        <w:gridCol w:w="1134"/>
        <w:gridCol w:w="709"/>
      </w:tblGrid>
      <w:tr w:rsidR="000C56DB" w:rsidRPr="000C56DB" w:rsidTr="000C56DB">
        <w:trPr>
          <w:trHeight w:val="945"/>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lastRenderedPageBreak/>
              <w:t>序号</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网格类型</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单元格名称</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标准</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街道长度（米）</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拟布局数量</w:t>
            </w:r>
          </w:p>
        </w:tc>
        <w:tc>
          <w:tcPr>
            <w:tcW w:w="819" w:type="dxa"/>
            <w:tcBorders>
              <w:top w:val="single" w:sz="4" w:space="0" w:color="auto"/>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现存数量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增减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区域划分</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备注</w:t>
            </w:r>
          </w:p>
        </w:tc>
      </w:tr>
      <w:tr w:rsidR="000C56DB" w:rsidRPr="000C56DB" w:rsidTr="000C56DB">
        <w:trPr>
          <w:trHeight w:val="702"/>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1</w:t>
            </w:r>
          </w:p>
        </w:tc>
        <w:tc>
          <w:tcPr>
            <w:tcW w:w="572" w:type="dxa"/>
            <w:vMerge w:val="restart"/>
            <w:tcBorders>
              <w:top w:val="nil"/>
              <w:left w:val="single" w:sz="4" w:space="0" w:color="auto"/>
              <w:bottom w:val="single" w:sz="4" w:space="0" w:color="000000"/>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镇中心区</w:t>
            </w:r>
          </w:p>
        </w:tc>
        <w:tc>
          <w:tcPr>
            <w:tcW w:w="1239"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柳林镇中心区</w:t>
            </w:r>
          </w:p>
        </w:tc>
        <w:tc>
          <w:tcPr>
            <w:tcW w:w="878" w:type="dxa"/>
            <w:vMerge w:val="restart"/>
            <w:tcBorders>
              <w:top w:val="nil"/>
              <w:left w:val="single" w:sz="4" w:space="0" w:color="auto"/>
              <w:bottom w:val="single" w:sz="4" w:space="0" w:color="000000"/>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按照街道长度每50米设置1个零售点，且零售点间隔距离不低于50米。</w:t>
            </w:r>
          </w:p>
        </w:tc>
        <w:tc>
          <w:tcPr>
            <w:tcW w:w="940" w:type="dxa"/>
            <w:tcBorders>
              <w:top w:val="nil"/>
              <w:left w:val="nil"/>
              <w:bottom w:val="single" w:sz="4" w:space="0" w:color="auto"/>
              <w:right w:val="single" w:sz="4" w:space="0" w:color="auto"/>
            </w:tcBorders>
            <w:shd w:val="clear" w:color="auto" w:fill="auto"/>
            <w:noWrap/>
            <w:vAlign w:val="center"/>
            <w:hideMark/>
          </w:tcPr>
          <w:p w:rsidR="000C56DB" w:rsidRPr="000C56DB" w:rsidRDefault="000C56DB" w:rsidP="000C56DB">
            <w:pPr>
              <w:widowControl/>
              <w:jc w:val="center"/>
              <w:rPr>
                <w:rFonts w:ascii="仿宋" w:eastAsia="仿宋" w:hAnsi="仿宋" w:cs="宋体"/>
                <w:kern w:val="0"/>
                <w:sz w:val="22"/>
                <w:szCs w:val="22"/>
              </w:rPr>
            </w:pPr>
            <w:r w:rsidRPr="000C56DB">
              <w:rPr>
                <w:rFonts w:ascii="仿宋" w:eastAsia="仿宋" w:hAnsi="仿宋" w:cs="宋体" w:hint="eastAsia"/>
                <w:kern w:val="0"/>
                <w:sz w:val="22"/>
                <w:szCs w:val="22"/>
              </w:rPr>
              <w:t>3530</w:t>
            </w:r>
          </w:p>
        </w:tc>
        <w:tc>
          <w:tcPr>
            <w:tcW w:w="660" w:type="dxa"/>
            <w:tcBorders>
              <w:top w:val="nil"/>
              <w:left w:val="nil"/>
              <w:bottom w:val="single" w:sz="4" w:space="0" w:color="auto"/>
              <w:right w:val="single" w:sz="4" w:space="0" w:color="auto"/>
            </w:tcBorders>
            <w:shd w:val="clear" w:color="auto" w:fill="auto"/>
            <w:noWrap/>
            <w:vAlign w:val="center"/>
            <w:hideMark/>
          </w:tcPr>
          <w:p w:rsidR="000C56DB" w:rsidRPr="000C56DB" w:rsidRDefault="000C56DB" w:rsidP="000C56DB">
            <w:pPr>
              <w:widowControl/>
              <w:jc w:val="center"/>
              <w:rPr>
                <w:rFonts w:ascii="仿宋" w:eastAsia="仿宋" w:hAnsi="仿宋" w:cs="宋体"/>
                <w:kern w:val="0"/>
                <w:sz w:val="22"/>
                <w:szCs w:val="22"/>
              </w:rPr>
            </w:pPr>
            <w:r w:rsidRPr="000C56DB">
              <w:rPr>
                <w:rFonts w:ascii="仿宋" w:eastAsia="仿宋" w:hAnsi="仿宋" w:cs="宋体" w:hint="eastAsia"/>
                <w:kern w:val="0"/>
                <w:sz w:val="22"/>
                <w:szCs w:val="22"/>
              </w:rPr>
              <w:t>70</w:t>
            </w:r>
          </w:p>
        </w:tc>
        <w:tc>
          <w:tcPr>
            <w:tcW w:w="819" w:type="dxa"/>
            <w:tcBorders>
              <w:top w:val="nil"/>
              <w:left w:val="nil"/>
              <w:bottom w:val="single" w:sz="4" w:space="0" w:color="auto"/>
              <w:right w:val="single" w:sz="4" w:space="0" w:color="auto"/>
            </w:tcBorders>
            <w:shd w:val="clear" w:color="auto" w:fill="auto"/>
            <w:noWrap/>
            <w:vAlign w:val="center"/>
            <w:hideMark/>
          </w:tcPr>
          <w:p w:rsidR="000C56DB" w:rsidRPr="000C56DB" w:rsidRDefault="000C56DB" w:rsidP="000C56DB">
            <w:pPr>
              <w:widowControl/>
              <w:jc w:val="center"/>
              <w:rPr>
                <w:rFonts w:ascii="仿宋" w:eastAsia="仿宋" w:hAnsi="仿宋" w:cs="宋体"/>
                <w:kern w:val="0"/>
                <w:sz w:val="22"/>
                <w:szCs w:val="22"/>
              </w:rPr>
            </w:pPr>
            <w:r w:rsidRPr="000C56DB">
              <w:rPr>
                <w:rFonts w:ascii="仿宋" w:eastAsia="仿宋" w:hAnsi="仿宋" w:cs="宋体" w:hint="eastAsia"/>
                <w:kern w:val="0"/>
                <w:sz w:val="22"/>
                <w:szCs w:val="22"/>
              </w:rPr>
              <w:t>66</w:t>
            </w:r>
          </w:p>
        </w:tc>
        <w:tc>
          <w:tcPr>
            <w:tcW w:w="850"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kern w:val="0"/>
                <w:sz w:val="22"/>
                <w:szCs w:val="22"/>
              </w:rPr>
            </w:pPr>
            <w:r w:rsidRPr="000C56DB">
              <w:rPr>
                <w:rFonts w:ascii="仿宋" w:eastAsia="仿宋" w:hAnsi="仿宋" w:cs="宋体" w:hint="eastAsia"/>
                <w:kern w:val="0"/>
                <w:sz w:val="22"/>
                <w:szCs w:val="22"/>
              </w:rPr>
              <w:t>4</w:t>
            </w:r>
          </w:p>
        </w:tc>
        <w:tc>
          <w:tcPr>
            <w:tcW w:w="1134"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发展区</w:t>
            </w:r>
          </w:p>
        </w:tc>
        <w:tc>
          <w:tcPr>
            <w:tcW w:w="709"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p>
        </w:tc>
      </w:tr>
      <w:tr w:rsidR="000C56DB" w:rsidRPr="000C56DB" w:rsidTr="000C56DB">
        <w:trPr>
          <w:trHeight w:val="702"/>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2</w:t>
            </w:r>
          </w:p>
        </w:tc>
        <w:tc>
          <w:tcPr>
            <w:tcW w:w="572" w:type="dxa"/>
            <w:vMerge/>
            <w:tcBorders>
              <w:top w:val="nil"/>
              <w:left w:val="single" w:sz="4" w:space="0" w:color="auto"/>
              <w:bottom w:val="single" w:sz="4" w:space="0" w:color="000000"/>
              <w:right w:val="single" w:sz="4" w:space="0" w:color="auto"/>
            </w:tcBorders>
            <w:vAlign w:val="center"/>
            <w:hideMark/>
          </w:tcPr>
          <w:p w:rsidR="000C56DB" w:rsidRPr="000C56DB" w:rsidRDefault="000C56DB" w:rsidP="000C56DB">
            <w:pPr>
              <w:widowControl/>
              <w:jc w:val="left"/>
              <w:rPr>
                <w:rFonts w:ascii="仿宋" w:eastAsia="仿宋" w:hAnsi="仿宋" w:cs="宋体"/>
                <w:color w:val="000000"/>
                <w:kern w:val="0"/>
                <w:sz w:val="22"/>
                <w:szCs w:val="22"/>
              </w:rPr>
            </w:pPr>
          </w:p>
        </w:tc>
        <w:tc>
          <w:tcPr>
            <w:tcW w:w="1239"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彪角镇中心区</w:t>
            </w:r>
          </w:p>
        </w:tc>
        <w:tc>
          <w:tcPr>
            <w:tcW w:w="878" w:type="dxa"/>
            <w:vMerge/>
            <w:tcBorders>
              <w:top w:val="nil"/>
              <w:left w:val="single" w:sz="4" w:space="0" w:color="auto"/>
              <w:bottom w:val="single" w:sz="4" w:space="0" w:color="000000"/>
              <w:right w:val="single" w:sz="4" w:space="0" w:color="auto"/>
            </w:tcBorders>
            <w:vAlign w:val="center"/>
            <w:hideMark/>
          </w:tcPr>
          <w:p w:rsidR="000C56DB" w:rsidRPr="000C56DB" w:rsidRDefault="000C56DB" w:rsidP="000C56DB">
            <w:pPr>
              <w:widowControl/>
              <w:jc w:val="left"/>
              <w:rPr>
                <w:rFonts w:ascii="仿宋" w:eastAsia="仿宋" w:hAnsi="仿宋" w:cs="宋体"/>
                <w:color w:val="000000"/>
                <w:kern w:val="0"/>
                <w:sz w:val="22"/>
                <w:szCs w:val="22"/>
              </w:rPr>
            </w:pPr>
          </w:p>
        </w:tc>
        <w:tc>
          <w:tcPr>
            <w:tcW w:w="940" w:type="dxa"/>
            <w:tcBorders>
              <w:top w:val="nil"/>
              <w:left w:val="nil"/>
              <w:bottom w:val="single" w:sz="4" w:space="0" w:color="auto"/>
              <w:right w:val="single" w:sz="4" w:space="0" w:color="auto"/>
            </w:tcBorders>
            <w:shd w:val="clear" w:color="auto" w:fill="auto"/>
            <w:noWrap/>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1120</w:t>
            </w:r>
          </w:p>
        </w:tc>
        <w:tc>
          <w:tcPr>
            <w:tcW w:w="660" w:type="dxa"/>
            <w:tcBorders>
              <w:top w:val="nil"/>
              <w:left w:val="nil"/>
              <w:bottom w:val="single" w:sz="4" w:space="0" w:color="auto"/>
              <w:right w:val="single" w:sz="4" w:space="0" w:color="auto"/>
            </w:tcBorders>
            <w:shd w:val="clear" w:color="auto" w:fill="auto"/>
            <w:noWrap/>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22</w:t>
            </w:r>
          </w:p>
        </w:tc>
        <w:tc>
          <w:tcPr>
            <w:tcW w:w="819"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20</w:t>
            </w:r>
          </w:p>
        </w:tc>
        <w:tc>
          <w:tcPr>
            <w:tcW w:w="850"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2</w:t>
            </w:r>
          </w:p>
        </w:tc>
        <w:tc>
          <w:tcPr>
            <w:tcW w:w="1134"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发展区</w:t>
            </w:r>
          </w:p>
        </w:tc>
        <w:tc>
          <w:tcPr>
            <w:tcW w:w="709"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p>
        </w:tc>
      </w:tr>
      <w:tr w:rsidR="000C56DB" w:rsidRPr="000C56DB" w:rsidTr="000C56DB">
        <w:trPr>
          <w:trHeight w:val="702"/>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3</w:t>
            </w:r>
          </w:p>
        </w:tc>
        <w:tc>
          <w:tcPr>
            <w:tcW w:w="572" w:type="dxa"/>
            <w:vMerge/>
            <w:tcBorders>
              <w:top w:val="nil"/>
              <w:left w:val="single" w:sz="4" w:space="0" w:color="auto"/>
              <w:bottom w:val="single" w:sz="4" w:space="0" w:color="000000"/>
              <w:right w:val="single" w:sz="4" w:space="0" w:color="auto"/>
            </w:tcBorders>
            <w:vAlign w:val="center"/>
            <w:hideMark/>
          </w:tcPr>
          <w:p w:rsidR="000C56DB" w:rsidRPr="000C56DB" w:rsidRDefault="000C56DB" w:rsidP="000C56DB">
            <w:pPr>
              <w:widowControl/>
              <w:jc w:val="left"/>
              <w:rPr>
                <w:rFonts w:ascii="仿宋" w:eastAsia="仿宋" w:hAnsi="仿宋" w:cs="宋体"/>
                <w:color w:val="000000"/>
                <w:kern w:val="0"/>
                <w:sz w:val="22"/>
                <w:szCs w:val="22"/>
              </w:rPr>
            </w:pPr>
          </w:p>
        </w:tc>
        <w:tc>
          <w:tcPr>
            <w:tcW w:w="1239"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虢王镇中心区</w:t>
            </w:r>
          </w:p>
        </w:tc>
        <w:tc>
          <w:tcPr>
            <w:tcW w:w="878" w:type="dxa"/>
            <w:vMerge/>
            <w:tcBorders>
              <w:top w:val="nil"/>
              <w:left w:val="single" w:sz="4" w:space="0" w:color="auto"/>
              <w:bottom w:val="single" w:sz="4" w:space="0" w:color="000000"/>
              <w:right w:val="single" w:sz="4" w:space="0" w:color="auto"/>
            </w:tcBorders>
            <w:vAlign w:val="center"/>
            <w:hideMark/>
          </w:tcPr>
          <w:p w:rsidR="000C56DB" w:rsidRPr="000C56DB" w:rsidRDefault="000C56DB" w:rsidP="000C56DB">
            <w:pPr>
              <w:widowControl/>
              <w:jc w:val="left"/>
              <w:rPr>
                <w:rFonts w:ascii="仿宋" w:eastAsia="仿宋" w:hAnsi="仿宋" w:cs="宋体"/>
                <w:color w:val="000000"/>
                <w:kern w:val="0"/>
                <w:sz w:val="22"/>
                <w:szCs w:val="22"/>
              </w:rPr>
            </w:pPr>
          </w:p>
        </w:tc>
        <w:tc>
          <w:tcPr>
            <w:tcW w:w="940"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1340</w:t>
            </w:r>
          </w:p>
        </w:tc>
        <w:tc>
          <w:tcPr>
            <w:tcW w:w="660"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26</w:t>
            </w:r>
          </w:p>
        </w:tc>
        <w:tc>
          <w:tcPr>
            <w:tcW w:w="819"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24</w:t>
            </w:r>
          </w:p>
        </w:tc>
        <w:tc>
          <w:tcPr>
            <w:tcW w:w="850"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2</w:t>
            </w:r>
          </w:p>
        </w:tc>
        <w:tc>
          <w:tcPr>
            <w:tcW w:w="1134"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发展区</w:t>
            </w:r>
          </w:p>
        </w:tc>
        <w:tc>
          <w:tcPr>
            <w:tcW w:w="709"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p>
        </w:tc>
      </w:tr>
      <w:tr w:rsidR="000C56DB" w:rsidRPr="000C56DB" w:rsidTr="000C56DB">
        <w:trPr>
          <w:trHeight w:val="702"/>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4</w:t>
            </w:r>
          </w:p>
        </w:tc>
        <w:tc>
          <w:tcPr>
            <w:tcW w:w="572" w:type="dxa"/>
            <w:vMerge/>
            <w:tcBorders>
              <w:top w:val="nil"/>
              <w:left w:val="single" w:sz="4" w:space="0" w:color="auto"/>
              <w:bottom w:val="single" w:sz="4" w:space="0" w:color="000000"/>
              <w:right w:val="single" w:sz="4" w:space="0" w:color="auto"/>
            </w:tcBorders>
            <w:vAlign w:val="center"/>
            <w:hideMark/>
          </w:tcPr>
          <w:p w:rsidR="000C56DB" w:rsidRPr="000C56DB" w:rsidRDefault="000C56DB" w:rsidP="000C56DB">
            <w:pPr>
              <w:widowControl/>
              <w:jc w:val="left"/>
              <w:rPr>
                <w:rFonts w:ascii="仿宋" w:eastAsia="仿宋" w:hAnsi="仿宋" w:cs="宋体"/>
                <w:color w:val="000000"/>
                <w:kern w:val="0"/>
                <w:sz w:val="22"/>
                <w:szCs w:val="22"/>
              </w:rPr>
            </w:pPr>
          </w:p>
        </w:tc>
        <w:tc>
          <w:tcPr>
            <w:tcW w:w="1239"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横水镇中心区</w:t>
            </w:r>
          </w:p>
        </w:tc>
        <w:tc>
          <w:tcPr>
            <w:tcW w:w="878" w:type="dxa"/>
            <w:vMerge/>
            <w:tcBorders>
              <w:top w:val="nil"/>
              <w:left w:val="single" w:sz="4" w:space="0" w:color="auto"/>
              <w:bottom w:val="single" w:sz="4" w:space="0" w:color="000000"/>
              <w:right w:val="single" w:sz="4" w:space="0" w:color="auto"/>
            </w:tcBorders>
            <w:vAlign w:val="center"/>
            <w:hideMark/>
          </w:tcPr>
          <w:p w:rsidR="000C56DB" w:rsidRPr="000C56DB" w:rsidRDefault="000C56DB" w:rsidP="000C56DB">
            <w:pPr>
              <w:widowControl/>
              <w:jc w:val="left"/>
              <w:rPr>
                <w:rFonts w:ascii="仿宋" w:eastAsia="仿宋" w:hAnsi="仿宋" w:cs="宋体"/>
                <w:color w:val="000000"/>
                <w:kern w:val="0"/>
                <w:sz w:val="22"/>
                <w:szCs w:val="22"/>
              </w:rPr>
            </w:pPr>
          </w:p>
        </w:tc>
        <w:tc>
          <w:tcPr>
            <w:tcW w:w="940" w:type="dxa"/>
            <w:tcBorders>
              <w:top w:val="nil"/>
              <w:left w:val="nil"/>
              <w:bottom w:val="single" w:sz="4" w:space="0" w:color="auto"/>
              <w:right w:val="single" w:sz="4" w:space="0" w:color="auto"/>
            </w:tcBorders>
            <w:shd w:val="clear" w:color="auto" w:fill="auto"/>
            <w:noWrap/>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1220</w:t>
            </w:r>
          </w:p>
        </w:tc>
        <w:tc>
          <w:tcPr>
            <w:tcW w:w="660" w:type="dxa"/>
            <w:tcBorders>
              <w:top w:val="nil"/>
              <w:left w:val="nil"/>
              <w:bottom w:val="single" w:sz="4" w:space="0" w:color="auto"/>
              <w:right w:val="single" w:sz="4" w:space="0" w:color="auto"/>
            </w:tcBorders>
            <w:shd w:val="clear" w:color="auto" w:fill="auto"/>
            <w:noWrap/>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24</w:t>
            </w:r>
          </w:p>
        </w:tc>
        <w:tc>
          <w:tcPr>
            <w:tcW w:w="819" w:type="dxa"/>
            <w:tcBorders>
              <w:top w:val="nil"/>
              <w:left w:val="nil"/>
              <w:bottom w:val="single" w:sz="4" w:space="0" w:color="auto"/>
              <w:right w:val="single" w:sz="4" w:space="0" w:color="auto"/>
            </w:tcBorders>
            <w:shd w:val="clear" w:color="auto" w:fill="auto"/>
            <w:noWrap/>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22</w:t>
            </w:r>
          </w:p>
        </w:tc>
        <w:tc>
          <w:tcPr>
            <w:tcW w:w="850"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2</w:t>
            </w:r>
          </w:p>
        </w:tc>
        <w:tc>
          <w:tcPr>
            <w:tcW w:w="1134"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发展区</w:t>
            </w:r>
          </w:p>
        </w:tc>
        <w:tc>
          <w:tcPr>
            <w:tcW w:w="709"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p>
        </w:tc>
      </w:tr>
      <w:tr w:rsidR="000C56DB" w:rsidRPr="000C56DB" w:rsidTr="000C56DB">
        <w:trPr>
          <w:trHeight w:val="702"/>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5</w:t>
            </w:r>
          </w:p>
        </w:tc>
        <w:tc>
          <w:tcPr>
            <w:tcW w:w="572" w:type="dxa"/>
            <w:vMerge/>
            <w:tcBorders>
              <w:top w:val="nil"/>
              <w:left w:val="single" w:sz="4" w:space="0" w:color="auto"/>
              <w:bottom w:val="single" w:sz="4" w:space="0" w:color="000000"/>
              <w:right w:val="single" w:sz="4" w:space="0" w:color="auto"/>
            </w:tcBorders>
            <w:vAlign w:val="center"/>
            <w:hideMark/>
          </w:tcPr>
          <w:p w:rsidR="000C56DB" w:rsidRPr="000C56DB" w:rsidRDefault="000C56DB" w:rsidP="000C56DB">
            <w:pPr>
              <w:widowControl/>
              <w:jc w:val="left"/>
              <w:rPr>
                <w:rFonts w:ascii="仿宋" w:eastAsia="仿宋" w:hAnsi="仿宋" w:cs="宋体"/>
                <w:color w:val="000000"/>
                <w:kern w:val="0"/>
                <w:sz w:val="22"/>
                <w:szCs w:val="22"/>
              </w:rPr>
            </w:pPr>
          </w:p>
        </w:tc>
        <w:tc>
          <w:tcPr>
            <w:tcW w:w="1239"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田家庄镇中心区</w:t>
            </w:r>
          </w:p>
        </w:tc>
        <w:tc>
          <w:tcPr>
            <w:tcW w:w="878" w:type="dxa"/>
            <w:vMerge/>
            <w:tcBorders>
              <w:top w:val="nil"/>
              <w:left w:val="single" w:sz="4" w:space="0" w:color="auto"/>
              <w:bottom w:val="single" w:sz="4" w:space="0" w:color="000000"/>
              <w:right w:val="single" w:sz="4" w:space="0" w:color="auto"/>
            </w:tcBorders>
            <w:vAlign w:val="center"/>
            <w:hideMark/>
          </w:tcPr>
          <w:p w:rsidR="000C56DB" w:rsidRPr="000C56DB" w:rsidRDefault="000C56DB" w:rsidP="000C56DB">
            <w:pPr>
              <w:widowControl/>
              <w:jc w:val="left"/>
              <w:rPr>
                <w:rFonts w:ascii="仿宋" w:eastAsia="仿宋" w:hAnsi="仿宋" w:cs="宋体"/>
                <w:color w:val="000000"/>
                <w:kern w:val="0"/>
                <w:sz w:val="22"/>
                <w:szCs w:val="22"/>
              </w:rPr>
            </w:pPr>
          </w:p>
        </w:tc>
        <w:tc>
          <w:tcPr>
            <w:tcW w:w="940"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780</w:t>
            </w:r>
          </w:p>
        </w:tc>
        <w:tc>
          <w:tcPr>
            <w:tcW w:w="660"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15</w:t>
            </w:r>
          </w:p>
        </w:tc>
        <w:tc>
          <w:tcPr>
            <w:tcW w:w="819"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14</w:t>
            </w:r>
          </w:p>
        </w:tc>
        <w:tc>
          <w:tcPr>
            <w:tcW w:w="850"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发展区</w:t>
            </w:r>
          </w:p>
        </w:tc>
        <w:tc>
          <w:tcPr>
            <w:tcW w:w="709"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p>
        </w:tc>
      </w:tr>
      <w:tr w:rsidR="000C56DB" w:rsidRPr="000C56DB" w:rsidTr="000C56DB">
        <w:trPr>
          <w:trHeight w:val="702"/>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6</w:t>
            </w:r>
          </w:p>
        </w:tc>
        <w:tc>
          <w:tcPr>
            <w:tcW w:w="572" w:type="dxa"/>
            <w:vMerge/>
            <w:tcBorders>
              <w:top w:val="nil"/>
              <w:left w:val="single" w:sz="4" w:space="0" w:color="auto"/>
              <w:bottom w:val="single" w:sz="4" w:space="0" w:color="000000"/>
              <w:right w:val="single" w:sz="4" w:space="0" w:color="auto"/>
            </w:tcBorders>
            <w:vAlign w:val="center"/>
            <w:hideMark/>
          </w:tcPr>
          <w:p w:rsidR="000C56DB" w:rsidRPr="000C56DB" w:rsidRDefault="000C56DB" w:rsidP="000C56DB">
            <w:pPr>
              <w:widowControl/>
              <w:jc w:val="left"/>
              <w:rPr>
                <w:rFonts w:ascii="仿宋" w:eastAsia="仿宋" w:hAnsi="仿宋" w:cs="宋体"/>
                <w:color w:val="000000"/>
                <w:kern w:val="0"/>
                <w:sz w:val="22"/>
                <w:szCs w:val="22"/>
              </w:rPr>
            </w:pPr>
          </w:p>
        </w:tc>
        <w:tc>
          <w:tcPr>
            <w:tcW w:w="1239"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糜杆桥镇中心区</w:t>
            </w:r>
          </w:p>
        </w:tc>
        <w:tc>
          <w:tcPr>
            <w:tcW w:w="878" w:type="dxa"/>
            <w:vMerge/>
            <w:tcBorders>
              <w:top w:val="nil"/>
              <w:left w:val="single" w:sz="4" w:space="0" w:color="auto"/>
              <w:bottom w:val="single" w:sz="4" w:space="0" w:color="000000"/>
              <w:right w:val="single" w:sz="4" w:space="0" w:color="auto"/>
            </w:tcBorders>
            <w:vAlign w:val="center"/>
            <w:hideMark/>
          </w:tcPr>
          <w:p w:rsidR="000C56DB" w:rsidRPr="000C56DB" w:rsidRDefault="000C56DB" w:rsidP="000C56DB">
            <w:pPr>
              <w:widowControl/>
              <w:jc w:val="left"/>
              <w:rPr>
                <w:rFonts w:ascii="仿宋" w:eastAsia="仿宋" w:hAnsi="仿宋" w:cs="宋体"/>
                <w:color w:val="000000"/>
                <w:kern w:val="0"/>
                <w:sz w:val="22"/>
                <w:szCs w:val="22"/>
              </w:rPr>
            </w:pPr>
          </w:p>
        </w:tc>
        <w:tc>
          <w:tcPr>
            <w:tcW w:w="940"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760</w:t>
            </w:r>
          </w:p>
        </w:tc>
        <w:tc>
          <w:tcPr>
            <w:tcW w:w="660"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15</w:t>
            </w:r>
          </w:p>
        </w:tc>
        <w:tc>
          <w:tcPr>
            <w:tcW w:w="819"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13</w:t>
            </w:r>
          </w:p>
        </w:tc>
        <w:tc>
          <w:tcPr>
            <w:tcW w:w="850"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2</w:t>
            </w:r>
          </w:p>
        </w:tc>
        <w:tc>
          <w:tcPr>
            <w:tcW w:w="1134"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发展区</w:t>
            </w:r>
          </w:p>
        </w:tc>
        <w:tc>
          <w:tcPr>
            <w:tcW w:w="709"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p>
        </w:tc>
      </w:tr>
      <w:tr w:rsidR="000C56DB" w:rsidRPr="000C56DB" w:rsidTr="000C56DB">
        <w:trPr>
          <w:trHeight w:val="702"/>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7</w:t>
            </w:r>
          </w:p>
        </w:tc>
        <w:tc>
          <w:tcPr>
            <w:tcW w:w="572" w:type="dxa"/>
            <w:vMerge/>
            <w:tcBorders>
              <w:top w:val="nil"/>
              <w:left w:val="single" w:sz="4" w:space="0" w:color="auto"/>
              <w:bottom w:val="single" w:sz="4" w:space="0" w:color="000000"/>
              <w:right w:val="single" w:sz="4" w:space="0" w:color="auto"/>
            </w:tcBorders>
            <w:vAlign w:val="center"/>
            <w:hideMark/>
          </w:tcPr>
          <w:p w:rsidR="000C56DB" w:rsidRPr="000C56DB" w:rsidRDefault="000C56DB" w:rsidP="000C56DB">
            <w:pPr>
              <w:widowControl/>
              <w:jc w:val="left"/>
              <w:rPr>
                <w:rFonts w:ascii="仿宋" w:eastAsia="仿宋" w:hAnsi="仿宋" w:cs="宋体"/>
                <w:color w:val="000000"/>
                <w:kern w:val="0"/>
                <w:sz w:val="22"/>
                <w:szCs w:val="22"/>
              </w:rPr>
            </w:pPr>
          </w:p>
        </w:tc>
        <w:tc>
          <w:tcPr>
            <w:tcW w:w="1239"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姚家沟镇中心区</w:t>
            </w:r>
          </w:p>
        </w:tc>
        <w:tc>
          <w:tcPr>
            <w:tcW w:w="878" w:type="dxa"/>
            <w:vMerge/>
            <w:tcBorders>
              <w:top w:val="nil"/>
              <w:left w:val="single" w:sz="4" w:space="0" w:color="auto"/>
              <w:bottom w:val="single" w:sz="4" w:space="0" w:color="000000"/>
              <w:right w:val="single" w:sz="4" w:space="0" w:color="auto"/>
            </w:tcBorders>
            <w:vAlign w:val="center"/>
            <w:hideMark/>
          </w:tcPr>
          <w:p w:rsidR="000C56DB" w:rsidRPr="000C56DB" w:rsidRDefault="000C56DB" w:rsidP="000C56DB">
            <w:pPr>
              <w:widowControl/>
              <w:jc w:val="left"/>
              <w:rPr>
                <w:rFonts w:ascii="仿宋" w:eastAsia="仿宋" w:hAnsi="仿宋" w:cs="宋体"/>
                <w:color w:val="000000"/>
                <w:kern w:val="0"/>
                <w:sz w:val="22"/>
                <w:szCs w:val="22"/>
              </w:rPr>
            </w:pPr>
          </w:p>
        </w:tc>
        <w:tc>
          <w:tcPr>
            <w:tcW w:w="940"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630</w:t>
            </w:r>
          </w:p>
        </w:tc>
        <w:tc>
          <w:tcPr>
            <w:tcW w:w="660"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12</w:t>
            </w:r>
          </w:p>
        </w:tc>
        <w:tc>
          <w:tcPr>
            <w:tcW w:w="819" w:type="dxa"/>
            <w:tcBorders>
              <w:top w:val="nil"/>
              <w:left w:val="nil"/>
              <w:bottom w:val="single" w:sz="4" w:space="0" w:color="auto"/>
              <w:right w:val="single" w:sz="4" w:space="0" w:color="auto"/>
            </w:tcBorders>
            <w:shd w:val="clear" w:color="000000" w:fill="FFFFFF"/>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13</w:t>
            </w:r>
          </w:p>
        </w:tc>
        <w:tc>
          <w:tcPr>
            <w:tcW w:w="850"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饱和区</w:t>
            </w:r>
          </w:p>
        </w:tc>
        <w:tc>
          <w:tcPr>
            <w:tcW w:w="709"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p>
        </w:tc>
      </w:tr>
      <w:tr w:rsidR="000C56DB" w:rsidRPr="000C56DB" w:rsidTr="000C56DB">
        <w:trPr>
          <w:trHeight w:val="702"/>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8</w:t>
            </w:r>
          </w:p>
        </w:tc>
        <w:tc>
          <w:tcPr>
            <w:tcW w:w="572" w:type="dxa"/>
            <w:vMerge/>
            <w:tcBorders>
              <w:top w:val="nil"/>
              <w:left w:val="single" w:sz="4" w:space="0" w:color="auto"/>
              <w:bottom w:val="single" w:sz="4" w:space="0" w:color="000000"/>
              <w:right w:val="single" w:sz="4" w:space="0" w:color="auto"/>
            </w:tcBorders>
            <w:vAlign w:val="center"/>
            <w:hideMark/>
          </w:tcPr>
          <w:p w:rsidR="000C56DB" w:rsidRPr="000C56DB" w:rsidRDefault="000C56DB" w:rsidP="000C56DB">
            <w:pPr>
              <w:widowControl/>
              <w:jc w:val="left"/>
              <w:rPr>
                <w:rFonts w:ascii="仿宋" w:eastAsia="仿宋" w:hAnsi="仿宋" w:cs="宋体"/>
                <w:color w:val="000000"/>
                <w:kern w:val="0"/>
                <w:sz w:val="22"/>
                <w:szCs w:val="22"/>
              </w:rPr>
            </w:pPr>
          </w:p>
        </w:tc>
        <w:tc>
          <w:tcPr>
            <w:tcW w:w="1239"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范家寨镇中心区</w:t>
            </w:r>
          </w:p>
        </w:tc>
        <w:tc>
          <w:tcPr>
            <w:tcW w:w="878" w:type="dxa"/>
            <w:vMerge/>
            <w:tcBorders>
              <w:top w:val="nil"/>
              <w:left w:val="single" w:sz="4" w:space="0" w:color="auto"/>
              <w:bottom w:val="single" w:sz="4" w:space="0" w:color="000000"/>
              <w:right w:val="single" w:sz="4" w:space="0" w:color="auto"/>
            </w:tcBorders>
            <w:vAlign w:val="center"/>
            <w:hideMark/>
          </w:tcPr>
          <w:p w:rsidR="000C56DB" w:rsidRPr="000C56DB" w:rsidRDefault="000C56DB" w:rsidP="000C56DB">
            <w:pPr>
              <w:widowControl/>
              <w:jc w:val="left"/>
              <w:rPr>
                <w:rFonts w:ascii="仿宋" w:eastAsia="仿宋" w:hAnsi="仿宋" w:cs="宋体"/>
                <w:color w:val="000000"/>
                <w:kern w:val="0"/>
                <w:sz w:val="22"/>
                <w:szCs w:val="22"/>
              </w:rPr>
            </w:pPr>
          </w:p>
        </w:tc>
        <w:tc>
          <w:tcPr>
            <w:tcW w:w="940"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565</w:t>
            </w:r>
          </w:p>
        </w:tc>
        <w:tc>
          <w:tcPr>
            <w:tcW w:w="660"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11</w:t>
            </w:r>
          </w:p>
        </w:tc>
        <w:tc>
          <w:tcPr>
            <w:tcW w:w="819"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11</w:t>
            </w:r>
          </w:p>
        </w:tc>
        <w:tc>
          <w:tcPr>
            <w:tcW w:w="850"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一般区</w:t>
            </w:r>
          </w:p>
        </w:tc>
        <w:tc>
          <w:tcPr>
            <w:tcW w:w="709"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p>
        </w:tc>
      </w:tr>
      <w:tr w:rsidR="000C56DB" w:rsidRPr="000C56DB" w:rsidTr="000C56DB">
        <w:trPr>
          <w:trHeight w:val="702"/>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9</w:t>
            </w:r>
          </w:p>
        </w:tc>
        <w:tc>
          <w:tcPr>
            <w:tcW w:w="572" w:type="dxa"/>
            <w:vMerge/>
            <w:tcBorders>
              <w:top w:val="nil"/>
              <w:left w:val="single" w:sz="4" w:space="0" w:color="auto"/>
              <w:bottom w:val="single" w:sz="4" w:space="0" w:color="000000"/>
              <w:right w:val="single" w:sz="4" w:space="0" w:color="auto"/>
            </w:tcBorders>
            <w:vAlign w:val="center"/>
            <w:hideMark/>
          </w:tcPr>
          <w:p w:rsidR="000C56DB" w:rsidRPr="000C56DB" w:rsidRDefault="000C56DB" w:rsidP="000C56DB">
            <w:pPr>
              <w:widowControl/>
              <w:jc w:val="left"/>
              <w:rPr>
                <w:rFonts w:ascii="仿宋" w:eastAsia="仿宋" w:hAnsi="仿宋" w:cs="宋体"/>
                <w:color w:val="000000"/>
                <w:kern w:val="0"/>
                <w:sz w:val="22"/>
                <w:szCs w:val="22"/>
              </w:rPr>
            </w:pPr>
          </w:p>
        </w:tc>
        <w:tc>
          <w:tcPr>
            <w:tcW w:w="1239"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陈村镇中心区</w:t>
            </w:r>
          </w:p>
        </w:tc>
        <w:tc>
          <w:tcPr>
            <w:tcW w:w="878" w:type="dxa"/>
            <w:vMerge/>
            <w:tcBorders>
              <w:top w:val="nil"/>
              <w:left w:val="single" w:sz="4" w:space="0" w:color="auto"/>
              <w:bottom w:val="single" w:sz="4" w:space="0" w:color="000000"/>
              <w:right w:val="single" w:sz="4" w:space="0" w:color="auto"/>
            </w:tcBorders>
            <w:vAlign w:val="center"/>
            <w:hideMark/>
          </w:tcPr>
          <w:p w:rsidR="000C56DB" w:rsidRPr="000C56DB" w:rsidRDefault="000C56DB" w:rsidP="000C56DB">
            <w:pPr>
              <w:widowControl/>
              <w:jc w:val="left"/>
              <w:rPr>
                <w:rFonts w:ascii="仿宋" w:eastAsia="仿宋" w:hAnsi="仿宋" w:cs="宋体"/>
                <w:color w:val="000000"/>
                <w:kern w:val="0"/>
                <w:sz w:val="22"/>
                <w:szCs w:val="22"/>
              </w:rPr>
            </w:pPr>
          </w:p>
        </w:tc>
        <w:tc>
          <w:tcPr>
            <w:tcW w:w="940"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1720</w:t>
            </w:r>
          </w:p>
        </w:tc>
        <w:tc>
          <w:tcPr>
            <w:tcW w:w="660"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34</w:t>
            </w:r>
          </w:p>
        </w:tc>
        <w:tc>
          <w:tcPr>
            <w:tcW w:w="819"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32</w:t>
            </w:r>
          </w:p>
        </w:tc>
        <w:tc>
          <w:tcPr>
            <w:tcW w:w="850"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2</w:t>
            </w:r>
          </w:p>
        </w:tc>
        <w:tc>
          <w:tcPr>
            <w:tcW w:w="1134"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发展区</w:t>
            </w:r>
          </w:p>
        </w:tc>
        <w:tc>
          <w:tcPr>
            <w:tcW w:w="709"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p>
        </w:tc>
      </w:tr>
      <w:tr w:rsidR="000C56DB" w:rsidRPr="000C56DB" w:rsidTr="000C56DB">
        <w:trPr>
          <w:trHeight w:val="702"/>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10</w:t>
            </w:r>
          </w:p>
        </w:tc>
        <w:tc>
          <w:tcPr>
            <w:tcW w:w="572" w:type="dxa"/>
            <w:vMerge/>
            <w:tcBorders>
              <w:top w:val="nil"/>
              <w:left w:val="single" w:sz="4" w:space="0" w:color="auto"/>
              <w:bottom w:val="single" w:sz="4" w:space="0" w:color="000000"/>
              <w:right w:val="single" w:sz="4" w:space="0" w:color="auto"/>
            </w:tcBorders>
            <w:vAlign w:val="center"/>
            <w:hideMark/>
          </w:tcPr>
          <w:p w:rsidR="000C56DB" w:rsidRPr="000C56DB" w:rsidRDefault="000C56DB" w:rsidP="000C56DB">
            <w:pPr>
              <w:widowControl/>
              <w:jc w:val="left"/>
              <w:rPr>
                <w:rFonts w:ascii="仿宋" w:eastAsia="仿宋" w:hAnsi="仿宋" w:cs="宋体"/>
                <w:color w:val="000000"/>
                <w:kern w:val="0"/>
                <w:sz w:val="22"/>
                <w:szCs w:val="22"/>
              </w:rPr>
            </w:pPr>
          </w:p>
        </w:tc>
        <w:tc>
          <w:tcPr>
            <w:tcW w:w="1239"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长青镇中心区</w:t>
            </w:r>
          </w:p>
        </w:tc>
        <w:tc>
          <w:tcPr>
            <w:tcW w:w="878" w:type="dxa"/>
            <w:vMerge/>
            <w:tcBorders>
              <w:top w:val="nil"/>
              <w:left w:val="single" w:sz="4" w:space="0" w:color="auto"/>
              <w:bottom w:val="single" w:sz="4" w:space="0" w:color="000000"/>
              <w:right w:val="single" w:sz="4" w:space="0" w:color="auto"/>
            </w:tcBorders>
            <w:vAlign w:val="center"/>
            <w:hideMark/>
          </w:tcPr>
          <w:p w:rsidR="000C56DB" w:rsidRPr="000C56DB" w:rsidRDefault="000C56DB" w:rsidP="000C56DB">
            <w:pPr>
              <w:widowControl/>
              <w:jc w:val="left"/>
              <w:rPr>
                <w:rFonts w:ascii="仿宋" w:eastAsia="仿宋" w:hAnsi="仿宋" w:cs="宋体"/>
                <w:color w:val="000000"/>
                <w:kern w:val="0"/>
                <w:sz w:val="22"/>
                <w:szCs w:val="22"/>
              </w:rPr>
            </w:pPr>
          </w:p>
        </w:tc>
        <w:tc>
          <w:tcPr>
            <w:tcW w:w="940"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6300</w:t>
            </w:r>
          </w:p>
        </w:tc>
        <w:tc>
          <w:tcPr>
            <w:tcW w:w="660"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12</w:t>
            </w:r>
          </w:p>
        </w:tc>
        <w:tc>
          <w:tcPr>
            <w:tcW w:w="819"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11</w:t>
            </w:r>
          </w:p>
        </w:tc>
        <w:tc>
          <w:tcPr>
            <w:tcW w:w="850"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发展区</w:t>
            </w:r>
          </w:p>
        </w:tc>
        <w:tc>
          <w:tcPr>
            <w:tcW w:w="709"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p>
        </w:tc>
      </w:tr>
      <w:tr w:rsidR="000C56DB" w:rsidRPr="000C56DB" w:rsidTr="000C56DB">
        <w:trPr>
          <w:trHeight w:val="702"/>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11</w:t>
            </w:r>
          </w:p>
        </w:tc>
        <w:tc>
          <w:tcPr>
            <w:tcW w:w="572" w:type="dxa"/>
            <w:vMerge/>
            <w:tcBorders>
              <w:top w:val="nil"/>
              <w:left w:val="single" w:sz="4" w:space="0" w:color="auto"/>
              <w:bottom w:val="single" w:sz="4" w:space="0" w:color="000000"/>
              <w:right w:val="single" w:sz="4" w:space="0" w:color="auto"/>
            </w:tcBorders>
            <w:vAlign w:val="center"/>
            <w:hideMark/>
          </w:tcPr>
          <w:p w:rsidR="000C56DB" w:rsidRPr="000C56DB" w:rsidRDefault="000C56DB" w:rsidP="000C56DB">
            <w:pPr>
              <w:widowControl/>
              <w:jc w:val="left"/>
              <w:rPr>
                <w:rFonts w:ascii="仿宋" w:eastAsia="仿宋" w:hAnsi="仿宋" w:cs="宋体"/>
                <w:color w:val="000000"/>
                <w:kern w:val="0"/>
                <w:sz w:val="22"/>
                <w:szCs w:val="22"/>
              </w:rPr>
            </w:pPr>
          </w:p>
        </w:tc>
        <w:tc>
          <w:tcPr>
            <w:tcW w:w="1239"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南指挥镇中心区</w:t>
            </w:r>
          </w:p>
        </w:tc>
        <w:tc>
          <w:tcPr>
            <w:tcW w:w="878" w:type="dxa"/>
            <w:vMerge/>
            <w:tcBorders>
              <w:top w:val="nil"/>
              <w:left w:val="single" w:sz="4" w:space="0" w:color="auto"/>
              <w:bottom w:val="single" w:sz="4" w:space="0" w:color="000000"/>
              <w:right w:val="single" w:sz="4" w:space="0" w:color="auto"/>
            </w:tcBorders>
            <w:vAlign w:val="center"/>
            <w:hideMark/>
          </w:tcPr>
          <w:p w:rsidR="000C56DB" w:rsidRPr="000C56DB" w:rsidRDefault="000C56DB" w:rsidP="000C56DB">
            <w:pPr>
              <w:widowControl/>
              <w:jc w:val="left"/>
              <w:rPr>
                <w:rFonts w:ascii="仿宋" w:eastAsia="仿宋" w:hAnsi="仿宋" w:cs="宋体"/>
                <w:color w:val="000000"/>
                <w:kern w:val="0"/>
                <w:sz w:val="22"/>
                <w:szCs w:val="22"/>
              </w:rPr>
            </w:pPr>
          </w:p>
        </w:tc>
        <w:tc>
          <w:tcPr>
            <w:tcW w:w="940"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600</w:t>
            </w:r>
          </w:p>
        </w:tc>
        <w:tc>
          <w:tcPr>
            <w:tcW w:w="660"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12</w:t>
            </w:r>
          </w:p>
        </w:tc>
        <w:tc>
          <w:tcPr>
            <w:tcW w:w="819"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12</w:t>
            </w:r>
          </w:p>
        </w:tc>
        <w:tc>
          <w:tcPr>
            <w:tcW w:w="850"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r w:rsidRPr="000C56DB">
              <w:rPr>
                <w:rFonts w:ascii="仿宋" w:eastAsia="仿宋" w:hAnsi="仿宋" w:cs="宋体" w:hint="eastAsia"/>
                <w:color w:val="000000"/>
                <w:kern w:val="0"/>
                <w:sz w:val="22"/>
                <w:szCs w:val="22"/>
              </w:rPr>
              <w:t>一般区</w:t>
            </w:r>
          </w:p>
        </w:tc>
        <w:tc>
          <w:tcPr>
            <w:tcW w:w="709" w:type="dxa"/>
            <w:tcBorders>
              <w:top w:val="nil"/>
              <w:left w:val="nil"/>
              <w:bottom w:val="single" w:sz="4" w:space="0" w:color="auto"/>
              <w:right w:val="single" w:sz="4" w:space="0" w:color="auto"/>
            </w:tcBorders>
            <w:shd w:val="clear" w:color="auto" w:fill="auto"/>
            <w:vAlign w:val="center"/>
            <w:hideMark/>
          </w:tcPr>
          <w:p w:rsidR="000C56DB" w:rsidRPr="000C56DB" w:rsidRDefault="000C56DB" w:rsidP="000C56DB">
            <w:pPr>
              <w:widowControl/>
              <w:jc w:val="center"/>
              <w:rPr>
                <w:rFonts w:ascii="仿宋" w:eastAsia="仿宋" w:hAnsi="仿宋" w:cs="宋体"/>
                <w:color w:val="000000"/>
                <w:kern w:val="0"/>
                <w:sz w:val="22"/>
                <w:szCs w:val="22"/>
              </w:rPr>
            </w:pPr>
          </w:p>
        </w:tc>
      </w:tr>
    </w:tbl>
    <w:p w:rsidR="000F6FFE" w:rsidRDefault="000F6FFE">
      <w:pPr>
        <w:jc w:val="left"/>
        <w:rPr>
          <w:rFonts w:ascii="仿宋_GB2312" w:eastAsia="仿宋_GB2312"/>
          <w:sz w:val="20"/>
          <w:szCs w:val="20"/>
        </w:rPr>
      </w:pPr>
    </w:p>
    <w:p w:rsidR="000F6FFE" w:rsidRDefault="000F6FFE">
      <w:pPr>
        <w:jc w:val="left"/>
        <w:rPr>
          <w:rFonts w:ascii="仿宋_GB2312" w:eastAsia="仿宋_GB2312"/>
          <w:szCs w:val="32"/>
        </w:rPr>
      </w:pPr>
    </w:p>
    <w:p w:rsidR="000F6FFE" w:rsidRDefault="000F6FFE">
      <w:pPr>
        <w:jc w:val="left"/>
        <w:rPr>
          <w:rFonts w:ascii="仿宋_GB2312" w:eastAsia="仿宋_GB2312"/>
          <w:szCs w:val="32"/>
        </w:rPr>
      </w:pPr>
    </w:p>
    <w:p w:rsidR="000F6FFE" w:rsidRDefault="000F6FFE">
      <w:pPr>
        <w:jc w:val="left"/>
        <w:rPr>
          <w:rFonts w:ascii="仿宋_GB2312" w:eastAsia="仿宋_GB2312"/>
          <w:szCs w:val="32"/>
        </w:rPr>
      </w:pPr>
    </w:p>
    <w:p w:rsidR="000F6FFE" w:rsidRDefault="000F6FFE">
      <w:pPr>
        <w:jc w:val="left"/>
        <w:rPr>
          <w:rFonts w:ascii="仿宋_GB2312" w:eastAsia="仿宋_GB2312"/>
          <w:szCs w:val="32"/>
        </w:rPr>
      </w:pPr>
    </w:p>
    <w:p w:rsidR="000F6FFE" w:rsidRDefault="000F6FFE">
      <w:pPr>
        <w:jc w:val="left"/>
        <w:rPr>
          <w:rFonts w:ascii="仿宋_GB2312" w:eastAsia="仿宋_GB2312"/>
          <w:szCs w:val="32"/>
        </w:rPr>
      </w:pPr>
    </w:p>
    <w:p w:rsidR="000F6FFE" w:rsidRDefault="00CD3A2D">
      <w:pPr>
        <w:jc w:val="left"/>
        <w:rPr>
          <w:rFonts w:ascii="黑体" w:eastAsia="黑体" w:hAnsi="黑体" w:cs="黑体"/>
          <w:szCs w:val="32"/>
        </w:rPr>
      </w:pPr>
      <w:r>
        <w:rPr>
          <w:rFonts w:ascii="黑体" w:eastAsia="黑体" w:hAnsi="黑体" w:cs="黑体" w:hint="eastAsia"/>
          <w:szCs w:val="32"/>
        </w:rPr>
        <w:t>附件3</w:t>
      </w:r>
    </w:p>
    <w:tbl>
      <w:tblPr>
        <w:tblW w:w="8237" w:type="dxa"/>
        <w:tblInd w:w="93" w:type="dxa"/>
        <w:tblLook w:val="04A0"/>
      </w:tblPr>
      <w:tblGrid>
        <w:gridCol w:w="560"/>
        <w:gridCol w:w="910"/>
        <w:gridCol w:w="1130"/>
        <w:gridCol w:w="1384"/>
        <w:gridCol w:w="993"/>
        <w:gridCol w:w="708"/>
        <w:gridCol w:w="709"/>
        <w:gridCol w:w="1134"/>
        <w:gridCol w:w="709"/>
      </w:tblGrid>
      <w:tr w:rsidR="0060520A" w:rsidRPr="0060520A" w:rsidTr="0060520A">
        <w:trPr>
          <w:trHeight w:val="975"/>
        </w:trPr>
        <w:tc>
          <w:tcPr>
            <w:tcW w:w="8237" w:type="dxa"/>
            <w:gridSpan w:val="9"/>
            <w:tcBorders>
              <w:top w:val="nil"/>
              <w:left w:val="nil"/>
              <w:bottom w:val="nil"/>
              <w:right w:val="nil"/>
            </w:tcBorders>
            <w:shd w:val="clear" w:color="auto" w:fill="auto"/>
            <w:vAlign w:val="center"/>
            <w:hideMark/>
          </w:tcPr>
          <w:p w:rsidR="0060520A" w:rsidRPr="0060520A" w:rsidRDefault="00F668BC" w:rsidP="0060520A">
            <w:pPr>
              <w:widowControl/>
              <w:jc w:val="left"/>
              <w:textAlignment w:val="center"/>
              <w:rPr>
                <w:rFonts w:ascii="宋体" w:hAnsi="宋体" w:cs="宋体"/>
                <w:b/>
                <w:bCs/>
                <w:color w:val="000000"/>
                <w:kern w:val="0"/>
                <w:sz w:val="28"/>
                <w:szCs w:val="32"/>
              </w:rPr>
            </w:pPr>
            <w:r>
              <w:rPr>
                <w:rFonts w:ascii="宋体" w:hAnsi="宋体" w:cs="宋体" w:hint="eastAsia"/>
                <w:b/>
                <w:bCs/>
                <w:color w:val="000000"/>
                <w:kern w:val="0"/>
                <w:sz w:val="28"/>
                <w:szCs w:val="32"/>
              </w:rPr>
              <w:lastRenderedPageBreak/>
              <w:t xml:space="preserve">  </w:t>
            </w:r>
            <w:r w:rsidR="0060520A" w:rsidRPr="0060520A">
              <w:rPr>
                <w:rFonts w:ascii="宋体" w:hAnsi="宋体" w:cs="宋体" w:hint="eastAsia"/>
                <w:b/>
                <w:bCs/>
                <w:color w:val="000000"/>
                <w:kern w:val="0"/>
                <w:sz w:val="28"/>
                <w:szCs w:val="32"/>
              </w:rPr>
              <w:t>烟草制品零售点最小市场单元合理布局规划明细表（行政村）</w:t>
            </w:r>
          </w:p>
        </w:tc>
      </w:tr>
      <w:tr w:rsidR="0060520A" w:rsidRPr="0060520A" w:rsidTr="0060520A">
        <w:trPr>
          <w:trHeight w:val="960"/>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序号</w:t>
            </w:r>
          </w:p>
        </w:tc>
        <w:tc>
          <w:tcPr>
            <w:tcW w:w="910" w:type="dxa"/>
            <w:tcBorders>
              <w:top w:val="single" w:sz="4" w:space="0" w:color="auto"/>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镇名称</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单元格名称</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标准</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拟布局数量</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现存数量</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增减</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区域划分</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备注</w:t>
            </w: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w:t>
            </w:r>
          </w:p>
        </w:tc>
        <w:tc>
          <w:tcPr>
            <w:tcW w:w="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城关镇</w:t>
            </w:r>
          </w:p>
        </w:tc>
        <w:tc>
          <w:tcPr>
            <w:tcW w:w="1130"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处礼村</w:t>
            </w:r>
          </w:p>
        </w:tc>
        <w:tc>
          <w:tcPr>
            <w:tcW w:w="13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行政村零售点总量以人口为基数，按每400人设置1个零售点，且两个零售点的间隔距离不低于50米。</w:t>
            </w: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5 </w:t>
            </w:r>
          </w:p>
        </w:tc>
        <w:tc>
          <w:tcPr>
            <w:tcW w:w="708"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5</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2</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大辛村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3 </w:t>
            </w:r>
          </w:p>
        </w:tc>
        <w:tc>
          <w:tcPr>
            <w:tcW w:w="708"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3</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3</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豆腐村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21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21</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高王寺村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3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3</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5</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火星村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4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6</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六营村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5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7</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-2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饱和区</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7</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马村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5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5</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8</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马家庄村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4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9</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三里河村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12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12</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10</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石家营村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4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11</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铁丰村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15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14</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发展区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12</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瓦窑头村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4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13</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西古城村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8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8</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14</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小沙凹村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8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8</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15</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纸坊村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15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14</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发展区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16</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周家门前村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3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3</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17</w:t>
            </w:r>
          </w:p>
        </w:tc>
        <w:tc>
          <w:tcPr>
            <w:tcW w:w="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柳林镇</w:t>
            </w: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三家店村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3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3</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18</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小唐村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7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7</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19</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屯头村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8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8</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20</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亭子头村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4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5</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饱和区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21</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邱村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4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22</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南六冢村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7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11</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-4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饱和区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23</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宋村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5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5</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24</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河湾村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2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-2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饱和区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25</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东吴头村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5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5</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26</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大槐社村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2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2</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27</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小渭村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2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-2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饱和区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28</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干河村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lastRenderedPageBreak/>
              <w:t>29</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六冢村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6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6</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30</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洛城村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2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2</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31</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大唐村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3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5</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-2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饱和区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32</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孔家庄村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2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发展区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33</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汉封村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2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5</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-3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饱和区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34</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会山村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3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3</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35</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北斗坊</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3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5</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-2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饱和区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36</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索落树村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4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37</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关村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2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2</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38</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程家塬</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0</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发展区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39</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窦家庄</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40</w:t>
            </w:r>
          </w:p>
        </w:tc>
        <w:tc>
          <w:tcPr>
            <w:tcW w:w="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彪角镇</w:t>
            </w: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北旗务村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41</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导子村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42</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豆家凹村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2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2</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43</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冯家村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3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饱和区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44</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侯丰村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4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45</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老营村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4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46</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李家堡村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2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2</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47</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南家凹村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2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2</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48</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南务村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4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49</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三岔村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9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11</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-2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饱和区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50</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散龙村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6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6</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51</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上郭店村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10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9</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发展区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52</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上庄村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5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5</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53</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沈家坡村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0</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发展区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54</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石落务村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13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13</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55</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卧龙村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4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5</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饱和区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56</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下郭店村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5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5</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57</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小旗务村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5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5</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58</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杨丹村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3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饱和区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59</w:t>
            </w:r>
          </w:p>
        </w:tc>
        <w:tc>
          <w:tcPr>
            <w:tcW w:w="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陈村镇</w:t>
            </w: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蔡阳山村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3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饱和区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60</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海子村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6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6</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61</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槐北村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4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lastRenderedPageBreak/>
              <w:t>62</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西槐村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8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8</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63</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王堡村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8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8</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64</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料地村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4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65</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托卜务村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3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3</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66</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闫家务村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4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67</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尹家务村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9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9</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68</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上营村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0</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发展区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69</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庞家务村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8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8</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70</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紫荆村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14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14</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71</w:t>
            </w:r>
          </w:p>
        </w:tc>
        <w:tc>
          <w:tcPr>
            <w:tcW w:w="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横水镇</w:t>
            </w: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北务村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4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72</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东白村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4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73</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何家村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0</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发展区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74</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东塬村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2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-2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饱和区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75</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火星庙村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2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2</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76</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洛村村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6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6</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77</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唐志庄村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4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78</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玉祥村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4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79</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康家庄村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2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2</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80</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南光耀村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4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81</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齐家村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4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82</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西方村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2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2</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83</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尹稼坞村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13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13</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84</w:t>
            </w:r>
          </w:p>
        </w:tc>
        <w:tc>
          <w:tcPr>
            <w:tcW w:w="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糜杆桥</w:t>
            </w: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太相寺村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3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饱和区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85</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西白村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4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86</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竹园村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7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7</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87</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五曲湾村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3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3</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88</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北水沟村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3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3</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89</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谈家门前村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3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3</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90</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西关村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7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7</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91</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七家门前村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3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3</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92</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萧史宫村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5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5</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93</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何家堡村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5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5</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lastRenderedPageBreak/>
              <w:t>94</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曹家庄村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8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8</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95</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西河村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4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96</w:t>
            </w:r>
          </w:p>
        </w:tc>
        <w:tc>
          <w:tcPr>
            <w:tcW w:w="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南指挥镇</w:t>
            </w: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八旗屯村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2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2</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97</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白家凹村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8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8</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98</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高社村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2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2</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99</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东指挥村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6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6</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100</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河南屯村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4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101</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连村村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6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6</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102</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太尉村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10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11</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饱和区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103</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铁黄塬村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4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104</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西村村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3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3</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105</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西指挥村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5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5</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106</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页渠村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7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9</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-2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饱和区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107</w:t>
            </w:r>
          </w:p>
        </w:tc>
        <w:tc>
          <w:tcPr>
            <w:tcW w:w="91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范家寨镇</w:t>
            </w: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湫池庙村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5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6</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饱和区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108</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大沙凹村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109</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西干河村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3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饱和区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110</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范家寨村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2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2</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111</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老女沟村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112</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乔家堡村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4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113</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双冢村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4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5</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饱和区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114</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沈家沟村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b/>
                <w:bCs/>
                <w:kern w:val="0"/>
                <w:sz w:val="22"/>
                <w:szCs w:val="22"/>
              </w:rPr>
            </w:pPr>
            <w:r w:rsidRPr="0060520A">
              <w:rPr>
                <w:rFonts w:ascii="仿宋" w:eastAsia="仿宋" w:hAnsi="仿宋" w:cs="宋体" w:hint="eastAsia"/>
                <w:b/>
                <w:bCs/>
                <w:kern w:val="0"/>
                <w:sz w:val="22"/>
                <w:szCs w:val="22"/>
              </w:rPr>
              <w:t>1</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115</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张家沟村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2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2</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116</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赵村营村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6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6</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117</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盐坎村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2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2</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118</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董家河村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10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10</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119</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nil"/>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临阵坡村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3 </w:t>
            </w:r>
          </w:p>
        </w:tc>
        <w:tc>
          <w:tcPr>
            <w:tcW w:w="708" w:type="dxa"/>
            <w:tcBorders>
              <w:top w:val="nil"/>
              <w:left w:val="nil"/>
              <w:bottom w:val="nil"/>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b/>
                <w:bCs/>
                <w:kern w:val="0"/>
                <w:sz w:val="22"/>
                <w:szCs w:val="22"/>
              </w:rPr>
            </w:pPr>
            <w:r w:rsidRPr="0060520A">
              <w:rPr>
                <w:rFonts w:ascii="仿宋" w:eastAsia="仿宋" w:hAnsi="仿宋" w:cs="宋体" w:hint="eastAsia"/>
                <w:b/>
                <w:bCs/>
                <w:kern w:val="0"/>
                <w:sz w:val="22"/>
                <w:szCs w:val="22"/>
              </w:rPr>
              <w:t>3</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nil"/>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120</w:t>
            </w:r>
          </w:p>
        </w:tc>
        <w:tc>
          <w:tcPr>
            <w:tcW w:w="91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姚家沟</w:t>
            </w:r>
          </w:p>
        </w:tc>
        <w:tc>
          <w:tcPr>
            <w:tcW w:w="1130" w:type="dxa"/>
            <w:tcBorders>
              <w:top w:val="single" w:sz="4" w:space="0" w:color="auto"/>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亢家河村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 </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121</w:t>
            </w: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洛峪村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2</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饱和区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122</w:t>
            </w: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青渠村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123</w:t>
            </w:r>
          </w:p>
        </w:tc>
        <w:tc>
          <w:tcPr>
            <w:tcW w:w="91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长青镇</w:t>
            </w: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长青村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5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5</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124</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罗钵寺村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4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125</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高嘴头村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3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3</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126</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马道口村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3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3</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lastRenderedPageBreak/>
              <w:t>127</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孙家南头村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3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3</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128</w:t>
            </w:r>
          </w:p>
        </w:tc>
        <w:tc>
          <w:tcPr>
            <w:tcW w:w="91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田家庄镇</w:t>
            </w: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北小里村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9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11</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-2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饱和区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129</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大塬村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3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3</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130</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果园村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7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7</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131</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河北村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5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5</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132</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南小里村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4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133</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申都村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4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4</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134</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寺头村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2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2</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135</w:t>
            </w:r>
          </w:p>
        </w:tc>
        <w:tc>
          <w:tcPr>
            <w:tcW w:w="91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虢王镇</w:t>
            </w: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江湖村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7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7</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136</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九家庄村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137</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刘淡村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3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3</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138</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马洛村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5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5</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139</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三家庄村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2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2</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140</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田家村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141</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万丰村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2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2</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142</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汶家村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8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8</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0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一般区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r w:rsidR="0060520A" w:rsidRPr="0060520A" w:rsidTr="0060520A">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143</w:t>
            </w:r>
          </w:p>
        </w:tc>
        <w:tc>
          <w:tcPr>
            <w:tcW w:w="910" w:type="dxa"/>
            <w:vMerge/>
            <w:tcBorders>
              <w:top w:val="nil"/>
              <w:left w:val="single" w:sz="4" w:space="0" w:color="auto"/>
              <w:bottom w:val="single" w:sz="4" w:space="0" w:color="auto"/>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1130"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西谢村</w:t>
            </w:r>
          </w:p>
        </w:tc>
        <w:tc>
          <w:tcPr>
            <w:tcW w:w="1384" w:type="dxa"/>
            <w:vMerge/>
            <w:tcBorders>
              <w:top w:val="nil"/>
              <w:left w:val="single" w:sz="4" w:space="0" w:color="auto"/>
              <w:bottom w:val="single" w:sz="4" w:space="0" w:color="000000"/>
              <w:right w:val="single" w:sz="4" w:space="0" w:color="auto"/>
            </w:tcBorders>
            <w:vAlign w:val="center"/>
            <w:hideMark/>
          </w:tcPr>
          <w:p w:rsidR="0060520A" w:rsidRPr="0060520A" w:rsidRDefault="0060520A" w:rsidP="0060520A">
            <w:pPr>
              <w:widowControl/>
              <w:jc w:val="left"/>
              <w:rPr>
                <w:rFonts w:ascii="仿宋" w:eastAsia="仿宋" w:hAnsi="仿宋" w:cs="宋体"/>
                <w:kern w:val="0"/>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 </w:t>
            </w:r>
          </w:p>
        </w:tc>
        <w:tc>
          <w:tcPr>
            <w:tcW w:w="708"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0</w:t>
            </w:r>
          </w:p>
        </w:tc>
        <w:tc>
          <w:tcPr>
            <w:tcW w:w="709"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 xml:space="preserve">1 </w:t>
            </w:r>
          </w:p>
        </w:tc>
        <w:tc>
          <w:tcPr>
            <w:tcW w:w="1134" w:type="dxa"/>
            <w:tcBorders>
              <w:top w:val="nil"/>
              <w:left w:val="nil"/>
              <w:bottom w:val="single" w:sz="4" w:space="0" w:color="auto"/>
              <w:right w:val="single" w:sz="4" w:space="0" w:color="auto"/>
            </w:tcBorders>
            <w:shd w:val="clear" w:color="000000" w:fill="FFFFFF"/>
            <w:vAlign w:val="center"/>
            <w:hideMark/>
          </w:tcPr>
          <w:p w:rsidR="0060520A" w:rsidRPr="0060520A" w:rsidRDefault="0060520A" w:rsidP="0060520A">
            <w:pPr>
              <w:widowControl/>
              <w:jc w:val="center"/>
              <w:rPr>
                <w:rFonts w:ascii="仿宋" w:eastAsia="仿宋" w:hAnsi="仿宋" w:cs="宋体"/>
                <w:kern w:val="0"/>
                <w:sz w:val="22"/>
                <w:szCs w:val="22"/>
              </w:rPr>
            </w:pPr>
            <w:r w:rsidRPr="0060520A">
              <w:rPr>
                <w:rFonts w:ascii="仿宋" w:eastAsia="仿宋" w:hAnsi="仿宋" w:cs="宋体" w:hint="eastAsia"/>
                <w:kern w:val="0"/>
                <w:sz w:val="22"/>
                <w:szCs w:val="22"/>
              </w:rPr>
              <w:t>发展区</w:t>
            </w:r>
          </w:p>
        </w:tc>
        <w:tc>
          <w:tcPr>
            <w:tcW w:w="709" w:type="dxa"/>
            <w:tcBorders>
              <w:top w:val="nil"/>
              <w:left w:val="nil"/>
              <w:bottom w:val="single" w:sz="4" w:space="0" w:color="auto"/>
              <w:right w:val="single" w:sz="4" w:space="0" w:color="auto"/>
            </w:tcBorders>
            <w:shd w:val="clear" w:color="000000" w:fill="FFFFFF"/>
            <w:noWrap/>
            <w:vAlign w:val="center"/>
            <w:hideMark/>
          </w:tcPr>
          <w:p w:rsidR="0060520A" w:rsidRPr="0060520A" w:rsidRDefault="0060520A" w:rsidP="0060520A">
            <w:pPr>
              <w:widowControl/>
              <w:jc w:val="center"/>
              <w:rPr>
                <w:rFonts w:ascii="仿宋" w:eastAsia="仿宋" w:hAnsi="仿宋" w:cs="宋体"/>
                <w:kern w:val="0"/>
                <w:sz w:val="22"/>
                <w:szCs w:val="22"/>
              </w:rPr>
            </w:pPr>
          </w:p>
        </w:tc>
      </w:tr>
    </w:tbl>
    <w:p w:rsidR="000F6FFE" w:rsidRDefault="000F6FFE">
      <w:pPr>
        <w:jc w:val="left"/>
        <w:rPr>
          <w:rFonts w:ascii="仿宋_GB2312" w:eastAsia="仿宋_GB2312"/>
          <w:szCs w:val="32"/>
        </w:rPr>
      </w:pPr>
    </w:p>
    <w:p w:rsidR="000F6FFE" w:rsidRDefault="00CD3A2D">
      <w:pPr>
        <w:jc w:val="left"/>
        <w:rPr>
          <w:rFonts w:ascii="黑体" w:eastAsia="黑体" w:hAnsi="黑体" w:cs="黑体"/>
          <w:szCs w:val="32"/>
        </w:rPr>
      </w:pPr>
      <w:r>
        <w:rPr>
          <w:rFonts w:ascii="黑体" w:eastAsia="黑体" w:hAnsi="黑体" w:cs="黑体" w:hint="eastAsia"/>
          <w:szCs w:val="32"/>
        </w:rPr>
        <w:t>附件4</w:t>
      </w:r>
    </w:p>
    <w:p w:rsidR="000F6FFE" w:rsidRDefault="00CD3A2D">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宝鸡市凤翔区</w:t>
      </w:r>
    </w:p>
    <w:p w:rsidR="000F6FFE" w:rsidRDefault="00CD3A2D">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烟草制品零售点经营场所勘验测量标准</w:t>
      </w:r>
    </w:p>
    <w:p w:rsidR="000F6FFE" w:rsidRDefault="000F6FFE">
      <w:pPr>
        <w:spacing w:line="560" w:lineRule="exact"/>
        <w:rPr>
          <w:rFonts w:ascii="仿宋_GB2312" w:eastAsia="仿宋_GB2312" w:hAnsi="微软雅黑" w:cs="宋体"/>
          <w:szCs w:val="32"/>
          <w:lang w:bidi="ug-CN"/>
        </w:rPr>
      </w:pPr>
    </w:p>
    <w:p w:rsidR="000F6FFE" w:rsidRDefault="00CD3A2D">
      <w:pPr>
        <w:spacing w:line="560" w:lineRule="exact"/>
        <w:ind w:firstLineChars="200" w:firstLine="640"/>
        <w:rPr>
          <w:rFonts w:ascii="仿宋_GB2312" w:eastAsia="仿宋_GB2312" w:hAnsi="黑体" w:cs="宋体"/>
          <w:szCs w:val="32"/>
          <w:lang w:bidi="ug-CN"/>
        </w:rPr>
      </w:pPr>
      <w:r>
        <w:rPr>
          <w:rFonts w:ascii="仿宋_GB2312" w:eastAsia="仿宋_GB2312" w:hAnsi="微软雅黑" w:cs="宋体" w:hint="eastAsia"/>
          <w:szCs w:val="32"/>
          <w:lang w:bidi="ug-CN"/>
        </w:rPr>
        <w:t>为统一、规范现场测量标准，确保烟草制品零售点勘验公开、公平、公正，依据《</w:t>
      </w:r>
      <w:r>
        <w:rPr>
          <w:rFonts w:ascii="仿宋_GB2312" w:eastAsia="仿宋_GB2312" w:hAnsi="黑体" w:cs="宋体" w:hint="eastAsia"/>
          <w:szCs w:val="32"/>
          <w:lang w:bidi="ug-CN"/>
        </w:rPr>
        <w:t>宝鸡市凤翔区烟草制品零售点合理布局规定》（以下简称《合理布局规定》），制定本标准。</w:t>
      </w:r>
    </w:p>
    <w:p w:rsidR="000F6FFE" w:rsidRDefault="00CD3A2D">
      <w:pPr>
        <w:spacing w:line="560" w:lineRule="exact"/>
        <w:ind w:firstLineChars="200" w:firstLine="643"/>
        <w:rPr>
          <w:rFonts w:ascii="仿宋_GB2312" w:eastAsia="仿宋_GB2312" w:hAnsi="黑体" w:cs="宋体"/>
          <w:szCs w:val="32"/>
          <w:lang w:bidi="ug-CN"/>
        </w:rPr>
      </w:pPr>
      <w:r>
        <w:rPr>
          <w:rFonts w:ascii="仿宋_GB2312" w:eastAsia="仿宋_GB2312" w:hAnsi="黑体" w:cs="宋体" w:hint="eastAsia"/>
          <w:b/>
          <w:bCs/>
          <w:szCs w:val="32"/>
          <w:lang w:bidi="ug-CN"/>
        </w:rPr>
        <w:t>第一条</w:t>
      </w:r>
      <w:r>
        <w:rPr>
          <w:rFonts w:ascii="仿宋_GB2312" w:eastAsia="仿宋_GB2312" w:hAnsi="黑体" w:cs="宋体" w:hint="eastAsia"/>
          <w:szCs w:val="32"/>
          <w:lang w:bidi="ug-CN"/>
        </w:rPr>
        <w:t xml:space="preserve">  本标准适用于宝鸡市凤翔区烟草专卖局对烟草制品零售点布局的</w:t>
      </w:r>
      <w:r>
        <w:rPr>
          <w:rFonts w:ascii="仿宋_GB2312" w:eastAsia="仿宋_GB2312" w:hAnsi="微软雅黑" w:cs="宋体" w:hint="eastAsia"/>
          <w:szCs w:val="32"/>
          <w:lang w:bidi="ug-CN"/>
        </w:rPr>
        <w:t>现场测量工作。</w:t>
      </w:r>
    </w:p>
    <w:p w:rsidR="000F6FFE" w:rsidRDefault="00CD3A2D">
      <w:pPr>
        <w:spacing w:line="560" w:lineRule="exact"/>
        <w:ind w:firstLineChars="200" w:firstLine="643"/>
        <w:rPr>
          <w:rFonts w:ascii="仿宋_GB2312" w:eastAsia="仿宋_GB2312" w:hAnsi="微软雅黑" w:cs="宋体"/>
          <w:szCs w:val="32"/>
          <w:lang w:bidi="ug-CN"/>
        </w:rPr>
      </w:pPr>
      <w:r>
        <w:rPr>
          <w:rFonts w:ascii="仿宋_GB2312" w:eastAsia="仿宋_GB2312" w:hAnsi="黑体" w:cs="宋体" w:hint="eastAsia"/>
          <w:b/>
          <w:bCs/>
          <w:szCs w:val="32"/>
          <w:lang w:bidi="ug-CN"/>
        </w:rPr>
        <w:t>第二条</w:t>
      </w:r>
      <w:r>
        <w:rPr>
          <w:rFonts w:ascii="仿宋_GB2312" w:eastAsia="仿宋_GB2312" w:hAnsi="黑体" w:cs="宋体" w:hint="eastAsia"/>
          <w:szCs w:val="32"/>
          <w:lang w:bidi="ug-CN"/>
        </w:rPr>
        <w:t>烟草制品零售点</w:t>
      </w:r>
      <w:r>
        <w:rPr>
          <w:rFonts w:ascii="仿宋_GB2312" w:eastAsia="仿宋_GB2312" w:hAnsi="微软雅黑" w:cs="宋体" w:hint="eastAsia"/>
          <w:szCs w:val="32"/>
          <w:lang w:bidi="ug-CN"/>
        </w:rPr>
        <w:t>现场测量主要是指间距距离的</w:t>
      </w:r>
      <w:r>
        <w:rPr>
          <w:rFonts w:ascii="仿宋_GB2312" w:eastAsia="仿宋_GB2312" w:hAnsi="微软雅黑" w:cs="宋体" w:hint="eastAsia"/>
          <w:szCs w:val="32"/>
          <w:lang w:bidi="ug-CN"/>
        </w:rPr>
        <w:lastRenderedPageBreak/>
        <w:t>测量认定。</w:t>
      </w:r>
    </w:p>
    <w:p w:rsidR="000F6FFE" w:rsidRDefault="00CD3A2D">
      <w:pPr>
        <w:spacing w:line="360" w:lineRule="auto"/>
        <w:ind w:firstLineChars="200" w:firstLine="643"/>
        <w:rPr>
          <w:rFonts w:ascii="仿宋_GB2312" w:eastAsia="仿宋_GB2312"/>
          <w:szCs w:val="32"/>
        </w:rPr>
      </w:pPr>
      <w:r>
        <w:rPr>
          <w:rFonts w:ascii="仿宋_GB2312" w:eastAsia="仿宋_GB2312" w:hAnsi="黑体" w:cs="宋体" w:hint="eastAsia"/>
          <w:b/>
          <w:bCs/>
          <w:szCs w:val="32"/>
          <w:lang w:bidi="ug-CN"/>
        </w:rPr>
        <w:t>第三条</w:t>
      </w:r>
      <w:r>
        <w:rPr>
          <w:rFonts w:ascii="仿宋_GB2312" w:eastAsia="仿宋_GB2312" w:hAnsi="微软雅黑" w:cs="宋体" w:hint="eastAsia"/>
          <w:szCs w:val="32"/>
          <w:lang w:bidi="ug-CN"/>
        </w:rPr>
        <w:t xml:space="preserve">  间距距离测量，是指</w:t>
      </w:r>
      <w:r>
        <w:rPr>
          <w:rFonts w:ascii="仿宋_GB2312" w:eastAsia="仿宋_GB2312" w:hAnsi="仿宋_GB2312" w:cs="仿宋_GB2312" w:hint="eastAsia"/>
          <w:szCs w:val="32"/>
          <w:lang w:bidi="ug-CN"/>
        </w:rPr>
        <w:t>申请人的经营场所出入口与最近零售点的经营场所出入口</w:t>
      </w:r>
      <w:r>
        <w:rPr>
          <w:rFonts w:ascii="仿宋_GB2312" w:eastAsia="仿宋_GB2312" w:hAnsi="宋体" w:cs="宋体" w:hint="eastAsia"/>
          <w:kern w:val="0"/>
          <w:szCs w:val="32"/>
          <w:lang w:bidi="ug-CN"/>
        </w:rPr>
        <w:t>之间</w:t>
      </w:r>
      <w:r>
        <w:rPr>
          <w:rFonts w:ascii="仿宋_GB2312" w:eastAsia="仿宋_GB2312" w:hAnsi="仿宋_GB2312" w:cs="仿宋_GB2312" w:hint="eastAsia"/>
          <w:szCs w:val="32"/>
          <w:lang w:bidi="ug-CN"/>
        </w:rPr>
        <w:t>，</w:t>
      </w:r>
      <w:r>
        <w:rPr>
          <w:rFonts w:ascii="仿宋_GB2312" w:eastAsia="仿宋_GB2312" w:hint="eastAsia"/>
          <w:szCs w:val="32"/>
        </w:rPr>
        <w:t>行人不违反交通管理规定、</w:t>
      </w:r>
      <w:r>
        <w:rPr>
          <w:rFonts w:ascii="仿宋_GB2312" w:eastAsia="仿宋_GB2312" w:hAnsi="宋体" w:cs="宋体" w:hint="eastAsia"/>
          <w:kern w:val="0"/>
          <w:szCs w:val="32"/>
          <w:lang w:bidi="ug-CN"/>
        </w:rPr>
        <w:t>可正常安全通行的无障碍最短距离。</w:t>
      </w:r>
      <w:r>
        <w:rPr>
          <w:rFonts w:ascii="仿宋_GB2312" w:eastAsia="仿宋_GB2312" w:hint="eastAsia"/>
          <w:szCs w:val="32"/>
        </w:rPr>
        <w:t>测量基准点为两个测量目标出入口的最近点。</w:t>
      </w:r>
    </w:p>
    <w:p w:rsidR="000F6FFE" w:rsidRDefault="00CD3A2D">
      <w:pPr>
        <w:widowControl/>
        <w:shd w:val="clear" w:color="auto" w:fill="FFFFFF"/>
        <w:spacing w:line="560" w:lineRule="exact"/>
        <w:ind w:firstLine="640"/>
        <w:jc w:val="left"/>
        <w:rPr>
          <w:rFonts w:ascii="仿宋_GB2312" w:eastAsia="仿宋_GB2312" w:hAnsi="宋体" w:cs="宋体"/>
          <w:kern w:val="0"/>
          <w:szCs w:val="32"/>
          <w:lang w:bidi="ug-CN"/>
        </w:rPr>
      </w:pPr>
      <w:r>
        <w:rPr>
          <w:rFonts w:ascii="仿宋_GB2312" w:eastAsia="仿宋_GB2312" w:hAnsi="黑体" w:cs="宋体" w:hint="eastAsia"/>
          <w:b/>
          <w:bCs/>
          <w:szCs w:val="32"/>
          <w:lang w:bidi="ug-CN"/>
        </w:rPr>
        <w:t>第四条</w:t>
      </w:r>
      <w:r w:rsidR="00F668BC">
        <w:rPr>
          <w:rFonts w:ascii="仿宋_GB2312" w:eastAsia="仿宋_GB2312" w:hAnsi="黑体" w:cs="宋体" w:hint="eastAsia"/>
          <w:b/>
          <w:bCs/>
          <w:szCs w:val="32"/>
          <w:lang w:bidi="ug-CN"/>
        </w:rPr>
        <w:t xml:space="preserve">  </w:t>
      </w:r>
      <w:r>
        <w:rPr>
          <w:rFonts w:ascii="仿宋_GB2312" w:eastAsia="仿宋_GB2312" w:hAnsi="微软雅黑" w:cs="宋体" w:hint="eastAsia"/>
          <w:szCs w:val="32"/>
          <w:lang w:bidi="ug-CN"/>
        </w:rPr>
        <w:t>间距距离</w:t>
      </w:r>
      <w:r>
        <w:rPr>
          <w:rFonts w:ascii="仿宋_GB2312" w:eastAsia="仿宋_GB2312" w:hAnsi="宋体" w:cs="宋体" w:hint="eastAsia"/>
          <w:kern w:val="0"/>
          <w:szCs w:val="32"/>
          <w:lang w:bidi="ug-CN"/>
        </w:rPr>
        <w:t>使用测量工具进行测量，测量结果在零售点设置值正负2%范围以内，申请人或利害关系人提出复核的，由区烟草专卖局法制监督部门参与进行二次勘验，制作现场勘验表并全过程音像记录。</w:t>
      </w:r>
    </w:p>
    <w:p w:rsidR="000F6FFE" w:rsidRDefault="00CD3A2D">
      <w:pPr>
        <w:spacing w:line="560" w:lineRule="exact"/>
        <w:ind w:firstLineChars="200" w:firstLine="643"/>
        <w:rPr>
          <w:rFonts w:ascii="仿宋_GB2312" w:eastAsia="仿宋_GB2312" w:hAnsi="仿宋" w:cs="宋体"/>
          <w:szCs w:val="32"/>
          <w:lang w:bidi="ug-CN"/>
        </w:rPr>
      </w:pPr>
      <w:r>
        <w:rPr>
          <w:rFonts w:ascii="仿宋_GB2312" w:eastAsia="仿宋_GB2312" w:hAnsi="黑体" w:cs="宋体" w:hint="eastAsia"/>
          <w:b/>
          <w:bCs/>
          <w:szCs w:val="32"/>
          <w:lang w:bidi="ug-CN"/>
        </w:rPr>
        <w:t>第五条</w:t>
      </w:r>
      <w:r w:rsidR="00F668BC">
        <w:rPr>
          <w:rFonts w:ascii="仿宋_GB2312" w:eastAsia="仿宋_GB2312" w:hAnsi="黑体" w:cs="宋体" w:hint="eastAsia"/>
          <w:b/>
          <w:bCs/>
          <w:szCs w:val="32"/>
          <w:lang w:bidi="ug-CN"/>
        </w:rPr>
        <w:t xml:space="preserve">  </w:t>
      </w:r>
      <w:r>
        <w:rPr>
          <w:rFonts w:ascii="仿宋_GB2312" w:eastAsia="仿宋_GB2312" w:hAnsi="仿宋" w:cs="宋体" w:hint="eastAsia"/>
          <w:szCs w:val="32"/>
          <w:lang w:bidi="ug-CN"/>
        </w:rPr>
        <w:t>政府有关部门在街道或道路中已经设置的行人隔离带（栏）、绿化带等视为障碍物，认定为不可正常</w:t>
      </w:r>
      <w:r>
        <w:rPr>
          <w:rFonts w:ascii="仿宋_GB2312" w:eastAsia="仿宋_GB2312" w:hAnsi="宋体" w:cs="宋体" w:hint="eastAsia"/>
          <w:kern w:val="0"/>
          <w:szCs w:val="32"/>
          <w:lang w:bidi="ug-CN"/>
        </w:rPr>
        <w:t>安全</w:t>
      </w:r>
      <w:r>
        <w:rPr>
          <w:rFonts w:ascii="仿宋_GB2312" w:eastAsia="仿宋_GB2312" w:hAnsi="仿宋" w:cs="宋体" w:hint="eastAsia"/>
          <w:szCs w:val="32"/>
          <w:lang w:bidi="ug-CN"/>
        </w:rPr>
        <w:t>通行。</w:t>
      </w:r>
    </w:p>
    <w:p w:rsidR="000F6FFE" w:rsidRDefault="00CD3A2D">
      <w:pPr>
        <w:spacing w:line="540" w:lineRule="exact"/>
        <w:ind w:firstLineChars="200" w:firstLine="643"/>
        <w:rPr>
          <w:rFonts w:ascii="仿宋_GB2312" w:eastAsia="仿宋_GB2312" w:hAnsi="黑体" w:cs="宋体"/>
          <w:szCs w:val="32"/>
          <w:lang w:bidi="ug-CN"/>
        </w:rPr>
      </w:pPr>
      <w:r>
        <w:rPr>
          <w:rFonts w:ascii="仿宋_GB2312" w:eastAsia="仿宋_GB2312" w:hAnsi="黑体" w:cs="宋体" w:hint="eastAsia"/>
          <w:b/>
          <w:bCs/>
          <w:szCs w:val="32"/>
          <w:lang w:bidi="ug-CN"/>
        </w:rPr>
        <w:t>第六条</w:t>
      </w:r>
      <w:r>
        <w:rPr>
          <w:rFonts w:ascii="仿宋_GB2312" w:eastAsia="仿宋_GB2312" w:hAnsi="宋体" w:cs="宋体" w:hint="eastAsia"/>
          <w:caps/>
          <w:szCs w:val="32"/>
          <w:lang w:bidi="ug-CN"/>
        </w:rPr>
        <w:t xml:space="preserve">  在</w:t>
      </w:r>
      <w:r>
        <w:rPr>
          <w:rFonts w:ascii="仿宋_GB2312" w:eastAsia="仿宋_GB2312" w:hAnsi="黑体" w:cs="宋体" w:hint="eastAsia"/>
          <w:szCs w:val="32"/>
          <w:lang w:bidi="ug-CN"/>
        </w:rPr>
        <w:t>通行道路上临时设置的安全设施，临时放置的建筑材料、物品，擅自设立、建造的建筑、物体，以及因阶段性施工影响通行等不视为障碍物。</w:t>
      </w:r>
    </w:p>
    <w:p w:rsidR="000F6FFE" w:rsidRDefault="00CD3A2D">
      <w:pPr>
        <w:widowControl/>
        <w:shd w:val="clear" w:color="auto" w:fill="FFFFFF"/>
        <w:spacing w:line="540" w:lineRule="exact"/>
        <w:ind w:firstLineChars="200" w:firstLine="643"/>
        <w:jc w:val="left"/>
        <w:rPr>
          <w:rFonts w:ascii="仿宋_GB2312" w:eastAsia="仿宋_GB2312" w:hAnsi="黑体" w:cs="宋体"/>
          <w:szCs w:val="32"/>
          <w:lang w:bidi="ug-CN"/>
        </w:rPr>
      </w:pPr>
      <w:r>
        <w:rPr>
          <w:rFonts w:ascii="仿宋_GB2312" w:eastAsia="仿宋_GB2312" w:hAnsi="黑体" w:cs="宋体" w:hint="eastAsia"/>
          <w:b/>
          <w:bCs/>
          <w:szCs w:val="32"/>
          <w:lang w:bidi="ug-CN"/>
        </w:rPr>
        <w:t>第七条</w:t>
      </w:r>
      <w:r>
        <w:rPr>
          <w:rFonts w:ascii="仿宋_GB2312" w:eastAsia="仿宋_GB2312" w:hAnsi="黑体" w:cs="宋体" w:hint="eastAsia"/>
          <w:szCs w:val="32"/>
          <w:lang w:bidi="ug-CN"/>
        </w:rPr>
        <w:t>测量标准。</w:t>
      </w:r>
    </w:p>
    <w:p w:rsidR="000F6FFE" w:rsidRDefault="00CD3A2D">
      <w:pPr>
        <w:spacing w:line="540" w:lineRule="exact"/>
        <w:ind w:firstLineChars="200" w:firstLine="640"/>
        <w:rPr>
          <w:rFonts w:ascii="仿宋_GB2312" w:eastAsia="仿宋_GB2312" w:hAnsi="宋体" w:cs="宋体"/>
          <w:kern w:val="0"/>
          <w:szCs w:val="32"/>
          <w:lang w:bidi="ug-CN"/>
        </w:rPr>
      </w:pPr>
      <w:r>
        <w:rPr>
          <w:rFonts w:ascii="仿宋_GB2312" w:eastAsia="仿宋_GB2312" w:hAnsi="仿宋" w:cs="宋体" w:hint="eastAsia"/>
          <w:szCs w:val="32"/>
          <w:lang w:bidi="ug-CN"/>
        </w:rPr>
        <w:t>（一）</w:t>
      </w:r>
      <w:r>
        <w:rPr>
          <w:rFonts w:ascii="仿宋_GB2312" w:eastAsia="仿宋_GB2312" w:hAnsi="仿宋_GB2312" w:cs="仿宋_GB2312" w:hint="eastAsia"/>
          <w:szCs w:val="32"/>
          <w:lang w:bidi="ug-CN"/>
        </w:rPr>
        <w:t>申请人的经营场所与最近零售点的经营场所</w:t>
      </w:r>
      <w:r>
        <w:rPr>
          <w:rFonts w:ascii="仿宋_GB2312" w:eastAsia="仿宋_GB2312" w:hAnsi="仿宋" w:cs="宋体" w:hint="eastAsia"/>
          <w:szCs w:val="32"/>
          <w:lang w:bidi="ug-CN"/>
        </w:rPr>
        <w:t>同侧无障碍物的,测量</w:t>
      </w:r>
      <w:r>
        <w:rPr>
          <w:rFonts w:ascii="仿宋_GB2312" w:eastAsia="仿宋_GB2312" w:hAnsi="宋体" w:cs="宋体" w:hint="eastAsia"/>
          <w:kern w:val="0"/>
          <w:szCs w:val="32"/>
          <w:lang w:bidi="ug-CN"/>
        </w:rPr>
        <w:t>最短直线距离。（如图1所示）</w:t>
      </w:r>
    </w:p>
    <w:p w:rsidR="000F6FFE" w:rsidRDefault="00CD3A2D">
      <w:pPr>
        <w:jc w:val="center"/>
        <w:rPr>
          <w:rFonts w:ascii="仿宋_GB2312" w:eastAsia="仿宋_GB2312" w:hAnsi="宋体" w:cs="宋体"/>
          <w:kern w:val="0"/>
          <w:szCs w:val="32"/>
          <w:lang w:bidi="ug-CN"/>
        </w:rPr>
      </w:pPr>
      <w:r>
        <w:rPr>
          <w:rFonts w:ascii="仿宋_GB2312" w:eastAsia="仿宋_GB2312" w:hAnsi="宋体" w:cs="宋体"/>
          <w:noProof/>
          <w:kern w:val="0"/>
          <w:szCs w:val="32"/>
        </w:rPr>
        <w:drawing>
          <wp:inline distT="0" distB="0" distL="114300" distR="114300">
            <wp:extent cx="5257800" cy="2025650"/>
            <wp:effectExtent l="0" t="0" r="0" b="12700"/>
            <wp:docPr id="18" name="图片 7" descr="a4a1d4dd071fd70d362880324593a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descr="a4a1d4dd071fd70d362880324593a78"/>
                    <pic:cNvPicPr>
                      <a:picLocks noChangeAspect="1"/>
                    </pic:cNvPicPr>
                  </pic:nvPicPr>
                  <pic:blipFill>
                    <a:blip r:embed="rId7"/>
                    <a:stretch>
                      <a:fillRect/>
                    </a:stretch>
                  </pic:blipFill>
                  <pic:spPr>
                    <a:xfrm>
                      <a:off x="0" y="0"/>
                      <a:ext cx="5257800" cy="2025650"/>
                    </a:xfrm>
                    <a:prstGeom prst="rect">
                      <a:avLst/>
                    </a:prstGeom>
                    <a:noFill/>
                    <a:ln>
                      <a:noFill/>
                    </a:ln>
                  </pic:spPr>
                </pic:pic>
              </a:graphicData>
            </a:graphic>
          </wp:inline>
        </w:drawing>
      </w:r>
      <w:r>
        <w:rPr>
          <w:rFonts w:ascii="仿宋_GB2312" w:eastAsia="仿宋_GB2312" w:hAnsi="宋体" w:cs="宋体" w:hint="eastAsia"/>
          <w:kern w:val="0"/>
          <w:szCs w:val="32"/>
          <w:lang w:bidi="ug-CN"/>
        </w:rPr>
        <w:lastRenderedPageBreak/>
        <w:t>（图1）</w:t>
      </w:r>
    </w:p>
    <w:p w:rsidR="000F6FFE" w:rsidRDefault="00CD3A2D">
      <w:pPr>
        <w:adjustRightInd w:val="0"/>
        <w:snapToGrid w:val="0"/>
        <w:spacing w:line="540" w:lineRule="exact"/>
        <w:ind w:firstLineChars="221" w:firstLine="707"/>
        <w:rPr>
          <w:rFonts w:ascii="仿宋_GB2312" w:eastAsia="仿宋_GB2312" w:hAnsi="仿宋" w:cs="宋体"/>
          <w:szCs w:val="32"/>
          <w:lang w:bidi="ug-CN"/>
        </w:rPr>
      </w:pPr>
      <w:r>
        <w:rPr>
          <w:rFonts w:ascii="仿宋_GB2312" w:eastAsia="仿宋_GB2312" w:hAnsi="仿宋" w:cs="宋体" w:hint="eastAsia"/>
          <w:szCs w:val="32"/>
          <w:lang w:bidi="ug-CN"/>
        </w:rPr>
        <w:t>（二）</w:t>
      </w:r>
      <w:r>
        <w:rPr>
          <w:rFonts w:ascii="仿宋_GB2312" w:eastAsia="仿宋_GB2312" w:hAnsi="仿宋_GB2312" w:cs="仿宋_GB2312" w:hint="eastAsia"/>
          <w:szCs w:val="32"/>
          <w:lang w:bidi="ug-CN"/>
        </w:rPr>
        <w:t>申请人的经营场所与最近零售点的经营场所</w:t>
      </w:r>
      <w:r>
        <w:rPr>
          <w:rFonts w:ascii="仿宋_GB2312" w:eastAsia="仿宋_GB2312" w:hAnsi="黑体" w:cs="宋体" w:hint="eastAsia"/>
          <w:szCs w:val="32"/>
          <w:lang w:bidi="ug-CN"/>
        </w:rPr>
        <w:t>同侧</w:t>
      </w:r>
      <w:r>
        <w:rPr>
          <w:rFonts w:ascii="仿宋_GB2312" w:eastAsia="仿宋_GB2312" w:hAnsi="仿宋" w:cs="宋体" w:hint="eastAsia"/>
          <w:szCs w:val="32"/>
          <w:lang w:bidi="ug-CN"/>
        </w:rPr>
        <w:t>存在障碍物的，测量按直角分段绕过障碍物测量，分段距离之和即为</w:t>
      </w:r>
      <w:r>
        <w:rPr>
          <w:rFonts w:ascii="仿宋_GB2312" w:eastAsia="仿宋_GB2312" w:hAnsi="仿宋_GB2312" w:cs="仿宋_GB2312" w:hint="eastAsia"/>
          <w:szCs w:val="32"/>
          <w:lang w:bidi="ug-CN"/>
        </w:rPr>
        <w:t>申请人的经营场所与最近零售点的经营场所</w:t>
      </w:r>
      <w:r>
        <w:rPr>
          <w:rFonts w:ascii="仿宋_GB2312" w:eastAsia="仿宋_GB2312" w:hAnsi="仿宋" w:cs="宋体" w:hint="eastAsia"/>
          <w:szCs w:val="32"/>
          <w:lang w:bidi="ug-CN"/>
        </w:rPr>
        <w:t>间的距离。（如图2所示）</w:t>
      </w:r>
    </w:p>
    <w:p w:rsidR="000F6FFE" w:rsidRDefault="00CD3A2D">
      <w:pPr>
        <w:adjustRightInd w:val="0"/>
        <w:snapToGrid w:val="0"/>
        <w:jc w:val="center"/>
        <w:rPr>
          <w:rFonts w:ascii="方正小标宋简体" w:eastAsia="方正小标宋简体" w:hAnsi="黑体" w:cs="宋体"/>
          <w:szCs w:val="32"/>
          <w:lang w:bidi="ug-CN"/>
        </w:rPr>
      </w:pPr>
      <w:r>
        <w:rPr>
          <w:rFonts w:ascii="方正小标宋简体" w:eastAsia="方正小标宋简体" w:hAnsi="黑体" w:cs="宋体"/>
          <w:noProof/>
          <w:szCs w:val="32"/>
        </w:rPr>
        <w:drawing>
          <wp:inline distT="0" distB="0" distL="114300" distR="114300">
            <wp:extent cx="5255260" cy="1898650"/>
            <wp:effectExtent l="0" t="0" r="2540" b="6350"/>
            <wp:docPr id="19" name="图片 8" descr="a10234677569395b1444565ea9f70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descr="a10234677569395b1444565ea9f700d"/>
                    <pic:cNvPicPr>
                      <a:picLocks noChangeAspect="1"/>
                    </pic:cNvPicPr>
                  </pic:nvPicPr>
                  <pic:blipFill>
                    <a:blip r:embed="rId8"/>
                    <a:stretch>
                      <a:fillRect/>
                    </a:stretch>
                  </pic:blipFill>
                  <pic:spPr>
                    <a:xfrm>
                      <a:off x="0" y="0"/>
                      <a:ext cx="5255260" cy="1898650"/>
                    </a:xfrm>
                    <a:prstGeom prst="rect">
                      <a:avLst/>
                    </a:prstGeom>
                    <a:noFill/>
                    <a:ln>
                      <a:noFill/>
                    </a:ln>
                  </pic:spPr>
                </pic:pic>
              </a:graphicData>
            </a:graphic>
          </wp:inline>
        </w:drawing>
      </w:r>
    </w:p>
    <w:p w:rsidR="000F6FFE" w:rsidRDefault="00CD3A2D">
      <w:pPr>
        <w:adjustRightInd w:val="0"/>
        <w:snapToGrid w:val="0"/>
        <w:jc w:val="center"/>
        <w:rPr>
          <w:rFonts w:ascii="仿宋_GB2312" w:eastAsia="仿宋_GB2312" w:hAnsi="仿宋" w:cs="宋体"/>
          <w:szCs w:val="32"/>
          <w:lang w:bidi="ug-CN"/>
        </w:rPr>
      </w:pPr>
      <w:r>
        <w:rPr>
          <w:rFonts w:ascii="方正小标宋简体" w:eastAsia="方正小标宋简体" w:hAnsi="黑体" w:cs="宋体" w:hint="eastAsia"/>
          <w:szCs w:val="32"/>
          <w:lang w:bidi="ug-CN"/>
        </w:rPr>
        <w:t>（</w:t>
      </w:r>
      <w:r>
        <w:rPr>
          <w:rFonts w:ascii="仿宋_GB2312" w:eastAsia="仿宋_GB2312" w:hAnsi="仿宋" w:cs="宋体" w:hint="eastAsia"/>
          <w:szCs w:val="32"/>
          <w:lang w:bidi="ug-CN"/>
        </w:rPr>
        <w:t>图2）</w:t>
      </w:r>
    </w:p>
    <w:p w:rsidR="000F6FFE" w:rsidRDefault="00CD3A2D">
      <w:pPr>
        <w:adjustRightInd w:val="0"/>
        <w:snapToGrid w:val="0"/>
        <w:spacing w:line="540" w:lineRule="exact"/>
        <w:ind w:firstLineChars="221" w:firstLine="707"/>
        <w:rPr>
          <w:rFonts w:ascii="仿宋_GB2312" w:eastAsia="仿宋_GB2312" w:hAnsi="仿宋" w:cs="宋体"/>
          <w:szCs w:val="32"/>
          <w:lang w:bidi="ug-CN"/>
        </w:rPr>
      </w:pPr>
      <w:r>
        <w:rPr>
          <w:rFonts w:ascii="仿宋_GB2312" w:eastAsia="仿宋_GB2312" w:hAnsi="仿宋" w:cs="宋体" w:hint="eastAsia"/>
          <w:szCs w:val="32"/>
          <w:lang w:bidi="ug-CN"/>
        </w:rPr>
        <w:t>（三）</w:t>
      </w:r>
      <w:r>
        <w:rPr>
          <w:rFonts w:ascii="仿宋_GB2312" w:eastAsia="仿宋_GB2312" w:hAnsi="仿宋_GB2312" w:cs="仿宋_GB2312" w:hint="eastAsia"/>
          <w:szCs w:val="32"/>
          <w:lang w:bidi="ug-CN"/>
        </w:rPr>
        <w:t>申请人的经营场所与最近零售点的经营场所</w:t>
      </w:r>
      <w:r>
        <w:rPr>
          <w:rFonts w:ascii="仿宋_GB2312" w:eastAsia="仿宋_GB2312" w:hAnsi="仿宋" w:cs="宋体" w:hint="eastAsia"/>
          <w:szCs w:val="32"/>
          <w:lang w:bidi="ug-CN"/>
        </w:rPr>
        <w:t>异侧无障碍物的,测量按直角分段测量，分段距离之和即为</w:t>
      </w:r>
      <w:r>
        <w:rPr>
          <w:rFonts w:ascii="仿宋_GB2312" w:eastAsia="仿宋_GB2312" w:hAnsi="仿宋_GB2312" w:cs="仿宋_GB2312" w:hint="eastAsia"/>
          <w:szCs w:val="32"/>
          <w:lang w:bidi="ug-CN"/>
        </w:rPr>
        <w:t>申请人的经营场所与最近零售点的经营场所</w:t>
      </w:r>
      <w:r>
        <w:rPr>
          <w:rFonts w:ascii="仿宋_GB2312" w:eastAsia="仿宋_GB2312" w:hAnsi="仿宋" w:cs="宋体" w:hint="eastAsia"/>
          <w:szCs w:val="32"/>
          <w:lang w:bidi="ug-CN"/>
        </w:rPr>
        <w:t xml:space="preserve">的距离。（如图3所示）  </w:t>
      </w:r>
    </w:p>
    <w:p w:rsidR="000F6FFE" w:rsidRDefault="00CD3A2D">
      <w:pPr>
        <w:adjustRightInd w:val="0"/>
        <w:snapToGrid w:val="0"/>
        <w:jc w:val="center"/>
        <w:rPr>
          <w:rFonts w:ascii="方正小标宋简体" w:eastAsia="方正小标宋简体" w:hAnsi="黑体" w:cs="宋体"/>
          <w:szCs w:val="21"/>
          <w:lang w:bidi="ug-CN"/>
        </w:rPr>
      </w:pPr>
      <w:r>
        <w:rPr>
          <w:rFonts w:ascii="方正小标宋简体" w:eastAsia="方正小标宋简体" w:hAnsi="黑体" w:cs="宋体"/>
          <w:noProof/>
          <w:szCs w:val="21"/>
        </w:rPr>
        <w:drawing>
          <wp:inline distT="0" distB="0" distL="114300" distR="114300">
            <wp:extent cx="5257800" cy="2633345"/>
            <wp:effectExtent l="0" t="0" r="0" b="14605"/>
            <wp:docPr id="20" name="图片 9" descr="95093f88d308a53b7cbcf0aa8b25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descr="95093f88d308a53b7cbcf0aa8b25898"/>
                    <pic:cNvPicPr>
                      <a:picLocks noChangeAspect="1"/>
                    </pic:cNvPicPr>
                  </pic:nvPicPr>
                  <pic:blipFill>
                    <a:blip r:embed="rId9"/>
                    <a:stretch>
                      <a:fillRect/>
                    </a:stretch>
                  </pic:blipFill>
                  <pic:spPr>
                    <a:xfrm>
                      <a:off x="0" y="0"/>
                      <a:ext cx="5257800" cy="2633345"/>
                    </a:xfrm>
                    <a:prstGeom prst="rect">
                      <a:avLst/>
                    </a:prstGeom>
                    <a:noFill/>
                    <a:ln>
                      <a:noFill/>
                    </a:ln>
                  </pic:spPr>
                </pic:pic>
              </a:graphicData>
            </a:graphic>
          </wp:inline>
        </w:drawing>
      </w:r>
    </w:p>
    <w:p w:rsidR="000F6FFE" w:rsidRDefault="00CD3A2D">
      <w:pPr>
        <w:adjustRightInd w:val="0"/>
        <w:snapToGrid w:val="0"/>
        <w:jc w:val="center"/>
        <w:rPr>
          <w:rFonts w:ascii="仿宋_GB2312" w:eastAsia="仿宋_GB2312" w:hAnsi="宋体" w:cs="宋体"/>
          <w:kern w:val="0"/>
          <w:szCs w:val="32"/>
          <w:lang w:bidi="ug-CN"/>
        </w:rPr>
      </w:pPr>
      <w:r>
        <w:rPr>
          <w:rFonts w:ascii="仿宋_GB2312" w:eastAsia="仿宋_GB2312" w:hAnsi="宋体" w:cs="宋体" w:hint="eastAsia"/>
          <w:kern w:val="0"/>
          <w:szCs w:val="32"/>
          <w:lang w:bidi="ug-CN"/>
        </w:rPr>
        <w:t>（图3）</w:t>
      </w:r>
    </w:p>
    <w:p w:rsidR="000F6FFE" w:rsidRDefault="00CD3A2D">
      <w:pPr>
        <w:adjustRightInd w:val="0"/>
        <w:snapToGrid w:val="0"/>
        <w:spacing w:line="540" w:lineRule="exact"/>
        <w:ind w:firstLineChars="221" w:firstLine="707"/>
        <w:rPr>
          <w:rFonts w:ascii="仿宋_GB2312" w:eastAsia="仿宋_GB2312" w:hAnsi="仿宋" w:cs="宋体"/>
          <w:szCs w:val="32"/>
          <w:lang w:bidi="ug-CN"/>
        </w:rPr>
      </w:pPr>
      <w:r>
        <w:rPr>
          <w:rFonts w:ascii="仿宋_GB2312" w:eastAsia="仿宋_GB2312" w:hAnsi="仿宋" w:cs="宋体" w:hint="eastAsia"/>
          <w:szCs w:val="32"/>
          <w:lang w:bidi="ug-CN"/>
        </w:rPr>
        <w:t>（四）</w:t>
      </w:r>
      <w:r>
        <w:rPr>
          <w:rFonts w:ascii="仿宋_GB2312" w:eastAsia="仿宋_GB2312" w:hAnsi="仿宋_GB2312" w:cs="仿宋_GB2312" w:hint="eastAsia"/>
          <w:szCs w:val="32"/>
          <w:lang w:bidi="ug-CN"/>
        </w:rPr>
        <w:t>申请人的经营场所与最近零售点的经营场所</w:t>
      </w:r>
      <w:r>
        <w:rPr>
          <w:rFonts w:ascii="仿宋_GB2312" w:eastAsia="仿宋_GB2312" w:hAnsi="仿宋" w:cs="宋体" w:hint="eastAsia"/>
          <w:szCs w:val="32"/>
          <w:lang w:bidi="ug-CN"/>
        </w:rPr>
        <w:t>异侧</w:t>
      </w:r>
      <w:r>
        <w:rPr>
          <w:rFonts w:ascii="仿宋_GB2312" w:eastAsia="仿宋_GB2312" w:hAnsi="仿宋" w:cs="宋体" w:hint="eastAsia"/>
          <w:szCs w:val="32"/>
          <w:lang w:bidi="ug-CN"/>
        </w:rPr>
        <w:lastRenderedPageBreak/>
        <w:t>存在障碍物的，测量按直角分段绕过障碍物测量，分段距离之和即为</w:t>
      </w:r>
      <w:r>
        <w:rPr>
          <w:rFonts w:ascii="仿宋_GB2312" w:eastAsia="仿宋_GB2312" w:hAnsi="仿宋_GB2312" w:cs="仿宋_GB2312" w:hint="eastAsia"/>
          <w:szCs w:val="32"/>
          <w:lang w:bidi="ug-CN"/>
        </w:rPr>
        <w:t>申请人的经营场所与最近零售点的经营场所</w:t>
      </w:r>
      <w:r>
        <w:rPr>
          <w:rFonts w:ascii="仿宋_GB2312" w:eastAsia="仿宋_GB2312" w:hAnsi="仿宋" w:cs="宋体" w:hint="eastAsia"/>
          <w:szCs w:val="32"/>
          <w:lang w:bidi="ug-CN"/>
        </w:rPr>
        <w:t>间的距离。（如图4所示）</w:t>
      </w:r>
    </w:p>
    <w:p w:rsidR="000F6FFE" w:rsidRDefault="00CD3A2D">
      <w:pPr>
        <w:adjustRightInd w:val="0"/>
        <w:snapToGrid w:val="0"/>
        <w:jc w:val="center"/>
        <w:rPr>
          <w:rFonts w:ascii="仿宋_GB2312" w:eastAsia="仿宋_GB2312" w:hAnsi="仿宋" w:cs="宋体"/>
          <w:szCs w:val="32"/>
          <w:lang w:bidi="ug-CN"/>
        </w:rPr>
      </w:pPr>
      <w:r>
        <w:rPr>
          <w:rFonts w:ascii="仿宋_GB2312" w:eastAsia="仿宋_GB2312" w:hAnsi="仿宋" w:cs="宋体"/>
          <w:noProof/>
          <w:szCs w:val="32"/>
        </w:rPr>
        <w:drawing>
          <wp:inline distT="0" distB="0" distL="114300" distR="114300">
            <wp:extent cx="5216525" cy="2541905"/>
            <wp:effectExtent l="0" t="0" r="3175" b="10795"/>
            <wp:docPr id="21" name="图片 10" descr="dd78379a879eff09d01d29da191c6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descr="dd78379a879eff09d01d29da191c60a"/>
                    <pic:cNvPicPr>
                      <a:picLocks noChangeAspect="1"/>
                    </pic:cNvPicPr>
                  </pic:nvPicPr>
                  <pic:blipFill>
                    <a:blip r:embed="rId10"/>
                    <a:stretch>
                      <a:fillRect/>
                    </a:stretch>
                  </pic:blipFill>
                  <pic:spPr>
                    <a:xfrm>
                      <a:off x="0" y="0"/>
                      <a:ext cx="5216525" cy="2541905"/>
                    </a:xfrm>
                    <a:prstGeom prst="rect">
                      <a:avLst/>
                    </a:prstGeom>
                    <a:noFill/>
                    <a:ln>
                      <a:noFill/>
                    </a:ln>
                  </pic:spPr>
                </pic:pic>
              </a:graphicData>
            </a:graphic>
          </wp:inline>
        </w:drawing>
      </w:r>
    </w:p>
    <w:p w:rsidR="000F6FFE" w:rsidRDefault="00CD3A2D">
      <w:pPr>
        <w:adjustRightInd w:val="0"/>
        <w:snapToGrid w:val="0"/>
        <w:jc w:val="center"/>
        <w:rPr>
          <w:rFonts w:ascii="仿宋_GB2312" w:eastAsia="仿宋_GB2312" w:hAnsi="仿宋" w:cs="宋体"/>
          <w:szCs w:val="32"/>
          <w:lang w:bidi="ug-CN"/>
        </w:rPr>
      </w:pPr>
      <w:r>
        <w:rPr>
          <w:rFonts w:ascii="仿宋_GB2312" w:eastAsia="仿宋_GB2312" w:hAnsi="宋体" w:cs="宋体" w:hint="eastAsia"/>
          <w:kern w:val="0"/>
          <w:szCs w:val="32"/>
          <w:lang w:bidi="ug-CN"/>
        </w:rPr>
        <w:t>（图4）</w:t>
      </w:r>
    </w:p>
    <w:p w:rsidR="000F6FFE" w:rsidRDefault="00CD3A2D">
      <w:pPr>
        <w:adjustRightInd w:val="0"/>
        <w:snapToGrid w:val="0"/>
        <w:spacing w:line="600" w:lineRule="exact"/>
        <w:ind w:firstLineChars="221" w:firstLine="707"/>
        <w:rPr>
          <w:rFonts w:ascii="仿宋_GB2312" w:eastAsia="仿宋_GB2312" w:hAnsi="仿宋" w:cs="宋体"/>
          <w:szCs w:val="32"/>
          <w:lang w:bidi="ug-CN"/>
        </w:rPr>
      </w:pPr>
      <w:r>
        <w:rPr>
          <w:rFonts w:ascii="仿宋_GB2312" w:eastAsia="仿宋_GB2312" w:hAnsi="仿宋" w:cs="宋体" w:hint="eastAsia"/>
          <w:szCs w:val="32"/>
          <w:lang w:bidi="ug-CN"/>
        </w:rPr>
        <w:t>（五）</w:t>
      </w:r>
      <w:r>
        <w:rPr>
          <w:rFonts w:ascii="仿宋_GB2312" w:eastAsia="仿宋_GB2312" w:hAnsi="仿宋_GB2312" w:cs="仿宋_GB2312" w:hint="eastAsia"/>
          <w:szCs w:val="32"/>
          <w:lang w:bidi="ug-CN"/>
        </w:rPr>
        <w:t>申请人的经营场所与最近零售点的经营场所</w:t>
      </w:r>
      <w:r>
        <w:rPr>
          <w:rFonts w:ascii="仿宋_GB2312" w:eastAsia="仿宋_GB2312" w:hAnsi="黑体" w:cs="宋体" w:hint="eastAsia"/>
          <w:szCs w:val="32"/>
          <w:lang w:bidi="ug-CN"/>
        </w:rPr>
        <w:t>之间</w:t>
      </w:r>
      <w:r>
        <w:rPr>
          <w:rFonts w:ascii="仿宋_GB2312" w:eastAsia="仿宋_GB2312" w:hAnsi="仿宋" w:cs="宋体" w:hint="eastAsia"/>
          <w:szCs w:val="32"/>
          <w:lang w:bidi="ug-CN"/>
        </w:rPr>
        <w:t>道路存在有转角的，按直角分段测量最短距离。（如图5所示）</w:t>
      </w:r>
    </w:p>
    <w:p w:rsidR="000F6FFE" w:rsidRDefault="00CD3A2D">
      <w:pPr>
        <w:adjustRightInd w:val="0"/>
        <w:snapToGrid w:val="0"/>
        <w:ind w:firstLineChars="221" w:firstLine="707"/>
        <w:jc w:val="center"/>
        <w:rPr>
          <w:rFonts w:ascii="仿宋_GB2312" w:eastAsia="仿宋_GB2312" w:hAnsi="仿宋" w:cs="宋体"/>
          <w:szCs w:val="32"/>
          <w:lang w:bidi="ug-CN"/>
        </w:rPr>
      </w:pPr>
      <w:r>
        <w:rPr>
          <w:rFonts w:ascii="方正小标宋简体" w:eastAsia="方正小标宋简体" w:hAnsi="黑体" w:cs="宋体"/>
          <w:noProof/>
          <w:szCs w:val="32"/>
        </w:rPr>
        <w:drawing>
          <wp:inline distT="0" distB="0" distL="114300" distR="114300">
            <wp:extent cx="4981575" cy="3550920"/>
            <wp:effectExtent l="0" t="0" r="9525" b="11430"/>
            <wp:docPr id="22" name="图片 11" descr="ed8a6ec6b6efd4edc83e191d2ec4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1" descr="ed8a6ec6b6efd4edc83e191d2ec4415"/>
                    <pic:cNvPicPr>
                      <a:picLocks noChangeAspect="1"/>
                    </pic:cNvPicPr>
                  </pic:nvPicPr>
                  <pic:blipFill>
                    <a:blip r:embed="rId11"/>
                    <a:stretch>
                      <a:fillRect/>
                    </a:stretch>
                  </pic:blipFill>
                  <pic:spPr>
                    <a:xfrm>
                      <a:off x="0" y="0"/>
                      <a:ext cx="4981575" cy="3550920"/>
                    </a:xfrm>
                    <a:prstGeom prst="rect">
                      <a:avLst/>
                    </a:prstGeom>
                    <a:noFill/>
                    <a:ln>
                      <a:noFill/>
                    </a:ln>
                  </pic:spPr>
                </pic:pic>
              </a:graphicData>
            </a:graphic>
          </wp:inline>
        </w:drawing>
      </w:r>
      <w:r>
        <w:rPr>
          <w:rFonts w:ascii="方正小标宋简体" w:eastAsia="方正小标宋简体" w:hAnsi="黑体" w:cs="宋体" w:hint="eastAsia"/>
          <w:szCs w:val="32"/>
          <w:lang w:bidi="ug-CN"/>
        </w:rPr>
        <w:lastRenderedPageBreak/>
        <w:t>（</w:t>
      </w:r>
      <w:r>
        <w:rPr>
          <w:rFonts w:ascii="仿宋_GB2312" w:eastAsia="仿宋_GB2312" w:hAnsi="宋体" w:cs="宋体" w:hint="eastAsia"/>
          <w:kern w:val="0"/>
          <w:szCs w:val="32"/>
          <w:lang w:bidi="ug-CN"/>
        </w:rPr>
        <w:t>图5）</w:t>
      </w:r>
    </w:p>
    <w:p w:rsidR="000F6FFE" w:rsidRDefault="00CD3A2D">
      <w:pPr>
        <w:adjustRightInd w:val="0"/>
        <w:snapToGrid w:val="0"/>
        <w:spacing w:line="600" w:lineRule="exact"/>
        <w:ind w:firstLineChars="221" w:firstLine="707"/>
        <w:rPr>
          <w:rFonts w:ascii="仿宋_GB2312" w:eastAsia="仿宋_GB2312" w:hAnsi="仿宋" w:cs="宋体"/>
          <w:szCs w:val="32"/>
          <w:lang w:bidi="ug-CN"/>
        </w:rPr>
      </w:pPr>
      <w:r>
        <w:rPr>
          <w:rFonts w:ascii="仿宋_GB2312" w:eastAsia="仿宋_GB2312" w:hAnsi="仿宋" w:cs="宋体" w:hint="eastAsia"/>
          <w:szCs w:val="32"/>
          <w:lang w:bidi="ug-CN"/>
        </w:rPr>
        <w:t>（六）</w:t>
      </w:r>
      <w:r>
        <w:rPr>
          <w:rFonts w:ascii="仿宋_GB2312" w:eastAsia="仿宋_GB2312" w:hAnsi="仿宋_GB2312" w:cs="仿宋_GB2312" w:hint="eastAsia"/>
          <w:szCs w:val="32"/>
          <w:lang w:bidi="ug-CN"/>
        </w:rPr>
        <w:t>申请人的经营场所与最近零售点的经营场所</w:t>
      </w:r>
      <w:r>
        <w:rPr>
          <w:rFonts w:ascii="仿宋_GB2312" w:eastAsia="仿宋_GB2312" w:hAnsi="仿宋" w:cs="宋体" w:hint="eastAsia"/>
          <w:szCs w:val="32"/>
          <w:lang w:bidi="ug-CN"/>
        </w:rPr>
        <w:t>之间有台阶、楼梯的，以其平面坡长进行测量（如图6所示）；有电梯的，以层高进行测量；楼梯与电梯并存的，以最短距离的为准。</w:t>
      </w:r>
    </w:p>
    <w:p w:rsidR="000F6FFE" w:rsidRDefault="00CD3A2D">
      <w:pPr>
        <w:adjustRightInd w:val="0"/>
        <w:snapToGrid w:val="0"/>
        <w:jc w:val="center"/>
        <w:rPr>
          <w:rFonts w:ascii="仿宋_GB2312" w:eastAsia="仿宋_GB2312" w:hAnsi="黑体" w:cs="宋体"/>
          <w:szCs w:val="32"/>
          <w:lang w:bidi="ug-CN"/>
        </w:rPr>
      </w:pPr>
      <w:r>
        <w:rPr>
          <w:rFonts w:ascii="仿宋_GB2312" w:eastAsia="仿宋_GB2312" w:hAnsi="黑体" w:cs="宋体"/>
          <w:noProof/>
          <w:szCs w:val="32"/>
        </w:rPr>
        <w:drawing>
          <wp:inline distT="0" distB="0" distL="114300" distR="114300">
            <wp:extent cx="4681855" cy="2112010"/>
            <wp:effectExtent l="0" t="0" r="4445" b="2540"/>
            <wp:docPr id="23" name="图片 12" descr="8746ca3c29c4409ceed41e0fc329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2" descr="8746ca3c29c4409ceed41e0fc329b28"/>
                    <pic:cNvPicPr>
                      <a:picLocks noChangeAspect="1"/>
                    </pic:cNvPicPr>
                  </pic:nvPicPr>
                  <pic:blipFill>
                    <a:blip r:embed="rId12"/>
                    <a:stretch>
                      <a:fillRect/>
                    </a:stretch>
                  </pic:blipFill>
                  <pic:spPr>
                    <a:xfrm>
                      <a:off x="0" y="0"/>
                      <a:ext cx="4681855" cy="2112010"/>
                    </a:xfrm>
                    <a:prstGeom prst="rect">
                      <a:avLst/>
                    </a:prstGeom>
                    <a:noFill/>
                    <a:ln>
                      <a:noFill/>
                    </a:ln>
                  </pic:spPr>
                </pic:pic>
              </a:graphicData>
            </a:graphic>
          </wp:inline>
        </w:drawing>
      </w:r>
    </w:p>
    <w:p w:rsidR="000F6FFE" w:rsidRDefault="00CD3A2D">
      <w:pPr>
        <w:adjustRightInd w:val="0"/>
        <w:snapToGrid w:val="0"/>
        <w:jc w:val="center"/>
        <w:rPr>
          <w:rFonts w:ascii="仿宋_GB2312" w:eastAsia="仿宋_GB2312" w:hAnsi="仿宋" w:cs="宋体"/>
          <w:szCs w:val="32"/>
          <w:lang w:bidi="ug-CN"/>
        </w:rPr>
      </w:pPr>
      <w:r>
        <w:rPr>
          <w:rFonts w:ascii="仿宋_GB2312" w:eastAsia="仿宋_GB2312" w:hAnsi="黑体" w:cs="宋体" w:hint="eastAsia"/>
          <w:szCs w:val="32"/>
          <w:lang w:bidi="ug-CN"/>
        </w:rPr>
        <w:t>（</w:t>
      </w:r>
      <w:r>
        <w:rPr>
          <w:rFonts w:ascii="仿宋_GB2312" w:eastAsia="仿宋_GB2312" w:hAnsi="仿宋" w:cs="宋体" w:hint="eastAsia"/>
          <w:szCs w:val="32"/>
          <w:lang w:bidi="ug-CN"/>
        </w:rPr>
        <w:t>图6）</w:t>
      </w:r>
    </w:p>
    <w:p w:rsidR="000F6FFE" w:rsidRDefault="000F6FFE">
      <w:pPr>
        <w:adjustRightInd w:val="0"/>
        <w:snapToGrid w:val="0"/>
        <w:spacing w:line="600" w:lineRule="exact"/>
        <w:ind w:firstLineChars="200" w:firstLine="640"/>
        <w:rPr>
          <w:rFonts w:ascii="仿宋_GB2312" w:eastAsia="仿宋_GB2312" w:hAnsi="仿宋" w:cs="宋体"/>
          <w:szCs w:val="32"/>
          <w:lang w:bidi="ug-CN"/>
        </w:rPr>
      </w:pPr>
    </w:p>
    <w:p w:rsidR="000F6FFE" w:rsidRDefault="00CD3A2D">
      <w:pPr>
        <w:snapToGrid w:val="0"/>
        <w:spacing w:line="560" w:lineRule="exact"/>
        <w:ind w:firstLineChars="200" w:firstLine="640"/>
        <w:jc w:val="left"/>
        <w:rPr>
          <w:rFonts w:ascii="仿宋_GB2312" w:eastAsia="仿宋_GB2312" w:hAnsi="仿宋" w:cs="宋体"/>
          <w:szCs w:val="32"/>
          <w:lang w:bidi="ug-CN"/>
        </w:rPr>
      </w:pPr>
      <w:r>
        <w:rPr>
          <w:rFonts w:ascii="仿宋_GB2312" w:eastAsia="仿宋_GB2312" w:hAnsi="仿宋" w:cs="宋体" w:hint="eastAsia"/>
          <w:szCs w:val="32"/>
          <w:lang w:bidi="ug-CN"/>
        </w:rPr>
        <w:t>（</w:t>
      </w:r>
      <w:r w:rsidR="009D04F2">
        <w:rPr>
          <w:rFonts w:ascii="仿宋_GB2312" w:eastAsia="仿宋_GB2312" w:hAnsi="仿宋" w:cs="宋体" w:hint="eastAsia"/>
          <w:szCs w:val="32"/>
          <w:lang w:bidi="ug-CN"/>
        </w:rPr>
        <w:t>七</w:t>
      </w:r>
      <w:r>
        <w:rPr>
          <w:rFonts w:ascii="仿宋_GB2312" w:eastAsia="仿宋_GB2312" w:hAnsi="仿宋" w:cs="宋体" w:hint="eastAsia"/>
          <w:szCs w:val="32"/>
          <w:lang w:bidi="ug-CN"/>
        </w:rPr>
        <w:t>）市场、封闭式小区内、广场等区域零售点间距测量方法均以原设计道路、人行通道等行人正常安全行走</w:t>
      </w:r>
      <w:r>
        <w:rPr>
          <w:rFonts w:ascii="仿宋_GB2312" w:eastAsia="仿宋_GB2312" w:hAnsi="宋体" w:cs="宋体" w:hint="eastAsia"/>
          <w:kern w:val="0"/>
          <w:szCs w:val="32"/>
          <w:lang w:bidi="ug-CN"/>
        </w:rPr>
        <w:t>的最短距离进行测量。</w:t>
      </w:r>
    </w:p>
    <w:p w:rsidR="000F6FFE" w:rsidRDefault="00CD3A2D">
      <w:pPr>
        <w:adjustRightInd w:val="0"/>
        <w:snapToGrid w:val="0"/>
        <w:spacing w:line="600" w:lineRule="exact"/>
        <w:ind w:firstLineChars="221" w:firstLine="707"/>
        <w:rPr>
          <w:rFonts w:ascii="仿宋_GB2312" w:eastAsia="仿宋_GB2312" w:hAnsi="仿宋" w:cs="宋体"/>
          <w:szCs w:val="32"/>
          <w:lang w:bidi="ug-CN"/>
        </w:rPr>
      </w:pPr>
      <w:r>
        <w:rPr>
          <w:rFonts w:ascii="仿宋_GB2312" w:eastAsia="仿宋_GB2312" w:hAnsi="仿宋" w:cs="宋体" w:hint="eastAsia"/>
          <w:szCs w:val="32"/>
          <w:lang w:bidi="ug-CN"/>
        </w:rPr>
        <w:t>（</w:t>
      </w:r>
      <w:r w:rsidR="009D04F2">
        <w:rPr>
          <w:rFonts w:ascii="仿宋_GB2312" w:eastAsia="仿宋_GB2312" w:hAnsi="仿宋" w:cs="宋体" w:hint="eastAsia"/>
          <w:szCs w:val="32"/>
          <w:lang w:bidi="ug-CN"/>
        </w:rPr>
        <w:t>八</w:t>
      </w:r>
      <w:r>
        <w:rPr>
          <w:rFonts w:ascii="仿宋_GB2312" w:eastAsia="仿宋_GB2312" w:hAnsi="仿宋" w:cs="宋体" w:hint="eastAsia"/>
          <w:szCs w:val="32"/>
          <w:lang w:bidi="ug-CN"/>
        </w:rPr>
        <w:t>）特殊地形测量：因地形、地貌或设计等原因导致道路、通道成不规则形态，通过前述方法无法测量的，取可安全通行路径最近距离进行测量。</w:t>
      </w:r>
    </w:p>
    <w:p w:rsidR="000F6FFE" w:rsidRDefault="00CD3A2D">
      <w:pPr>
        <w:adjustRightInd w:val="0"/>
        <w:snapToGrid w:val="0"/>
        <w:spacing w:line="600" w:lineRule="exact"/>
        <w:ind w:firstLineChars="221" w:firstLine="707"/>
        <w:rPr>
          <w:rFonts w:ascii="仿宋_GB2312" w:eastAsia="仿宋_GB2312" w:hAnsi="仿宋" w:cs="宋体"/>
          <w:szCs w:val="32"/>
          <w:lang w:bidi="ug-CN"/>
        </w:rPr>
      </w:pPr>
      <w:r>
        <w:rPr>
          <w:rFonts w:ascii="仿宋_GB2312" w:eastAsia="仿宋_GB2312" w:hAnsi="仿宋" w:cs="宋体" w:hint="eastAsia"/>
          <w:szCs w:val="32"/>
          <w:lang w:bidi="ug-CN"/>
        </w:rPr>
        <w:t>（</w:t>
      </w:r>
      <w:r w:rsidR="009D04F2">
        <w:rPr>
          <w:rFonts w:ascii="仿宋_GB2312" w:eastAsia="仿宋_GB2312" w:hAnsi="仿宋" w:cs="宋体" w:hint="eastAsia"/>
          <w:szCs w:val="32"/>
          <w:lang w:bidi="ug-CN"/>
        </w:rPr>
        <w:t>九</w:t>
      </w:r>
      <w:r>
        <w:rPr>
          <w:rFonts w:ascii="仿宋_GB2312" w:eastAsia="仿宋_GB2312" w:hAnsi="仿宋" w:cs="宋体" w:hint="eastAsia"/>
          <w:szCs w:val="32"/>
          <w:lang w:bidi="ug-CN"/>
        </w:rPr>
        <w:t>）</w:t>
      </w:r>
      <w:r>
        <w:rPr>
          <w:rFonts w:ascii="仿宋_GB2312" w:eastAsia="仿宋_GB2312" w:hAnsi="黑体" w:cs="宋体" w:hint="eastAsia"/>
          <w:szCs w:val="32"/>
          <w:lang w:bidi="ug-CN"/>
        </w:rPr>
        <w:t>测量工具使用符合国家统一标准的测量工具。</w:t>
      </w:r>
      <w:bookmarkStart w:id="1" w:name="DocEnd"/>
      <w:bookmarkStart w:id="2" w:name="ContentEnd"/>
      <w:bookmarkEnd w:id="1"/>
      <w:bookmarkEnd w:id="2"/>
    </w:p>
    <w:p w:rsidR="000F6FFE" w:rsidRDefault="000F6FFE">
      <w:pPr>
        <w:spacing w:line="360" w:lineRule="auto"/>
        <w:rPr>
          <w:rFonts w:ascii="仿宋_GB2312" w:eastAsia="仿宋_GB2312" w:hAnsi="仿宋_GB2312" w:cs="仿宋_GB2312"/>
          <w:szCs w:val="32"/>
        </w:rPr>
      </w:pPr>
    </w:p>
    <w:p w:rsidR="000F6FFE" w:rsidRDefault="000F6FFE">
      <w:pPr>
        <w:spacing w:line="360" w:lineRule="auto"/>
        <w:rPr>
          <w:rFonts w:ascii="仿宋_GB2312" w:eastAsia="仿宋_GB2312" w:hAnsi="仿宋_GB2312" w:cs="仿宋_GB2312"/>
          <w:szCs w:val="32"/>
        </w:rPr>
      </w:pPr>
    </w:p>
    <w:p w:rsidR="000F6FFE" w:rsidRDefault="000F6FFE">
      <w:pPr>
        <w:spacing w:line="360" w:lineRule="auto"/>
        <w:rPr>
          <w:rFonts w:ascii="仿宋_GB2312" w:eastAsia="仿宋_GB2312" w:hAnsi="仿宋_GB2312" w:cs="仿宋_GB2312"/>
          <w:szCs w:val="32"/>
        </w:rPr>
      </w:pPr>
    </w:p>
    <w:p w:rsidR="000F6FFE" w:rsidRDefault="000F6FFE"/>
    <w:sectPr w:rsidR="000F6FFE" w:rsidSect="000F6FFE">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C62" w:rsidRDefault="00A04C62" w:rsidP="000F6FFE">
      <w:r>
        <w:separator/>
      </w:r>
    </w:p>
  </w:endnote>
  <w:endnote w:type="continuationSeparator" w:id="1">
    <w:p w:rsidR="00A04C62" w:rsidRDefault="00A04C62" w:rsidP="000F6F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20A" w:rsidRDefault="009A2BC9">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filled="f" stroked="f" strokeweight=".5pt">
          <v:textbox style="mso-fit-shape-to-text:t" inset="0,0,0,0">
            <w:txbxContent>
              <w:p w:rsidR="0060520A" w:rsidRDefault="009A2BC9">
                <w:pPr>
                  <w:pStyle w:val="a4"/>
                </w:pPr>
                <w:fldSimple w:instr=" PAGE  \* MERGEFORMAT ">
                  <w:r w:rsidR="006713B1">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C62" w:rsidRDefault="00A04C62" w:rsidP="000F6FFE">
      <w:r>
        <w:separator/>
      </w:r>
    </w:p>
  </w:footnote>
  <w:footnote w:type="continuationSeparator" w:id="1">
    <w:p w:rsidR="00A04C62" w:rsidRDefault="00A04C62" w:rsidP="000F6F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WFlNmIzODZlMmIzM2ZjODEzZDRhM2UzNTZjMWNmZWMifQ=="/>
  </w:docVars>
  <w:rsids>
    <w:rsidRoot w:val="005A26FC"/>
    <w:rsid w:val="00022D56"/>
    <w:rsid w:val="000273CC"/>
    <w:rsid w:val="0003238E"/>
    <w:rsid w:val="00071942"/>
    <w:rsid w:val="0008536E"/>
    <w:rsid w:val="000C4710"/>
    <w:rsid w:val="000C56DB"/>
    <w:rsid w:val="000F6FFE"/>
    <w:rsid w:val="001609C7"/>
    <w:rsid w:val="00170AC3"/>
    <w:rsid w:val="001A3565"/>
    <w:rsid w:val="001A7EC0"/>
    <w:rsid w:val="00273A1A"/>
    <w:rsid w:val="00274DE6"/>
    <w:rsid w:val="002B7998"/>
    <w:rsid w:val="002C2E2D"/>
    <w:rsid w:val="002E34D8"/>
    <w:rsid w:val="00307F40"/>
    <w:rsid w:val="00333166"/>
    <w:rsid w:val="00346D36"/>
    <w:rsid w:val="003B0480"/>
    <w:rsid w:val="003C7847"/>
    <w:rsid w:val="003D65B4"/>
    <w:rsid w:val="003F2E7F"/>
    <w:rsid w:val="003F5758"/>
    <w:rsid w:val="0042227B"/>
    <w:rsid w:val="00425340"/>
    <w:rsid w:val="00432A86"/>
    <w:rsid w:val="004338BD"/>
    <w:rsid w:val="00441A10"/>
    <w:rsid w:val="00471512"/>
    <w:rsid w:val="00485248"/>
    <w:rsid w:val="004A2E4B"/>
    <w:rsid w:val="004A53AB"/>
    <w:rsid w:val="004C4A12"/>
    <w:rsid w:val="005958DE"/>
    <w:rsid w:val="005A26FC"/>
    <w:rsid w:val="005C3A62"/>
    <w:rsid w:val="005D66B5"/>
    <w:rsid w:val="005E1D7D"/>
    <w:rsid w:val="005F1DE7"/>
    <w:rsid w:val="0060435F"/>
    <w:rsid w:val="0060520A"/>
    <w:rsid w:val="00605B06"/>
    <w:rsid w:val="00637B59"/>
    <w:rsid w:val="00662201"/>
    <w:rsid w:val="006713B1"/>
    <w:rsid w:val="00696AC2"/>
    <w:rsid w:val="006C3C77"/>
    <w:rsid w:val="006E212D"/>
    <w:rsid w:val="00713D38"/>
    <w:rsid w:val="007407BC"/>
    <w:rsid w:val="00767287"/>
    <w:rsid w:val="00771D74"/>
    <w:rsid w:val="007B365D"/>
    <w:rsid w:val="007C52A1"/>
    <w:rsid w:val="007D1394"/>
    <w:rsid w:val="007E0866"/>
    <w:rsid w:val="007E500F"/>
    <w:rsid w:val="00815A86"/>
    <w:rsid w:val="00831573"/>
    <w:rsid w:val="008577AE"/>
    <w:rsid w:val="008B556A"/>
    <w:rsid w:val="008E65C6"/>
    <w:rsid w:val="00907137"/>
    <w:rsid w:val="00911BB9"/>
    <w:rsid w:val="00914CD0"/>
    <w:rsid w:val="00917D43"/>
    <w:rsid w:val="00937DBE"/>
    <w:rsid w:val="0094669C"/>
    <w:rsid w:val="009675B4"/>
    <w:rsid w:val="00984436"/>
    <w:rsid w:val="009854EF"/>
    <w:rsid w:val="009972AE"/>
    <w:rsid w:val="009A2BC9"/>
    <w:rsid w:val="009A39B7"/>
    <w:rsid w:val="009D04F2"/>
    <w:rsid w:val="009F40FC"/>
    <w:rsid w:val="00A04C62"/>
    <w:rsid w:val="00AE1B52"/>
    <w:rsid w:val="00B07929"/>
    <w:rsid w:val="00B10132"/>
    <w:rsid w:val="00B110B1"/>
    <w:rsid w:val="00B16AF9"/>
    <w:rsid w:val="00B20F56"/>
    <w:rsid w:val="00B3081B"/>
    <w:rsid w:val="00B66167"/>
    <w:rsid w:val="00BC7DB9"/>
    <w:rsid w:val="00BD6BC7"/>
    <w:rsid w:val="00C36B68"/>
    <w:rsid w:val="00C37D5A"/>
    <w:rsid w:val="00C47557"/>
    <w:rsid w:val="00CA0FC7"/>
    <w:rsid w:val="00CA6EE7"/>
    <w:rsid w:val="00CC43B2"/>
    <w:rsid w:val="00CD3A2D"/>
    <w:rsid w:val="00CD3F2F"/>
    <w:rsid w:val="00CE4F99"/>
    <w:rsid w:val="00CF751E"/>
    <w:rsid w:val="00D31E74"/>
    <w:rsid w:val="00D33651"/>
    <w:rsid w:val="00D912BD"/>
    <w:rsid w:val="00D94369"/>
    <w:rsid w:val="00D96B33"/>
    <w:rsid w:val="00DD68DB"/>
    <w:rsid w:val="00DF1C56"/>
    <w:rsid w:val="00E57100"/>
    <w:rsid w:val="00E64A5E"/>
    <w:rsid w:val="00EB6E03"/>
    <w:rsid w:val="00F42EF4"/>
    <w:rsid w:val="00F46FF5"/>
    <w:rsid w:val="00F570C5"/>
    <w:rsid w:val="00F668BC"/>
    <w:rsid w:val="00FA03B1"/>
    <w:rsid w:val="00FB4A4C"/>
    <w:rsid w:val="00FC42DB"/>
    <w:rsid w:val="00FD11EF"/>
    <w:rsid w:val="00FF33AE"/>
    <w:rsid w:val="028D7D74"/>
    <w:rsid w:val="05777F14"/>
    <w:rsid w:val="05BE1F06"/>
    <w:rsid w:val="06936FD0"/>
    <w:rsid w:val="06D373CC"/>
    <w:rsid w:val="088272FC"/>
    <w:rsid w:val="09E67677"/>
    <w:rsid w:val="0BA17387"/>
    <w:rsid w:val="0D660F9A"/>
    <w:rsid w:val="0D9378B6"/>
    <w:rsid w:val="0E5232CD"/>
    <w:rsid w:val="0F6C03BE"/>
    <w:rsid w:val="102D268D"/>
    <w:rsid w:val="11D34725"/>
    <w:rsid w:val="12E666D9"/>
    <w:rsid w:val="132536A6"/>
    <w:rsid w:val="136A2E67"/>
    <w:rsid w:val="146124BC"/>
    <w:rsid w:val="14B720DC"/>
    <w:rsid w:val="151B08BC"/>
    <w:rsid w:val="16842491"/>
    <w:rsid w:val="16DA6555"/>
    <w:rsid w:val="17214184"/>
    <w:rsid w:val="17A35C4D"/>
    <w:rsid w:val="19325BD0"/>
    <w:rsid w:val="19B1359D"/>
    <w:rsid w:val="1A4B0FF8"/>
    <w:rsid w:val="1A7171D0"/>
    <w:rsid w:val="1AAC31EB"/>
    <w:rsid w:val="1BAB04C0"/>
    <w:rsid w:val="1C3B1844"/>
    <w:rsid w:val="1CCE26B8"/>
    <w:rsid w:val="1D152095"/>
    <w:rsid w:val="1F106FB8"/>
    <w:rsid w:val="1F1F71FB"/>
    <w:rsid w:val="1F896D6A"/>
    <w:rsid w:val="20D61B3B"/>
    <w:rsid w:val="21464F13"/>
    <w:rsid w:val="21DE15EF"/>
    <w:rsid w:val="21FF3314"/>
    <w:rsid w:val="22842B60"/>
    <w:rsid w:val="23CD191B"/>
    <w:rsid w:val="23FE1AD5"/>
    <w:rsid w:val="249064A5"/>
    <w:rsid w:val="24F904EE"/>
    <w:rsid w:val="25457290"/>
    <w:rsid w:val="26487037"/>
    <w:rsid w:val="276A7481"/>
    <w:rsid w:val="29E857A2"/>
    <w:rsid w:val="29EE7EF6"/>
    <w:rsid w:val="2AFD7B6C"/>
    <w:rsid w:val="2AFF34CE"/>
    <w:rsid w:val="2BFF463C"/>
    <w:rsid w:val="2D686211"/>
    <w:rsid w:val="2E224612"/>
    <w:rsid w:val="2EA9088F"/>
    <w:rsid w:val="2EF2574E"/>
    <w:rsid w:val="2EF7784D"/>
    <w:rsid w:val="2F2D326E"/>
    <w:rsid w:val="306C6018"/>
    <w:rsid w:val="31C83722"/>
    <w:rsid w:val="322C1F03"/>
    <w:rsid w:val="323B2146"/>
    <w:rsid w:val="32B37F2E"/>
    <w:rsid w:val="32FD564D"/>
    <w:rsid w:val="33550FE6"/>
    <w:rsid w:val="33686F6B"/>
    <w:rsid w:val="3369683F"/>
    <w:rsid w:val="345B087E"/>
    <w:rsid w:val="353C06AF"/>
    <w:rsid w:val="356B2726"/>
    <w:rsid w:val="36062A6B"/>
    <w:rsid w:val="367B0D63"/>
    <w:rsid w:val="36FB00F6"/>
    <w:rsid w:val="370E7E29"/>
    <w:rsid w:val="38DF7CCF"/>
    <w:rsid w:val="399A3BF6"/>
    <w:rsid w:val="3ADE15E2"/>
    <w:rsid w:val="3C8A7F52"/>
    <w:rsid w:val="3DEC2546"/>
    <w:rsid w:val="3EA66B99"/>
    <w:rsid w:val="3ED5122D"/>
    <w:rsid w:val="3FD634AE"/>
    <w:rsid w:val="409969B6"/>
    <w:rsid w:val="40EE65D6"/>
    <w:rsid w:val="42C817D4"/>
    <w:rsid w:val="43C755E8"/>
    <w:rsid w:val="44CB735A"/>
    <w:rsid w:val="463D6035"/>
    <w:rsid w:val="46517D32"/>
    <w:rsid w:val="466E61EE"/>
    <w:rsid w:val="46D63D94"/>
    <w:rsid w:val="480F1C53"/>
    <w:rsid w:val="49066BB2"/>
    <w:rsid w:val="4B5C6F5D"/>
    <w:rsid w:val="4C4023DB"/>
    <w:rsid w:val="4E1458CD"/>
    <w:rsid w:val="4E5008D0"/>
    <w:rsid w:val="4EC45545"/>
    <w:rsid w:val="4F487442"/>
    <w:rsid w:val="502F2E92"/>
    <w:rsid w:val="52C5363A"/>
    <w:rsid w:val="53E12BBB"/>
    <w:rsid w:val="54AD6A7C"/>
    <w:rsid w:val="56861332"/>
    <w:rsid w:val="56F269C8"/>
    <w:rsid w:val="57A31A70"/>
    <w:rsid w:val="57FB5D50"/>
    <w:rsid w:val="58767185"/>
    <w:rsid w:val="5988716F"/>
    <w:rsid w:val="5B4A5024"/>
    <w:rsid w:val="5BDE751B"/>
    <w:rsid w:val="5C050F4B"/>
    <w:rsid w:val="5C5E240A"/>
    <w:rsid w:val="5C8056EE"/>
    <w:rsid w:val="5DDE3802"/>
    <w:rsid w:val="5F797C86"/>
    <w:rsid w:val="5FD50C35"/>
    <w:rsid w:val="5FE1582B"/>
    <w:rsid w:val="60B60A66"/>
    <w:rsid w:val="60D3786A"/>
    <w:rsid w:val="60E01F8E"/>
    <w:rsid w:val="6220088D"/>
    <w:rsid w:val="626F778E"/>
    <w:rsid w:val="634D6ABD"/>
    <w:rsid w:val="639C3F74"/>
    <w:rsid w:val="641D2027"/>
    <w:rsid w:val="65566374"/>
    <w:rsid w:val="657D7DA4"/>
    <w:rsid w:val="67674868"/>
    <w:rsid w:val="676F7BC1"/>
    <w:rsid w:val="67B86DCF"/>
    <w:rsid w:val="67D30150"/>
    <w:rsid w:val="68906041"/>
    <w:rsid w:val="68C31F72"/>
    <w:rsid w:val="690670C6"/>
    <w:rsid w:val="6994088F"/>
    <w:rsid w:val="6A615EE7"/>
    <w:rsid w:val="6C287E62"/>
    <w:rsid w:val="6C47110C"/>
    <w:rsid w:val="6D3F3B91"/>
    <w:rsid w:val="6DC9627D"/>
    <w:rsid w:val="706F478E"/>
    <w:rsid w:val="71B30537"/>
    <w:rsid w:val="74423302"/>
    <w:rsid w:val="749018A2"/>
    <w:rsid w:val="7561323F"/>
    <w:rsid w:val="759F78C3"/>
    <w:rsid w:val="7718792D"/>
    <w:rsid w:val="78342545"/>
    <w:rsid w:val="795B7FA5"/>
    <w:rsid w:val="79B57463"/>
    <w:rsid w:val="7B280954"/>
    <w:rsid w:val="7BA31415"/>
    <w:rsid w:val="7BE61DA8"/>
    <w:rsid w:val="7C044924"/>
    <w:rsid w:val="7C5A2796"/>
    <w:rsid w:val="7D5B0573"/>
    <w:rsid w:val="7D7A4E9D"/>
    <w:rsid w:val="7DC9372F"/>
    <w:rsid w:val="7E9A3E70"/>
    <w:rsid w:val="7FC71E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6FFE"/>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0F6FFE"/>
    <w:rPr>
      <w:sz w:val="18"/>
      <w:szCs w:val="18"/>
    </w:rPr>
  </w:style>
  <w:style w:type="character" w:customStyle="1" w:styleId="Char">
    <w:name w:val="批注框文本 Char"/>
    <w:basedOn w:val="a0"/>
    <w:link w:val="a3"/>
    <w:rsid w:val="000F6FFE"/>
    <w:rPr>
      <w:rFonts w:ascii="Times New Roman" w:eastAsia="宋体" w:hAnsi="Times New Roman" w:cs="Times New Roman"/>
      <w:kern w:val="2"/>
      <w:sz w:val="18"/>
      <w:szCs w:val="18"/>
    </w:rPr>
  </w:style>
  <w:style w:type="paragraph" w:styleId="a4">
    <w:name w:val="footer"/>
    <w:basedOn w:val="a"/>
    <w:qFormat/>
    <w:rsid w:val="000F6FFE"/>
    <w:pPr>
      <w:tabs>
        <w:tab w:val="center" w:pos="4153"/>
        <w:tab w:val="right" w:pos="8306"/>
      </w:tabs>
      <w:snapToGrid w:val="0"/>
      <w:jc w:val="left"/>
    </w:pPr>
    <w:rPr>
      <w:sz w:val="18"/>
    </w:rPr>
  </w:style>
  <w:style w:type="paragraph" w:styleId="a5">
    <w:name w:val="header"/>
    <w:basedOn w:val="a"/>
    <w:qFormat/>
    <w:rsid w:val="000F6FFE"/>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0F6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styleId="a6">
    <w:name w:val="page number"/>
    <w:basedOn w:val="a0"/>
    <w:qFormat/>
    <w:rsid w:val="000F6FFE"/>
  </w:style>
</w:styles>
</file>

<file path=word/webSettings.xml><?xml version="1.0" encoding="utf-8"?>
<w:webSettings xmlns:r="http://schemas.openxmlformats.org/officeDocument/2006/relationships" xmlns:w="http://schemas.openxmlformats.org/wordprocessingml/2006/main">
  <w:divs>
    <w:div w:id="200098956">
      <w:bodyDiv w:val="1"/>
      <w:marLeft w:val="0"/>
      <w:marRight w:val="0"/>
      <w:marTop w:val="0"/>
      <w:marBottom w:val="0"/>
      <w:divBdr>
        <w:top w:val="none" w:sz="0" w:space="0" w:color="auto"/>
        <w:left w:val="none" w:sz="0" w:space="0" w:color="auto"/>
        <w:bottom w:val="none" w:sz="0" w:space="0" w:color="auto"/>
        <w:right w:val="none" w:sz="0" w:space="0" w:color="auto"/>
      </w:divBdr>
    </w:div>
    <w:div w:id="612522567">
      <w:bodyDiv w:val="1"/>
      <w:marLeft w:val="0"/>
      <w:marRight w:val="0"/>
      <w:marTop w:val="0"/>
      <w:marBottom w:val="0"/>
      <w:divBdr>
        <w:top w:val="none" w:sz="0" w:space="0" w:color="auto"/>
        <w:left w:val="none" w:sz="0" w:space="0" w:color="auto"/>
        <w:bottom w:val="none" w:sz="0" w:space="0" w:color="auto"/>
        <w:right w:val="none" w:sz="0" w:space="0" w:color="auto"/>
      </w:divBdr>
    </w:div>
    <w:div w:id="1474717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24</Pages>
  <Words>1807</Words>
  <Characters>10304</Characters>
  <Application>Microsoft Office Word</Application>
  <DocSecurity>0</DocSecurity>
  <Lines>85</Lines>
  <Paragraphs>24</Paragraphs>
  <ScaleCrop>false</ScaleCrop>
  <Company>Microsoft</Company>
  <LinksUpToDate>false</LinksUpToDate>
  <CharactersWithSpaces>12087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姜涛</cp:lastModifiedBy>
  <cp:revision>82</cp:revision>
  <cp:lastPrinted>2023-11-10T03:23:00Z</cp:lastPrinted>
  <dcterms:created xsi:type="dcterms:W3CDTF">2023-09-14T08:45:00Z</dcterms:created>
  <dcterms:modified xsi:type="dcterms:W3CDTF">2023-11-16T08:20:00Z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B951157C95C44BC4B4865ECCC62260E7_12</vt:lpwstr>
  </property>
</Properties>
</file>