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88ECB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ind w:left="0" w:right="0" w:firstLine="0"/>
        <w:jc w:val="center"/>
        <w:rPr>
          <w:rFonts w:hint="eastAsia" w:ascii="方正小标宋简体" w:hAnsi="方正小标宋简体" w:eastAsia="方正小标宋简体" w:cs="方正小标宋简体"/>
          <w:b w:val="0"/>
          <w:bCs w:val="0"/>
          <w:kern w:val="0"/>
          <w:sz w:val="36"/>
          <w:szCs w:val="36"/>
          <w:lang w:val="en-US" w:eastAsia="zh-CN" w:bidi="ar"/>
        </w:rPr>
      </w:pPr>
      <w:bookmarkStart w:id="0" w:name="_GoBack"/>
      <w:r>
        <w:rPr>
          <w:rFonts w:hint="eastAsia" w:ascii="方正小标宋简体" w:hAnsi="方正小标宋简体" w:eastAsia="方正小标宋简体" w:cs="方正小标宋简体"/>
          <w:b w:val="0"/>
          <w:bCs w:val="0"/>
          <w:kern w:val="0"/>
          <w:sz w:val="36"/>
          <w:szCs w:val="36"/>
          <w:lang w:val="en-US" w:eastAsia="zh-CN" w:bidi="ar"/>
        </w:rPr>
        <w:t>解读：《宝鸡市凤翔区烟草制品零售点合理布局规划》</w:t>
      </w:r>
    </w:p>
    <w:bookmarkEnd w:id="0"/>
    <w:p w14:paraId="3C7F0A9A">
      <w:pPr>
        <w:keepNext w:val="0"/>
        <w:keepLines w:val="0"/>
        <w:widowControl/>
        <w:numPr>
          <w:ilvl w:val="0"/>
          <w:numId w:val="1"/>
        </w:numPr>
        <w:suppressLineNumbers w:val="0"/>
        <w:ind w:left="210" w:leftChars="0" w:firstLine="420" w:firstLineChars="0"/>
        <w:jc w:val="both"/>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关于烟草制品零售点间隔距离标准的调整</w:t>
      </w:r>
    </w:p>
    <w:p w14:paraId="5930B853">
      <w:pPr>
        <w:keepNext w:val="0"/>
        <w:keepLines w:val="0"/>
        <w:widowControl/>
        <w:suppressLineNumbers w:val="0"/>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修订内容：将烟草制品零售点之间的间隔距离标准由原来的不低于50米调整为不低于20米。</w:t>
      </w:r>
    </w:p>
    <w:p w14:paraId="002446CF">
      <w:pPr>
        <w:keepNext w:val="0"/>
        <w:keepLines w:val="0"/>
        <w:widowControl/>
        <w:suppressLineNumbers w:val="0"/>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修订理由：当前我区卷烟零售市场面临许可证存量持续下降、新增申请不足的困境，过高的间距标准进一步制约了市场主体的合理准入，不利于保持零售户数量的合理稳定。适当降低间距标准，有助于畅通卷烟零售户市场准入通道，保持烟草制品零售市场主体动态平衡、健康发展。同时，该调整系在充分调研我区人口数量、交通状况、经济发展水平、消费能力等因素基础上作出的科学决策，符合上级部门指导意见的弹性空间。适当缩短间距标准，有利于在商业密集区域合理增设零售点，更好满足消费者便捷购烟需求，体现服务社会的基本原则。</w:t>
      </w:r>
    </w:p>
    <w:p w14:paraId="01F5998B">
      <w:pPr>
        <w:keepNext w:val="0"/>
        <w:keepLines w:val="0"/>
        <w:widowControl/>
        <w:numPr>
          <w:ilvl w:val="0"/>
          <w:numId w:val="1"/>
        </w:numPr>
        <w:suppressLineNumbers w:val="0"/>
        <w:ind w:left="210" w:leftChars="0" w:firstLine="420" w:firstLineChars="0"/>
        <w:jc w:val="both"/>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关于大型超市间距优惠的规定</w:t>
      </w:r>
    </w:p>
    <w:p w14:paraId="57275525">
      <w:pPr>
        <w:keepNext w:val="0"/>
        <w:keepLines w:val="0"/>
        <w:widowControl/>
        <w:suppressLineNumbers w:val="0"/>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修订内容：经营场所面积达到乡村300平方米以上、城镇500平方米以上的超市，其烟草制品零售点之间的间隔距离在一般标准基础上减半执行。</w:t>
      </w:r>
    </w:p>
    <w:p w14:paraId="13446454">
      <w:pPr>
        <w:keepNext w:val="0"/>
        <w:keepLines w:val="0"/>
        <w:widowControl/>
        <w:suppressLineNumbers w:val="0"/>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修订理由：大型超市作为综合性商业业态，经营规模大、客流量高、消费辐射范围广，与一般小型零售店铺在经营属性上存在显著差异，对其给予间距优惠符合科学规划、分类管理的布局原则。大型超市具备较强的经营管理能力和规范的经营条件，适当放宽间距限制有助于发挥其市场辐射效应，避免因间距限制造成优质商业资源无法进入卷烟零售市场，实现烟草市场资源的有效配置。本次修订借鉴了周边地区的成熟经验，结合我区实际予以细化和完善。</w:t>
      </w:r>
    </w:p>
    <w:p w14:paraId="5E23B64A">
      <w:pPr>
        <w:keepNext w:val="0"/>
        <w:keepLines w:val="0"/>
        <w:widowControl/>
        <w:numPr>
          <w:ilvl w:val="0"/>
          <w:numId w:val="1"/>
        </w:numPr>
        <w:suppressLineNumbers w:val="0"/>
        <w:ind w:left="210" w:leftChars="0" w:firstLine="420" w:firstLineChars="0"/>
        <w:jc w:val="both"/>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关于禁止无人值守经营主体办证的规定</w:t>
      </w:r>
    </w:p>
    <w:p w14:paraId="525E2952">
      <w:pPr>
        <w:keepNext w:val="0"/>
        <w:keepLines w:val="0"/>
        <w:widowControl/>
        <w:suppressLineNumbers w:val="0"/>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修订内容：明确无人值守经营主体（包括无人超市、无人便利店、自动售货机等）不予办理烟草专卖零售许可证。</w:t>
      </w:r>
    </w:p>
    <w:p w14:paraId="0F8D4D96">
      <w:pPr>
        <w:keepNext w:val="0"/>
        <w:keepLines w:val="0"/>
        <w:widowControl/>
        <w:suppressLineNumbers w:val="0"/>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修订理由：《烟草专卖许可证管理办法》第四十条第一款明确规定，公民、法人或者其他组织不得利用自动售货机销售烟草制品。无人值守超市、无人便利店的营业模式本质上与自动售货机相同，不符合办证条件。同时，无人值守经营场所因无人现场值守，无法有效识别购烟者年龄，难以劝阻未成年人吸烟和禁止未成年人选购卷烟，禁止此类主体办证是落实《中华人民共和国未成年人保护法》要求、履行烟草行业社会责任的重要举措。此外，烟草制品属于国家专卖专营的特殊商品，其销售必须在有人值守、可有效监管的经营场所进行，以确保不向未成年人售烟、不超出许可范围经营等监管要求得以落实。</w:t>
      </w:r>
    </w:p>
    <w:p w14:paraId="584F6C7D">
      <w:pPr>
        <w:keepNext w:val="0"/>
        <w:keepLines w:val="0"/>
        <w:widowControl/>
        <w:numPr>
          <w:ilvl w:val="0"/>
          <w:numId w:val="1"/>
        </w:numPr>
        <w:suppressLineNumbers w:val="0"/>
        <w:ind w:left="210" w:leftChars="0" w:firstLine="420" w:firstLineChars="0"/>
        <w:jc w:val="both"/>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关于中小学校、幼儿园周边原持证零售户变更的规定</w:t>
      </w:r>
    </w:p>
    <w:p w14:paraId="671526C3">
      <w:pPr>
        <w:keepNext w:val="0"/>
        <w:keepLines w:val="0"/>
        <w:widowControl/>
        <w:suppressLineNumbers w:val="0"/>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修订内容：中小学校、幼儿园周围100米以内的原持证零售户，在烟草专卖零售许可证有效期内或区烟草专卖局规定的期限内，申请到辖区内其他地址经营的，明确其可以申请变更。</w:t>
      </w:r>
    </w:p>
    <w:p w14:paraId="17D054E9">
      <w:pPr>
        <w:keepNext w:val="0"/>
        <w:keepLines w:val="0"/>
        <w:widowControl/>
        <w:suppressLineNumbers w:val="0"/>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修订理由：根据《中华人民共和国未成年人保护法》第五十九条第一款、《烟草专卖许可证管理办法》第二十五条第二项规定，中小学校、幼儿园周围不得设置烟草销售网点，《烟草专卖许可证管理办法实施细则》亦明确要求相关限制规定不得放宽，有必要引导已在学校周边100米范围内合法取得许可证的零售户逐步退出。本次修订明确原持证零售户在许可证有效期内主动歇业或申请变更至辖区内其他地址经营的，可以申请变更，既落实了未成年人保护的法律要求，又充分考虑了原持证零售户的合法权益，体现了柔性执法和服务理念。通过给予原持证零售户主动退出的渠道和变更经营地址的机会，避免简单“一刀切”式清退可能引发的经营困难和社会矛盾，实现了保护未成年人身心健康与保障合法经营者权益的有机统一。</w:t>
      </w:r>
    </w:p>
    <w:p w14:paraId="3FF5A907">
      <w:pPr>
        <w:keepNext w:val="0"/>
        <w:keepLines w:val="0"/>
        <w:widowControl/>
        <w:numPr>
          <w:ilvl w:val="0"/>
          <w:numId w:val="1"/>
        </w:numPr>
        <w:suppressLineNumbers w:val="0"/>
        <w:ind w:left="210" w:leftChars="0" w:firstLine="420" w:firstLineChars="0"/>
        <w:jc w:val="both"/>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关于禁止变相销售烟草制品的规定</w:t>
      </w:r>
    </w:p>
    <w:p w14:paraId="002EE1E9">
      <w:pPr>
        <w:keepNext w:val="0"/>
        <w:keepLines w:val="0"/>
        <w:widowControl/>
        <w:suppressLineNumbers w:val="0"/>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修订内容：明确禁止利用游戏、博彩等设备或者利用游戏、博彩等方式变相销售烟草制品。</w:t>
      </w:r>
    </w:p>
    <w:p w14:paraId="61DF9B40">
      <w:pPr>
        <w:keepNext w:val="0"/>
        <w:keepLines w:val="0"/>
        <w:widowControl/>
        <w:suppressLineNumbers w:val="0"/>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修订理由：烟草制品销售应当遵循合法、规范的原则，利用游戏、博彩等设备或方式变相销售烟草制品，规避了正常的烟草专卖零售许可管理和市场监管，扰乱了烟草市场秩序。同时，游戏、博彩等方式具有较强的吸引力和诱导性，尤其是对未成年人群体具有较大的诱惑力，禁止以此类方式变相销售烟草制品，是落实控烟履约、保护未成年人身心健康的重要举措。此外，变相销售行为规避了许可管理和监管要求，损害了烟草专卖制度的权威性和严肃性，明令禁止有利于维护烟草专卖制度的权威性。</w:t>
      </w:r>
    </w:p>
    <w:p w14:paraId="1F96C5AB">
      <w:pPr>
        <w:keepNext w:val="0"/>
        <w:keepLines w:val="0"/>
        <w:widowControl/>
        <w:numPr>
          <w:ilvl w:val="0"/>
          <w:numId w:val="1"/>
        </w:numPr>
        <w:suppressLineNumbers w:val="0"/>
        <w:ind w:left="210" w:leftChars="0" w:firstLine="420" w:firstLineChars="0"/>
        <w:jc w:val="both"/>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关于取消部分业态从业限制的规定</w:t>
      </w:r>
    </w:p>
    <w:p w14:paraId="26938FDB">
      <w:pPr>
        <w:keepNext w:val="0"/>
        <w:keepLines w:val="0"/>
        <w:widowControl/>
        <w:suppressLineNumbers w:val="0"/>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修订内容：取消对服装店、粮油店、农具店、海鲜店等零售业态的限制从业要求，不再禁止上述业态经营烟草制品零售业务，改为对该类业态客户的许可证发放数量和间隔距离作出相应要求。</w:t>
      </w:r>
    </w:p>
    <w:p w14:paraId="18414F42">
      <w:pPr>
        <w:keepNext w:val="0"/>
        <w:keepLines w:val="0"/>
        <w:widowControl/>
        <w:suppressLineNumbers w:val="0"/>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修订理由：取消对特定业态的限制从业要求，是落实国务院深化“放管服”改革、优化营商环境要求的具体举措。过去对服装店、粮油店等业态设置从业限制，在一定程度上制约了市场主体的经营自主权，不利于激发市场活力。取消该限制后，符合条件的经营者均可依法申请烟草专卖零售许可证，体现了公平准入、平等保护的原则。在当前许可证存量下降、增量不足的背景下，适当拓宽准入业态范围，有利于增加零售点供给，满足群众合理消费需求。取消绝对禁止并不意味着放任不管，本次修订改为对该类业态客户的许可证发放数量和间隔距离作出相关要求，通过数量控制和间距约束实现有序管理，既放开了准入通道，又防止了无序增长，体现了“放得开、管得住”的改革思路。</w:t>
      </w:r>
    </w:p>
    <w:p w14:paraId="672E85CF">
      <w:pPr>
        <w:keepNext w:val="0"/>
        <w:keepLines w:val="0"/>
        <w:widowControl/>
        <w:suppressLineNumbers w:val="0"/>
        <w:ind w:firstLine="640" w:firstLineChars="200"/>
        <w:jc w:val="both"/>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本次《宝鸡市凤翔区烟草制品零售点合理布局规划》的修订，是在深入调研我区卷烟市场消费环境、零售许可证存量变化趋势以及“放管服”改革和优化营商环境要求的基础上作出的系统性调整。修订工作严格遵循了依法行政、科学规划、服务社会、均衡发展的基本原则，既贯彻落实了《中华人民共和国未成年人保护法》《烟草专卖许可证管理办法》等法律法规的刚性要求，又充分考虑了当前我区烟草零售市场面临的存量下降、增量不足等现实问题。</w:t>
      </w:r>
    </w:p>
    <w:p w14:paraId="65400A33">
      <w:pPr>
        <w:keepNext w:val="0"/>
        <w:keepLines w:val="0"/>
        <w:widowControl/>
        <w:suppressLineNumbers w:val="0"/>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修订后的规划将更加科学合理地配置烟草市场资源，在保护未成年人身心健康、维护国家利益和消费者合法权益的前提下，进一步优化卷烟市场准入环境，激发市场活力，促进烟草制品零售市场的健康有序发展。本修订说明将随规划文本一并公示，欢迎社会各界监督。</w:t>
      </w:r>
    </w:p>
    <w:p w14:paraId="0169A43C">
      <w:pPr>
        <w:keepNext w:val="0"/>
        <w:keepLines w:val="0"/>
        <w:widowControl/>
        <w:suppressLineNumbers w:val="0"/>
        <w:jc w:val="both"/>
        <w:rPr>
          <w:rFonts w:hint="eastAsia" w:ascii="仿宋_GB2312" w:hAnsi="仿宋_GB2312" w:eastAsia="仿宋_GB2312" w:cs="仿宋_GB2312"/>
          <w:kern w:val="0"/>
          <w:sz w:val="32"/>
          <w:szCs w:val="32"/>
          <w:lang w:val="en-US" w:eastAsia="zh-CN" w:bidi="ar"/>
        </w:rPr>
      </w:pPr>
    </w:p>
    <w:p w14:paraId="7429956C">
      <w:pPr>
        <w:keepNext w:val="0"/>
        <w:keepLines w:val="0"/>
        <w:widowControl/>
        <w:suppressLineNumbers w:val="0"/>
        <w:jc w:val="both"/>
        <w:rPr>
          <w:rFonts w:hint="eastAsia" w:ascii="仿宋_GB2312" w:hAnsi="仿宋_GB2312" w:eastAsia="仿宋_GB2312" w:cs="仿宋_GB2312"/>
          <w:kern w:val="0"/>
          <w:sz w:val="32"/>
          <w:szCs w:val="32"/>
          <w:lang w:val="en-US" w:eastAsia="zh-CN" w:bidi="ar"/>
        </w:rPr>
      </w:pPr>
    </w:p>
    <w:p w14:paraId="37345D32">
      <w:pPr>
        <w:keepNext w:val="0"/>
        <w:keepLines w:val="0"/>
        <w:widowControl/>
        <w:suppressLineNumbers w:val="0"/>
        <w:ind w:firstLine="4480" w:firstLineChars="1400"/>
        <w:jc w:val="both"/>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宝鸡市凤翔区烟草专卖局</w:t>
      </w:r>
    </w:p>
    <w:p w14:paraId="6186E6A8">
      <w:pPr>
        <w:keepNext w:val="0"/>
        <w:keepLines w:val="0"/>
        <w:widowControl/>
        <w:suppressLineNumbers w:val="0"/>
        <w:ind w:firstLine="5120" w:firstLineChars="1600"/>
        <w:jc w:val="both"/>
        <w:rPr>
          <w:rFonts w:hint="default" w:ascii="仿宋_GB2312" w:hAnsi="仿宋_GB2312" w:eastAsia="仿宋_GB2312" w:cs="仿宋_GB2312"/>
          <w:sz w:val="32"/>
          <w:szCs w:val="32"/>
          <w:lang w:val="en-US"/>
        </w:rPr>
      </w:pPr>
      <w:r>
        <w:rPr>
          <w:rFonts w:hint="eastAsia" w:ascii="仿宋_GB2312" w:hAnsi="仿宋_GB2312" w:eastAsia="仿宋_GB2312" w:cs="仿宋_GB2312"/>
          <w:kern w:val="0"/>
          <w:sz w:val="32"/>
          <w:szCs w:val="32"/>
          <w:lang w:val="en-US" w:eastAsia="zh-CN" w:bidi="ar"/>
        </w:rPr>
        <w:t>2026年8月5日</w:t>
      </w:r>
    </w:p>
    <w:p w14:paraId="287A65F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7BD65F5"/>
    <w:multiLevelType w:val="singleLevel"/>
    <w:tmpl w:val="D7BD65F5"/>
    <w:lvl w:ilvl="0" w:tentative="0">
      <w:start w:val="1"/>
      <w:numFmt w:val="chineseCounting"/>
      <w:suff w:val="nothing"/>
      <w:lvlText w:val="%1、"/>
      <w:lvlJc w:val="left"/>
      <w:pPr>
        <w:ind w:left="210" w:firstLine="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3A11BCD"/>
    <w:rsid w:val="63A11B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1</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2026-08-05T09:48:00Z</dcterms:created>
  <dc:creator>noname</dc:creator>
  <cp:lastModifiedBy>noname</cp:lastModifiedBy>
  <dcterms:modified xsi:type="dcterms:W3CDTF">2026-08-05T09:51:55Z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6F85EF8C73DD48928D86AFB6ED6BDF1C_11</vt:lpwstr>
  </property>
  <property fmtid="{D5CDD505-2E9C-101B-9397-08002B2CF9AE}" pid="4" name="KSOTemplateDocerSaveRecord">
    <vt:lpwstr>eyJoZGlkIjoiOTRhMmFiNDE1Y2ZiYzRlMTQ0MzEwNTU1YmRkNjkxZTUiLCJ1c2VySWQiOiI0MTgzNTI0MTYifQ==</vt:lpwstr>
  </property>
</Properties>
</file>