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B57" w:rsidRPr="00950B57" w:rsidRDefault="00950B57" w:rsidP="00950B57">
      <w:pPr>
        <w:widowControl/>
        <w:shd w:val="clear" w:color="auto" w:fill="FFFFFF"/>
        <w:jc w:val="center"/>
        <w:rPr>
          <w:rFonts w:ascii="微软雅黑" w:eastAsia="微软雅黑" w:hAnsi="微软雅黑" w:cs="宋体"/>
          <w:color w:val="333333"/>
          <w:kern w:val="0"/>
          <w:sz w:val="16"/>
          <w:szCs w:val="16"/>
        </w:rPr>
      </w:pPr>
      <w:r w:rsidRPr="00950B57">
        <w:rPr>
          <w:rFonts w:ascii="微软雅黑" w:eastAsia="微软雅黑" w:hAnsi="微软雅黑" w:cs="宋体" w:hint="eastAsia"/>
          <w:color w:val="333333"/>
          <w:kern w:val="0"/>
          <w:sz w:val="16"/>
          <w:szCs w:val="16"/>
        </w:rPr>
        <w:t>国家税务总局办公厅</w:t>
      </w:r>
    </w:p>
    <w:p w:rsidR="00950B57" w:rsidRDefault="00950B57" w:rsidP="00950B57">
      <w:pPr>
        <w:widowControl/>
        <w:shd w:val="clear" w:color="auto" w:fill="FFFFFF"/>
        <w:jc w:val="center"/>
        <w:rPr>
          <w:rFonts w:ascii="微软雅黑" w:eastAsia="微软雅黑" w:hAnsi="微软雅黑" w:cs="宋体" w:hint="eastAsia"/>
          <w:color w:val="333333"/>
          <w:kern w:val="0"/>
          <w:sz w:val="16"/>
        </w:rPr>
      </w:pPr>
      <w:r w:rsidRPr="00950B57">
        <w:rPr>
          <w:rFonts w:ascii="微软雅黑" w:eastAsia="微软雅黑" w:hAnsi="微软雅黑" w:cs="宋体" w:hint="eastAsia"/>
          <w:color w:val="333333"/>
          <w:kern w:val="0"/>
          <w:sz w:val="16"/>
        </w:rPr>
        <w:t>关于印发《税收管理领域基层政务公开标准指引》的通知</w:t>
      </w:r>
    </w:p>
    <w:p w:rsidR="00950B57" w:rsidRPr="00950B57" w:rsidRDefault="00950B57" w:rsidP="00950B57">
      <w:pPr>
        <w:widowControl/>
        <w:shd w:val="clear" w:color="auto" w:fill="FFFFFF"/>
        <w:jc w:val="center"/>
        <w:rPr>
          <w:rFonts w:ascii="微软雅黑" w:eastAsia="微软雅黑" w:hAnsi="微软雅黑" w:cs="宋体" w:hint="eastAsia"/>
          <w:color w:val="333333"/>
          <w:kern w:val="0"/>
          <w:sz w:val="16"/>
          <w:szCs w:val="16"/>
        </w:rPr>
      </w:pPr>
      <w:r w:rsidRPr="00950B57">
        <w:rPr>
          <w:rFonts w:ascii="微软雅黑" w:eastAsia="微软雅黑" w:hAnsi="微软雅黑" w:cs="宋体" w:hint="eastAsia"/>
          <w:color w:val="666666"/>
          <w:kern w:val="0"/>
          <w:sz w:val="14"/>
        </w:rPr>
        <w:t>税</w:t>
      </w:r>
      <w:proofErr w:type="gramStart"/>
      <w:r w:rsidRPr="00950B57">
        <w:rPr>
          <w:rFonts w:ascii="微软雅黑" w:eastAsia="微软雅黑" w:hAnsi="微软雅黑" w:cs="宋体" w:hint="eastAsia"/>
          <w:color w:val="666666"/>
          <w:kern w:val="0"/>
          <w:sz w:val="14"/>
        </w:rPr>
        <w:t>总办发</w:t>
      </w:r>
      <w:proofErr w:type="gramEnd"/>
      <w:r w:rsidRPr="00950B57">
        <w:rPr>
          <w:rFonts w:ascii="微软雅黑" w:eastAsia="微软雅黑" w:hAnsi="微软雅黑" w:cs="宋体" w:hint="eastAsia"/>
          <w:color w:val="666666"/>
          <w:kern w:val="0"/>
          <w:sz w:val="14"/>
        </w:rPr>
        <w:t>〔2019〕65号</w:t>
      </w:r>
    </w:p>
    <w:p w:rsidR="00950B57" w:rsidRPr="00950B57" w:rsidRDefault="00950B57" w:rsidP="00950B57">
      <w:pPr>
        <w:widowControl/>
        <w:shd w:val="clear" w:color="auto" w:fill="FFFFFF"/>
        <w:jc w:val="left"/>
        <w:rPr>
          <w:rFonts w:ascii="微软雅黑" w:eastAsia="微软雅黑" w:hAnsi="微软雅黑" w:cs="宋体" w:hint="eastAsia"/>
          <w:color w:val="333333"/>
          <w:kern w:val="0"/>
          <w:sz w:val="16"/>
          <w:szCs w:val="16"/>
        </w:rPr>
      </w:pPr>
      <w:hyperlink r:id="rId4" w:tooltip="分享到微信" w:history="1">
        <w:r w:rsidRPr="00950B57">
          <w:rPr>
            <w:rFonts w:ascii="微软雅黑" w:eastAsia="微软雅黑" w:hAnsi="微软雅黑" w:cs="宋体" w:hint="eastAsia"/>
            <w:color w:val="333333"/>
            <w:kern w:val="0"/>
            <w:sz w:val="16"/>
          </w:rPr>
          <w:t> </w:t>
        </w:r>
      </w:hyperlink>
      <w:r w:rsidRPr="00950B57">
        <w:rPr>
          <w:rFonts w:ascii="微软雅黑" w:eastAsia="微软雅黑" w:hAnsi="微软雅黑" w:cs="宋体" w:hint="eastAsia"/>
          <w:color w:val="333333"/>
          <w:kern w:val="0"/>
          <w:sz w:val="16"/>
          <w:szCs w:val="16"/>
        </w:rPr>
        <w:t xml:space="preserve"> </w:t>
      </w:r>
      <w:hyperlink r:id="rId5" w:tooltip="分享到新浪微博" w:history="1">
        <w:r w:rsidRPr="00950B57">
          <w:rPr>
            <w:rFonts w:ascii="微软雅黑" w:eastAsia="微软雅黑" w:hAnsi="微软雅黑" w:cs="宋体" w:hint="eastAsia"/>
            <w:color w:val="333333"/>
            <w:kern w:val="0"/>
            <w:sz w:val="16"/>
          </w:rPr>
          <w:t> </w:t>
        </w:r>
      </w:hyperlink>
      <w:r w:rsidRPr="00950B57">
        <w:rPr>
          <w:rFonts w:ascii="微软雅黑" w:eastAsia="微软雅黑" w:hAnsi="微软雅黑" w:cs="宋体" w:hint="eastAsia"/>
          <w:color w:val="333333"/>
          <w:kern w:val="0"/>
          <w:sz w:val="16"/>
          <w:szCs w:val="16"/>
        </w:rPr>
        <w:t xml:space="preserve"> </w:t>
      </w:r>
    </w:p>
    <w:p w:rsidR="00950B57" w:rsidRPr="00950B57" w:rsidRDefault="00950B57" w:rsidP="00950B57">
      <w:pPr>
        <w:widowControl/>
        <w:shd w:val="clear" w:color="auto" w:fill="FFFFFF"/>
        <w:spacing w:line="360" w:lineRule="atLeast"/>
        <w:jc w:val="left"/>
        <w:rPr>
          <w:rFonts w:ascii="微软雅黑" w:eastAsia="微软雅黑" w:hAnsi="微软雅黑" w:cs="宋体" w:hint="eastAsia"/>
          <w:color w:val="333333"/>
          <w:kern w:val="0"/>
          <w:sz w:val="16"/>
          <w:szCs w:val="16"/>
        </w:rPr>
      </w:pPr>
      <w:r w:rsidRPr="00950B57">
        <w:rPr>
          <w:rFonts w:ascii="微软雅黑" w:eastAsia="微软雅黑" w:hAnsi="微软雅黑" w:cs="宋体" w:hint="eastAsia"/>
          <w:color w:val="333333"/>
          <w:kern w:val="0"/>
          <w:sz w:val="16"/>
          <w:szCs w:val="16"/>
        </w:rPr>
        <w:t>国家税务总局各省、自治区、直辖市和计划单列市税务局，国家税务</w:t>
      </w:r>
      <w:proofErr w:type="gramStart"/>
      <w:r w:rsidRPr="00950B57">
        <w:rPr>
          <w:rFonts w:ascii="微软雅黑" w:eastAsia="微软雅黑" w:hAnsi="微软雅黑" w:cs="宋体" w:hint="eastAsia"/>
          <w:color w:val="333333"/>
          <w:kern w:val="0"/>
          <w:sz w:val="16"/>
          <w:szCs w:val="16"/>
        </w:rPr>
        <w:t>总局驻</w:t>
      </w:r>
      <w:proofErr w:type="gramEnd"/>
      <w:r w:rsidRPr="00950B57">
        <w:rPr>
          <w:rFonts w:ascii="微软雅黑" w:eastAsia="微软雅黑" w:hAnsi="微软雅黑" w:cs="宋体" w:hint="eastAsia"/>
          <w:color w:val="333333"/>
          <w:kern w:val="0"/>
          <w:sz w:val="16"/>
          <w:szCs w:val="16"/>
        </w:rPr>
        <w:t>各地特派员办事处，局内各单位:</w:t>
      </w:r>
      <w:r w:rsidRPr="00950B57">
        <w:rPr>
          <w:rFonts w:ascii="微软雅黑" w:eastAsia="微软雅黑" w:hAnsi="微软雅黑" w:cs="宋体" w:hint="eastAsia"/>
          <w:color w:val="333333"/>
          <w:kern w:val="0"/>
          <w:sz w:val="16"/>
          <w:szCs w:val="16"/>
        </w:rPr>
        <w:br/>
        <w:t xml:space="preserve"> 根据《国务院办公厅关于印发开展基层政务公开标准化规范化试点工作方案的通知》（国办发〔2017〕42号）和国务院办公厅政府信息与政务公开办公室有关要求，国家税务总局制定了《税收管理领域基层政务公开标准指引》，现印发给你们，请结合实际认真贯彻落实。</w:t>
      </w:r>
      <w:r w:rsidRPr="00950B57">
        <w:rPr>
          <w:rFonts w:ascii="MS Gothic" w:eastAsia="MS Gothic" w:hAnsi="MS Gothic" w:cs="MS Gothic" w:hint="eastAsia"/>
          <w:color w:val="333333"/>
          <w:kern w:val="0"/>
          <w:sz w:val="16"/>
          <w:szCs w:val="16"/>
        </w:rPr>
        <w:t> </w:t>
      </w:r>
      <w:r w:rsidRPr="00950B57">
        <w:rPr>
          <w:rFonts w:ascii="MS Gothic" w:eastAsia="MS Gothic" w:hAnsi="MS Gothic" w:cs="MS Gothic" w:hint="eastAsia"/>
          <w:color w:val="333333"/>
          <w:kern w:val="0"/>
          <w:sz w:val="16"/>
          <w:szCs w:val="16"/>
        </w:rPr>
        <w:t> </w:t>
      </w:r>
      <w:r w:rsidRPr="00950B57">
        <w:rPr>
          <w:rFonts w:ascii="MS Gothic" w:eastAsia="MS Gothic" w:hAnsi="MS Gothic" w:cs="MS Gothic" w:hint="eastAsia"/>
          <w:color w:val="333333"/>
          <w:kern w:val="0"/>
          <w:sz w:val="16"/>
          <w:szCs w:val="16"/>
        </w:rPr>
        <w:t> </w:t>
      </w:r>
    </w:p>
    <w:p w:rsidR="00950B57" w:rsidRPr="00950B57" w:rsidRDefault="00950B57" w:rsidP="00950B57">
      <w:pPr>
        <w:widowControl/>
        <w:shd w:val="clear" w:color="auto" w:fill="FFFFFF"/>
        <w:spacing w:line="360" w:lineRule="atLeast"/>
        <w:jc w:val="left"/>
        <w:rPr>
          <w:rFonts w:ascii="微软雅黑" w:eastAsia="微软雅黑" w:hAnsi="微软雅黑" w:cs="宋体" w:hint="eastAsia"/>
          <w:color w:val="333333"/>
          <w:kern w:val="0"/>
          <w:sz w:val="16"/>
          <w:szCs w:val="16"/>
        </w:rPr>
      </w:pPr>
      <w:r w:rsidRPr="00950B57">
        <w:rPr>
          <w:rFonts w:ascii="微软雅黑" w:eastAsia="微软雅黑" w:hAnsi="微软雅黑" w:cs="宋体" w:hint="eastAsia"/>
          <w:color w:val="333333"/>
          <w:kern w:val="0"/>
          <w:sz w:val="16"/>
          <w:szCs w:val="16"/>
        </w:rPr>
        <w:br/>
        <w:t xml:space="preserve">　　附件：</w:t>
      </w:r>
      <w:hyperlink r:id="rId6" w:tgtFrame="_blank" w:history="1">
        <w:r w:rsidRPr="00950B57">
          <w:rPr>
            <w:rFonts w:ascii="微软雅黑" w:eastAsia="微软雅黑" w:hAnsi="微软雅黑" w:cs="宋体" w:hint="eastAsia"/>
            <w:color w:val="0000FF"/>
            <w:kern w:val="0"/>
            <w:sz w:val="16"/>
            <w:szCs w:val="16"/>
          </w:rPr>
          <w:t>税收管理领域基层政务公开标准目录</w:t>
        </w:r>
      </w:hyperlink>
    </w:p>
    <w:p w:rsidR="00950B57" w:rsidRPr="00950B57" w:rsidRDefault="00950B57" w:rsidP="00950B57">
      <w:pPr>
        <w:widowControl/>
        <w:shd w:val="clear" w:color="auto" w:fill="FFFFFF"/>
        <w:spacing w:line="360" w:lineRule="atLeast"/>
        <w:jc w:val="right"/>
        <w:rPr>
          <w:rFonts w:ascii="微软雅黑" w:eastAsia="微软雅黑" w:hAnsi="微软雅黑" w:cs="宋体" w:hint="eastAsia"/>
          <w:color w:val="333333"/>
          <w:kern w:val="0"/>
          <w:sz w:val="16"/>
          <w:szCs w:val="16"/>
        </w:rPr>
      </w:pPr>
      <w:r w:rsidRPr="00950B57">
        <w:rPr>
          <w:rFonts w:ascii="微软雅黑" w:eastAsia="微软雅黑" w:hAnsi="微软雅黑" w:cs="宋体" w:hint="eastAsia"/>
          <w:color w:val="333333"/>
          <w:kern w:val="0"/>
          <w:sz w:val="16"/>
          <w:szCs w:val="16"/>
        </w:rPr>
        <w:t>国家税务总局办公厅</w:t>
      </w:r>
    </w:p>
    <w:p w:rsidR="00950B57" w:rsidRPr="00950B57" w:rsidRDefault="00950B57" w:rsidP="00950B57">
      <w:pPr>
        <w:widowControl/>
        <w:shd w:val="clear" w:color="auto" w:fill="FFFFFF"/>
        <w:spacing w:line="360" w:lineRule="atLeast"/>
        <w:jc w:val="right"/>
        <w:rPr>
          <w:rFonts w:ascii="微软雅黑" w:eastAsia="微软雅黑" w:hAnsi="微软雅黑" w:cs="宋体" w:hint="eastAsia"/>
          <w:color w:val="333333"/>
          <w:kern w:val="0"/>
          <w:sz w:val="16"/>
          <w:szCs w:val="16"/>
        </w:rPr>
      </w:pPr>
      <w:r w:rsidRPr="00950B57">
        <w:rPr>
          <w:rFonts w:ascii="微软雅黑" w:eastAsia="微软雅黑" w:hAnsi="微软雅黑" w:cs="宋体" w:hint="eastAsia"/>
          <w:color w:val="333333"/>
          <w:kern w:val="0"/>
          <w:sz w:val="16"/>
          <w:szCs w:val="16"/>
        </w:rPr>
        <w:t>2019年7月18日</w:t>
      </w:r>
    </w:p>
    <w:p w:rsidR="00950B57" w:rsidRPr="00950B57" w:rsidRDefault="00950B57" w:rsidP="00950B57">
      <w:pPr>
        <w:widowControl/>
        <w:shd w:val="clear" w:color="auto" w:fill="FFFFFF"/>
        <w:spacing w:line="360" w:lineRule="atLeast"/>
        <w:jc w:val="center"/>
        <w:rPr>
          <w:rFonts w:ascii="微软雅黑" w:eastAsia="微软雅黑" w:hAnsi="微软雅黑" w:cs="宋体" w:hint="eastAsia"/>
          <w:color w:val="333333"/>
          <w:kern w:val="0"/>
          <w:sz w:val="16"/>
          <w:szCs w:val="16"/>
        </w:rPr>
      </w:pPr>
      <w:r w:rsidRPr="00950B57">
        <w:rPr>
          <w:rFonts w:ascii="微软雅黑" w:eastAsia="微软雅黑" w:hAnsi="微软雅黑" w:cs="宋体" w:hint="eastAsia"/>
          <w:b/>
          <w:bCs/>
          <w:color w:val="333333"/>
          <w:kern w:val="0"/>
          <w:sz w:val="16"/>
          <w:szCs w:val="16"/>
        </w:rPr>
        <w:t>税收管理领域基层政务公开标准指引</w:t>
      </w:r>
    </w:p>
    <w:p w:rsidR="00950B57" w:rsidRPr="00950B57" w:rsidRDefault="00950B57" w:rsidP="00950B57">
      <w:pPr>
        <w:widowControl/>
        <w:shd w:val="clear" w:color="auto" w:fill="FFFFFF"/>
        <w:spacing w:line="360" w:lineRule="atLeast"/>
        <w:jc w:val="left"/>
        <w:rPr>
          <w:rFonts w:ascii="微软雅黑" w:eastAsia="微软雅黑" w:hAnsi="微软雅黑" w:cs="宋体" w:hint="eastAsia"/>
          <w:color w:val="333333"/>
          <w:kern w:val="0"/>
          <w:sz w:val="16"/>
          <w:szCs w:val="16"/>
        </w:rPr>
      </w:pPr>
      <w:r w:rsidRPr="00950B57">
        <w:rPr>
          <w:rFonts w:ascii="微软雅黑" w:eastAsia="微软雅黑" w:hAnsi="微软雅黑" w:cs="宋体" w:hint="eastAsia"/>
          <w:color w:val="333333"/>
          <w:kern w:val="0"/>
          <w:sz w:val="16"/>
          <w:szCs w:val="16"/>
        </w:rPr>
        <w:t xml:space="preserve">　　按照党中央、国务院关于全面推进政务公开工作部署，为深入贯彻落实《中华人民共和国政府信息公开条例》和《国务院办公厅关于印发开展基层政务公开标准化规范化试点工作方案的通知》（国办发〔2017〕42号），根据《关于做好各试点领域基层政务公开标准指引制定等有关工作的通知》（国办公开办函〔2019〕1号）要求，结合税务系统基层政务公开标准化规范化试点成果，制定本指引。 </w:t>
      </w:r>
      <w:r w:rsidRPr="00950B57">
        <w:rPr>
          <w:rFonts w:ascii="微软雅黑" w:eastAsia="微软雅黑" w:hAnsi="微软雅黑" w:cs="宋体" w:hint="eastAsia"/>
          <w:b/>
          <w:bCs/>
          <w:color w:val="333333"/>
          <w:kern w:val="0"/>
          <w:sz w:val="16"/>
          <w:szCs w:val="16"/>
        </w:rPr>
        <w:t xml:space="preserve">　　</w:t>
      </w:r>
    </w:p>
    <w:p w:rsidR="00950B57" w:rsidRPr="00950B57" w:rsidRDefault="00950B57" w:rsidP="00950B57">
      <w:pPr>
        <w:widowControl/>
        <w:shd w:val="clear" w:color="auto" w:fill="FFFFFF"/>
        <w:spacing w:line="360" w:lineRule="atLeast"/>
        <w:jc w:val="left"/>
        <w:rPr>
          <w:rFonts w:ascii="微软雅黑" w:eastAsia="微软雅黑" w:hAnsi="微软雅黑" w:cs="宋体" w:hint="eastAsia"/>
          <w:color w:val="333333"/>
          <w:kern w:val="0"/>
          <w:sz w:val="16"/>
          <w:szCs w:val="16"/>
        </w:rPr>
      </w:pPr>
      <w:r w:rsidRPr="00950B57">
        <w:rPr>
          <w:rFonts w:ascii="微软雅黑" w:eastAsia="微软雅黑" w:hAnsi="微软雅黑" w:cs="宋体" w:hint="eastAsia"/>
          <w:b/>
          <w:bCs/>
          <w:color w:val="333333"/>
          <w:kern w:val="0"/>
          <w:sz w:val="16"/>
          <w:szCs w:val="16"/>
        </w:rPr>
        <w:t xml:space="preserve">　　一、总体要求</w:t>
      </w:r>
      <w:r w:rsidRPr="00950B57">
        <w:rPr>
          <w:rFonts w:ascii="微软雅黑" w:eastAsia="微软雅黑" w:hAnsi="微软雅黑" w:cs="宋体" w:hint="eastAsia"/>
          <w:color w:val="333333"/>
          <w:kern w:val="0"/>
          <w:sz w:val="16"/>
          <w:szCs w:val="16"/>
        </w:rPr>
        <w:br/>
      </w:r>
      <w:r w:rsidRPr="00950B57">
        <w:rPr>
          <w:rFonts w:ascii="微软雅黑" w:eastAsia="微软雅黑" w:hAnsi="微软雅黑" w:cs="宋体" w:hint="eastAsia"/>
          <w:b/>
          <w:bCs/>
          <w:color w:val="333333"/>
          <w:kern w:val="0"/>
          <w:sz w:val="16"/>
          <w:szCs w:val="16"/>
        </w:rPr>
        <w:t xml:space="preserve">　　（一）指导思想</w:t>
      </w:r>
      <w:r w:rsidRPr="00950B57">
        <w:rPr>
          <w:rFonts w:ascii="微软雅黑" w:eastAsia="微软雅黑" w:hAnsi="微软雅黑" w:cs="宋体" w:hint="eastAsia"/>
          <w:color w:val="333333"/>
          <w:kern w:val="0"/>
          <w:sz w:val="16"/>
          <w:szCs w:val="16"/>
        </w:rPr>
        <w:br/>
        <w:t xml:space="preserve">　　以习近平新时代中国特色社会主义思想为指导，全面贯彻党的十九大和十九届二中、三中全会精神，深入落实党中央、国务院关于做好基层政务公开标准化规范化工作的系列部署，围绕决策、执行、管理、服务、结果公开，紧扣新时代新税务新职责新要求，积极推进基层政务公开标准化规范化，全面提升税务部门政务公开和政务服务水平。</w:t>
      </w:r>
      <w:r w:rsidRPr="00950B57">
        <w:rPr>
          <w:rFonts w:ascii="微软雅黑" w:eastAsia="微软雅黑" w:hAnsi="微软雅黑" w:cs="宋体" w:hint="eastAsia"/>
          <w:color w:val="333333"/>
          <w:kern w:val="0"/>
          <w:sz w:val="16"/>
          <w:szCs w:val="16"/>
        </w:rPr>
        <w:br/>
      </w:r>
      <w:r w:rsidRPr="00950B57">
        <w:rPr>
          <w:rFonts w:ascii="微软雅黑" w:eastAsia="微软雅黑" w:hAnsi="微软雅黑" w:cs="宋体" w:hint="eastAsia"/>
          <w:b/>
          <w:bCs/>
          <w:color w:val="333333"/>
          <w:kern w:val="0"/>
          <w:sz w:val="16"/>
          <w:szCs w:val="16"/>
        </w:rPr>
        <w:t xml:space="preserve">　　（二）基本原则</w:t>
      </w:r>
      <w:r w:rsidRPr="00950B57">
        <w:rPr>
          <w:rFonts w:ascii="微软雅黑" w:eastAsia="微软雅黑" w:hAnsi="微软雅黑" w:cs="宋体" w:hint="eastAsia"/>
          <w:color w:val="333333"/>
          <w:kern w:val="0"/>
          <w:sz w:val="16"/>
          <w:szCs w:val="16"/>
        </w:rPr>
        <w:br/>
        <w:t xml:space="preserve">　　坚持需求导向。紧紧围绕经济社会发展和人民群众关注关切，以与纳税人、缴费人关系最密切的事项为重点，梳理公开事项，细化公开内容，进一步提高基层政务公开的针对性、实效性。</w:t>
      </w:r>
      <w:r w:rsidRPr="00950B57">
        <w:rPr>
          <w:rFonts w:ascii="微软雅黑" w:eastAsia="微软雅黑" w:hAnsi="微软雅黑" w:cs="宋体" w:hint="eastAsia"/>
          <w:color w:val="333333"/>
          <w:kern w:val="0"/>
          <w:sz w:val="16"/>
          <w:szCs w:val="16"/>
        </w:rPr>
        <w:br/>
        <w:t xml:space="preserve">　　强化标准引领。按照政务公开的基本要求，建立税收管理领域基层政务公开标准指引，并根据实际情况定期调整和更新，推进基层政务公开标准化规范化建设。</w:t>
      </w:r>
      <w:r w:rsidRPr="00950B57">
        <w:rPr>
          <w:rFonts w:ascii="微软雅黑" w:eastAsia="微软雅黑" w:hAnsi="微软雅黑" w:cs="宋体" w:hint="eastAsia"/>
          <w:color w:val="333333"/>
          <w:kern w:val="0"/>
          <w:sz w:val="16"/>
          <w:szCs w:val="16"/>
        </w:rPr>
        <w:br/>
        <w:t xml:space="preserve">　　适应基层特点。立足基层税务机关实际，及时、准确公开影响纳税人、缴费人权利义务的行政权力事项和公共服务事项，让人民群众看得到、听得懂、易获取、能监督、好参与。</w:t>
      </w:r>
      <w:r w:rsidRPr="00950B57">
        <w:rPr>
          <w:rFonts w:ascii="微软雅黑" w:eastAsia="微软雅黑" w:hAnsi="微软雅黑" w:cs="宋体" w:hint="eastAsia"/>
          <w:color w:val="333333"/>
          <w:kern w:val="0"/>
          <w:sz w:val="16"/>
          <w:szCs w:val="16"/>
        </w:rPr>
        <w:br/>
      </w:r>
      <w:r w:rsidRPr="00950B57">
        <w:rPr>
          <w:rFonts w:ascii="微软雅黑" w:eastAsia="微软雅黑" w:hAnsi="微软雅黑" w:cs="宋体" w:hint="eastAsia"/>
          <w:b/>
          <w:bCs/>
          <w:color w:val="333333"/>
          <w:kern w:val="0"/>
          <w:sz w:val="16"/>
          <w:szCs w:val="16"/>
        </w:rPr>
        <w:t xml:space="preserve">　　（三）工作目标</w:t>
      </w:r>
      <w:r w:rsidRPr="00950B57">
        <w:rPr>
          <w:rFonts w:ascii="微软雅黑" w:eastAsia="微软雅黑" w:hAnsi="微软雅黑" w:cs="宋体" w:hint="eastAsia"/>
          <w:color w:val="333333"/>
          <w:kern w:val="0"/>
          <w:sz w:val="16"/>
          <w:szCs w:val="16"/>
        </w:rPr>
        <w:br/>
        <w:t xml:space="preserve">　　2019年12月底前，各省税务局负责在其网站“市局频道”上，设立基层政务公开栏目，展现标准目录内容，同时做好指导、协调、推进工作。相关税务机关负责本单位信息的动态更新、维护，稳步拓宽政务公开内容范围，推进政务公开制度化、标准化、规范化水平显著提升，以公开透明赢得社会公众更多理解、信任和支持。</w:t>
      </w:r>
      <w:r w:rsidRPr="00950B57">
        <w:rPr>
          <w:rFonts w:ascii="微软雅黑" w:eastAsia="微软雅黑" w:hAnsi="微软雅黑" w:cs="宋体" w:hint="eastAsia"/>
          <w:color w:val="333333"/>
          <w:kern w:val="0"/>
          <w:sz w:val="16"/>
          <w:szCs w:val="16"/>
        </w:rPr>
        <w:br/>
      </w:r>
      <w:r w:rsidRPr="00950B57">
        <w:rPr>
          <w:rFonts w:ascii="微软雅黑" w:eastAsia="微软雅黑" w:hAnsi="微软雅黑" w:cs="宋体" w:hint="eastAsia"/>
          <w:b/>
          <w:bCs/>
          <w:color w:val="333333"/>
          <w:kern w:val="0"/>
          <w:sz w:val="16"/>
          <w:szCs w:val="16"/>
        </w:rPr>
        <w:t xml:space="preserve">　　二、适用范围</w:t>
      </w:r>
      <w:r w:rsidRPr="00950B57">
        <w:rPr>
          <w:rFonts w:ascii="微软雅黑" w:eastAsia="微软雅黑" w:hAnsi="微软雅黑" w:cs="宋体" w:hint="eastAsia"/>
          <w:color w:val="333333"/>
          <w:kern w:val="0"/>
          <w:sz w:val="16"/>
          <w:szCs w:val="16"/>
        </w:rPr>
        <w:br/>
        <w:t xml:space="preserve">　　本指引适用主体为各省、自治区税务局所辖县（区、市）税务局和各直辖市、计划单列市税务局所辖区（县）税务局（以下统称县（区、市）税务局）。</w:t>
      </w:r>
      <w:r w:rsidRPr="00950B57">
        <w:rPr>
          <w:rFonts w:ascii="微软雅黑" w:eastAsia="微软雅黑" w:hAnsi="微软雅黑" w:cs="宋体" w:hint="eastAsia"/>
          <w:color w:val="333333"/>
          <w:kern w:val="0"/>
          <w:sz w:val="16"/>
          <w:szCs w:val="16"/>
        </w:rPr>
        <w:br/>
      </w:r>
      <w:r w:rsidRPr="00950B57">
        <w:rPr>
          <w:rFonts w:ascii="微软雅黑" w:eastAsia="微软雅黑" w:hAnsi="微软雅黑" w:cs="宋体" w:hint="eastAsia"/>
          <w:b/>
          <w:bCs/>
          <w:color w:val="333333"/>
          <w:kern w:val="0"/>
          <w:sz w:val="16"/>
          <w:szCs w:val="16"/>
        </w:rPr>
        <w:t xml:space="preserve">　　三、公开标准目录及事项</w:t>
      </w:r>
      <w:r w:rsidRPr="00950B57">
        <w:rPr>
          <w:rFonts w:ascii="微软雅黑" w:eastAsia="微软雅黑" w:hAnsi="微软雅黑" w:cs="宋体" w:hint="eastAsia"/>
          <w:color w:val="333333"/>
          <w:kern w:val="0"/>
          <w:sz w:val="16"/>
          <w:szCs w:val="16"/>
        </w:rPr>
        <w:br/>
        <w:t xml:space="preserve">　　税收管理领域基层政务公开标准目录分为政策法规、纳税服务、行政执法3类一级公开事项，税收法律法规、税收规范性文件、纳税人权利、纳税人义务、A级纳税人名单、涉税专业服务相关信息、办税地图、办税日历、办税指南、</w:t>
      </w:r>
      <w:r w:rsidRPr="00950B57">
        <w:rPr>
          <w:rFonts w:ascii="微软雅黑" w:eastAsia="微软雅黑" w:hAnsi="微软雅黑" w:cs="宋体" w:hint="eastAsia"/>
          <w:color w:val="333333"/>
          <w:kern w:val="0"/>
          <w:sz w:val="16"/>
          <w:szCs w:val="16"/>
        </w:rPr>
        <w:lastRenderedPageBreak/>
        <w:t>权责清单、准予行政许可决定公示、行政处罚决定和结果公示、非正常户公告、欠税公告、个体工商户定额公示（公布）公告、委托代征公告16个二级公开事项。对每一公开事项，要逐一描述事项名称、公开内容、公开依据、公开时限、公开主体、公开渠道和载体、公开对象、公开方式、公开层级。</w:t>
      </w:r>
      <w:r w:rsidRPr="00950B57">
        <w:rPr>
          <w:rFonts w:ascii="微软雅黑" w:eastAsia="微软雅黑" w:hAnsi="微软雅黑" w:cs="宋体" w:hint="eastAsia"/>
          <w:color w:val="333333"/>
          <w:kern w:val="0"/>
          <w:sz w:val="16"/>
          <w:szCs w:val="16"/>
        </w:rPr>
        <w:br/>
        <w:t xml:space="preserve">　</w:t>
      </w:r>
      <w:r w:rsidRPr="00950B57">
        <w:rPr>
          <w:rFonts w:ascii="微软雅黑" w:eastAsia="微软雅黑" w:hAnsi="微软雅黑" w:cs="宋体" w:hint="eastAsia"/>
          <w:b/>
          <w:bCs/>
          <w:color w:val="333333"/>
          <w:kern w:val="0"/>
          <w:sz w:val="16"/>
          <w:szCs w:val="16"/>
        </w:rPr>
        <w:t xml:space="preserve">　四、政务公开工作流程规范</w:t>
      </w:r>
      <w:r w:rsidRPr="00950B57">
        <w:rPr>
          <w:rFonts w:ascii="微软雅黑" w:eastAsia="微软雅黑" w:hAnsi="微软雅黑" w:cs="宋体" w:hint="eastAsia"/>
          <w:color w:val="333333"/>
          <w:kern w:val="0"/>
          <w:sz w:val="16"/>
          <w:szCs w:val="16"/>
        </w:rPr>
        <w:br/>
        <w:t xml:space="preserve">　</w:t>
      </w:r>
      <w:r w:rsidRPr="00950B57">
        <w:rPr>
          <w:rFonts w:ascii="微软雅黑" w:eastAsia="微软雅黑" w:hAnsi="微软雅黑" w:cs="宋体" w:hint="eastAsia"/>
          <w:b/>
          <w:bCs/>
          <w:color w:val="333333"/>
          <w:kern w:val="0"/>
          <w:sz w:val="16"/>
          <w:szCs w:val="16"/>
        </w:rPr>
        <w:t xml:space="preserve">　（一）公开属性源头管理</w:t>
      </w:r>
      <w:r w:rsidRPr="00950B57">
        <w:rPr>
          <w:rFonts w:ascii="微软雅黑" w:eastAsia="微软雅黑" w:hAnsi="微软雅黑" w:cs="宋体" w:hint="eastAsia"/>
          <w:color w:val="333333"/>
          <w:kern w:val="0"/>
          <w:sz w:val="16"/>
          <w:szCs w:val="16"/>
        </w:rPr>
        <w:br/>
        <w:t xml:space="preserve">　　拟制公文时，要明确主动公开、依申请公开、不予公开等属性。拟不公开的公文，要依法依规说明理由，并在报批前送本单位政务公开工作机构审查。文件起草部门要把好公开属性选择的“第一关”，核稿人、部门负责人、分管局领导要认真做好公文公开属性的审核工作。办公室在发文审核时，加强对公文公开属性的复核。</w:t>
      </w:r>
      <w:r w:rsidRPr="00950B57">
        <w:rPr>
          <w:rFonts w:ascii="微软雅黑" w:eastAsia="微软雅黑" w:hAnsi="微软雅黑" w:cs="宋体" w:hint="eastAsia"/>
          <w:color w:val="333333"/>
          <w:kern w:val="0"/>
          <w:sz w:val="16"/>
          <w:szCs w:val="16"/>
        </w:rPr>
        <w:br/>
      </w:r>
      <w:r w:rsidRPr="00950B57">
        <w:rPr>
          <w:rFonts w:ascii="微软雅黑" w:eastAsia="微软雅黑" w:hAnsi="微软雅黑" w:cs="宋体" w:hint="eastAsia"/>
          <w:b/>
          <w:bCs/>
          <w:color w:val="333333"/>
          <w:kern w:val="0"/>
          <w:sz w:val="16"/>
          <w:szCs w:val="16"/>
        </w:rPr>
        <w:t xml:space="preserve">　　（二）信息发布</w:t>
      </w:r>
      <w:r w:rsidRPr="00950B57">
        <w:rPr>
          <w:rFonts w:ascii="微软雅黑" w:eastAsia="微软雅黑" w:hAnsi="微软雅黑" w:cs="宋体" w:hint="eastAsia"/>
          <w:color w:val="333333"/>
          <w:kern w:val="0"/>
          <w:sz w:val="16"/>
          <w:szCs w:val="16"/>
        </w:rPr>
        <w:br/>
        <w:t xml:space="preserve">　　对涉及公众利益调整、需要公众广泛知晓或者需要公众参与决策的政府信息，县（区、市）税务局应当主动公开。建立健全信息发布机制，及时准确发布本单位主动公开的政府信息。对已发布的信息，要及时进行更新和调整，确保准确权威，便于公众使用。</w:t>
      </w:r>
      <w:r w:rsidRPr="00950B57">
        <w:rPr>
          <w:rFonts w:ascii="微软雅黑" w:eastAsia="微软雅黑" w:hAnsi="微软雅黑" w:cs="宋体" w:hint="eastAsia"/>
          <w:color w:val="333333"/>
          <w:kern w:val="0"/>
          <w:sz w:val="16"/>
          <w:szCs w:val="16"/>
        </w:rPr>
        <w:br/>
      </w:r>
      <w:r w:rsidRPr="00950B57">
        <w:rPr>
          <w:rFonts w:ascii="微软雅黑" w:eastAsia="微软雅黑" w:hAnsi="微软雅黑" w:cs="宋体" w:hint="eastAsia"/>
          <w:b/>
          <w:bCs/>
          <w:color w:val="333333"/>
          <w:kern w:val="0"/>
          <w:sz w:val="16"/>
          <w:szCs w:val="16"/>
        </w:rPr>
        <w:t xml:space="preserve">　　（三）解读回应</w:t>
      </w:r>
      <w:r w:rsidRPr="00950B57">
        <w:rPr>
          <w:rFonts w:ascii="微软雅黑" w:eastAsia="微软雅黑" w:hAnsi="微软雅黑" w:cs="宋体" w:hint="eastAsia"/>
          <w:color w:val="333333"/>
          <w:kern w:val="0"/>
          <w:sz w:val="16"/>
          <w:szCs w:val="16"/>
        </w:rPr>
        <w:br/>
        <w:t xml:space="preserve">　　县（区、市）税务局要加强对税收政策的宣传，把政策解读清楚。密切关注和及时</w:t>
      </w:r>
      <w:proofErr w:type="gramStart"/>
      <w:r w:rsidRPr="00950B57">
        <w:rPr>
          <w:rFonts w:ascii="微软雅黑" w:eastAsia="微软雅黑" w:hAnsi="微软雅黑" w:cs="宋体" w:hint="eastAsia"/>
          <w:color w:val="333333"/>
          <w:kern w:val="0"/>
          <w:sz w:val="16"/>
          <w:szCs w:val="16"/>
        </w:rPr>
        <w:t>研</w:t>
      </w:r>
      <w:proofErr w:type="gramEnd"/>
      <w:r w:rsidRPr="00950B57">
        <w:rPr>
          <w:rFonts w:ascii="微软雅黑" w:eastAsia="微软雅黑" w:hAnsi="微软雅黑" w:cs="宋体" w:hint="eastAsia"/>
          <w:color w:val="333333"/>
          <w:kern w:val="0"/>
          <w:sz w:val="16"/>
          <w:szCs w:val="16"/>
        </w:rPr>
        <w:t>判</w:t>
      </w:r>
      <w:proofErr w:type="gramStart"/>
      <w:r w:rsidRPr="00950B57">
        <w:rPr>
          <w:rFonts w:ascii="微软雅黑" w:eastAsia="微软雅黑" w:hAnsi="微软雅黑" w:cs="宋体" w:hint="eastAsia"/>
          <w:color w:val="333333"/>
          <w:kern w:val="0"/>
          <w:sz w:val="16"/>
          <w:szCs w:val="16"/>
        </w:rPr>
        <w:t>涉税涉费舆情</w:t>
      </w:r>
      <w:proofErr w:type="gramEnd"/>
      <w:r w:rsidRPr="00950B57">
        <w:rPr>
          <w:rFonts w:ascii="微软雅黑" w:eastAsia="微软雅黑" w:hAnsi="微软雅黑" w:cs="宋体" w:hint="eastAsia"/>
          <w:color w:val="333333"/>
          <w:kern w:val="0"/>
          <w:sz w:val="16"/>
          <w:szCs w:val="16"/>
        </w:rPr>
        <w:t>，按照属地管理、谁主管谁负责的原则，扎实做好舆情回应工作。对于重大突发性事件，要在上级主管部门的指导下，按程序及时发布由相关责任主体提供的回应信息，并根据事件发展和工作进展发布动态信息。</w:t>
      </w:r>
      <w:r w:rsidRPr="00950B57">
        <w:rPr>
          <w:rFonts w:ascii="微软雅黑" w:eastAsia="微软雅黑" w:hAnsi="微软雅黑" w:cs="宋体" w:hint="eastAsia"/>
          <w:color w:val="333333"/>
          <w:kern w:val="0"/>
          <w:sz w:val="16"/>
          <w:szCs w:val="16"/>
        </w:rPr>
        <w:br/>
      </w:r>
      <w:r w:rsidRPr="00950B57">
        <w:rPr>
          <w:rFonts w:ascii="微软雅黑" w:eastAsia="微软雅黑" w:hAnsi="微软雅黑" w:cs="宋体" w:hint="eastAsia"/>
          <w:b/>
          <w:bCs/>
          <w:color w:val="333333"/>
          <w:kern w:val="0"/>
          <w:sz w:val="16"/>
          <w:szCs w:val="16"/>
        </w:rPr>
        <w:t xml:space="preserve">　　（四）公众参与</w:t>
      </w:r>
      <w:r w:rsidRPr="00950B57">
        <w:rPr>
          <w:rFonts w:ascii="微软雅黑" w:eastAsia="微软雅黑" w:hAnsi="微软雅黑" w:cs="宋体" w:hint="eastAsia"/>
          <w:color w:val="333333"/>
          <w:kern w:val="0"/>
          <w:sz w:val="16"/>
          <w:szCs w:val="16"/>
        </w:rPr>
        <w:br/>
        <w:t xml:space="preserve">　　县（区、市）税务局应围绕税收中心工作，重点结合税收优惠政策落地和优化纳税缴费服务，着力提高纳税人和缴费人的参与度。通过在办税服务厅设置意见建议箱等方式，做好信息的收集处理和反馈；通过满意度调查、召开座谈会、入户走访等方式，加强纳税人、缴费人需求征集工作；对税务网站上收集到的涉及本单位的意见和建议、公众留言、局长信箱来信等互动信息；能够回应的，应及时予以回应；需要报经上级部门研究确定的，定期收集并分类梳理后上报。</w:t>
      </w:r>
    </w:p>
    <w:p w:rsidR="00FE52F5" w:rsidRPr="00950B57" w:rsidRDefault="00FE52F5"/>
    <w:sectPr w:rsidR="00FE52F5" w:rsidRPr="00950B5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50B57"/>
    <w:rsid w:val="00950B57"/>
    <w:rsid w:val="00FE52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50B57"/>
    <w:rPr>
      <w:strike w:val="0"/>
      <w:dstrike w:val="0"/>
      <w:color w:val="333333"/>
      <w:u w:val="none"/>
      <w:effect w:val="none"/>
    </w:rPr>
  </w:style>
  <w:style w:type="paragraph" w:customStyle="1" w:styleId="lanse">
    <w:name w:val="lanse"/>
    <w:basedOn w:val="a"/>
    <w:rsid w:val="00950B57"/>
    <w:pPr>
      <w:widowControl/>
      <w:jc w:val="left"/>
    </w:pPr>
    <w:rPr>
      <w:rFonts w:ascii="宋体" w:eastAsia="宋体" w:hAnsi="宋体" w:cs="宋体"/>
      <w:kern w:val="0"/>
      <w:sz w:val="24"/>
      <w:szCs w:val="24"/>
    </w:rPr>
  </w:style>
  <w:style w:type="character" w:customStyle="1" w:styleId="yanse">
    <w:name w:val="yanse"/>
    <w:basedOn w:val="a0"/>
    <w:rsid w:val="00950B57"/>
  </w:style>
  <w:style w:type="character" w:customStyle="1" w:styleId="whspan">
    <w:name w:val="whspan"/>
    <w:basedOn w:val="a0"/>
    <w:rsid w:val="00950B57"/>
  </w:style>
</w:styles>
</file>

<file path=word/webSettings.xml><?xml version="1.0" encoding="utf-8"?>
<w:webSettings xmlns:r="http://schemas.openxmlformats.org/officeDocument/2006/relationships" xmlns:w="http://schemas.openxmlformats.org/wordprocessingml/2006/main">
  <w:divs>
    <w:div w:id="1126119605">
      <w:bodyDiv w:val="1"/>
      <w:marLeft w:val="0"/>
      <w:marRight w:val="0"/>
      <w:marTop w:val="0"/>
      <w:marBottom w:val="0"/>
      <w:divBdr>
        <w:top w:val="none" w:sz="0" w:space="0" w:color="auto"/>
        <w:left w:val="none" w:sz="0" w:space="0" w:color="auto"/>
        <w:bottom w:val="none" w:sz="0" w:space="0" w:color="auto"/>
        <w:right w:val="none" w:sz="0" w:space="0" w:color="auto"/>
      </w:divBdr>
      <w:divsChild>
        <w:div w:id="1962344503">
          <w:marLeft w:val="0"/>
          <w:marRight w:val="0"/>
          <w:marTop w:val="100"/>
          <w:marBottom w:val="100"/>
          <w:divBdr>
            <w:top w:val="none" w:sz="0" w:space="0" w:color="auto"/>
            <w:left w:val="none" w:sz="0" w:space="0" w:color="auto"/>
            <w:bottom w:val="none" w:sz="0" w:space="0" w:color="auto"/>
            <w:right w:val="none" w:sz="0" w:space="0" w:color="auto"/>
          </w:divBdr>
          <w:divsChild>
            <w:div w:id="1684817491">
              <w:marLeft w:val="0"/>
              <w:marRight w:val="0"/>
              <w:marTop w:val="0"/>
              <w:marBottom w:val="0"/>
              <w:divBdr>
                <w:top w:val="single" w:sz="4" w:space="0" w:color="DEDCD8"/>
                <w:left w:val="single" w:sz="4" w:space="0" w:color="DEDCD8"/>
                <w:bottom w:val="single" w:sz="4" w:space="0" w:color="DEDCD8"/>
                <w:right w:val="single" w:sz="4" w:space="0" w:color="DEDCD8"/>
              </w:divBdr>
              <w:divsChild>
                <w:div w:id="619343389">
                  <w:marLeft w:val="0"/>
                  <w:marRight w:val="0"/>
                  <w:marTop w:val="0"/>
                  <w:marBottom w:val="0"/>
                  <w:divBdr>
                    <w:top w:val="none" w:sz="0" w:space="0" w:color="auto"/>
                    <w:left w:val="none" w:sz="0" w:space="0" w:color="auto"/>
                    <w:bottom w:val="single" w:sz="4" w:space="0" w:color="DEDCD8"/>
                    <w:right w:val="none" w:sz="0" w:space="0" w:color="auto"/>
                  </w:divBdr>
                  <w:divsChild>
                    <w:div w:id="736509894">
                      <w:marLeft w:val="0"/>
                      <w:marRight w:val="0"/>
                      <w:marTop w:val="140"/>
                      <w:marBottom w:val="140"/>
                      <w:divBdr>
                        <w:top w:val="none" w:sz="0" w:space="0" w:color="auto"/>
                        <w:left w:val="none" w:sz="0" w:space="0" w:color="auto"/>
                        <w:bottom w:val="none" w:sz="0" w:space="0" w:color="auto"/>
                        <w:right w:val="none" w:sz="0" w:space="0" w:color="auto"/>
                      </w:divBdr>
                      <w:divsChild>
                        <w:div w:id="732823660">
                          <w:marLeft w:val="0"/>
                          <w:marRight w:val="0"/>
                          <w:marTop w:val="0"/>
                          <w:marBottom w:val="0"/>
                          <w:divBdr>
                            <w:top w:val="none" w:sz="0" w:space="0" w:color="auto"/>
                            <w:left w:val="none" w:sz="0" w:space="0" w:color="auto"/>
                            <w:bottom w:val="none" w:sz="0" w:space="0" w:color="auto"/>
                            <w:right w:val="none" w:sz="0" w:space="0" w:color="auto"/>
                          </w:divBdr>
                          <w:divsChild>
                            <w:div w:id="839273737">
                              <w:marLeft w:val="0"/>
                              <w:marRight w:val="0"/>
                              <w:marTop w:val="0"/>
                              <w:marBottom w:val="0"/>
                              <w:divBdr>
                                <w:top w:val="none" w:sz="0" w:space="0" w:color="auto"/>
                                <w:left w:val="none" w:sz="0" w:space="0" w:color="auto"/>
                                <w:bottom w:val="none" w:sz="0" w:space="0" w:color="auto"/>
                                <w:right w:val="none" w:sz="0" w:space="0" w:color="auto"/>
                              </w:divBdr>
                            </w:div>
                            <w:div w:id="1352681692">
                              <w:marLeft w:val="0"/>
                              <w:marRight w:val="0"/>
                              <w:marTop w:val="0"/>
                              <w:marBottom w:val="0"/>
                              <w:divBdr>
                                <w:top w:val="none" w:sz="0" w:space="0" w:color="auto"/>
                                <w:left w:val="none" w:sz="0" w:space="0" w:color="auto"/>
                                <w:bottom w:val="none" w:sz="0" w:space="0" w:color="auto"/>
                                <w:right w:val="none" w:sz="0" w:space="0" w:color="auto"/>
                              </w:divBdr>
                              <w:divsChild>
                                <w:div w:id="138769104">
                                  <w:marLeft w:val="50"/>
                                  <w:marRight w:val="0"/>
                                  <w:marTop w:val="0"/>
                                  <w:marBottom w:val="0"/>
                                  <w:divBdr>
                                    <w:top w:val="none" w:sz="0" w:space="0" w:color="auto"/>
                                    <w:left w:val="none" w:sz="0" w:space="0" w:color="auto"/>
                                    <w:bottom w:val="none" w:sz="0" w:space="0" w:color="auto"/>
                                    <w:right w:val="none" w:sz="0" w:space="0" w:color="auto"/>
                                  </w:divBdr>
                                  <w:divsChild>
                                    <w:div w:id="1550873558">
                                      <w:marLeft w:val="0"/>
                                      <w:marRight w:val="0"/>
                                      <w:marTop w:val="0"/>
                                      <w:marBottom w:val="0"/>
                                      <w:divBdr>
                                        <w:top w:val="none" w:sz="0" w:space="0" w:color="auto"/>
                                        <w:left w:val="none" w:sz="0" w:space="0" w:color="auto"/>
                                        <w:bottom w:val="none" w:sz="0" w:space="0" w:color="auto"/>
                                        <w:right w:val="none" w:sz="0" w:space="0" w:color="auto"/>
                                      </w:divBdr>
                                      <w:divsChild>
                                        <w:div w:id="210668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5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hinatax.gov.cn/chinatax/n810341/n810765/n4182981/201907/c4551146/5141471/files/bd8bc9e82c3345998e899caf7b7fff2e.xls" TargetMode="External"/><Relationship Id="rId5" Type="http://schemas.openxmlformats.org/officeDocument/2006/relationships/hyperlink" Target="javascript:;" TargetMode="External"/><Relationship Id="rId4"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1956</Characters>
  <Application>Microsoft Office Word</Application>
  <DocSecurity>0</DocSecurity>
  <Lines>16</Lines>
  <Paragraphs>4</Paragraphs>
  <ScaleCrop>false</ScaleCrop>
  <Company/>
  <LinksUpToDate>false</LinksUpToDate>
  <CharactersWithSpaces>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2020-07-02T09:01:00Z</dcterms:created>
  <dcterms:modified xsi:type="dcterms:W3CDTF">2020-07-02T09:01:00Z</dcterms:modified>
</cp:coreProperties>
</file>