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273C2">
      <w:pPr>
        <w:adjustRightInd w:val="0"/>
        <w:snapToGrid w:val="0"/>
        <w:jc w:val="center"/>
        <w:outlineLvl w:val="0"/>
        <w:rPr>
          <w:rFonts w:eastAsia="方正小标宋_GBK"/>
          <w:bCs/>
          <w:color w:val="auto"/>
          <w:sz w:val="72"/>
          <w:szCs w:val="72"/>
          <w:highlight w:val="none"/>
        </w:rPr>
      </w:pPr>
      <w:bookmarkStart w:id="0" w:name="_Toc10200"/>
      <w:bookmarkStart w:id="1" w:name="_Toc16800"/>
      <w:bookmarkStart w:id="2" w:name="_Toc27812"/>
      <w:bookmarkStart w:id="3" w:name="_Toc8304"/>
      <w:bookmarkStart w:id="4" w:name="_Toc27232"/>
      <w:bookmarkStart w:id="92" w:name="_GoBack"/>
    </w:p>
    <w:p w14:paraId="455B9A62">
      <w:pPr>
        <w:adjustRightInd w:val="0"/>
        <w:snapToGrid w:val="0"/>
        <w:jc w:val="center"/>
        <w:outlineLvl w:val="0"/>
        <w:rPr>
          <w:rFonts w:eastAsia="方正小标宋_GBK"/>
          <w:bCs/>
          <w:color w:val="auto"/>
          <w:sz w:val="72"/>
          <w:szCs w:val="72"/>
          <w:highlight w:val="none"/>
        </w:rPr>
      </w:pPr>
    </w:p>
    <w:p w14:paraId="549C94D5">
      <w:pPr>
        <w:adjustRightInd w:val="0"/>
        <w:snapToGrid w:val="0"/>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bookmarkEnd w:id="0"/>
      <w:bookmarkEnd w:id="1"/>
      <w:bookmarkEnd w:id="2"/>
      <w:bookmarkEnd w:id="3"/>
      <w:bookmarkEnd w:id="4"/>
    </w:p>
    <w:p w14:paraId="228CB9D4">
      <w:pPr>
        <w:adjustRightInd w:val="0"/>
        <w:snapToGrid w:val="0"/>
        <w:spacing w:beforeLines="80"/>
        <w:jc w:val="center"/>
        <w:rPr>
          <w:rFonts w:eastAsia="楷体_GB2312"/>
          <w:bCs/>
          <w:color w:val="auto"/>
          <w:sz w:val="48"/>
          <w:szCs w:val="48"/>
          <w:highlight w:val="none"/>
        </w:rPr>
      </w:pPr>
      <w:r>
        <w:rPr>
          <w:rFonts w:eastAsia="楷体_GB2312"/>
          <w:bCs/>
          <w:color w:val="auto"/>
          <w:sz w:val="48"/>
          <w:szCs w:val="48"/>
          <w:highlight w:val="none"/>
        </w:rPr>
        <w:t>（污染影响类）</w:t>
      </w:r>
    </w:p>
    <w:p w14:paraId="56AFA52B">
      <w:pPr>
        <w:adjustRightInd w:val="0"/>
        <w:snapToGrid w:val="0"/>
        <w:spacing w:line="288" w:lineRule="auto"/>
        <w:jc w:val="center"/>
        <w:outlineLvl w:val="9"/>
        <w:rPr>
          <w:rFonts w:eastAsia="华文仿宋"/>
          <w:color w:val="auto"/>
          <w:kern w:val="44"/>
          <w:sz w:val="44"/>
          <w:szCs w:val="44"/>
          <w:highlight w:val="none"/>
        </w:rPr>
      </w:pPr>
    </w:p>
    <w:p w14:paraId="148018F7">
      <w:pPr>
        <w:jc w:val="center"/>
        <w:rPr>
          <w:rFonts w:eastAsia="仿宋"/>
          <w:color w:val="auto"/>
          <w:sz w:val="52"/>
          <w:szCs w:val="52"/>
          <w:highlight w:val="none"/>
        </w:rPr>
      </w:pPr>
    </w:p>
    <w:p w14:paraId="72DF4469">
      <w:pPr>
        <w:ind w:firstLine="1040"/>
        <w:rPr>
          <w:rFonts w:eastAsia="仿宋"/>
          <w:color w:val="auto"/>
          <w:sz w:val="44"/>
          <w:szCs w:val="44"/>
          <w:highlight w:val="none"/>
        </w:rPr>
      </w:pPr>
    </w:p>
    <w:p w14:paraId="6097D694">
      <w:pPr>
        <w:ind w:firstLine="1040"/>
        <w:rPr>
          <w:rFonts w:eastAsia="仿宋"/>
          <w:color w:val="auto"/>
          <w:sz w:val="44"/>
          <w:szCs w:val="44"/>
          <w:highlight w:val="none"/>
        </w:rPr>
      </w:pPr>
    </w:p>
    <w:p w14:paraId="6441445B">
      <w:pPr>
        <w:pStyle w:val="26"/>
        <w:ind w:left="1300" w:hanging="880"/>
        <w:rPr>
          <w:rFonts w:eastAsia="仿宋"/>
          <w:color w:val="auto"/>
          <w:sz w:val="44"/>
          <w:szCs w:val="44"/>
          <w:highlight w:val="none"/>
        </w:rPr>
      </w:pPr>
    </w:p>
    <w:p w14:paraId="6D92832A">
      <w:pPr>
        <w:rPr>
          <w:rFonts w:eastAsia="仿宋"/>
          <w:color w:val="auto"/>
          <w:sz w:val="44"/>
          <w:szCs w:val="44"/>
          <w:highlight w:val="none"/>
        </w:rPr>
      </w:pPr>
    </w:p>
    <w:p w14:paraId="4483FD13">
      <w:pPr>
        <w:pStyle w:val="3"/>
        <w:spacing w:line="360" w:lineRule="auto"/>
        <w:outlineLvl w:val="9"/>
        <w:rPr>
          <w:rFonts w:ascii="Times New Roman" w:hAnsi="Times New Roman" w:eastAsia="仿宋"/>
          <w:color w:val="auto"/>
          <w:sz w:val="44"/>
          <w:szCs w:val="44"/>
          <w:highlight w:val="none"/>
        </w:rPr>
      </w:pPr>
    </w:p>
    <w:p w14:paraId="24C998FF">
      <w:pPr>
        <w:widowControl/>
        <w:ind w:firstLine="643" w:firstLineChars="200"/>
        <w:jc w:val="left"/>
        <w:outlineLvl w:val="0"/>
        <w:rPr>
          <w:rFonts w:eastAsia="仿宋_GB2312"/>
          <w:b/>
          <w:bCs/>
          <w:color w:val="auto"/>
          <w:sz w:val="32"/>
          <w:szCs w:val="32"/>
          <w:highlight w:val="none"/>
          <w:u w:val="single"/>
        </w:rPr>
      </w:pPr>
      <w:bookmarkStart w:id="5" w:name="_Toc30475"/>
      <w:bookmarkStart w:id="6" w:name="_Toc25017"/>
      <w:bookmarkStart w:id="7" w:name="_Toc32234"/>
      <w:bookmarkStart w:id="8" w:name="_Toc2760"/>
      <w:r>
        <w:rPr>
          <w:rFonts w:eastAsia="仿宋_GB2312"/>
          <w:b/>
          <w:bCs/>
          <w:color w:val="auto"/>
          <w:sz w:val="32"/>
          <w:szCs w:val="32"/>
          <w:highlight w:val="none"/>
        </w:rPr>
        <w:t>项</w:t>
      </w:r>
      <w:r>
        <w:rPr>
          <w:rFonts w:hint="eastAsia" w:eastAsia="仿宋_GB2312"/>
          <w:b/>
          <w:bCs/>
          <w:color w:val="auto"/>
          <w:sz w:val="32"/>
          <w:szCs w:val="32"/>
          <w:highlight w:val="none"/>
        </w:rPr>
        <w:t xml:space="preserve">  </w:t>
      </w:r>
      <w:r>
        <w:rPr>
          <w:rFonts w:eastAsia="仿宋_GB2312"/>
          <w:b/>
          <w:bCs/>
          <w:color w:val="auto"/>
          <w:sz w:val="32"/>
          <w:szCs w:val="32"/>
          <w:highlight w:val="none"/>
        </w:rPr>
        <w:t>目</w:t>
      </w:r>
      <w:r>
        <w:rPr>
          <w:rFonts w:hint="eastAsia" w:eastAsia="仿宋_GB2312"/>
          <w:b/>
          <w:bCs/>
          <w:color w:val="auto"/>
          <w:sz w:val="32"/>
          <w:szCs w:val="32"/>
          <w:highlight w:val="none"/>
        </w:rPr>
        <w:t xml:space="preserve">  </w:t>
      </w:r>
      <w:r>
        <w:rPr>
          <w:rFonts w:eastAsia="仿宋_GB2312"/>
          <w:b/>
          <w:bCs/>
          <w:color w:val="auto"/>
          <w:sz w:val="32"/>
          <w:szCs w:val="32"/>
          <w:highlight w:val="none"/>
        </w:rPr>
        <w:t>名</w:t>
      </w:r>
      <w:r>
        <w:rPr>
          <w:rFonts w:hint="eastAsia" w:eastAsia="仿宋_GB2312"/>
          <w:b/>
          <w:bCs/>
          <w:color w:val="auto"/>
          <w:sz w:val="32"/>
          <w:szCs w:val="32"/>
          <w:highlight w:val="none"/>
        </w:rPr>
        <w:t xml:space="preserve">  </w:t>
      </w:r>
      <w:r>
        <w:rPr>
          <w:rFonts w:eastAsia="仿宋_GB2312"/>
          <w:b/>
          <w:bCs/>
          <w:color w:val="auto"/>
          <w:sz w:val="32"/>
          <w:szCs w:val="32"/>
          <w:highlight w:val="none"/>
        </w:rPr>
        <w:t>称</w:t>
      </w:r>
      <w:r>
        <w:rPr>
          <w:rFonts w:hint="eastAsia" w:eastAsia="仿宋_GB2312"/>
          <w:b/>
          <w:bCs/>
          <w:color w:val="auto"/>
          <w:sz w:val="32"/>
          <w:szCs w:val="32"/>
          <w:highlight w:val="none"/>
        </w:rPr>
        <w:t>：</w:t>
      </w:r>
      <w:r>
        <w:rPr>
          <w:rFonts w:hint="eastAsia" w:eastAsia="仿宋_GB2312"/>
          <w:b/>
          <w:bCs/>
          <w:color w:val="auto"/>
          <w:sz w:val="32"/>
          <w:szCs w:val="32"/>
          <w:highlight w:val="none"/>
          <w:u w:val="single"/>
        </w:rPr>
        <w:t xml:space="preserve">    危险废物收集</w:t>
      </w:r>
      <w:r>
        <w:rPr>
          <w:rFonts w:hint="eastAsia" w:eastAsia="仿宋_GB2312"/>
          <w:b/>
          <w:bCs/>
          <w:color w:val="auto"/>
          <w:sz w:val="32"/>
          <w:szCs w:val="32"/>
          <w:highlight w:val="none"/>
          <w:u w:val="single"/>
          <w:lang w:eastAsia="zh-CN"/>
        </w:rPr>
        <w:t>、贮存建设</w:t>
      </w:r>
      <w:r>
        <w:rPr>
          <w:rFonts w:hint="eastAsia" w:eastAsia="仿宋_GB2312"/>
          <w:b/>
          <w:bCs/>
          <w:color w:val="auto"/>
          <w:sz w:val="32"/>
          <w:szCs w:val="32"/>
          <w:highlight w:val="none"/>
          <w:u w:val="single"/>
        </w:rPr>
        <w:t>项目</w:t>
      </w:r>
      <w:bookmarkEnd w:id="5"/>
      <w:bookmarkEnd w:id="6"/>
      <w:bookmarkEnd w:id="7"/>
      <w:bookmarkEnd w:id="8"/>
      <w:r>
        <w:rPr>
          <w:rFonts w:hint="eastAsia" w:eastAsia="仿宋_GB2312"/>
          <w:b/>
          <w:bCs/>
          <w:color w:val="auto"/>
          <w:sz w:val="32"/>
          <w:szCs w:val="32"/>
          <w:highlight w:val="none"/>
          <w:u w:val="single"/>
        </w:rPr>
        <w:t xml:space="preserve">  </w:t>
      </w:r>
    </w:p>
    <w:p w14:paraId="3495AB44">
      <w:pPr>
        <w:adjustRightInd w:val="0"/>
        <w:snapToGrid w:val="0"/>
        <w:spacing w:line="360" w:lineRule="auto"/>
        <w:ind w:firstLine="643" w:firstLineChars="200"/>
        <w:rPr>
          <w:rFonts w:eastAsia="仿宋_GB2312"/>
          <w:b/>
          <w:bCs/>
          <w:color w:val="auto"/>
          <w:sz w:val="32"/>
          <w:szCs w:val="32"/>
          <w:highlight w:val="none"/>
          <w:u w:val="single"/>
        </w:rPr>
      </w:pPr>
      <w:r>
        <w:rPr>
          <w:rFonts w:hint="eastAsia" w:eastAsia="仿宋_GB2312"/>
          <w:b/>
          <w:bCs/>
          <w:color w:val="auto"/>
          <w:sz w:val="32"/>
          <w:szCs w:val="32"/>
          <w:highlight w:val="none"/>
        </w:rPr>
        <w:t>建设单位（盖章）：</w:t>
      </w:r>
      <w:r>
        <w:rPr>
          <w:rFonts w:hint="eastAsia" w:eastAsia="仿宋_GB2312"/>
          <w:b/>
          <w:bCs/>
          <w:color w:val="auto"/>
          <w:sz w:val="32"/>
          <w:szCs w:val="32"/>
          <w:highlight w:val="none"/>
          <w:u w:val="single"/>
          <w:lang w:eastAsia="zh-CN"/>
        </w:rPr>
        <w:t>陕西宝鸡恒兴石化科技有限公司</w:t>
      </w:r>
      <w:r>
        <w:rPr>
          <w:rFonts w:hint="eastAsia" w:eastAsia="仿宋_GB2312"/>
          <w:b/>
          <w:bCs/>
          <w:color w:val="auto"/>
          <w:sz w:val="32"/>
          <w:szCs w:val="32"/>
          <w:highlight w:val="none"/>
          <w:u w:val="single"/>
        </w:rPr>
        <w:t xml:space="preserve">  </w:t>
      </w:r>
      <w:r>
        <w:rPr>
          <w:rFonts w:eastAsia="仿宋_GB2312"/>
          <w:b/>
          <w:bCs/>
          <w:color w:val="auto"/>
          <w:sz w:val="32"/>
          <w:szCs w:val="32"/>
          <w:highlight w:val="none"/>
          <w:u w:val="single"/>
        </w:rPr>
        <w:t xml:space="preserve"> </w:t>
      </w:r>
    </w:p>
    <w:p w14:paraId="0B1C4D54">
      <w:pPr>
        <w:adjustRightInd w:val="0"/>
        <w:snapToGrid w:val="0"/>
        <w:spacing w:line="360" w:lineRule="auto"/>
        <w:ind w:firstLine="643" w:firstLineChars="200"/>
        <w:rPr>
          <w:rFonts w:eastAsia="仿宋_GB2312"/>
          <w:b/>
          <w:bCs/>
          <w:color w:val="auto"/>
          <w:sz w:val="32"/>
          <w:szCs w:val="32"/>
          <w:highlight w:val="none"/>
          <w:u w:val="single"/>
        </w:rPr>
      </w:pPr>
      <w:r>
        <w:rPr>
          <w:rFonts w:eastAsia="仿宋_GB2312"/>
          <w:b/>
          <w:bCs/>
          <w:color w:val="auto"/>
          <w:sz w:val="32"/>
          <w:szCs w:val="32"/>
          <w:highlight w:val="none"/>
        </w:rPr>
        <w:t>编</w:t>
      </w:r>
      <w:r>
        <w:rPr>
          <w:rFonts w:hint="eastAsia" w:eastAsia="仿宋_GB2312"/>
          <w:b/>
          <w:bCs/>
          <w:color w:val="auto"/>
          <w:sz w:val="32"/>
          <w:szCs w:val="32"/>
          <w:highlight w:val="none"/>
        </w:rPr>
        <w:t xml:space="preserve"> </w:t>
      </w:r>
      <w:r>
        <w:rPr>
          <w:rFonts w:eastAsia="仿宋_GB2312"/>
          <w:b/>
          <w:bCs/>
          <w:color w:val="auto"/>
          <w:sz w:val="32"/>
          <w:szCs w:val="32"/>
          <w:highlight w:val="none"/>
        </w:rPr>
        <w:t>制</w:t>
      </w:r>
      <w:r>
        <w:rPr>
          <w:rFonts w:hint="eastAsia" w:eastAsia="仿宋_GB2312"/>
          <w:b/>
          <w:bCs/>
          <w:color w:val="auto"/>
          <w:sz w:val="32"/>
          <w:szCs w:val="32"/>
          <w:highlight w:val="none"/>
        </w:rPr>
        <w:t xml:space="preserve"> </w:t>
      </w:r>
      <w:r>
        <w:rPr>
          <w:rFonts w:eastAsia="仿宋_GB2312"/>
          <w:b/>
          <w:bCs/>
          <w:color w:val="auto"/>
          <w:sz w:val="32"/>
          <w:szCs w:val="32"/>
          <w:highlight w:val="none"/>
        </w:rPr>
        <w:t>日</w:t>
      </w:r>
      <w:r>
        <w:rPr>
          <w:rFonts w:hint="eastAsia" w:eastAsia="仿宋_GB2312"/>
          <w:b/>
          <w:bCs/>
          <w:color w:val="auto"/>
          <w:sz w:val="32"/>
          <w:szCs w:val="32"/>
          <w:highlight w:val="none"/>
        </w:rPr>
        <w:t xml:space="preserve"> </w:t>
      </w:r>
      <w:r>
        <w:rPr>
          <w:rFonts w:eastAsia="仿宋_GB2312"/>
          <w:b/>
          <w:bCs/>
          <w:color w:val="auto"/>
          <w:sz w:val="32"/>
          <w:szCs w:val="32"/>
          <w:highlight w:val="none"/>
        </w:rPr>
        <w:t>期：</w:t>
      </w:r>
      <w:r>
        <w:rPr>
          <w:rFonts w:hint="eastAsia" w:eastAsia="仿宋_GB2312"/>
          <w:b/>
          <w:bCs/>
          <w:color w:val="auto"/>
          <w:sz w:val="32"/>
          <w:szCs w:val="32"/>
          <w:highlight w:val="none"/>
        </w:rPr>
        <w:t xml:space="preserve">   </w:t>
      </w:r>
      <w:r>
        <w:rPr>
          <w:rFonts w:hint="eastAsia" w:eastAsia="仿宋_GB2312"/>
          <w:b/>
          <w:bCs/>
          <w:color w:val="auto"/>
          <w:sz w:val="32"/>
          <w:szCs w:val="32"/>
          <w:highlight w:val="none"/>
          <w:u w:val="single"/>
        </w:rPr>
        <w:t xml:space="preserve">        202</w:t>
      </w:r>
      <w:r>
        <w:rPr>
          <w:rFonts w:hint="eastAsia" w:eastAsia="仿宋_GB2312"/>
          <w:b/>
          <w:bCs/>
          <w:color w:val="auto"/>
          <w:sz w:val="32"/>
          <w:szCs w:val="32"/>
          <w:highlight w:val="none"/>
          <w:u w:val="single"/>
          <w:lang w:val="en-US" w:eastAsia="zh-CN"/>
        </w:rPr>
        <w:t>5</w:t>
      </w:r>
      <w:r>
        <w:rPr>
          <w:rFonts w:eastAsia="仿宋_GB2312"/>
          <w:b/>
          <w:bCs/>
          <w:color w:val="auto"/>
          <w:sz w:val="32"/>
          <w:szCs w:val="32"/>
          <w:highlight w:val="none"/>
          <w:u w:val="single"/>
        </w:rPr>
        <w:t>年</w:t>
      </w:r>
      <w:r>
        <w:rPr>
          <w:rFonts w:hint="eastAsia" w:eastAsia="仿宋_GB2312"/>
          <w:b/>
          <w:bCs/>
          <w:color w:val="auto"/>
          <w:sz w:val="32"/>
          <w:szCs w:val="32"/>
          <w:highlight w:val="none"/>
          <w:u w:val="single"/>
          <w:lang w:val="en-US" w:eastAsia="zh-CN"/>
        </w:rPr>
        <w:t>10</w:t>
      </w:r>
      <w:r>
        <w:rPr>
          <w:rFonts w:eastAsia="仿宋_GB2312"/>
          <w:b/>
          <w:bCs/>
          <w:color w:val="auto"/>
          <w:sz w:val="32"/>
          <w:szCs w:val="32"/>
          <w:highlight w:val="none"/>
          <w:u w:val="single"/>
        </w:rPr>
        <w:t xml:space="preserve">月 </w:t>
      </w:r>
      <w:r>
        <w:rPr>
          <w:rFonts w:hint="eastAsia" w:eastAsia="仿宋_GB2312"/>
          <w:b/>
          <w:bCs/>
          <w:color w:val="auto"/>
          <w:sz w:val="32"/>
          <w:szCs w:val="32"/>
          <w:highlight w:val="none"/>
          <w:u w:val="single"/>
        </w:rPr>
        <w:t xml:space="preserve">    </w:t>
      </w:r>
      <w:r>
        <w:rPr>
          <w:rFonts w:eastAsia="仿宋_GB2312"/>
          <w:b/>
          <w:bCs/>
          <w:color w:val="auto"/>
          <w:sz w:val="32"/>
          <w:szCs w:val="32"/>
          <w:highlight w:val="none"/>
          <w:u w:val="single"/>
        </w:rPr>
        <w:t xml:space="preserve">  </w:t>
      </w:r>
      <w:r>
        <w:rPr>
          <w:rFonts w:hint="eastAsia" w:eastAsia="仿宋_GB2312"/>
          <w:b/>
          <w:bCs/>
          <w:color w:val="auto"/>
          <w:sz w:val="32"/>
          <w:szCs w:val="32"/>
          <w:highlight w:val="none"/>
          <w:u w:val="single"/>
        </w:rPr>
        <w:t xml:space="preserve">     </w:t>
      </w:r>
      <w:r>
        <w:rPr>
          <w:rFonts w:eastAsia="仿宋_GB2312"/>
          <w:b/>
          <w:bCs/>
          <w:color w:val="auto"/>
          <w:sz w:val="32"/>
          <w:szCs w:val="32"/>
          <w:highlight w:val="none"/>
          <w:u w:val="single"/>
        </w:rPr>
        <w:t xml:space="preserve"> </w:t>
      </w:r>
    </w:p>
    <w:p w14:paraId="3E613CC7">
      <w:pPr>
        <w:adjustRightInd w:val="0"/>
        <w:snapToGrid w:val="0"/>
        <w:spacing w:line="288" w:lineRule="auto"/>
        <w:ind w:firstLine="1040"/>
        <w:rPr>
          <w:rFonts w:eastAsia="仿宋_GB2312"/>
          <w:b/>
          <w:bCs/>
          <w:color w:val="auto"/>
          <w:sz w:val="32"/>
          <w:szCs w:val="32"/>
          <w:highlight w:val="none"/>
          <w:u w:val="single"/>
        </w:rPr>
      </w:pPr>
      <w:bookmarkStart w:id="9" w:name="_Hlk57884087"/>
    </w:p>
    <w:bookmarkEnd w:id="9"/>
    <w:p w14:paraId="63CF8307">
      <w:pPr>
        <w:adjustRightInd w:val="0"/>
        <w:snapToGrid w:val="0"/>
        <w:spacing w:line="288" w:lineRule="auto"/>
        <w:jc w:val="center"/>
        <w:outlineLvl w:val="0"/>
        <w:rPr>
          <w:rFonts w:eastAsia="楷体_GB2312"/>
          <w:b/>
          <w:bCs/>
          <w:color w:val="auto"/>
          <w:sz w:val="32"/>
          <w:szCs w:val="32"/>
          <w:highlight w:val="none"/>
        </w:rPr>
      </w:pPr>
      <w:bookmarkStart w:id="10" w:name="_Toc11732"/>
      <w:bookmarkStart w:id="11" w:name="_Toc29551"/>
      <w:bookmarkStart w:id="12" w:name="_Toc12514"/>
      <w:bookmarkStart w:id="13" w:name="_Toc13170"/>
      <w:r>
        <w:rPr>
          <w:rFonts w:eastAsia="楷体_GB2312"/>
          <w:b/>
          <w:bCs/>
          <w:color w:val="auto"/>
          <w:sz w:val="32"/>
          <w:szCs w:val="32"/>
          <w:highlight w:val="none"/>
        </w:rPr>
        <w:t>中华人民共和国生态环境部</w:t>
      </w:r>
      <w:bookmarkEnd w:id="10"/>
      <w:bookmarkEnd w:id="11"/>
      <w:bookmarkEnd w:id="12"/>
      <w:bookmarkEnd w:id="13"/>
    </w:p>
    <w:p w14:paraId="766E0D97">
      <w:pPr>
        <w:rPr>
          <w:color w:val="auto"/>
          <w:highlight w:val="none"/>
        </w:rPr>
        <w:sectPr>
          <w:pgSz w:w="11906" w:h="16838"/>
          <w:pgMar w:top="1702" w:right="1531" w:bottom="1702" w:left="1531" w:header="851" w:footer="1077" w:gutter="0"/>
          <w:pgBorders>
            <w:top w:val="none" w:sz="0" w:space="0"/>
            <w:left w:val="none" w:sz="0" w:space="0"/>
            <w:bottom w:val="none" w:sz="0" w:space="0"/>
            <w:right w:val="none" w:sz="0" w:space="0"/>
          </w:pgBorders>
          <w:pgNumType w:start="1"/>
          <w:cols w:space="720" w:num="1"/>
          <w:docGrid w:type="lines" w:linePitch="312" w:charSpace="0"/>
        </w:sectPr>
      </w:pPr>
    </w:p>
    <w:p w14:paraId="129E45E8">
      <w:pPr>
        <w:pStyle w:val="30"/>
        <w:adjustRightInd w:val="0"/>
        <w:snapToGrid w:val="0"/>
        <w:spacing w:before="0" w:beforeAutospacing="0" w:after="0" w:afterAutospacing="0" w:line="360" w:lineRule="auto"/>
        <w:jc w:val="center"/>
        <w:outlineLvl w:val="0"/>
        <w:rPr>
          <w:rFonts w:hint="eastAsia" w:ascii="黑体" w:hAnsi="黑体" w:eastAsia="黑体"/>
          <w:snapToGrid w:val="0"/>
          <w:color w:val="auto"/>
          <w:sz w:val="30"/>
          <w:szCs w:val="30"/>
          <w:highlight w:val="none"/>
        </w:rPr>
      </w:pPr>
      <w:bookmarkStart w:id="14" w:name="_Toc17214"/>
      <w:bookmarkStart w:id="15" w:name="_Toc16514"/>
      <w:bookmarkStart w:id="16" w:name="_Toc25558"/>
      <w:bookmarkStart w:id="17" w:name="_Toc10981"/>
      <w:r>
        <w:rPr>
          <w:rFonts w:hint="eastAsia" w:ascii="黑体" w:hAnsi="黑体" w:eastAsia="黑体"/>
          <w:snapToGrid w:val="0"/>
          <w:color w:val="auto"/>
          <w:sz w:val="30"/>
          <w:szCs w:val="30"/>
          <w:highlight w:val="none"/>
        </w:rPr>
        <w:t>一、建设项目基本情况</w:t>
      </w:r>
      <w:bookmarkEnd w:id="14"/>
      <w:bookmarkEnd w:id="15"/>
      <w:bookmarkEnd w:id="16"/>
      <w:bookmarkEnd w:id="17"/>
    </w:p>
    <w:tbl>
      <w:tblPr>
        <w:tblStyle w:val="35"/>
        <w:tblW w:w="96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59"/>
        <w:gridCol w:w="1010"/>
        <w:gridCol w:w="3000"/>
        <w:gridCol w:w="1395"/>
        <w:gridCol w:w="3517"/>
      </w:tblGrid>
      <w:tr w14:paraId="1FA60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5AEDBEB">
            <w:pPr>
              <w:adjustRightInd w:val="0"/>
              <w:snapToGrid w:val="0"/>
              <w:jc w:val="center"/>
              <w:rPr>
                <w:color w:val="auto"/>
                <w:sz w:val="24"/>
                <w:szCs w:val="24"/>
                <w:highlight w:val="none"/>
              </w:rPr>
            </w:pPr>
            <w:r>
              <w:rPr>
                <w:color w:val="auto"/>
                <w:sz w:val="24"/>
                <w:szCs w:val="24"/>
                <w:highlight w:val="none"/>
              </w:rPr>
              <w:t>建设项目名称</w:t>
            </w:r>
          </w:p>
        </w:tc>
        <w:tc>
          <w:tcPr>
            <w:tcW w:w="7912" w:type="dxa"/>
            <w:gridSpan w:val="3"/>
            <w:vAlign w:val="center"/>
          </w:tcPr>
          <w:p w14:paraId="2D56A854">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危险废物收集、贮存建设项目</w:t>
            </w:r>
          </w:p>
        </w:tc>
      </w:tr>
      <w:tr w14:paraId="550EB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69" w:type="dxa"/>
            <w:gridSpan w:val="2"/>
            <w:tcMar>
              <w:top w:w="16" w:type="dxa"/>
              <w:left w:w="16" w:type="dxa"/>
              <w:right w:w="16" w:type="dxa"/>
            </w:tcMar>
            <w:vAlign w:val="center"/>
          </w:tcPr>
          <w:p w14:paraId="43062EB6">
            <w:pPr>
              <w:adjustRightInd w:val="0"/>
              <w:snapToGrid w:val="0"/>
              <w:jc w:val="center"/>
              <w:rPr>
                <w:color w:val="auto"/>
                <w:sz w:val="24"/>
                <w:szCs w:val="24"/>
                <w:highlight w:val="none"/>
              </w:rPr>
            </w:pPr>
            <w:r>
              <w:rPr>
                <w:color w:val="auto"/>
                <w:sz w:val="24"/>
                <w:szCs w:val="24"/>
                <w:highlight w:val="none"/>
              </w:rPr>
              <w:t>项目代码</w:t>
            </w:r>
          </w:p>
        </w:tc>
        <w:tc>
          <w:tcPr>
            <w:tcW w:w="7912" w:type="dxa"/>
            <w:gridSpan w:val="3"/>
            <w:vAlign w:val="center"/>
          </w:tcPr>
          <w:p w14:paraId="17E7B038">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2509-610363-04-01-162926</w:t>
            </w:r>
          </w:p>
        </w:tc>
      </w:tr>
      <w:tr w14:paraId="1A049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3E15AC4B">
            <w:pPr>
              <w:adjustRightInd w:val="0"/>
              <w:snapToGrid w:val="0"/>
              <w:jc w:val="center"/>
              <w:rPr>
                <w:color w:val="auto"/>
                <w:sz w:val="24"/>
                <w:szCs w:val="24"/>
                <w:highlight w:val="none"/>
              </w:rPr>
            </w:pPr>
            <w:r>
              <w:rPr>
                <w:color w:val="auto"/>
                <w:sz w:val="24"/>
                <w:szCs w:val="24"/>
                <w:highlight w:val="none"/>
              </w:rPr>
              <w:t>建设单位联系人</w:t>
            </w:r>
          </w:p>
        </w:tc>
        <w:tc>
          <w:tcPr>
            <w:tcW w:w="3000" w:type="dxa"/>
            <w:vAlign w:val="center"/>
          </w:tcPr>
          <w:p w14:paraId="256E166A">
            <w:pPr>
              <w:adjustRightInd w:val="0"/>
              <w:snapToGrid w:val="0"/>
              <w:jc w:val="center"/>
              <w:rPr>
                <w:color w:val="auto"/>
                <w:sz w:val="24"/>
                <w:szCs w:val="24"/>
                <w:highlight w:val="none"/>
              </w:rPr>
            </w:pPr>
          </w:p>
        </w:tc>
        <w:tc>
          <w:tcPr>
            <w:tcW w:w="1395" w:type="dxa"/>
            <w:vAlign w:val="center"/>
          </w:tcPr>
          <w:p w14:paraId="0C5DEC57">
            <w:pPr>
              <w:adjustRightInd w:val="0"/>
              <w:snapToGrid w:val="0"/>
              <w:jc w:val="center"/>
              <w:rPr>
                <w:rFonts w:hint="eastAsia"/>
                <w:color w:val="auto"/>
                <w:sz w:val="24"/>
                <w:szCs w:val="24"/>
                <w:highlight w:val="none"/>
              </w:rPr>
            </w:pPr>
            <w:r>
              <w:rPr>
                <w:rFonts w:hint="eastAsia"/>
                <w:color w:val="auto"/>
                <w:sz w:val="24"/>
                <w:szCs w:val="24"/>
                <w:highlight w:val="none"/>
              </w:rPr>
              <w:t>联系方式</w:t>
            </w:r>
          </w:p>
        </w:tc>
        <w:tc>
          <w:tcPr>
            <w:tcW w:w="3517" w:type="dxa"/>
            <w:vAlign w:val="center"/>
          </w:tcPr>
          <w:p w14:paraId="0B432C6A">
            <w:pPr>
              <w:adjustRightInd w:val="0"/>
              <w:snapToGrid w:val="0"/>
              <w:jc w:val="center"/>
              <w:rPr>
                <w:color w:val="auto"/>
                <w:sz w:val="24"/>
                <w:szCs w:val="24"/>
                <w:highlight w:val="none"/>
              </w:rPr>
            </w:pPr>
          </w:p>
        </w:tc>
      </w:tr>
      <w:tr w14:paraId="5E8FF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769" w:type="dxa"/>
            <w:gridSpan w:val="2"/>
            <w:tcMar>
              <w:top w:w="16" w:type="dxa"/>
              <w:left w:w="16" w:type="dxa"/>
              <w:right w:w="16" w:type="dxa"/>
            </w:tcMar>
            <w:vAlign w:val="center"/>
          </w:tcPr>
          <w:p w14:paraId="7B97D574">
            <w:pPr>
              <w:adjustRightInd w:val="0"/>
              <w:snapToGrid w:val="0"/>
              <w:jc w:val="center"/>
              <w:rPr>
                <w:color w:val="auto"/>
                <w:sz w:val="24"/>
                <w:szCs w:val="24"/>
                <w:highlight w:val="none"/>
              </w:rPr>
            </w:pPr>
            <w:r>
              <w:rPr>
                <w:color w:val="auto"/>
                <w:sz w:val="24"/>
                <w:szCs w:val="24"/>
                <w:highlight w:val="none"/>
              </w:rPr>
              <w:t>建设地点</w:t>
            </w:r>
          </w:p>
        </w:tc>
        <w:tc>
          <w:tcPr>
            <w:tcW w:w="7912" w:type="dxa"/>
            <w:gridSpan w:val="3"/>
            <w:vAlign w:val="center"/>
          </w:tcPr>
          <w:p w14:paraId="7C288306">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宝鸡市凤翔县高新区长青工业园内</w:t>
            </w:r>
          </w:p>
        </w:tc>
      </w:tr>
      <w:tr w14:paraId="49F76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69" w:type="dxa"/>
            <w:gridSpan w:val="2"/>
            <w:tcMar>
              <w:top w:w="16" w:type="dxa"/>
              <w:left w:w="16" w:type="dxa"/>
              <w:right w:w="16" w:type="dxa"/>
            </w:tcMar>
            <w:vAlign w:val="center"/>
          </w:tcPr>
          <w:p w14:paraId="1A36A6F9">
            <w:pPr>
              <w:adjustRightInd w:val="0"/>
              <w:snapToGrid w:val="0"/>
              <w:jc w:val="center"/>
              <w:rPr>
                <w:color w:val="auto"/>
                <w:sz w:val="24"/>
                <w:szCs w:val="24"/>
                <w:highlight w:val="none"/>
              </w:rPr>
            </w:pPr>
            <w:r>
              <w:rPr>
                <w:color w:val="auto"/>
                <w:sz w:val="24"/>
                <w:szCs w:val="24"/>
                <w:highlight w:val="none"/>
              </w:rPr>
              <w:t>地理坐标</w:t>
            </w:r>
          </w:p>
        </w:tc>
        <w:tc>
          <w:tcPr>
            <w:tcW w:w="7912" w:type="dxa"/>
            <w:gridSpan w:val="3"/>
            <w:vAlign w:val="center"/>
          </w:tcPr>
          <w:p w14:paraId="665A5870">
            <w:pPr>
              <w:jc w:val="center"/>
              <w:rPr>
                <w:color w:val="auto"/>
                <w:sz w:val="24"/>
                <w:szCs w:val="24"/>
                <w:highlight w:val="none"/>
              </w:rPr>
            </w:pPr>
            <w:r>
              <w:rPr>
                <w:color w:val="auto"/>
                <w:sz w:val="24"/>
                <w:szCs w:val="24"/>
                <w:highlight w:val="none"/>
              </w:rPr>
              <w:t>107度</w:t>
            </w:r>
            <w:r>
              <w:rPr>
                <w:rFonts w:hint="eastAsia"/>
                <w:color w:val="auto"/>
                <w:sz w:val="24"/>
                <w:szCs w:val="24"/>
                <w:highlight w:val="none"/>
                <w:lang w:val="en-US" w:eastAsia="zh-CN"/>
              </w:rPr>
              <w:t>16</w:t>
            </w:r>
            <w:r>
              <w:rPr>
                <w:color w:val="auto"/>
                <w:sz w:val="24"/>
                <w:szCs w:val="24"/>
                <w:highlight w:val="none"/>
              </w:rPr>
              <w:t>分</w:t>
            </w:r>
            <w:r>
              <w:rPr>
                <w:rFonts w:hint="eastAsia"/>
                <w:color w:val="auto"/>
                <w:sz w:val="24"/>
                <w:szCs w:val="24"/>
                <w:highlight w:val="none"/>
                <w:lang w:val="en-US" w:eastAsia="zh-CN"/>
              </w:rPr>
              <w:t>3.695</w:t>
            </w:r>
            <w:r>
              <w:rPr>
                <w:color w:val="auto"/>
                <w:sz w:val="24"/>
                <w:szCs w:val="24"/>
                <w:highlight w:val="none"/>
              </w:rPr>
              <w:t>秒，34度</w:t>
            </w:r>
            <w:r>
              <w:rPr>
                <w:rFonts w:hint="eastAsia"/>
                <w:color w:val="auto"/>
                <w:sz w:val="24"/>
                <w:szCs w:val="24"/>
                <w:highlight w:val="none"/>
                <w:lang w:val="en-US" w:eastAsia="zh-CN"/>
              </w:rPr>
              <w:t>28</w:t>
            </w:r>
            <w:r>
              <w:rPr>
                <w:color w:val="auto"/>
                <w:sz w:val="24"/>
                <w:szCs w:val="24"/>
                <w:highlight w:val="none"/>
              </w:rPr>
              <w:t>分</w:t>
            </w:r>
            <w:r>
              <w:rPr>
                <w:rFonts w:hint="eastAsia"/>
                <w:color w:val="auto"/>
                <w:sz w:val="24"/>
                <w:szCs w:val="24"/>
                <w:highlight w:val="none"/>
                <w:lang w:val="en-US" w:eastAsia="zh-CN"/>
              </w:rPr>
              <w:t>0.537</w:t>
            </w:r>
            <w:r>
              <w:rPr>
                <w:color w:val="auto"/>
                <w:sz w:val="24"/>
                <w:szCs w:val="24"/>
                <w:highlight w:val="none"/>
              </w:rPr>
              <w:t>秒</w:t>
            </w:r>
          </w:p>
        </w:tc>
      </w:tr>
      <w:tr w14:paraId="7FB9E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1769" w:type="dxa"/>
            <w:gridSpan w:val="2"/>
            <w:tcMar>
              <w:top w:w="16" w:type="dxa"/>
              <w:left w:w="16" w:type="dxa"/>
              <w:right w:w="16" w:type="dxa"/>
            </w:tcMar>
            <w:vAlign w:val="center"/>
          </w:tcPr>
          <w:p w14:paraId="7CAD879C">
            <w:pPr>
              <w:adjustRightInd w:val="0"/>
              <w:snapToGrid w:val="0"/>
              <w:jc w:val="center"/>
              <w:rPr>
                <w:color w:val="auto"/>
                <w:sz w:val="24"/>
                <w:szCs w:val="24"/>
                <w:highlight w:val="none"/>
              </w:rPr>
            </w:pPr>
            <w:r>
              <w:rPr>
                <w:color w:val="auto"/>
                <w:sz w:val="24"/>
                <w:szCs w:val="24"/>
                <w:highlight w:val="none"/>
              </w:rPr>
              <w:t>国民经济</w:t>
            </w:r>
          </w:p>
          <w:p w14:paraId="355BEA76">
            <w:pPr>
              <w:adjustRightInd w:val="0"/>
              <w:snapToGrid w:val="0"/>
              <w:jc w:val="center"/>
              <w:rPr>
                <w:color w:val="auto"/>
                <w:sz w:val="24"/>
                <w:szCs w:val="24"/>
                <w:highlight w:val="none"/>
              </w:rPr>
            </w:pPr>
            <w:r>
              <w:rPr>
                <w:color w:val="auto"/>
                <w:sz w:val="24"/>
                <w:szCs w:val="24"/>
                <w:highlight w:val="none"/>
              </w:rPr>
              <w:t>行业类别</w:t>
            </w:r>
          </w:p>
        </w:tc>
        <w:tc>
          <w:tcPr>
            <w:tcW w:w="3000" w:type="dxa"/>
            <w:vAlign w:val="center"/>
          </w:tcPr>
          <w:p w14:paraId="5315E5DD">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N7724 危险废物治理</w:t>
            </w:r>
          </w:p>
        </w:tc>
        <w:tc>
          <w:tcPr>
            <w:tcW w:w="1395" w:type="dxa"/>
            <w:vAlign w:val="center"/>
          </w:tcPr>
          <w:p w14:paraId="1A33D843">
            <w:pPr>
              <w:adjustRightInd w:val="0"/>
              <w:snapToGrid w:val="0"/>
              <w:jc w:val="center"/>
              <w:rPr>
                <w:color w:val="auto"/>
                <w:sz w:val="24"/>
                <w:szCs w:val="24"/>
                <w:highlight w:val="none"/>
              </w:rPr>
            </w:pPr>
            <w:bookmarkStart w:id="18" w:name="_Hlk49843745"/>
            <w:r>
              <w:rPr>
                <w:color w:val="auto"/>
                <w:sz w:val="24"/>
                <w:szCs w:val="24"/>
                <w:highlight w:val="none"/>
              </w:rPr>
              <w:t>建设项目</w:t>
            </w:r>
          </w:p>
          <w:p w14:paraId="7B53D63D">
            <w:pPr>
              <w:adjustRightInd w:val="0"/>
              <w:snapToGrid w:val="0"/>
              <w:jc w:val="center"/>
              <w:rPr>
                <w:color w:val="auto"/>
                <w:sz w:val="24"/>
                <w:szCs w:val="24"/>
                <w:highlight w:val="none"/>
              </w:rPr>
            </w:pPr>
            <w:r>
              <w:rPr>
                <w:color w:val="auto"/>
                <w:sz w:val="24"/>
                <w:szCs w:val="24"/>
                <w:highlight w:val="none"/>
              </w:rPr>
              <w:t>行业类别</w:t>
            </w:r>
            <w:bookmarkEnd w:id="18"/>
          </w:p>
        </w:tc>
        <w:tc>
          <w:tcPr>
            <w:tcW w:w="3517" w:type="dxa"/>
            <w:vAlign w:val="center"/>
          </w:tcPr>
          <w:p w14:paraId="77169DCC">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四十七、生态保护和环境治理业101  危险废物（不含医疗 废物）利用及处置－其他</w:t>
            </w:r>
          </w:p>
        </w:tc>
      </w:tr>
      <w:tr w14:paraId="676B0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9" w:type="dxa"/>
            <w:gridSpan w:val="2"/>
            <w:tcMar>
              <w:top w:w="16" w:type="dxa"/>
              <w:left w:w="16" w:type="dxa"/>
              <w:right w:w="16" w:type="dxa"/>
            </w:tcMar>
            <w:vAlign w:val="center"/>
          </w:tcPr>
          <w:p w14:paraId="4155DCE1">
            <w:pPr>
              <w:adjustRightInd w:val="0"/>
              <w:snapToGrid w:val="0"/>
              <w:jc w:val="center"/>
              <w:rPr>
                <w:color w:val="auto"/>
                <w:sz w:val="24"/>
                <w:szCs w:val="24"/>
                <w:highlight w:val="none"/>
              </w:rPr>
            </w:pPr>
            <w:r>
              <w:rPr>
                <w:color w:val="auto"/>
                <w:sz w:val="24"/>
                <w:szCs w:val="24"/>
                <w:highlight w:val="none"/>
              </w:rPr>
              <w:t>建设性质</w:t>
            </w:r>
          </w:p>
        </w:tc>
        <w:tc>
          <w:tcPr>
            <w:tcW w:w="3000" w:type="dxa"/>
            <w:vAlign w:val="center"/>
          </w:tcPr>
          <w:p w14:paraId="6578D756">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新建（迁建）</w:t>
            </w:r>
          </w:p>
          <w:p w14:paraId="23ADF8B4">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改建</w:t>
            </w:r>
          </w:p>
          <w:p w14:paraId="49BB84E8">
            <w:pPr>
              <w:jc w:val="left"/>
              <w:rPr>
                <w:color w:val="auto"/>
                <w:sz w:val="24"/>
                <w:szCs w:val="24"/>
                <w:highlight w:val="none"/>
              </w:rPr>
            </w:pPr>
            <w:r>
              <w:rPr>
                <w:rFonts w:hint="eastAsia"/>
                <w:color w:val="auto"/>
                <w:sz w:val="24"/>
                <w:szCs w:val="24"/>
                <w:highlight w:val="none"/>
              </w:rPr>
              <w:sym w:font="Wingdings 2" w:char="0052"/>
            </w:r>
            <w:r>
              <w:rPr>
                <w:color w:val="auto"/>
                <w:sz w:val="24"/>
                <w:szCs w:val="24"/>
                <w:highlight w:val="none"/>
              </w:rPr>
              <w:t>扩建</w:t>
            </w:r>
          </w:p>
          <w:p w14:paraId="0B4AC4BB">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技术改造</w:t>
            </w:r>
          </w:p>
        </w:tc>
        <w:tc>
          <w:tcPr>
            <w:tcW w:w="1395" w:type="dxa"/>
            <w:vAlign w:val="center"/>
          </w:tcPr>
          <w:p w14:paraId="1105517D">
            <w:pPr>
              <w:adjustRightInd w:val="0"/>
              <w:snapToGrid w:val="0"/>
              <w:jc w:val="center"/>
              <w:rPr>
                <w:color w:val="auto"/>
                <w:sz w:val="24"/>
                <w:szCs w:val="24"/>
                <w:highlight w:val="none"/>
              </w:rPr>
            </w:pPr>
            <w:r>
              <w:rPr>
                <w:color w:val="auto"/>
                <w:sz w:val="24"/>
                <w:szCs w:val="24"/>
                <w:highlight w:val="none"/>
              </w:rPr>
              <w:t>建设项目</w:t>
            </w:r>
          </w:p>
          <w:p w14:paraId="2B0EEB00">
            <w:pPr>
              <w:adjustRightInd w:val="0"/>
              <w:snapToGrid w:val="0"/>
              <w:jc w:val="center"/>
              <w:rPr>
                <w:color w:val="auto"/>
                <w:sz w:val="24"/>
                <w:szCs w:val="24"/>
                <w:highlight w:val="none"/>
              </w:rPr>
            </w:pPr>
            <w:r>
              <w:rPr>
                <w:color w:val="auto"/>
                <w:sz w:val="24"/>
                <w:szCs w:val="24"/>
                <w:highlight w:val="none"/>
              </w:rPr>
              <w:t>申报情形</w:t>
            </w:r>
          </w:p>
        </w:tc>
        <w:tc>
          <w:tcPr>
            <w:tcW w:w="3517" w:type="dxa"/>
            <w:vAlign w:val="center"/>
          </w:tcPr>
          <w:p w14:paraId="22B84241">
            <w:pPr>
              <w:jc w:val="left"/>
              <w:rPr>
                <w:color w:val="auto"/>
                <w:sz w:val="24"/>
                <w:szCs w:val="24"/>
                <w:highlight w:val="none"/>
              </w:rPr>
            </w:pPr>
            <w:r>
              <w:rPr>
                <w:rFonts w:hint="eastAsia"/>
                <w:color w:val="auto"/>
                <w:sz w:val="24"/>
                <w:szCs w:val="24"/>
                <w:highlight w:val="none"/>
              </w:rPr>
              <w:sym w:font="Wingdings 2" w:char="0052"/>
            </w:r>
            <w:r>
              <w:rPr>
                <w:color w:val="auto"/>
                <w:sz w:val="24"/>
                <w:szCs w:val="24"/>
                <w:highlight w:val="none"/>
              </w:rPr>
              <w:t xml:space="preserve">首次申报项目             </w:t>
            </w:r>
          </w:p>
          <w:p w14:paraId="7CD0B348">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不予批准后再次申报项目</w:t>
            </w:r>
          </w:p>
          <w:p w14:paraId="13EB42D9">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 xml:space="preserve">超五年重新审核项目     </w:t>
            </w:r>
          </w:p>
          <w:p w14:paraId="5BA660DF">
            <w:pPr>
              <w:jc w:val="left"/>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重大变动重新报批项目</w:t>
            </w:r>
          </w:p>
        </w:tc>
      </w:tr>
      <w:tr w14:paraId="15822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1769" w:type="dxa"/>
            <w:gridSpan w:val="2"/>
            <w:tcMar>
              <w:top w:w="16" w:type="dxa"/>
              <w:left w:w="16" w:type="dxa"/>
              <w:right w:w="16" w:type="dxa"/>
            </w:tcMar>
            <w:vAlign w:val="center"/>
          </w:tcPr>
          <w:p w14:paraId="51262BDC">
            <w:pPr>
              <w:adjustRightInd w:val="0"/>
              <w:snapToGrid w:val="0"/>
              <w:jc w:val="center"/>
              <w:rPr>
                <w:color w:val="auto"/>
                <w:sz w:val="24"/>
                <w:szCs w:val="24"/>
                <w:highlight w:val="none"/>
              </w:rPr>
            </w:pPr>
            <w:r>
              <w:rPr>
                <w:color w:val="auto"/>
                <w:sz w:val="24"/>
                <w:szCs w:val="24"/>
                <w:highlight w:val="none"/>
              </w:rPr>
              <w:t>项目备案部门</w:t>
            </w:r>
          </w:p>
        </w:tc>
        <w:tc>
          <w:tcPr>
            <w:tcW w:w="3000" w:type="dxa"/>
            <w:vAlign w:val="center"/>
          </w:tcPr>
          <w:p w14:paraId="63EBEEF5">
            <w:pPr>
              <w:adjustRightInd w:val="0"/>
              <w:snapToGrid w:val="0"/>
              <w:jc w:val="center"/>
              <w:rPr>
                <w:rFonts w:hint="eastAsia" w:eastAsia="宋体"/>
                <w:color w:val="auto"/>
                <w:sz w:val="24"/>
                <w:szCs w:val="24"/>
                <w:highlight w:val="none"/>
                <w:lang w:eastAsia="zh-CN"/>
              </w:rPr>
            </w:pPr>
            <w:r>
              <w:rPr>
                <w:rFonts w:hint="eastAsia"/>
                <w:color w:val="auto"/>
                <w:sz w:val="24"/>
                <w:szCs w:val="24"/>
                <w:highlight w:val="none"/>
                <w:lang w:eastAsia="zh-CN"/>
              </w:rPr>
              <w:t>凤翔高新技术产业开发区管理委员会</w:t>
            </w:r>
          </w:p>
        </w:tc>
        <w:tc>
          <w:tcPr>
            <w:tcW w:w="1395" w:type="dxa"/>
            <w:vAlign w:val="center"/>
          </w:tcPr>
          <w:p w14:paraId="26B4C23C">
            <w:pPr>
              <w:adjustRightInd w:val="0"/>
              <w:snapToGrid w:val="0"/>
              <w:jc w:val="center"/>
              <w:rPr>
                <w:color w:val="auto"/>
                <w:sz w:val="24"/>
                <w:szCs w:val="24"/>
                <w:highlight w:val="none"/>
              </w:rPr>
            </w:pPr>
            <w:r>
              <w:rPr>
                <w:color w:val="auto"/>
                <w:sz w:val="24"/>
                <w:szCs w:val="24"/>
                <w:highlight w:val="none"/>
              </w:rPr>
              <w:t>项目备案文号</w:t>
            </w:r>
          </w:p>
        </w:tc>
        <w:tc>
          <w:tcPr>
            <w:tcW w:w="3517" w:type="dxa"/>
            <w:vAlign w:val="center"/>
          </w:tcPr>
          <w:p w14:paraId="4B4669D8">
            <w:pPr>
              <w:adjustRightInd w:val="0"/>
              <w:snapToGrid w:val="0"/>
              <w:jc w:val="center"/>
              <w:rPr>
                <w:rFonts w:hint="eastAsia"/>
                <w:color w:val="auto"/>
                <w:sz w:val="24"/>
                <w:szCs w:val="24"/>
                <w:highlight w:val="none"/>
              </w:rPr>
            </w:pPr>
            <w:r>
              <w:rPr>
                <w:rFonts w:hint="eastAsia"/>
                <w:color w:val="auto"/>
                <w:sz w:val="24"/>
                <w:szCs w:val="24"/>
                <w:highlight w:val="none"/>
              </w:rPr>
              <w:t>/</w:t>
            </w:r>
          </w:p>
        </w:tc>
      </w:tr>
      <w:tr w14:paraId="6DBB3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4DDD8B27">
            <w:pPr>
              <w:adjustRightInd w:val="0"/>
              <w:snapToGrid w:val="0"/>
              <w:jc w:val="center"/>
              <w:rPr>
                <w:color w:val="auto"/>
                <w:sz w:val="24"/>
                <w:szCs w:val="24"/>
                <w:highlight w:val="none"/>
              </w:rPr>
            </w:pPr>
            <w:r>
              <w:rPr>
                <w:color w:val="auto"/>
                <w:sz w:val="24"/>
                <w:szCs w:val="24"/>
                <w:highlight w:val="none"/>
              </w:rPr>
              <w:t>总投资</w:t>
            </w:r>
          </w:p>
          <w:p w14:paraId="6036E517">
            <w:pPr>
              <w:adjustRightInd w:val="0"/>
              <w:snapToGrid w:val="0"/>
              <w:jc w:val="center"/>
              <w:rPr>
                <w:color w:val="auto"/>
                <w:sz w:val="24"/>
                <w:szCs w:val="24"/>
                <w:highlight w:val="none"/>
              </w:rPr>
            </w:pPr>
            <w:r>
              <w:rPr>
                <w:color w:val="auto"/>
                <w:sz w:val="24"/>
                <w:szCs w:val="24"/>
                <w:highlight w:val="none"/>
              </w:rPr>
              <w:t>（万元）</w:t>
            </w:r>
          </w:p>
        </w:tc>
        <w:tc>
          <w:tcPr>
            <w:tcW w:w="3000" w:type="dxa"/>
            <w:vAlign w:val="center"/>
          </w:tcPr>
          <w:p w14:paraId="60836B8A">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200</w:t>
            </w:r>
          </w:p>
        </w:tc>
        <w:tc>
          <w:tcPr>
            <w:tcW w:w="1395" w:type="dxa"/>
            <w:tcMar>
              <w:top w:w="16" w:type="dxa"/>
              <w:left w:w="16" w:type="dxa"/>
              <w:right w:w="16" w:type="dxa"/>
            </w:tcMar>
            <w:vAlign w:val="center"/>
          </w:tcPr>
          <w:p w14:paraId="2C99A6DB">
            <w:pPr>
              <w:adjustRightInd w:val="0"/>
              <w:snapToGrid w:val="0"/>
              <w:jc w:val="center"/>
              <w:rPr>
                <w:rFonts w:hint="eastAsia"/>
                <w:color w:val="auto"/>
                <w:sz w:val="24"/>
                <w:szCs w:val="24"/>
                <w:highlight w:val="none"/>
              </w:rPr>
            </w:pPr>
            <w:r>
              <w:rPr>
                <w:rFonts w:hint="eastAsia"/>
                <w:color w:val="auto"/>
                <w:sz w:val="24"/>
                <w:szCs w:val="24"/>
                <w:highlight w:val="none"/>
              </w:rPr>
              <w:t>环保投资（万元）</w:t>
            </w:r>
          </w:p>
        </w:tc>
        <w:tc>
          <w:tcPr>
            <w:tcW w:w="3517" w:type="dxa"/>
            <w:vAlign w:val="center"/>
          </w:tcPr>
          <w:p w14:paraId="0F556D71">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59</w:t>
            </w:r>
          </w:p>
        </w:tc>
      </w:tr>
      <w:tr w14:paraId="63908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9" w:type="dxa"/>
            <w:gridSpan w:val="2"/>
            <w:tcMar>
              <w:top w:w="16" w:type="dxa"/>
              <w:left w:w="16" w:type="dxa"/>
              <w:right w:w="16" w:type="dxa"/>
            </w:tcMar>
            <w:vAlign w:val="center"/>
          </w:tcPr>
          <w:p w14:paraId="1E5BE420">
            <w:pPr>
              <w:adjustRightInd w:val="0"/>
              <w:snapToGrid w:val="0"/>
              <w:jc w:val="center"/>
              <w:rPr>
                <w:color w:val="auto"/>
                <w:sz w:val="24"/>
                <w:szCs w:val="24"/>
                <w:highlight w:val="none"/>
              </w:rPr>
            </w:pPr>
            <w:r>
              <w:rPr>
                <w:color w:val="auto"/>
                <w:sz w:val="24"/>
                <w:szCs w:val="24"/>
                <w:highlight w:val="none"/>
              </w:rPr>
              <w:t>环保投资占比（%）</w:t>
            </w:r>
          </w:p>
        </w:tc>
        <w:tc>
          <w:tcPr>
            <w:tcW w:w="3000" w:type="dxa"/>
            <w:vAlign w:val="center"/>
          </w:tcPr>
          <w:p w14:paraId="13B4C426">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29.5</w:t>
            </w:r>
          </w:p>
        </w:tc>
        <w:tc>
          <w:tcPr>
            <w:tcW w:w="1395" w:type="dxa"/>
            <w:tcMar>
              <w:top w:w="16" w:type="dxa"/>
              <w:left w:w="16" w:type="dxa"/>
              <w:right w:w="16" w:type="dxa"/>
            </w:tcMar>
            <w:vAlign w:val="center"/>
          </w:tcPr>
          <w:p w14:paraId="7F2F3BD4">
            <w:pPr>
              <w:adjustRightInd w:val="0"/>
              <w:snapToGrid w:val="0"/>
              <w:jc w:val="center"/>
              <w:rPr>
                <w:rFonts w:hint="eastAsia"/>
                <w:color w:val="auto"/>
                <w:sz w:val="24"/>
                <w:szCs w:val="24"/>
                <w:highlight w:val="none"/>
              </w:rPr>
            </w:pPr>
            <w:r>
              <w:rPr>
                <w:rFonts w:hint="eastAsia"/>
                <w:color w:val="auto"/>
                <w:sz w:val="24"/>
                <w:szCs w:val="24"/>
                <w:highlight w:val="none"/>
              </w:rPr>
              <w:t>施工工期</w:t>
            </w:r>
          </w:p>
        </w:tc>
        <w:tc>
          <w:tcPr>
            <w:tcW w:w="3517" w:type="dxa"/>
            <w:vAlign w:val="center"/>
          </w:tcPr>
          <w:p w14:paraId="3519BD11">
            <w:pPr>
              <w:adjustRightInd w:val="0"/>
              <w:snapToGrid w:val="0"/>
              <w:jc w:val="center"/>
              <w:rPr>
                <w:color w:val="auto"/>
                <w:sz w:val="24"/>
                <w:szCs w:val="24"/>
                <w:highlight w:val="none"/>
              </w:rPr>
            </w:pPr>
            <w:r>
              <w:rPr>
                <w:rFonts w:hint="eastAsia"/>
                <w:color w:val="auto"/>
                <w:sz w:val="24"/>
                <w:szCs w:val="24"/>
                <w:highlight w:val="none"/>
                <w:lang w:val="en-US" w:eastAsia="zh-CN"/>
              </w:rPr>
              <w:t>3</w:t>
            </w:r>
            <w:r>
              <w:rPr>
                <w:rFonts w:hint="eastAsia"/>
                <w:color w:val="auto"/>
                <w:sz w:val="24"/>
                <w:szCs w:val="24"/>
                <w:highlight w:val="none"/>
              </w:rPr>
              <w:t>个月</w:t>
            </w:r>
          </w:p>
        </w:tc>
      </w:tr>
      <w:tr w14:paraId="3DCA2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69" w:type="dxa"/>
            <w:gridSpan w:val="2"/>
            <w:tcMar>
              <w:top w:w="16" w:type="dxa"/>
              <w:left w:w="16" w:type="dxa"/>
              <w:right w:w="16" w:type="dxa"/>
            </w:tcMar>
            <w:vAlign w:val="center"/>
          </w:tcPr>
          <w:p w14:paraId="73E6A2F7">
            <w:pPr>
              <w:adjustRightInd w:val="0"/>
              <w:snapToGrid w:val="0"/>
              <w:jc w:val="center"/>
              <w:rPr>
                <w:color w:val="auto"/>
                <w:sz w:val="24"/>
                <w:szCs w:val="24"/>
                <w:highlight w:val="none"/>
              </w:rPr>
            </w:pPr>
            <w:r>
              <w:rPr>
                <w:color w:val="auto"/>
                <w:sz w:val="24"/>
                <w:szCs w:val="24"/>
                <w:highlight w:val="none"/>
              </w:rPr>
              <w:t>是否开工建设</w:t>
            </w:r>
          </w:p>
        </w:tc>
        <w:tc>
          <w:tcPr>
            <w:tcW w:w="3000" w:type="dxa"/>
            <w:vAlign w:val="center"/>
          </w:tcPr>
          <w:p w14:paraId="1D2D1DA6">
            <w:pPr>
              <w:adjustRightInd w:val="0"/>
              <w:snapToGrid w:val="0"/>
              <w:rPr>
                <w:color w:val="auto"/>
                <w:sz w:val="24"/>
                <w:szCs w:val="24"/>
                <w:highlight w:val="none"/>
              </w:rPr>
            </w:pPr>
            <w:r>
              <w:rPr>
                <w:rFonts w:hint="eastAsia"/>
                <w:color w:val="auto"/>
                <w:sz w:val="24"/>
                <w:szCs w:val="24"/>
                <w:highlight w:val="none"/>
              </w:rPr>
              <w:sym w:font="Wingdings 2" w:char="0052"/>
            </w:r>
            <w:r>
              <w:rPr>
                <w:color w:val="auto"/>
                <w:sz w:val="24"/>
                <w:szCs w:val="24"/>
                <w:highlight w:val="none"/>
              </w:rPr>
              <w:t>否</w:t>
            </w:r>
          </w:p>
          <w:p w14:paraId="4FA8AD35">
            <w:pPr>
              <w:adjustRightInd w:val="0"/>
              <w:snapToGrid w:val="0"/>
              <w:rPr>
                <w:color w:val="auto"/>
                <w:sz w:val="24"/>
                <w:szCs w:val="24"/>
                <w:highlight w:val="none"/>
              </w:rPr>
            </w:pPr>
            <w:r>
              <w:rPr>
                <w:rFonts w:hint="eastAsia"/>
                <w:color w:val="auto"/>
                <w:sz w:val="24"/>
                <w:szCs w:val="24"/>
                <w:highlight w:val="none"/>
              </w:rPr>
              <w:sym w:font="Wingdings 2" w:char="00A3"/>
            </w:r>
            <w:r>
              <w:rPr>
                <w:color w:val="auto"/>
                <w:sz w:val="24"/>
                <w:szCs w:val="24"/>
                <w:highlight w:val="none"/>
              </w:rPr>
              <w:t>是：</w:t>
            </w:r>
          </w:p>
        </w:tc>
        <w:tc>
          <w:tcPr>
            <w:tcW w:w="1395" w:type="dxa"/>
            <w:tcMar>
              <w:top w:w="16" w:type="dxa"/>
              <w:left w:w="16" w:type="dxa"/>
              <w:right w:w="16" w:type="dxa"/>
            </w:tcMar>
            <w:vAlign w:val="center"/>
          </w:tcPr>
          <w:p w14:paraId="43266414">
            <w:pPr>
              <w:adjustRightInd w:val="0"/>
              <w:snapToGrid w:val="0"/>
              <w:jc w:val="center"/>
              <w:rPr>
                <w:color w:val="auto"/>
                <w:sz w:val="24"/>
                <w:szCs w:val="24"/>
                <w:highlight w:val="none"/>
              </w:rPr>
            </w:pPr>
            <w:r>
              <w:rPr>
                <w:color w:val="auto"/>
                <w:sz w:val="24"/>
                <w:szCs w:val="24"/>
                <w:highlight w:val="none"/>
              </w:rPr>
              <w:t>用地面积（m</w:t>
            </w:r>
            <w:r>
              <w:rPr>
                <w:color w:val="auto"/>
                <w:sz w:val="24"/>
                <w:szCs w:val="24"/>
                <w:highlight w:val="none"/>
                <w:vertAlign w:val="superscript"/>
              </w:rPr>
              <w:t>2</w:t>
            </w:r>
            <w:r>
              <w:rPr>
                <w:color w:val="auto"/>
                <w:sz w:val="24"/>
                <w:szCs w:val="24"/>
                <w:highlight w:val="none"/>
              </w:rPr>
              <w:t>）</w:t>
            </w:r>
          </w:p>
        </w:tc>
        <w:tc>
          <w:tcPr>
            <w:tcW w:w="3517" w:type="dxa"/>
            <w:vAlign w:val="center"/>
          </w:tcPr>
          <w:p w14:paraId="091573CA">
            <w:pPr>
              <w:adjustRightInd w:val="0"/>
              <w:snapToGrid w:val="0"/>
              <w:jc w:val="center"/>
              <w:rPr>
                <w:rFonts w:hint="eastAsia" w:eastAsia="宋体"/>
                <w:color w:val="auto"/>
                <w:sz w:val="24"/>
                <w:szCs w:val="24"/>
                <w:highlight w:val="none"/>
                <w:lang w:val="en-US" w:eastAsia="zh-CN"/>
              </w:rPr>
            </w:pPr>
            <w:r>
              <w:rPr>
                <w:rFonts w:hint="default" w:ascii="Times New Roman" w:hAnsi="Times New Roman" w:cs="Times New Roman"/>
                <w:b w:val="0"/>
                <w:bCs w:val="0"/>
                <w:color w:val="auto"/>
                <w:spacing w:val="-1"/>
                <w:kern w:val="0"/>
                <w:sz w:val="24"/>
                <w:szCs w:val="24"/>
                <w:highlight w:val="none"/>
                <w:lang w:val="en-US" w:eastAsia="zh-CN"/>
              </w:rPr>
              <w:t>398.8</w:t>
            </w:r>
          </w:p>
        </w:tc>
      </w:tr>
      <w:tr w14:paraId="3FA3B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769" w:type="dxa"/>
            <w:gridSpan w:val="2"/>
            <w:vAlign w:val="center"/>
          </w:tcPr>
          <w:p w14:paraId="291DA092">
            <w:pPr>
              <w:autoSpaceDE w:val="0"/>
              <w:autoSpaceDN w:val="0"/>
              <w:adjustRightInd w:val="0"/>
              <w:snapToGrid w:val="0"/>
              <w:jc w:val="center"/>
              <w:rPr>
                <w:color w:val="auto"/>
                <w:kern w:val="0"/>
                <w:sz w:val="24"/>
                <w:szCs w:val="24"/>
                <w:highlight w:val="none"/>
              </w:rPr>
            </w:pPr>
            <w:r>
              <w:rPr>
                <w:color w:val="auto"/>
                <w:kern w:val="0"/>
                <w:sz w:val="24"/>
                <w:szCs w:val="24"/>
                <w:highlight w:val="none"/>
              </w:rPr>
              <w:t>专项评价设置情况</w:t>
            </w:r>
          </w:p>
        </w:tc>
        <w:tc>
          <w:tcPr>
            <w:tcW w:w="7912" w:type="dxa"/>
            <w:gridSpan w:val="3"/>
            <w:vAlign w:val="center"/>
          </w:tcPr>
          <w:p w14:paraId="54774143">
            <w:pPr>
              <w:autoSpaceDE w:val="0"/>
              <w:autoSpaceDN w:val="0"/>
              <w:adjustRightInd w:val="0"/>
              <w:snapToGrid w:val="0"/>
              <w:spacing w:line="360" w:lineRule="auto"/>
              <w:ind w:firstLine="480" w:firstLineChars="200"/>
              <w:jc w:val="left"/>
              <w:rPr>
                <w:rFonts w:hint="eastAsia"/>
                <w:color w:val="auto"/>
                <w:kern w:val="0"/>
                <w:sz w:val="24"/>
                <w:szCs w:val="24"/>
                <w:highlight w:val="none"/>
                <w:lang w:eastAsia="zh-CN"/>
              </w:rPr>
            </w:pPr>
            <w:r>
              <w:rPr>
                <w:rFonts w:hint="eastAsia"/>
                <w:color w:val="auto"/>
                <w:kern w:val="0"/>
                <w:sz w:val="24"/>
                <w:szCs w:val="24"/>
                <w:highlight w:val="none"/>
                <w:lang w:eastAsia="zh-CN"/>
              </w:rPr>
              <w:t>根据《建设项目环境影响报告表编制技术指南》表1中的专项设置要求具体如下表所示：</w:t>
            </w:r>
          </w:p>
          <w:p w14:paraId="0EE18D75">
            <w:pPr>
              <w:widowControl w:val="0"/>
              <w:autoSpaceDE w:val="0"/>
              <w:autoSpaceDN w:val="0"/>
              <w:adjustRightInd w:val="0"/>
              <w:snapToGrid w:val="0"/>
              <w:jc w:val="center"/>
              <w:rPr>
                <w:rFonts w:hint="default" w:ascii="Times New Roman" w:hAnsi="Times New Roman" w:eastAsia="Times New Roman"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表1-1  项目专项设置情况</w:t>
            </w:r>
          </w:p>
          <w:tbl>
            <w:tblPr>
              <w:tblStyle w:val="35"/>
              <w:tblW w:w="4988" w:type="pct"/>
              <w:tblInd w:w="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104"/>
              <w:gridCol w:w="3484"/>
            </w:tblGrid>
            <w:tr w14:paraId="7D3938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00" w:type="pct"/>
                  <w:tcBorders>
                    <w:top w:val="single" w:color="auto" w:sz="6" w:space="0"/>
                    <w:left w:val="single" w:color="auto" w:sz="6" w:space="0"/>
                    <w:bottom w:val="single" w:color="auto" w:sz="4" w:space="0"/>
                    <w:right w:val="single" w:color="auto" w:sz="4" w:space="0"/>
                    <w:tl2br w:val="nil"/>
                    <w:tr2bl w:val="nil"/>
                  </w:tcBorders>
                  <w:noWrap w:val="0"/>
                  <w:vAlign w:val="center"/>
                </w:tcPr>
                <w:p w14:paraId="6003A7AF">
                  <w:pPr>
                    <w:widowControl w:val="0"/>
                    <w:autoSpaceDE w:val="0"/>
                    <w:autoSpaceDN w:val="0"/>
                    <w:adjustRightInd w:val="0"/>
                    <w:snapToGrid w:val="0"/>
                    <w:jc w:val="center"/>
                    <w:rPr>
                      <w:rFonts w:hint="default" w:ascii="Times New Roman" w:hAnsi="Times New Roman" w:eastAsia="Times New Roman"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专项评价的类别</w:t>
                  </w:r>
                </w:p>
              </w:tc>
              <w:tc>
                <w:tcPr>
                  <w:tcW w:w="2025" w:type="pct"/>
                  <w:tcBorders>
                    <w:top w:val="single" w:color="auto" w:sz="6" w:space="0"/>
                    <w:left w:val="single" w:color="auto" w:sz="4" w:space="0"/>
                    <w:bottom w:val="single" w:color="auto" w:sz="4" w:space="0"/>
                    <w:right w:val="single" w:color="auto" w:sz="4" w:space="0"/>
                    <w:tl2br w:val="nil"/>
                    <w:tr2bl w:val="nil"/>
                  </w:tcBorders>
                  <w:noWrap w:val="0"/>
                  <w:vAlign w:val="center"/>
                </w:tcPr>
                <w:p w14:paraId="64F64C56">
                  <w:pPr>
                    <w:widowControl w:val="0"/>
                    <w:autoSpaceDE w:val="0"/>
                    <w:autoSpaceDN w:val="0"/>
                    <w:adjustRightInd w:val="0"/>
                    <w:snapToGrid w:val="0"/>
                    <w:jc w:val="center"/>
                    <w:rPr>
                      <w:rFonts w:hint="default" w:ascii="Times New Roman" w:hAnsi="Times New Roman" w:eastAsia="Times New Roman"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设置原则</w:t>
                  </w:r>
                </w:p>
              </w:tc>
              <w:tc>
                <w:tcPr>
                  <w:tcW w:w="2273" w:type="pct"/>
                  <w:tcBorders>
                    <w:top w:val="single" w:color="auto" w:sz="6" w:space="0"/>
                    <w:left w:val="single" w:color="auto" w:sz="4" w:space="0"/>
                    <w:bottom w:val="single" w:color="auto" w:sz="4" w:space="0"/>
                    <w:right w:val="single" w:color="auto" w:sz="6" w:space="0"/>
                    <w:tl2br w:val="nil"/>
                    <w:tr2bl w:val="nil"/>
                  </w:tcBorders>
                  <w:noWrap w:val="0"/>
                  <w:vAlign w:val="center"/>
                </w:tcPr>
                <w:p w14:paraId="40162C77">
                  <w:pPr>
                    <w:widowControl w:val="0"/>
                    <w:autoSpaceDE w:val="0"/>
                    <w:autoSpaceDN w:val="0"/>
                    <w:adjustRightInd w:val="0"/>
                    <w:snapToGrid w:val="0"/>
                    <w:jc w:val="center"/>
                    <w:rPr>
                      <w:rFonts w:hint="default" w:ascii="Times New Roman" w:hAnsi="Times New Roman" w:eastAsia="Times New Roman"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本项目情况</w:t>
                  </w:r>
                </w:p>
              </w:tc>
            </w:tr>
            <w:tr w14:paraId="4AC814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496EA632">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大气</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52663A">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排放废气含有毒有害污染物、二噁英、苯并[a]芘、氰化物、氯气且厂界外500米范围内有环境空气保护目标的建设项目。</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26B9AE6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本项目排放废气不含有毒有害污染物、二噁英、苯并[a]芘、氰化物、氯气，不需设置专项评价。</w:t>
                  </w:r>
                </w:p>
              </w:tc>
            </w:tr>
            <w:tr w14:paraId="220162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3197064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地表水</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13BACC">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新增工业废水直排建设项目（槽罐车外送污水处理厂的除外）；新增废水直排的污水集中处理厂。</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1B2781C">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本项目不新增员工，无新增生活污水</w:t>
                  </w:r>
                  <w:r>
                    <w:rPr>
                      <w:rFonts w:hint="eastAsia" w:asciiTheme="minorEastAsia" w:hAnsiTheme="minorEastAsia" w:eastAsiaTheme="minorEastAsia" w:cstheme="minorEastAsia"/>
                      <w:b w:val="0"/>
                      <w:color w:val="auto"/>
                      <w:kern w:val="0"/>
                      <w:sz w:val="21"/>
                      <w:szCs w:val="21"/>
                      <w:highlight w:val="none"/>
                      <w:lang w:val="en-US" w:eastAsia="zh-CN" w:bidi="ar-SA"/>
                    </w:rPr>
                    <w:t>，</w:t>
                  </w:r>
                  <w:r>
                    <w:rPr>
                      <w:rFonts w:hint="default" w:asciiTheme="minorEastAsia" w:hAnsiTheme="minorEastAsia" w:eastAsiaTheme="minorEastAsia" w:cstheme="minorEastAsia"/>
                      <w:b w:val="0"/>
                      <w:color w:val="auto"/>
                      <w:kern w:val="0"/>
                      <w:sz w:val="21"/>
                      <w:szCs w:val="21"/>
                      <w:highlight w:val="none"/>
                      <w:lang w:val="en-US" w:eastAsia="zh-CN" w:bidi="ar-SA"/>
                    </w:rPr>
                    <w:t>产生喷淋废水作为危险废物采用专用容器收集后暂存本项目贮存库内，交由有资质的危险废物处置单位处置，不外排，不需设置专项评价。</w:t>
                  </w:r>
                </w:p>
              </w:tc>
            </w:tr>
            <w:tr w14:paraId="7290C3F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1598B7DD">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环境风险</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EFDE1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有毒有害和易燃易爆危险物质存储量超过临界量的建设项目。</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2EEDA7F1">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本项目涉及的风险物质储存量与临界量比值Q＞1，本项目风险物质最大存储量超过临界量，需设置风险专项评价。具体核算过程见环境风险专项评价章节。</w:t>
                  </w:r>
                </w:p>
              </w:tc>
            </w:tr>
            <w:tr w14:paraId="79992B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tcBorders>
                    <w:top w:val="single" w:color="auto" w:sz="4" w:space="0"/>
                    <w:left w:val="single" w:color="auto" w:sz="6" w:space="0"/>
                    <w:bottom w:val="single" w:color="auto" w:sz="4" w:space="0"/>
                    <w:right w:val="single" w:color="auto" w:sz="4" w:space="0"/>
                    <w:tl2br w:val="nil"/>
                    <w:tr2bl w:val="nil"/>
                  </w:tcBorders>
                  <w:noWrap w:val="0"/>
                  <w:vAlign w:val="center"/>
                </w:tcPr>
                <w:p w14:paraId="57A3FD97">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生态</w:t>
                  </w:r>
                </w:p>
              </w:tc>
              <w:tc>
                <w:tcPr>
                  <w:tcW w:w="202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1B194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取水口下游500米范围内有重要水生生物的自然产卵场、索饵场、越冬场和洄游通道的新增河道取水的污染类建设项目。</w:t>
                  </w:r>
                </w:p>
              </w:tc>
              <w:tc>
                <w:tcPr>
                  <w:tcW w:w="2273"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2633953">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本项目用水来自长青工业园园区供水系统，不需设置生态专项评价。</w:t>
                  </w:r>
                </w:p>
              </w:tc>
            </w:tr>
            <w:tr w14:paraId="517495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0" w:type="pct"/>
                  <w:tcBorders>
                    <w:top w:val="single" w:color="auto" w:sz="4" w:space="0"/>
                    <w:left w:val="single" w:color="auto" w:sz="6" w:space="0"/>
                    <w:bottom w:val="single" w:color="auto" w:sz="6" w:space="0"/>
                    <w:right w:val="single" w:color="auto" w:sz="4" w:space="0"/>
                    <w:tl2br w:val="nil"/>
                    <w:tr2bl w:val="nil"/>
                  </w:tcBorders>
                  <w:noWrap w:val="0"/>
                  <w:vAlign w:val="center"/>
                </w:tcPr>
                <w:p w14:paraId="4591F90A">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海洋</w:t>
                  </w:r>
                </w:p>
              </w:tc>
              <w:tc>
                <w:tcPr>
                  <w:tcW w:w="2025" w:type="pct"/>
                  <w:tcBorders>
                    <w:top w:val="single" w:color="auto" w:sz="4" w:space="0"/>
                    <w:left w:val="single" w:color="auto" w:sz="4" w:space="0"/>
                    <w:bottom w:val="single" w:color="auto" w:sz="6" w:space="0"/>
                    <w:right w:val="single" w:color="auto" w:sz="4" w:space="0"/>
                    <w:tl2br w:val="nil"/>
                    <w:tr2bl w:val="nil"/>
                  </w:tcBorders>
                  <w:noWrap w:val="0"/>
                  <w:vAlign w:val="center"/>
                </w:tcPr>
                <w:p w14:paraId="44B9A324">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直接向海排放污染物的海洋工程建设项目。</w:t>
                  </w:r>
                </w:p>
              </w:tc>
              <w:tc>
                <w:tcPr>
                  <w:tcW w:w="2273" w:type="pct"/>
                  <w:tcBorders>
                    <w:top w:val="single" w:color="auto" w:sz="4" w:space="0"/>
                    <w:left w:val="single" w:color="auto" w:sz="4" w:space="0"/>
                    <w:bottom w:val="single" w:color="auto" w:sz="6" w:space="0"/>
                    <w:right w:val="single" w:color="auto" w:sz="6" w:space="0"/>
                    <w:tl2br w:val="nil"/>
                    <w:tr2bl w:val="nil"/>
                  </w:tcBorders>
                  <w:noWrap w:val="0"/>
                  <w:vAlign w:val="center"/>
                </w:tcPr>
                <w:p w14:paraId="3940E69D">
                  <w:pPr>
                    <w:widowControl w:val="0"/>
                    <w:autoSpaceDE w:val="0"/>
                    <w:autoSpaceDN w:val="0"/>
                    <w:adjustRightInd w:val="0"/>
                    <w:snapToGrid w:val="0"/>
                    <w:jc w:val="center"/>
                    <w:rPr>
                      <w:rFonts w:hint="default" w:asciiTheme="minorEastAsia" w:hAnsiTheme="minorEastAsia" w:eastAsiaTheme="minorEastAsia" w:cstheme="minorEastAsia"/>
                      <w:b w:val="0"/>
                      <w:color w:val="auto"/>
                      <w:kern w:val="0"/>
                      <w:sz w:val="21"/>
                      <w:szCs w:val="21"/>
                      <w:highlight w:val="none"/>
                      <w:lang w:val="en-US" w:eastAsia="zh-CN" w:bidi="ar-SA"/>
                    </w:rPr>
                  </w:pPr>
                  <w:r>
                    <w:rPr>
                      <w:rFonts w:hint="default" w:asciiTheme="minorEastAsia" w:hAnsiTheme="minorEastAsia" w:eastAsiaTheme="minorEastAsia" w:cstheme="minorEastAsia"/>
                      <w:b w:val="0"/>
                      <w:color w:val="auto"/>
                      <w:kern w:val="0"/>
                      <w:sz w:val="21"/>
                      <w:szCs w:val="21"/>
                      <w:highlight w:val="none"/>
                      <w:lang w:val="en-US" w:eastAsia="zh-CN" w:bidi="ar-SA"/>
                    </w:rPr>
                    <w:t>本项目不涉及直接向海排放污染物。</w:t>
                  </w:r>
                </w:p>
              </w:tc>
            </w:tr>
          </w:tbl>
          <w:p w14:paraId="1F96FC1B">
            <w:pPr>
              <w:autoSpaceDE w:val="0"/>
              <w:autoSpaceDN w:val="0"/>
              <w:adjustRightInd w:val="0"/>
              <w:snapToGrid w:val="0"/>
              <w:spacing w:line="360" w:lineRule="auto"/>
              <w:ind w:firstLine="480" w:firstLineChars="200"/>
              <w:jc w:val="left"/>
              <w:rPr>
                <w:rFonts w:hint="eastAsia" w:eastAsia="宋体"/>
                <w:color w:val="auto"/>
                <w:kern w:val="0"/>
                <w:sz w:val="24"/>
                <w:szCs w:val="24"/>
                <w:highlight w:val="none"/>
                <w:lang w:eastAsia="zh-CN"/>
              </w:rPr>
            </w:pPr>
          </w:p>
        </w:tc>
      </w:tr>
      <w:tr w14:paraId="31721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60D8A4E0">
            <w:pPr>
              <w:autoSpaceDE w:val="0"/>
              <w:autoSpaceDN w:val="0"/>
              <w:adjustRightInd w:val="0"/>
              <w:snapToGrid w:val="0"/>
              <w:jc w:val="center"/>
              <w:rPr>
                <w:color w:val="auto"/>
                <w:kern w:val="0"/>
                <w:sz w:val="24"/>
                <w:szCs w:val="24"/>
                <w:highlight w:val="none"/>
              </w:rPr>
            </w:pPr>
            <w:r>
              <w:rPr>
                <w:color w:val="auto"/>
                <w:sz w:val="24"/>
                <w:szCs w:val="24"/>
                <w:highlight w:val="none"/>
              </w:rPr>
              <w:t>规划情况</w:t>
            </w:r>
          </w:p>
        </w:tc>
        <w:tc>
          <w:tcPr>
            <w:tcW w:w="7912" w:type="dxa"/>
            <w:gridSpan w:val="3"/>
            <w:vAlign w:val="center"/>
          </w:tcPr>
          <w:p w14:paraId="52467346">
            <w:pPr>
              <w:pStyle w:val="128"/>
              <w:autoSpaceDE w:val="0"/>
              <w:autoSpaceDN w:val="0"/>
              <w:adjustRightInd w:val="0"/>
              <w:snapToGrid w:val="0"/>
              <w:spacing w:line="360" w:lineRule="auto"/>
              <w:ind w:firstLine="482"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规划名称：</w:t>
            </w:r>
            <w:r>
              <w:rPr>
                <w:rFonts w:hint="eastAsia" w:ascii="宋体" w:hAnsi="宋体" w:eastAsia="宋体" w:cs="宋体"/>
                <w:color w:val="auto"/>
                <w:sz w:val="24"/>
                <w:szCs w:val="24"/>
                <w:highlight w:val="none"/>
                <w:lang w:eastAsia="zh-CN"/>
              </w:rPr>
              <w:t>《凤翔高新技术产业开发区总体规划</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2019-2035</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修编</w:t>
            </w:r>
            <w:r>
              <w:rPr>
                <w:rFonts w:hint="eastAsia" w:cs="宋体"/>
                <w:color w:val="auto"/>
                <w:sz w:val="24"/>
                <w:szCs w:val="24"/>
                <w:highlight w:val="none"/>
                <w:lang w:eastAsia="zh-CN"/>
              </w:rPr>
              <w:t>）；</w:t>
            </w:r>
          </w:p>
          <w:p w14:paraId="1E87C390">
            <w:pPr>
              <w:pStyle w:val="128"/>
              <w:autoSpaceDE w:val="0"/>
              <w:autoSpaceDN w:val="0"/>
              <w:adjustRightInd w:val="0"/>
              <w:snapToGrid w:val="0"/>
              <w:spacing w:line="360" w:lineRule="auto"/>
              <w:ind w:firstLine="482" w:firstLineChars="200"/>
              <w:jc w:val="both"/>
              <w:rPr>
                <w:rFonts w:hint="eastAsia"/>
                <w:color w:val="auto"/>
                <w:sz w:val="24"/>
                <w:szCs w:val="24"/>
                <w:highlight w:val="none"/>
                <w:lang w:eastAsia="zh-CN"/>
              </w:rPr>
            </w:pPr>
            <w:r>
              <w:rPr>
                <w:rFonts w:hint="eastAsia" w:ascii="宋体" w:hAnsi="宋体" w:eastAsia="宋体" w:cs="宋体"/>
                <w:b/>
                <w:bCs/>
                <w:color w:val="auto"/>
                <w:sz w:val="24"/>
                <w:szCs w:val="24"/>
                <w:highlight w:val="none"/>
                <w:lang w:eastAsia="zh-CN"/>
              </w:rPr>
              <w:t>审批机关：</w:t>
            </w:r>
            <w:r>
              <w:rPr>
                <w:rFonts w:hint="eastAsia" w:ascii="宋体" w:hAnsi="宋体" w:eastAsia="宋体" w:cs="宋体"/>
                <w:color w:val="auto"/>
                <w:sz w:val="24"/>
                <w:szCs w:val="24"/>
                <w:highlight w:val="none"/>
                <w:lang w:eastAsia="zh-CN"/>
              </w:rPr>
              <w:t>凤翔县人民政府</w:t>
            </w:r>
          </w:p>
        </w:tc>
      </w:tr>
      <w:tr w14:paraId="49418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193EE2C2">
            <w:pPr>
              <w:adjustRightInd w:val="0"/>
              <w:snapToGrid w:val="0"/>
              <w:jc w:val="center"/>
              <w:rPr>
                <w:color w:val="auto"/>
                <w:kern w:val="0"/>
                <w:sz w:val="24"/>
                <w:szCs w:val="24"/>
                <w:highlight w:val="none"/>
              </w:rPr>
            </w:pPr>
            <w:r>
              <w:rPr>
                <w:color w:val="auto"/>
                <w:sz w:val="24"/>
                <w:szCs w:val="24"/>
                <w:highlight w:val="none"/>
              </w:rPr>
              <w:t>规划环境影响评价情况</w:t>
            </w:r>
          </w:p>
        </w:tc>
        <w:tc>
          <w:tcPr>
            <w:tcW w:w="7912" w:type="dxa"/>
            <w:gridSpan w:val="3"/>
            <w:vAlign w:val="center"/>
          </w:tcPr>
          <w:p w14:paraId="77720EAC">
            <w:pPr>
              <w:autoSpaceDE w:val="0"/>
              <w:autoSpaceDN w:val="0"/>
              <w:adjustRightInd w:val="0"/>
              <w:snapToGrid w:val="0"/>
              <w:spacing w:line="360" w:lineRule="auto"/>
              <w:ind w:firstLine="482" w:firstLineChars="200"/>
              <w:jc w:val="left"/>
              <w:rPr>
                <w:rFonts w:hint="eastAsia" w:ascii="宋体" w:hAnsi="宋体" w:eastAsia="宋体" w:cs="宋体"/>
                <w:color w:val="auto"/>
                <w:kern w:val="0"/>
                <w:sz w:val="24"/>
                <w:szCs w:val="24"/>
                <w:highlight w:val="none"/>
                <w:lang w:val="en-US" w:eastAsia="zh-CN" w:bidi="ar-SA"/>
              </w:rPr>
            </w:pPr>
            <w:r>
              <w:rPr>
                <w:rFonts w:hint="default" w:ascii="宋体" w:hAnsi="宋体" w:eastAsia="宋体" w:cs="宋体"/>
                <w:b/>
                <w:bCs/>
                <w:color w:val="auto"/>
                <w:kern w:val="0"/>
                <w:sz w:val="24"/>
                <w:szCs w:val="24"/>
                <w:highlight w:val="none"/>
                <w:lang w:val="en-US" w:eastAsia="zh-CN" w:bidi="ar-SA"/>
              </w:rPr>
              <w:t>规划名称</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w:t>
            </w:r>
            <w:r>
              <w:rPr>
                <w:rFonts w:hint="default" w:ascii="宋体" w:hAnsi="宋体" w:eastAsia="宋体" w:cs="宋体"/>
                <w:color w:val="auto"/>
                <w:kern w:val="0"/>
                <w:sz w:val="24"/>
                <w:szCs w:val="24"/>
                <w:highlight w:val="none"/>
                <w:lang w:val="en-US" w:eastAsia="zh-CN" w:bidi="ar-SA"/>
              </w:rPr>
              <w:t>陕西省凤翔高新技术产业开发区总体规划（201</w:t>
            </w:r>
            <w:r>
              <w:rPr>
                <w:rFonts w:hint="eastAsia" w:ascii="宋体" w:hAnsi="宋体" w:eastAsia="宋体" w:cs="宋体"/>
                <w:color w:val="auto"/>
                <w:kern w:val="0"/>
                <w:sz w:val="24"/>
                <w:szCs w:val="24"/>
                <w:highlight w:val="none"/>
                <w:lang w:val="en-US" w:eastAsia="zh-CN" w:bidi="ar-SA"/>
              </w:rPr>
              <w:t>9</w:t>
            </w:r>
            <w:r>
              <w:rPr>
                <w:rFonts w:hint="default" w:ascii="宋体" w:hAnsi="宋体" w:eastAsia="宋体" w:cs="宋体"/>
                <w:color w:val="auto"/>
                <w:kern w:val="0"/>
                <w:sz w:val="24"/>
                <w:szCs w:val="24"/>
                <w:highlight w:val="none"/>
                <w:lang w:val="en-US" w:eastAsia="zh-CN" w:bidi="ar-SA"/>
              </w:rPr>
              <w:t>-203</w:t>
            </w:r>
            <w:r>
              <w:rPr>
                <w:rFonts w:hint="eastAsia" w:ascii="宋体" w:hAnsi="宋体" w:eastAsia="宋体" w:cs="宋体"/>
                <w:color w:val="auto"/>
                <w:kern w:val="0"/>
                <w:sz w:val="24"/>
                <w:szCs w:val="24"/>
                <w:highlight w:val="none"/>
                <w:lang w:val="en-US" w:eastAsia="zh-CN" w:bidi="ar-SA"/>
              </w:rPr>
              <w:t>5</w:t>
            </w:r>
            <w:r>
              <w:rPr>
                <w:rFonts w:hint="default"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（修编）</w:t>
            </w:r>
            <w:r>
              <w:rPr>
                <w:rFonts w:hint="default" w:ascii="宋体" w:hAnsi="宋体" w:eastAsia="宋体" w:cs="宋体"/>
                <w:color w:val="auto"/>
                <w:kern w:val="0"/>
                <w:sz w:val="24"/>
                <w:szCs w:val="24"/>
                <w:highlight w:val="none"/>
                <w:lang w:val="en-US" w:eastAsia="zh-CN" w:bidi="ar-SA"/>
              </w:rPr>
              <w:t>环境影响报告书</w:t>
            </w:r>
            <w:r>
              <w:rPr>
                <w:rFonts w:hint="eastAsia" w:ascii="宋体" w:hAnsi="宋体" w:eastAsia="宋体" w:cs="宋体"/>
                <w:color w:val="auto"/>
                <w:kern w:val="0"/>
                <w:sz w:val="24"/>
                <w:szCs w:val="24"/>
                <w:highlight w:val="none"/>
                <w:lang w:val="en-US" w:eastAsia="zh-CN" w:bidi="ar-SA"/>
              </w:rPr>
              <w:t>》</w:t>
            </w:r>
          </w:p>
          <w:p w14:paraId="3598640F">
            <w:pPr>
              <w:autoSpaceDE w:val="0"/>
              <w:autoSpaceDN w:val="0"/>
              <w:adjustRightInd w:val="0"/>
              <w:snapToGrid w:val="0"/>
              <w:spacing w:line="360" w:lineRule="auto"/>
              <w:ind w:firstLine="482" w:firstLineChars="200"/>
              <w:jc w:val="left"/>
              <w:rPr>
                <w:rFonts w:hint="eastAsia" w:ascii="宋体" w:hAnsi="宋体" w:eastAsia="宋体" w:cs="宋体"/>
                <w:color w:val="auto"/>
                <w:kern w:val="0"/>
                <w:sz w:val="24"/>
                <w:szCs w:val="24"/>
                <w:highlight w:val="none"/>
                <w:lang w:val="en-US" w:eastAsia="zh-CN" w:bidi="ar-SA"/>
              </w:rPr>
            </w:pPr>
            <w:r>
              <w:rPr>
                <w:rFonts w:hint="default" w:ascii="宋体" w:hAnsi="宋体" w:eastAsia="宋体" w:cs="宋体"/>
                <w:b/>
                <w:bCs/>
                <w:color w:val="auto"/>
                <w:kern w:val="0"/>
                <w:sz w:val="24"/>
                <w:szCs w:val="24"/>
                <w:highlight w:val="none"/>
                <w:lang w:val="en-US" w:eastAsia="zh-CN" w:bidi="ar-SA"/>
              </w:rPr>
              <w:t>审批机关</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陕西省生态环境厅</w:t>
            </w:r>
          </w:p>
          <w:p w14:paraId="2AEC138E">
            <w:pPr>
              <w:autoSpaceDE w:val="0"/>
              <w:autoSpaceDN w:val="0"/>
              <w:adjustRightInd w:val="0"/>
              <w:snapToGrid w:val="0"/>
              <w:spacing w:line="360" w:lineRule="auto"/>
              <w:ind w:firstLine="482" w:firstLineChars="200"/>
              <w:jc w:val="left"/>
              <w:rPr>
                <w:rFonts w:hint="eastAsia" w:cs="Times New Roman"/>
                <w:color w:val="auto"/>
                <w:kern w:val="0"/>
                <w:szCs w:val="21"/>
                <w:highlight w:val="none"/>
                <w:vertAlign w:val="baseline"/>
                <w:lang w:val="en-US" w:eastAsia="zh-CN"/>
              </w:rPr>
            </w:pPr>
            <w:r>
              <w:rPr>
                <w:rFonts w:hint="default" w:ascii="宋体" w:hAnsi="宋体" w:eastAsia="宋体" w:cs="宋体"/>
                <w:b/>
                <w:bCs/>
                <w:color w:val="auto"/>
                <w:kern w:val="0"/>
                <w:sz w:val="24"/>
                <w:szCs w:val="24"/>
                <w:highlight w:val="none"/>
                <w:lang w:val="en-US" w:eastAsia="zh-CN" w:bidi="ar-SA"/>
              </w:rPr>
              <w:t>审查文件名称及文号</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《陕西省生态环境厅关于</w:t>
            </w:r>
            <w:r>
              <w:rPr>
                <w:rFonts w:hint="default" w:ascii="宋体" w:hAnsi="宋体" w:eastAsia="宋体" w:cs="宋体"/>
                <w:color w:val="auto"/>
                <w:kern w:val="0"/>
                <w:sz w:val="24"/>
                <w:szCs w:val="24"/>
                <w:highlight w:val="none"/>
                <w:lang w:val="en-US" w:eastAsia="zh-CN" w:bidi="ar-SA"/>
              </w:rPr>
              <w:t>陕西省凤翔高新技术产业开发区总体规划（201</w:t>
            </w:r>
            <w:r>
              <w:rPr>
                <w:rFonts w:hint="eastAsia" w:ascii="宋体" w:hAnsi="宋体" w:eastAsia="宋体" w:cs="宋体"/>
                <w:color w:val="auto"/>
                <w:kern w:val="0"/>
                <w:sz w:val="24"/>
                <w:szCs w:val="24"/>
                <w:highlight w:val="none"/>
                <w:lang w:val="en-US" w:eastAsia="zh-CN" w:bidi="ar-SA"/>
              </w:rPr>
              <w:t>9</w:t>
            </w:r>
            <w:r>
              <w:rPr>
                <w:rFonts w:hint="default" w:ascii="宋体" w:hAnsi="宋体" w:eastAsia="宋体" w:cs="宋体"/>
                <w:color w:val="auto"/>
                <w:kern w:val="0"/>
                <w:sz w:val="24"/>
                <w:szCs w:val="24"/>
                <w:highlight w:val="none"/>
                <w:lang w:val="en-US" w:eastAsia="zh-CN" w:bidi="ar-SA"/>
              </w:rPr>
              <w:t>-203</w:t>
            </w:r>
            <w:r>
              <w:rPr>
                <w:rFonts w:hint="eastAsia" w:ascii="宋体" w:hAnsi="宋体" w:eastAsia="宋体" w:cs="宋体"/>
                <w:color w:val="auto"/>
                <w:kern w:val="0"/>
                <w:sz w:val="24"/>
                <w:szCs w:val="24"/>
                <w:highlight w:val="none"/>
                <w:lang w:val="en-US" w:eastAsia="zh-CN" w:bidi="ar-SA"/>
              </w:rPr>
              <w:t>5</w:t>
            </w:r>
            <w:r>
              <w:rPr>
                <w:rFonts w:hint="default"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（修编）</w:t>
            </w:r>
            <w:r>
              <w:rPr>
                <w:rFonts w:hint="default" w:ascii="宋体" w:hAnsi="宋体" w:eastAsia="宋体" w:cs="宋体"/>
                <w:color w:val="auto"/>
                <w:kern w:val="0"/>
                <w:sz w:val="24"/>
                <w:szCs w:val="24"/>
                <w:highlight w:val="none"/>
                <w:lang w:val="en-US" w:eastAsia="zh-CN" w:bidi="ar-SA"/>
              </w:rPr>
              <w:t>环境影响报告书</w:t>
            </w:r>
            <w:r>
              <w:rPr>
                <w:rFonts w:hint="eastAsia" w:ascii="宋体" w:hAnsi="宋体" w:eastAsia="宋体" w:cs="宋体"/>
                <w:color w:val="auto"/>
                <w:kern w:val="0"/>
                <w:sz w:val="24"/>
                <w:szCs w:val="24"/>
                <w:highlight w:val="none"/>
                <w:lang w:val="en-US" w:eastAsia="zh-CN" w:bidi="ar-SA"/>
              </w:rPr>
              <w:t>审查意见的函》（陕环环评函</w:t>
            </w:r>
            <w:r>
              <w:rPr>
                <w:rFonts w:hint="default" w:ascii="宋体" w:hAnsi="宋体" w:eastAsia="宋体" w:cs="宋体"/>
                <w:color w:val="auto"/>
                <w:kern w:val="0"/>
                <w:sz w:val="24"/>
                <w:szCs w:val="24"/>
                <w:highlight w:val="none"/>
                <w:lang w:val="en-US" w:eastAsia="zh-CN" w:bidi="ar-SA"/>
              </w:rPr>
              <w:t>〔2020〕</w:t>
            </w:r>
            <w:r>
              <w:rPr>
                <w:rFonts w:hint="eastAsia" w:ascii="宋体" w:hAnsi="宋体" w:eastAsia="宋体" w:cs="宋体"/>
                <w:color w:val="auto"/>
                <w:kern w:val="0"/>
                <w:sz w:val="24"/>
                <w:szCs w:val="24"/>
                <w:highlight w:val="none"/>
                <w:lang w:val="en-US" w:eastAsia="zh-CN" w:bidi="ar-SA"/>
              </w:rPr>
              <w:t>54号）。</w:t>
            </w:r>
          </w:p>
        </w:tc>
      </w:tr>
      <w:tr w14:paraId="661EA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gridSpan w:val="2"/>
            <w:vAlign w:val="center"/>
          </w:tcPr>
          <w:p w14:paraId="427EED87">
            <w:pPr>
              <w:autoSpaceDE w:val="0"/>
              <w:autoSpaceDN w:val="0"/>
              <w:adjustRightInd w:val="0"/>
              <w:snapToGrid w:val="0"/>
              <w:jc w:val="center"/>
              <w:rPr>
                <w:color w:val="auto"/>
                <w:kern w:val="0"/>
                <w:sz w:val="24"/>
                <w:szCs w:val="24"/>
                <w:highlight w:val="none"/>
              </w:rPr>
            </w:pPr>
            <w:r>
              <w:rPr>
                <w:color w:val="auto"/>
                <w:kern w:val="0"/>
                <w:sz w:val="24"/>
                <w:szCs w:val="24"/>
                <w:highlight w:val="none"/>
              </w:rPr>
              <w:t>规划及规划环境影响评价符合性分析</w:t>
            </w:r>
          </w:p>
        </w:tc>
        <w:tc>
          <w:tcPr>
            <w:tcW w:w="7912" w:type="dxa"/>
            <w:gridSpan w:val="3"/>
            <w:vAlign w:val="center"/>
          </w:tcPr>
          <w:p w14:paraId="28C5D846">
            <w:pPr>
              <w:numPr>
                <w:ilvl w:val="0"/>
                <w:numId w:val="0"/>
              </w:numPr>
              <w:autoSpaceDE w:val="0"/>
              <w:autoSpaceDN w:val="0"/>
              <w:adjustRightInd w:val="0"/>
              <w:snapToGrid w:val="0"/>
              <w:spacing w:line="360" w:lineRule="auto"/>
              <w:ind w:firstLine="482" w:firstLineChars="200"/>
              <w:jc w:val="both"/>
              <w:rPr>
                <w:rFonts w:eastAsiaTheme="minorEastAsia"/>
                <w:b/>
                <w:bCs/>
                <w:color w:val="auto"/>
                <w:sz w:val="24"/>
                <w:szCs w:val="22"/>
                <w:highlight w:val="none"/>
                <w:lang w:val="zh-CN"/>
              </w:rPr>
            </w:pPr>
            <w:r>
              <w:rPr>
                <w:rFonts w:ascii="Times New Roman" w:hAnsi="Times New Roman" w:cs="Times New Roman" w:eastAsiaTheme="minorEastAsia"/>
                <w:b/>
                <w:bCs/>
                <w:color w:val="auto"/>
                <w:kern w:val="2"/>
                <w:sz w:val="24"/>
                <w:szCs w:val="22"/>
                <w:highlight w:val="none"/>
                <w:lang w:val="zh-CN" w:eastAsia="zh-CN" w:bidi="ar-SA"/>
              </w:rPr>
              <w:t>1.</w:t>
            </w:r>
            <w:r>
              <w:rPr>
                <w:rFonts w:eastAsiaTheme="minorEastAsia"/>
                <w:b/>
                <w:bCs/>
                <w:color w:val="auto"/>
                <w:sz w:val="24"/>
                <w:szCs w:val="22"/>
                <w:highlight w:val="none"/>
              </w:rPr>
              <w:t>规划符合性</w:t>
            </w:r>
            <w:r>
              <w:rPr>
                <w:rFonts w:eastAsiaTheme="minorEastAsia"/>
                <w:b/>
                <w:bCs/>
                <w:color w:val="auto"/>
                <w:sz w:val="24"/>
                <w:szCs w:val="22"/>
                <w:highlight w:val="none"/>
                <w:lang w:val="zh-CN"/>
              </w:rPr>
              <w:t>分析</w:t>
            </w:r>
          </w:p>
          <w:p w14:paraId="11C5F1A1">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本项目与凤翔高新技术产业开发区总体规划（2019-2035）（修编）符合性见下表。</w:t>
            </w:r>
          </w:p>
          <w:p w14:paraId="38818A61">
            <w:pPr>
              <w:widowControl/>
              <w:spacing w:line="400" w:lineRule="exact"/>
              <w:ind w:firstLine="0" w:firstLineChars="0"/>
              <w:jc w:val="center"/>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表1-1  本项目与凤翔高新技术产业开发区规划符合性分析</w:t>
            </w:r>
          </w:p>
          <w:tbl>
            <w:tblPr>
              <w:tblStyle w:val="35"/>
              <w:tblW w:w="77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08"/>
              <w:gridCol w:w="4176"/>
              <w:gridCol w:w="2018"/>
              <w:gridCol w:w="716"/>
            </w:tblGrid>
            <w:tr w14:paraId="09E47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08" w:type="dxa"/>
                  <w:tcBorders>
                    <w:tl2br w:val="nil"/>
                    <w:tr2bl w:val="nil"/>
                  </w:tcBorders>
                  <w:noWrap w:val="0"/>
                  <w:vAlign w:val="center"/>
                </w:tcPr>
                <w:p w14:paraId="3AD5645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规划</w:t>
                  </w:r>
                </w:p>
              </w:tc>
              <w:tc>
                <w:tcPr>
                  <w:tcW w:w="4176" w:type="dxa"/>
                  <w:tcBorders>
                    <w:tl2br w:val="nil"/>
                    <w:tr2bl w:val="nil"/>
                  </w:tcBorders>
                  <w:noWrap w:val="0"/>
                  <w:vAlign w:val="center"/>
                </w:tcPr>
                <w:p w14:paraId="0093B1E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要求</w:t>
                  </w:r>
                </w:p>
              </w:tc>
              <w:tc>
                <w:tcPr>
                  <w:tcW w:w="2018" w:type="dxa"/>
                  <w:tcBorders>
                    <w:tl2br w:val="nil"/>
                    <w:tr2bl w:val="nil"/>
                  </w:tcBorders>
                  <w:noWrap w:val="0"/>
                  <w:vAlign w:val="center"/>
                </w:tcPr>
                <w:p w14:paraId="20DB535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本项目情况</w:t>
                  </w:r>
                </w:p>
              </w:tc>
              <w:tc>
                <w:tcPr>
                  <w:tcW w:w="716" w:type="dxa"/>
                  <w:tcBorders>
                    <w:tl2br w:val="nil"/>
                    <w:tr2bl w:val="nil"/>
                  </w:tcBorders>
                  <w:noWrap w:val="0"/>
                  <w:vAlign w:val="center"/>
                </w:tcPr>
                <w:p w14:paraId="5939AA4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符合性</w:t>
                  </w:r>
                </w:p>
              </w:tc>
            </w:tr>
            <w:tr w14:paraId="1CCACA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808" w:type="dxa"/>
                  <w:vMerge w:val="restart"/>
                  <w:tcBorders>
                    <w:tl2br w:val="nil"/>
                    <w:tr2bl w:val="nil"/>
                  </w:tcBorders>
                  <w:noWrap w:val="0"/>
                  <w:vAlign w:val="center"/>
                </w:tcPr>
                <w:p w14:paraId="0ABB48B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《凤翔高新技术产业开发区总体规划（2019-2035）（修编）》</w:t>
                  </w:r>
                </w:p>
              </w:tc>
              <w:tc>
                <w:tcPr>
                  <w:tcW w:w="4176" w:type="dxa"/>
                  <w:tcBorders>
                    <w:tl2br w:val="nil"/>
                    <w:tr2bl w:val="nil"/>
                  </w:tcBorders>
                  <w:noWrap w:val="0"/>
                  <w:vAlign w:val="center"/>
                </w:tcPr>
                <w:p w14:paraId="4C579B1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规划面积16.57平方公里，远期规划面积28.57平方公里。重点发展煤化工、白酒酿造、电力能源产业，培育发展工业机器人、新材料、文化等产业。大力实施创新驱动发展战略，完善体制机制，坚持利用高新技术提升产业发展水平，优化产业结构，实现跨越发展；坚持土地集约利用，保护生态环境；坚持高起点规划，高标准建设，完善城市功能，打造新型城区。</w:t>
                  </w:r>
                </w:p>
              </w:tc>
              <w:tc>
                <w:tcPr>
                  <w:tcW w:w="2018" w:type="dxa"/>
                  <w:vMerge w:val="restart"/>
                  <w:tcBorders>
                    <w:tl2br w:val="nil"/>
                    <w:tr2bl w:val="nil"/>
                  </w:tcBorders>
                  <w:noWrap w:val="0"/>
                  <w:vAlign w:val="center"/>
                </w:tcPr>
                <w:p w14:paraId="3672D0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b w:val="0"/>
                      <w:color w:val="auto"/>
                      <w:spacing w:val="-1"/>
                      <w:kern w:val="2"/>
                      <w:sz w:val="21"/>
                      <w:szCs w:val="21"/>
                      <w:highlight w:val="none"/>
                      <w:lang w:val="en-US" w:eastAsia="zh-CN" w:bidi="ar-SA"/>
                    </w:rPr>
                    <w:t>位于宝鸡市凤翔高新区长青工业园原厂区内，符合园区规划。</w:t>
                  </w:r>
                </w:p>
              </w:tc>
              <w:tc>
                <w:tcPr>
                  <w:tcW w:w="716" w:type="dxa"/>
                  <w:tcBorders>
                    <w:tl2br w:val="nil"/>
                    <w:tr2bl w:val="nil"/>
                  </w:tcBorders>
                  <w:noWrap w:val="0"/>
                  <w:vAlign w:val="center"/>
                </w:tcPr>
                <w:p w14:paraId="4134F63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513F9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7" w:hRule="atLeast"/>
                <w:jc w:val="center"/>
              </w:trPr>
              <w:tc>
                <w:tcPr>
                  <w:tcW w:w="808" w:type="dxa"/>
                  <w:vMerge w:val="continue"/>
                  <w:tcBorders>
                    <w:tl2br w:val="nil"/>
                    <w:tr2bl w:val="nil"/>
                  </w:tcBorders>
                  <w:noWrap w:val="0"/>
                  <w:vAlign w:val="center"/>
                </w:tcPr>
                <w:p w14:paraId="716657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176" w:type="dxa"/>
                  <w:tcBorders>
                    <w:tl2br w:val="nil"/>
                    <w:tr2bl w:val="nil"/>
                  </w:tcBorders>
                  <w:noWrap w:val="0"/>
                  <w:vAlign w:val="center"/>
                </w:tcPr>
                <w:p w14:paraId="37161A3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陕西省推进城镇人口密集区危险化学品生产企业搬迁改造工作领导小组办公室《关于公布可承载危险化学品生产企业搬迁化工园区评价标准和第一批可承载危险化学品生产企业搬迁化工园区认定名单的通知》（陕危化迁办发〔2019〕6号）文件，将凤翔高新区长青工业园列为陕西省第一批可承载危险化学品生产企业搬迁化工园区，推荐可承接化工项目类别为C1化工、甲醇相关下游产品、高附加值精细化工、化学专用品、无机化工及相关节能环保、园区资源利用等新材料产业。</w:t>
                  </w:r>
                </w:p>
              </w:tc>
              <w:tc>
                <w:tcPr>
                  <w:tcW w:w="2018" w:type="dxa"/>
                  <w:vMerge w:val="continue"/>
                  <w:tcBorders>
                    <w:tl2br w:val="nil"/>
                    <w:tr2bl w:val="nil"/>
                  </w:tcBorders>
                  <w:noWrap w:val="0"/>
                  <w:vAlign w:val="center"/>
                </w:tcPr>
                <w:p w14:paraId="22FA37A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716" w:type="dxa"/>
                  <w:tcBorders>
                    <w:tl2br w:val="nil"/>
                    <w:tr2bl w:val="nil"/>
                  </w:tcBorders>
                  <w:noWrap w:val="0"/>
                  <w:vAlign w:val="center"/>
                </w:tcPr>
                <w:p w14:paraId="0185023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3D9F7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5" w:hRule="atLeast"/>
                <w:jc w:val="center"/>
              </w:trPr>
              <w:tc>
                <w:tcPr>
                  <w:tcW w:w="808" w:type="dxa"/>
                  <w:vMerge w:val="continue"/>
                  <w:tcBorders>
                    <w:tl2br w:val="nil"/>
                    <w:tr2bl w:val="nil"/>
                  </w:tcBorders>
                  <w:noWrap w:val="0"/>
                  <w:vAlign w:val="center"/>
                </w:tcPr>
                <w:p w14:paraId="5285144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176" w:type="dxa"/>
                  <w:tcBorders>
                    <w:tl2br w:val="nil"/>
                    <w:tr2bl w:val="nil"/>
                  </w:tcBorders>
                  <w:noWrap w:val="0"/>
                  <w:vAlign w:val="center"/>
                </w:tcPr>
                <w:p w14:paraId="6671925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长青工业园：包括一心四区，热电能源区依托国电宝鸡第二发电有限责任公司，强化节能减排的技术创新与应用，提高发电效率和资源综合效率，并且对生产过程中产生的废弃物和余热综合利用处理，在提供电力能源的基础上，对凤翔县城统一供暖。新材料产业区包括金属新材料产业区和循环经济产业区。金属新材料区重点发展铅、锌金属新材料产业；循环经济产业区重点发展C1化工、甲醇相关下游产品、专用化学品、高附加值精细化工及新材料、无机化工、医药化工，以及相关的节能环保、资源利用等配套产业。创意研发区位于西府大道西段的南侧，以研发、孵化功能为主，重要引进创新创业企业。生活服务区依托现状，对用地进行整合，发展集居住、行政、文化和生活生产配套服务等功能于一体的生活服务区。</w:t>
                  </w:r>
                </w:p>
              </w:tc>
              <w:tc>
                <w:tcPr>
                  <w:tcW w:w="2018" w:type="dxa"/>
                  <w:tcBorders>
                    <w:tl2br w:val="nil"/>
                    <w:tr2bl w:val="nil"/>
                  </w:tcBorders>
                  <w:noWrap w:val="0"/>
                  <w:vAlign w:val="center"/>
                </w:tcPr>
                <w:p w14:paraId="1758E7A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b w:val="0"/>
                      <w:color w:val="auto"/>
                      <w:sz w:val="21"/>
                      <w:szCs w:val="21"/>
                      <w:highlight w:val="none"/>
                      <w:lang w:val="en-US" w:eastAsia="zh-CN"/>
                    </w:rPr>
                    <w:t>，位于</w:t>
                  </w:r>
                  <w:r>
                    <w:rPr>
                      <w:rFonts w:hint="eastAsia" w:asciiTheme="minorEastAsia" w:hAnsiTheme="minorEastAsia" w:eastAsiaTheme="minorEastAsia" w:cstheme="minorEastAsia"/>
                      <w:b w:val="0"/>
                      <w:color w:val="auto"/>
                      <w:spacing w:val="-1"/>
                      <w:kern w:val="2"/>
                      <w:sz w:val="21"/>
                      <w:szCs w:val="21"/>
                      <w:highlight w:val="none"/>
                      <w:lang w:val="en-US" w:eastAsia="zh-CN" w:bidi="ar-SA"/>
                    </w:rPr>
                    <w:t>宝鸡市凤翔高新区长青工业园</w:t>
                  </w:r>
                  <w:r>
                    <w:rPr>
                      <w:rFonts w:hint="eastAsia" w:asciiTheme="minorEastAsia" w:hAnsiTheme="minorEastAsia" w:eastAsiaTheme="minorEastAsia" w:cstheme="minorEastAsia"/>
                      <w:b w:val="0"/>
                      <w:color w:val="auto"/>
                      <w:sz w:val="21"/>
                      <w:szCs w:val="21"/>
                      <w:highlight w:val="none"/>
                      <w:lang w:val="en-US" w:eastAsia="zh-CN"/>
                    </w:rPr>
                    <w:t>循环经济产业园区，符合规划修编内容。</w:t>
                  </w:r>
                </w:p>
              </w:tc>
              <w:tc>
                <w:tcPr>
                  <w:tcW w:w="716" w:type="dxa"/>
                  <w:tcBorders>
                    <w:tl2br w:val="nil"/>
                    <w:tr2bl w:val="nil"/>
                  </w:tcBorders>
                  <w:noWrap w:val="0"/>
                  <w:vAlign w:val="center"/>
                </w:tcPr>
                <w:p w14:paraId="44AA59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bl>
          <w:p w14:paraId="6B571323">
            <w:pPr>
              <w:pStyle w:val="34"/>
              <w:ind w:left="0" w:leftChars="0" w:firstLine="0" w:firstLineChars="0"/>
              <w:rPr>
                <w:rFonts w:hint="eastAsia"/>
                <w:color w:val="auto"/>
                <w:highlight w:val="none"/>
                <w:lang w:val="en-US" w:eastAsia="zh-CN"/>
              </w:rPr>
            </w:pPr>
            <w:r>
              <w:rPr>
                <w:color w:val="auto"/>
                <w:highlight w:val="none"/>
              </w:rPr>
              <w:drawing>
                <wp:inline distT="0" distB="0" distL="114300" distR="114300">
                  <wp:extent cx="4958715" cy="3068320"/>
                  <wp:effectExtent l="0" t="0" r="13335" b="1778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7"/>
                          <a:stretch>
                            <a:fillRect/>
                          </a:stretch>
                        </pic:blipFill>
                        <pic:spPr>
                          <a:xfrm>
                            <a:off x="0" y="0"/>
                            <a:ext cx="4958715" cy="3068320"/>
                          </a:xfrm>
                          <a:prstGeom prst="rect">
                            <a:avLst/>
                          </a:prstGeom>
                          <a:noFill/>
                          <a:ln>
                            <a:noFill/>
                          </a:ln>
                        </pic:spPr>
                      </pic:pic>
                    </a:graphicData>
                  </a:graphic>
                </wp:inline>
              </w:drawing>
            </w:r>
          </w:p>
          <w:p w14:paraId="3142A011">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图1-1   项目与凤翔高新技术产业开发区规划（2019-2035）（修编）</w:t>
            </w:r>
          </w:p>
          <w:p w14:paraId="471DB32A">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长青工业园功能分区规划（摘取）位置关系图</w:t>
            </w:r>
          </w:p>
          <w:p w14:paraId="28185036">
            <w:pPr>
              <w:numPr>
                <w:ilvl w:val="0"/>
                <w:numId w:val="0"/>
              </w:numPr>
              <w:autoSpaceDE w:val="0"/>
              <w:autoSpaceDN w:val="0"/>
              <w:adjustRightInd w:val="0"/>
              <w:snapToGrid w:val="0"/>
              <w:spacing w:line="360" w:lineRule="auto"/>
              <w:ind w:firstLine="482" w:firstLineChars="200"/>
              <w:jc w:val="both"/>
              <w:rPr>
                <w:rFonts w:ascii="Times New Roman" w:hAnsi="Times New Roman" w:cs="Times New Roman" w:eastAsiaTheme="minorEastAsia"/>
                <w:b/>
                <w:bCs/>
                <w:color w:val="auto"/>
                <w:kern w:val="2"/>
                <w:sz w:val="24"/>
                <w:szCs w:val="22"/>
                <w:highlight w:val="none"/>
                <w:lang w:val="zh-CN" w:eastAsia="zh-CN" w:bidi="ar-SA"/>
              </w:rPr>
            </w:pPr>
            <w:r>
              <w:rPr>
                <w:rFonts w:hint="eastAsia" w:ascii="Times New Roman" w:hAnsi="Times New Roman" w:cs="Times New Roman" w:eastAsiaTheme="minorEastAsia"/>
                <w:b/>
                <w:bCs/>
                <w:color w:val="auto"/>
                <w:kern w:val="2"/>
                <w:sz w:val="24"/>
                <w:szCs w:val="22"/>
                <w:highlight w:val="none"/>
                <w:lang w:val="zh-CN" w:eastAsia="zh-CN" w:bidi="ar-SA"/>
              </w:rPr>
              <w:t>2.规划环境影响评价结论及审查意见</w:t>
            </w:r>
            <w:r>
              <w:rPr>
                <w:rFonts w:ascii="Times New Roman" w:hAnsi="Times New Roman" w:cs="Times New Roman" w:eastAsiaTheme="minorEastAsia"/>
                <w:b/>
                <w:bCs/>
                <w:color w:val="auto"/>
                <w:kern w:val="2"/>
                <w:sz w:val="24"/>
                <w:szCs w:val="22"/>
                <w:highlight w:val="none"/>
                <w:lang w:val="zh-CN" w:eastAsia="zh-CN" w:bidi="ar-SA"/>
              </w:rPr>
              <w:t>符合性分析</w:t>
            </w:r>
          </w:p>
          <w:p w14:paraId="4E18F545">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表1-2  项目与《凤翔高新技术产业开发区总体规划（2019-2035）</w:t>
            </w:r>
          </w:p>
          <w:p w14:paraId="0E780DB7">
            <w:pPr>
              <w:widowControl/>
              <w:spacing w:line="400" w:lineRule="exact"/>
              <w:ind w:firstLine="0" w:firstLineChars="0"/>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（修编）环境影响报告书》环境影响报告书结论及审查意见的符合性分析</w:t>
            </w:r>
          </w:p>
          <w:tbl>
            <w:tblPr>
              <w:tblStyle w:val="35"/>
              <w:tblW w:w="77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3"/>
              <w:gridCol w:w="4275"/>
              <w:gridCol w:w="1948"/>
              <w:gridCol w:w="722"/>
            </w:tblGrid>
            <w:tr w14:paraId="5F581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13" w:type="dxa"/>
                  <w:tcBorders>
                    <w:tl2br w:val="nil"/>
                    <w:tr2bl w:val="nil"/>
                  </w:tcBorders>
                  <w:noWrap w:val="0"/>
                  <w:vAlign w:val="center"/>
                </w:tcPr>
                <w:p w14:paraId="24BB965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规划</w:t>
                  </w:r>
                </w:p>
              </w:tc>
              <w:tc>
                <w:tcPr>
                  <w:tcW w:w="4275" w:type="dxa"/>
                  <w:tcBorders>
                    <w:tl2br w:val="nil"/>
                    <w:tr2bl w:val="nil"/>
                  </w:tcBorders>
                  <w:noWrap w:val="0"/>
                  <w:vAlign w:val="center"/>
                </w:tcPr>
                <w:p w14:paraId="2C58F6F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要求</w:t>
                  </w:r>
                </w:p>
              </w:tc>
              <w:tc>
                <w:tcPr>
                  <w:tcW w:w="1948" w:type="dxa"/>
                  <w:tcBorders>
                    <w:tl2br w:val="nil"/>
                    <w:tr2bl w:val="nil"/>
                  </w:tcBorders>
                  <w:noWrap w:val="0"/>
                  <w:vAlign w:val="center"/>
                </w:tcPr>
                <w:p w14:paraId="449D32F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rPr>
                    <w:t>本项目情况</w:t>
                  </w:r>
                </w:p>
              </w:tc>
              <w:tc>
                <w:tcPr>
                  <w:tcW w:w="722" w:type="dxa"/>
                  <w:tcBorders>
                    <w:tl2br w:val="nil"/>
                    <w:tr2bl w:val="nil"/>
                  </w:tcBorders>
                  <w:noWrap w:val="0"/>
                  <w:vAlign w:val="center"/>
                </w:tcPr>
                <w:p w14:paraId="33851A2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符合性</w:t>
                  </w:r>
                </w:p>
              </w:tc>
            </w:tr>
            <w:tr w14:paraId="6F083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48" w:hRule="atLeast"/>
                <w:jc w:val="center"/>
              </w:trPr>
              <w:tc>
                <w:tcPr>
                  <w:tcW w:w="813" w:type="dxa"/>
                  <w:vMerge w:val="restart"/>
                  <w:tcBorders>
                    <w:tl2br w:val="nil"/>
                    <w:tr2bl w:val="nil"/>
                  </w:tcBorders>
                  <w:noWrap w:val="0"/>
                  <w:vAlign w:val="center"/>
                </w:tcPr>
                <w:p w14:paraId="5FCB726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《凤翔高新技术产业开发区总体规划（2019-2035）（修编）》</w:t>
                  </w:r>
                </w:p>
              </w:tc>
              <w:tc>
                <w:tcPr>
                  <w:tcW w:w="4275" w:type="dxa"/>
                  <w:tcBorders>
                    <w:tl2br w:val="nil"/>
                    <w:tr2bl w:val="nil"/>
                  </w:tcBorders>
                  <w:noWrap w:val="0"/>
                  <w:vAlign w:val="center"/>
                </w:tcPr>
                <w:p w14:paraId="0DC4163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规划面积16.57平方公里，远期规划面积28.57平方公里。重点发展煤化工、白酒酿造、电力能源产业，培育发展工业机器人、新材料、文化等产业。大力实施创新驱动发展战略，完善体制机制，坚持利用高新技术提升产业发展水平，优化产业结构，实现跨越发展；坚持土地集约利用，保护生态环境；坚持高起点规划，高标准建设，完善城市功能，打造新型城区。</w:t>
                  </w:r>
                </w:p>
              </w:tc>
              <w:tc>
                <w:tcPr>
                  <w:tcW w:w="1948" w:type="dxa"/>
                  <w:vMerge w:val="restart"/>
                  <w:tcBorders>
                    <w:tl2br w:val="nil"/>
                    <w:tr2bl w:val="nil"/>
                  </w:tcBorders>
                  <w:noWrap w:val="0"/>
                  <w:vAlign w:val="center"/>
                </w:tcPr>
                <w:p w14:paraId="326B15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b w:val="0"/>
                      <w:color w:val="auto"/>
                      <w:spacing w:val="-1"/>
                      <w:kern w:val="2"/>
                      <w:sz w:val="21"/>
                      <w:szCs w:val="21"/>
                      <w:highlight w:val="none"/>
                      <w:lang w:val="en-US" w:eastAsia="zh-CN" w:bidi="ar-SA"/>
                    </w:rPr>
                    <w:t>位于宝鸡市凤翔高新区长青工业园原厂区内，符合园区规划。</w:t>
                  </w:r>
                </w:p>
              </w:tc>
              <w:tc>
                <w:tcPr>
                  <w:tcW w:w="722" w:type="dxa"/>
                  <w:tcBorders>
                    <w:tl2br w:val="nil"/>
                    <w:tr2bl w:val="nil"/>
                  </w:tcBorders>
                  <w:noWrap w:val="0"/>
                  <w:vAlign w:val="center"/>
                </w:tcPr>
                <w:p w14:paraId="36D21C2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7C49CC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56" w:hRule="atLeast"/>
                <w:jc w:val="center"/>
              </w:trPr>
              <w:tc>
                <w:tcPr>
                  <w:tcW w:w="813" w:type="dxa"/>
                  <w:vMerge w:val="continue"/>
                  <w:tcBorders>
                    <w:tl2br w:val="nil"/>
                    <w:tr2bl w:val="nil"/>
                  </w:tcBorders>
                  <w:noWrap w:val="0"/>
                  <w:vAlign w:val="center"/>
                </w:tcPr>
                <w:p w14:paraId="6EBFC4E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0A8BDA1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陕西省推进城镇人口密集区危险化学品生产企业搬迁改造工作领导小组办公室《关于公布可承载危险化学品生产企业搬迁化工园区评价标准和第一批可承载危险化学品生产企业搬迁化工园区认定名单的通知》（陕危化迁办发〔2019〕6号）文件，将凤翔高新区长青工业园列为陕西省第一批可承载危险化学品生产企业搬迁化工园区，推荐可承接化工项目类别为C1化工、甲醇相关下游产品、高附加值精细化工、化学专用品、无机化工及相关节能环保、园区资源利用等新材料产业。</w:t>
                  </w:r>
                </w:p>
              </w:tc>
              <w:tc>
                <w:tcPr>
                  <w:tcW w:w="1948" w:type="dxa"/>
                  <w:vMerge w:val="continue"/>
                  <w:tcBorders>
                    <w:tl2br w:val="nil"/>
                    <w:tr2bl w:val="nil"/>
                  </w:tcBorders>
                  <w:noWrap w:val="0"/>
                  <w:vAlign w:val="center"/>
                </w:tcPr>
                <w:p w14:paraId="015E6F8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722" w:type="dxa"/>
                  <w:tcBorders>
                    <w:tl2br w:val="nil"/>
                    <w:tr2bl w:val="nil"/>
                  </w:tcBorders>
                  <w:noWrap w:val="0"/>
                  <w:vAlign w:val="center"/>
                </w:tcPr>
                <w:p w14:paraId="7D58EDB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542C3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13" w:type="dxa"/>
                  <w:vMerge w:val="continue"/>
                  <w:tcBorders>
                    <w:tl2br w:val="nil"/>
                    <w:tr2bl w:val="nil"/>
                  </w:tcBorders>
                  <w:noWrap w:val="0"/>
                  <w:vAlign w:val="center"/>
                </w:tcPr>
                <w:p w14:paraId="56A66DD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2C55DCE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长青工业园：包括一心四区，热电能源区依托国电宝鸡第二发电有限责任公司，强化节能减排的技术创新与应用，提高发电效率和资源综合效率，并且对生产过程中产生的废弃物和余热综合利用处理，在提供电力能源的基础上，对凤翔县城统一供暖。新材料产业区包括金属新材料产业区和循环经济产业区。金属新材料区重点发展铅、锌金属新材料产业；循环经济产业区重点发展C1化工、甲醇相关下游产品、专用化学品、高附加值精细化工及新材料、无机化工、医药化工，以及相关的节能环保、资源利用等配套产业。创意研发区位于西府大道西段的南侧，以研发、孵化功能为主，重要引进创新创业企业。生活服务区依托现状，对用地进行整合，发展集居住、行政、文化和生活生产配套服务等功能于一体的生活服务区。</w:t>
                  </w:r>
                </w:p>
              </w:tc>
              <w:tc>
                <w:tcPr>
                  <w:tcW w:w="1948" w:type="dxa"/>
                  <w:tcBorders>
                    <w:tl2br w:val="nil"/>
                    <w:tr2bl w:val="nil"/>
                  </w:tcBorders>
                  <w:noWrap w:val="0"/>
                  <w:vAlign w:val="center"/>
                </w:tcPr>
                <w:p w14:paraId="3A7A318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 xml:space="preserve"> 危险废物贮存、中转项目</w:t>
                  </w:r>
                  <w:r>
                    <w:rPr>
                      <w:rFonts w:hint="eastAsia" w:asciiTheme="minorEastAsia" w:hAnsiTheme="minorEastAsia" w:eastAsiaTheme="minorEastAsia" w:cstheme="minorEastAsia"/>
                      <w:b w:val="0"/>
                      <w:color w:val="auto"/>
                      <w:sz w:val="21"/>
                      <w:szCs w:val="21"/>
                      <w:highlight w:val="none"/>
                      <w:lang w:val="en-US" w:eastAsia="zh-CN"/>
                    </w:rPr>
                    <w:t>，位于</w:t>
                  </w:r>
                  <w:r>
                    <w:rPr>
                      <w:rFonts w:hint="eastAsia" w:asciiTheme="minorEastAsia" w:hAnsiTheme="minorEastAsia" w:eastAsiaTheme="minorEastAsia" w:cstheme="minorEastAsia"/>
                      <w:b w:val="0"/>
                      <w:color w:val="auto"/>
                      <w:spacing w:val="-1"/>
                      <w:kern w:val="2"/>
                      <w:sz w:val="21"/>
                      <w:szCs w:val="21"/>
                      <w:highlight w:val="none"/>
                      <w:lang w:val="en-US" w:eastAsia="zh-CN" w:bidi="ar-SA"/>
                    </w:rPr>
                    <w:t>宝鸡市凤翔高新区长青工业园</w:t>
                  </w:r>
                  <w:r>
                    <w:rPr>
                      <w:rFonts w:hint="eastAsia" w:asciiTheme="minorEastAsia" w:hAnsiTheme="minorEastAsia" w:eastAsiaTheme="minorEastAsia" w:cstheme="minorEastAsia"/>
                      <w:b w:val="0"/>
                      <w:color w:val="auto"/>
                      <w:sz w:val="21"/>
                      <w:szCs w:val="21"/>
                      <w:highlight w:val="none"/>
                      <w:lang w:val="en-US" w:eastAsia="zh-CN"/>
                    </w:rPr>
                    <w:t>循环经济产业园区，符合规划修编内容。</w:t>
                  </w:r>
                </w:p>
              </w:tc>
              <w:tc>
                <w:tcPr>
                  <w:tcW w:w="722" w:type="dxa"/>
                  <w:tcBorders>
                    <w:tl2br w:val="nil"/>
                    <w:tr2bl w:val="nil"/>
                  </w:tcBorders>
                  <w:noWrap w:val="0"/>
                  <w:vAlign w:val="center"/>
                </w:tcPr>
                <w:p w14:paraId="53EA212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64643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61" w:hRule="atLeast"/>
                <w:jc w:val="center"/>
              </w:trPr>
              <w:tc>
                <w:tcPr>
                  <w:tcW w:w="813" w:type="dxa"/>
                  <w:vMerge w:val="restart"/>
                  <w:tcBorders>
                    <w:tl2br w:val="nil"/>
                    <w:tr2bl w:val="nil"/>
                  </w:tcBorders>
                  <w:noWrap w:val="0"/>
                  <w:vAlign w:val="center"/>
                </w:tcPr>
                <w:p w14:paraId="3F736CA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《凤翔高新技术产业开发区总体规划（2019-2035）（修编）环境影响报告书》</w:t>
                  </w:r>
                </w:p>
              </w:tc>
              <w:tc>
                <w:tcPr>
                  <w:tcW w:w="4275" w:type="dxa"/>
                  <w:tcBorders>
                    <w:tl2br w:val="nil"/>
                    <w:tr2bl w:val="nil"/>
                  </w:tcBorders>
                  <w:noWrap w:val="0"/>
                  <w:vAlign w:val="center"/>
                </w:tcPr>
                <w:p w14:paraId="2D3F80D7">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1、入区项目所属行业必须符合园区产业发展规划，选址须符合凤翔高新区规划及规划环评要求，布置于相应的产业区块内，严禁不符合产业区块分工的项目进入</w:t>
                  </w:r>
                  <w:r>
                    <w:rPr>
                      <w:rFonts w:hint="eastAsia" w:asciiTheme="minorEastAsia" w:hAnsiTheme="minorEastAsia" w:eastAsiaTheme="minorEastAsia" w:cstheme="minorEastAsia"/>
                      <w:color w:val="auto"/>
                      <w:sz w:val="21"/>
                      <w:szCs w:val="21"/>
                      <w:highlight w:val="none"/>
                      <w:lang w:eastAsia="zh-CN"/>
                    </w:rPr>
                    <w:t>园</w:t>
                  </w:r>
                  <w:r>
                    <w:rPr>
                      <w:rFonts w:hint="eastAsia" w:asciiTheme="minorEastAsia" w:hAnsiTheme="minorEastAsia" w:eastAsiaTheme="minorEastAsia" w:cstheme="minorEastAsia"/>
                      <w:color w:val="auto"/>
                      <w:sz w:val="21"/>
                      <w:szCs w:val="21"/>
                      <w:highlight w:val="none"/>
                    </w:rPr>
                    <w:t>区。规划的非工业用地范围内严禁工业项目进入。</w:t>
                  </w:r>
                </w:p>
                <w:p w14:paraId="6AB8D210">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2、防护距离范围内不得存在居住、教育、医疗等功能用地；现状有居住区等敏感保护目标的，必须在搬迁完成之后投产。</w:t>
                  </w:r>
                </w:p>
                <w:p w14:paraId="45279CA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3、规划长青工业园水域面积11.50 hm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、集中连片的大型防护绿地面积为307.17hm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、发展</w:t>
                  </w:r>
                  <w:r>
                    <w:rPr>
                      <w:rFonts w:hint="eastAsia" w:asciiTheme="minorEastAsia" w:hAnsiTheme="minorEastAsia" w:eastAsiaTheme="minorEastAsia" w:cstheme="minorEastAsia"/>
                      <w:color w:val="auto"/>
                      <w:sz w:val="21"/>
                      <w:szCs w:val="21"/>
                      <w:highlight w:val="none"/>
                      <w:lang w:eastAsia="zh-CN"/>
                    </w:rPr>
                    <w:t>用</w:t>
                  </w:r>
                  <w:r>
                    <w:rPr>
                      <w:rFonts w:hint="eastAsia" w:asciiTheme="minorEastAsia" w:hAnsiTheme="minorEastAsia" w:eastAsiaTheme="minorEastAsia" w:cstheme="minorEastAsia"/>
                      <w:color w:val="auto"/>
                      <w:sz w:val="21"/>
                      <w:szCs w:val="21"/>
                      <w:highlight w:val="none"/>
                    </w:rPr>
                    <w:t>地面积为117.18 hm</w:t>
                  </w:r>
                  <w:r>
                    <w:rPr>
                      <w:rFonts w:hint="eastAsia" w:asciiTheme="minorEastAsia" w:hAnsiTheme="minorEastAsia" w:eastAsiaTheme="minorEastAsia" w:cstheme="minorEastAsia"/>
                      <w:color w:val="auto"/>
                      <w:sz w:val="21"/>
                      <w:szCs w:val="21"/>
                      <w:highlight w:val="none"/>
                      <w:vertAlign w:val="superscript"/>
                    </w:rPr>
                    <w:t>2</w:t>
                  </w:r>
                  <w:r>
                    <w:rPr>
                      <w:rFonts w:hint="eastAsia" w:asciiTheme="minorEastAsia" w:hAnsiTheme="minorEastAsia" w:eastAsiaTheme="minorEastAsia" w:cstheme="minorEastAsia"/>
                      <w:color w:val="auto"/>
                      <w:sz w:val="21"/>
                      <w:szCs w:val="21"/>
                      <w:highlight w:val="none"/>
                    </w:rPr>
                    <w:t>，以上区域禁止开发建设。</w:t>
                  </w:r>
                </w:p>
              </w:tc>
              <w:tc>
                <w:tcPr>
                  <w:tcW w:w="1948" w:type="dxa"/>
                  <w:tcBorders>
                    <w:tl2br w:val="nil"/>
                    <w:tr2bl w:val="nil"/>
                  </w:tcBorders>
                  <w:noWrap w:val="0"/>
                  <w:vAlign w:val="center"/>
                </w:tcPr>
                <w:p w14:paraId="235BB85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w:t>
                  </w:r>
                  <w:r>
                    <w:rPr>
                      <w:rFonts w:hint="eastAsia" w:asciiTheme="minorEastAsia" w:hAnsiTheme="minorEastAsia" w:eastAsiaTheme="minorEastAsia" w:cstheme="minorEastAsia"/>
                      <w:b w:val="0"/>
                      <w:color w:val="auto"/>
                      <w:sz w:val="21"/>
                      <w:szCs w:val="21"/>
                      <w:highlight w:val="none"/>
                      <w:lang w:val="en-US" w:eastAsia="zh-CN"/>
                    </w:rPr>
                    <w:t>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b w:val="0"/>
                      <w:color w:val="auto"/>
                      <w:sz w:val="21"/>
                      <w:szCs w:val="21"/>
                      <w:highlight w:val="none"/>
                      <w:lang w:val="en-US" w:eastAsia="zh-CN"/>
                    </w:rPr>
                    <w:t>，位于</w:t>
                  </w:r>
                  <w:r>
                    <w:rPr>
                      <w:rFonts w:hint="eastAsia" w:asciiTheme="minorEastAsia" w:hAnsiTheme="minorEastAsia" w:eastAsiaTheme="minorEastAsia" w:cstheme="minorEastAsia"/>
                      <w:b w:val="0"/>
                      <w:color w:val="auto"/>
                      <w:spacing w:val="-1"/>
                      <w:kern w:val="2"/>
                      <w:sz w:val="21"/>
                      <w:szCs w:val="21"/>
                      <w:highlight w:val="none"/>
                      <w:lang w:val="en-US" w:eastAsia="zh-CN" w:bidi="ar-SA"/>
                    </w:rPr>
                    <w:t>宝鸡市凤翔高新区长青工业园</w:t>
                  </w:r>
                  <w:r>
                    <w:rPr>
                      <w:rFonts w:hint="eastAsia" w:asciiTheme="minorEastAsia" w:hAnsiTheme="minorEastAsia" w:eastAsiaTheme="minorEastAsia" w:cstheme="minorEastAsia"/>
                      <w:b w:val="0"/>
                      <w:color w:val="auto"/>
                      <w:sz w:val="21"/>
                      <w:szCs w:val="21"/>
                      <w:highlight w:val="none"/>
                      <w:lang w:val="en-US" w:eastAsia="zh-CN"/>
                    </w:rPr>
                    <w:t>循环经济产业园区；本项目为改扩建项目，在原有厂区内建设，不新增占地；本项目不在长青工业园禁止开发区域建设</w:t>
                  </w:r>
                  <w:r>
                    <w:rPr>
                      <w:rFonts w:hint="eastAsia" w:asciiTheme="minorEastAsia" w:hAnsiTheme="minorEastAsia" w:eastAsiaTheme="minorEastAsia" w:cstheme="minorEastAsia"/>
                      <w:b w:val="0"/>
                      <w:color w:val="auto"/>
                      <w:sz w:val="21"/>
                      <w:szCs w:val="21"/>
                      <w:highlight w:val="none"/>
                      <w:lang w:val="en-US" w:eastAsia="zh-CN"/>
                    </w:rPr>
                    <w:t>。</w:t>
                  </w:r>
                </w:p>
              </w:tc>
              <w:tc>
                <w:tcPr>
                  <w:tcW w:w="722" w:type="dxa"/>
                  <w:tcBorders>
                    <w:tl2br w:val="nil"/>
                    <w:tr2bl w:val="nil"/>
                  </w:tcBorders>
                  <w:noWrap w:val="0"/>
                  <w:vAlign w:val="center"/>
                </w:tcPr>
                <w:p w14:paraId="01828C4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2EECEA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61" w:hRule="atLeast"/>
                <w:jc w:val="center"/>
              </w:trPr>
              <w:tc>
                <w:tcPr>
                  <w:tcW w:w="813" w:type="dxa"/>
                  <w:vMerge w:val="continue"/>
                  <w:tcBorders>
                    <w:tl2br w:val="nil"/>
                    <w:tr2bl w:val="nil"/>
                  </w:tcBorders>
                  <w:noWrap w:val="0"/>
                  <w:vAlign w:val="center"/>
                </w:tcPr>
                <w:p w14:paraId="7518F27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39ECB828">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1、入区项目的工艺技术、建设规模应符合国家产业政策要求，鼓励采用能源转换率高、污染物排放强度低的工艺技术。项目生产工艺、污染治理水平、资源能源利用效率等应达到相应清洁生产一级水平。</w:t>
                  </w:r>
                </w:p>
                <w:p w14:paraId="68006F91">
                  <w:pPr>
                    <w:pStyle w:val="201"/>
                    <w:spacing w:line="24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2、入区项目应强化节水措施，减少新鲜水用量，优先使用中水。</w:t>
                  </w:r>
                </w:p>
                <w:p w14:paraId="32EAC94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3、按照“减量化、资源化、无害化”原则对固体废物优先进行处理处置。危险废物交有资质单位处置。</w:t>
                  </w:r>
                </w:p>
              </w:tc>
              <w:tc>
                <w:tcPr>
                  <w:tcW w:w="1948" w:type="dxa"/>
                  <w:tcBorders>
                    <w:tl2br w:val="nil"/>
                    <w:tr2bl w:val="nil"/>
                  </w:tcBorders>
                  <w:noWrap w:val="0"/>
                  <w:vAlign w:val="center"/>
                </w:tcPr>
                <w:p w14:paraId="2CA1505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本项目产生的有机废气采用“二级活性炭吸附”，含酸废气采用“喷淋塔+干式过滤+二级活性炭吸附”，属于排污许可推荐的工艺技术；本项目按照</w:t>
                  </w:r>
                  <w:r>
                    <w:rPr>
                      <w:rFonts w:hint="eastAsia" w:asciiTheme="minorEastAsia" w:hAnsiTheme="minorEastAsia" w:eastAsiaTheme="minorEastAsia" w:cstheme="minorEastAsia"/>
                      <w:color w:val="auto"/>
                      <w:sz w:val="21"/>
                      <w:szCs w:val="21"/>
                      <w:highlight w:val="none"/>
                    </w:rPr>
                    <w:t>“减量化、资源化、无害化”原则对固体废物进行处理处置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危险废物交有资质单位处置。</w:t>
                  </w:r>
                </w:p>
              </w:tc>
              <w:tc>
                <w:tcPr>
                  <w:tcW w:w="722" w:type="dxa"/>
                  <w:tcBorders>
                    <w:tl2br w:val="nil"/>
                    <w:tr2bl w:val="nil"/>
                  </w:tcBorders>
                  <w:noWrap w:val="0"/>
                  <w:vAlign w:val="center"/>
                </w:tcPr>
                <w:p w14:paraId="0AD4D35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35DB9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13" w:type="dxa"/>
                  <w:vMerge w:val="continue"/>
                  <w:tcBorders>
                    <w:tl2br w:val="nil"/>
                    <w:tr2bl w:val="nil"/>
                  </w:tcBorders>
                  <w:noWrap w:val="0"/>
                  <w:vAlign w:val="center"/>
                </w:tcPr>
                <w:p w14:paraId="0430B2F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46441A52">
                  <w:pPr>
                    <w:pStyle w:val="201"/>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强化环境风险防范措施。园区内各企业应根据相关标准设置事故水池，对事故废水进行有效收集和妥善处理，禁止直接外排。构建与当地政府和相关部门以及周边企业、园区相衔接的区域环境风险联防联控机制。</w:t>
                  </w:r>
                </w:p>
                <w:p w14:paraId="18CDF23D">
                  <w:pPr>
                    <w:pStyle w:val="201"/>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2、企业合理确定污染防治分区，厂区开展分区防渗，并制定有效的地下水监控和应急措施。</w:t>
                  </w:r>
                </w:p>
                <w:p w14:paraId="1367A0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3、入区项目应采取措施有效控制有毒有害污染物的逸散与排放，非正常排放的废气应送专有设备等设施处理，严禁直接排放。</w:t>
                  </w:r>
                </w:p>
              </w:tc>
              <w:tc>
                <w:tcPr>
                  <w:tcW w:w="1948" w:type="dxa"/>
                  <w:tcBorders>
                    <w:tl2br w:val="nil"/>
                    <w:tr2bl w:val="nil"/>
                  </w:tcBorders>
                  <w:noWrap w:val="0"/>
                  <w:vAlign w:val="center"/>
                </w:tcPr>
                <w:p w14:paraId="0AD12DC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现有厂区设有1座892m</w:t>
                  </w:r>
                  <w:r>
                    <w:rPr>
                      <w:rFonts w:hint="eastAsia" w:asciiTheme="minorEastAsia" w:hAnsiTheme="minorEastAsia" w:eastAsiaTheme="minorEastAsia" w:cstheme="minorEastAsia"/>
                      <w:b w:val="0"/>
                      <w:color w:val="auto"/>
                      <w:sz w:val="21"/>
                      <w:szCs w:val="21"/>
                      <w:highlight w:val="none"/>
                      <w:vertAlign w:val="superscript"/>
                      <w:lang w:val="en-US" w:eastAsia="zh-CN"/>
                    </w:rPr>
                    <w:t>3</w:t>
                  </w:r>
                  <w:r>
                    <w:rPr>
                      <w:rFonts w:hint="eastAsia" w:asciiTheme="minorEastAsia" w:hAnsiTheme="minorEastAsia" w:eastAsiaTheme="minorEastAsia" w:cstheme="minorEastAsia"/>
                      <w:b w:val="0"/>
                      <w:color w:val="auto"/>
                      <w:sz w:val="21"/>
                      <w:szCs w:val="21"/>
                      <w:highlight w:val="none"/>
                      <w:lang w:val="en-US" w:eastAsia="zh-CN"/>
                    </w:rPr>
                    <w:t>的事故池，事故废水不外排。评价要求项目构建</w:t>
                  </w:r>
                  <w:r>
                    <w:rPr>
                      <w:rFonts w:hint="eastAsia" w:asciiTheme="minorEastAsia" w:hAnsiTheme="minorEastAsia" w:eastAsiaTheme="minorEastAsia" w:cstheme="minorEastAsia"/>
                      <w:color w:val="auto"/>
                      <w:sz w:val="21"/>
                      <w:szCs w:val="21"/>
                      <w:highlight w:val="none"/>
                    </w:rPr>
                    <w:t>区域环境风险联防联控机制</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项目厂区采取分区防渗措施，现有项目厂区及下游已设置地下水监控井；评价要求本项目</w:t>
                  </w:r>
                  <w:r>
                    <w:rPr>
                      <w:rFonts w:hint="eastAsia" w:asciiTheme="minorEastAsia" w:hAnsiTheme="minorEastAsia" w:eastAsiaTheme="minorEastAsia" w:cstheme="minorEastAsia"/>
                      <w:color w:val="auto"/>
                      <w:sz w:val="21"/>
                      <w:szCs w:val="21"/>
                      <w:highlight w:val="none"/>
                      <w:lang w:eastAsia="zh-CN"/>
                    </w:rPr>
                    <w:t>加强管理专人负责，定期巡查，</w:t>
                  </w:r>
                  <w:r>
                    <w:rPr>
                      <w:rFonts w:hint="eastAsia" w:asciiTheme="minorEastAsia" w:hAnsiTheme="minorEastAsia" w:eastAsiaTheme="minorEastAsia" w:cstheme="minorEastAsia"/>
                      <w:color w:val="auto"/>
                      <w:sz w:val="21"/>
                      <w:szCs w:val="21"/>
                      <w:highlight w:val="none"/>
                      <w:lang w:val="en-US" w:eastAsia="zh-CN"/>
                    </w:rPr>
                    <w:t>发现废气治理设施异常后及时停止运行，避免废气直接排放。</w:t>
                  </w:r>
                </w:p>
              </w:tc>
              <w:tc>
                <w:tcPr>
                  <w:tcW w:w="722" w:type="dxa"/>
                  <w:tcBorders>
                    <w:tl2br w:val="nil"/>
                    <w:tr2bl w:val="nil"/>
                  </w:tcBorders>
                  <w:noWrap w:val="0"/>
                  <w:vAlign w:val="center"/>
                </w:tcPr>
                <w:p w14:paraId="024274E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1AC8AE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4" w:hRule="atLeast"/>
                <w:jc w:val="center"/>
              </w:trPr>
              <w:tc>
                <w:tcPr>
                  <w:tcW w:w="813" w:type="dxa"/>
                  <w:vMerge w:val="restart"/>
                  <w:tcBorders>
                    <w:tl2br w:val="nil"/>
                    <w:tr2bl w:val="nil"/>
                  </w:tcBorders>
                  <w:noWrap w:val="0"/>
                  <w:vAlign w:val="center"/>
                </w:tcPr>
                <w:p w14:paraId="67283E1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《关于凤翔高新技术产业开发区总体规划（2019-2035）（修编）环境影响报告书的审查意见》（陕环环评函〔2020〕54号）</w:t>
                  </w:r>
                </w:p>
              </w:tc>
              <w:tc>
                <w:tcPr>
                  <w:tcW w:w="4275" w:type="dxa"/>
                  <w:tcBorders>
                    <w:tl2br w:val="nil"/>
                    <w:tr2bl w:val="nil"/>
                  </w:tcBorders>
                  <w:noWrap w:val="0"/>
                  <w:vAlign w:val="center"/>
                </w:tcPr>
                <w:p w14:paraId="6B35A87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一）优化产业布局，细化准入要求。严格落实《国务院关于促进国家高新技术产业开发区高质量发展的若干意见》（国发〔2020〕7号）的相关要求，牢牢把握“高”和“新”，优化产业定位，合理布局，按照“减量化、再利用、资源化”的原则，发展循环经济，落实“治污降霾”行动方案相关要求，结合区域发展定位、开发布局以及生态环境保护目标，制定高新区鼓励发展的、禁止或限制的产业准入清单，并落实《报告书》提出的环境准入和保护要求。高新区现有煤化工、铅锌冶炼项目禁止新增产能，同时禁止引入燃煤发电、燃煤热电联产、燃煤集中供热、石油化工、煤化工、焦化、铅锌冶炼等项目，禁止新建、扩建使用高VOCs含量物料的印刷项目；入园企业应符合国家及地方相关政策要求；严禁对已划定的禁止开发区进行开发。</w:t>
                  </w:r>
                </w:p>
              </w:tc>
              <w:tc>
                <w:tcPr>
                  <w:tcW w:w="1948" w:type="dxa"/>
                  <w:tcBorders>
                    <w:tl2br w:val="nil"/>
                    <w:tr2bl w:val="nil"/>
                  </w:tcBorders>
                  <w:noWrap w:val="0"/>
                  <w:vAlign w:val="center"/>
                </w:tcPr>
                <w:p w14:paraId="7FCFAA0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 xml:space="preserve"> 危险废物贮存、中转项目</w:t>
                  </w:r>
                  <w:r>
                    <w:rPr>
                      <w:rFonts w:hint="eastAsia" w:asciiTheme="minorEastAsia" w:hAnsiTheme="minorEastAsia" w:eastAsiaTheme="minorEastAsia" w:cstheme="minorEastAsia"/>
                      <w:b w:val="0"/>
                      <w:color w:val="auto"/>
                      <w:sz w:val="21"/>
                      <w:szCs w:val="21"/>
                      <w:highlight w:val="none"/>
                      <w:lang w:val="en-US" w:eastAsia="zh-CN"/>
                    </w:rPr>
                    <w:t>，满足减量化、再利用、资源化要求。本项目不属于以上行业范畴，不属于使用高VOCs含量物料的印刷项目。</w:t>
                  </w:r>
                </w:p>
              </w:tc>
              <w:tc>
                <w:tcPr>
                  <w:tcW w:w="722" w:type="dxa"/>
                  <w:vMerge w:val="restart"/>
                  <w:tcBorders>
                    <w:tl2br w:val="nil"/>
                    <w:tr2bl w:val="nil"/>
                  </w:tcBorders>
                  <w:noWrap w:val="0"/>
                  <w:vAlign w:val="center"/>
                </w:tcPr>
                <w:p w14:paraId="2F98E3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符合</w:t>
                  </w:r>
                </w:p>
              </w:tc>
            </w:tr>
            <w:tr w14:paraId="7E4C46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813" w:type="dxa"/>
                  <w:vMerge w:val="continue"/>
                  <w:tcBorders>
                    <w:tl2br w:val="nil"/>
                    <w:tr2bl w:val="nil"/>
                  </w:tcBorders>
                  <w:noWrap w:val="0"/>
                  <w:vAlign w:val="center"/>
                </w:tcPr>
                <w:p w14:paraId="6411442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highlight w:val="none"/>
                    </w:rPr>
                  </w:pPr>
                </w:p>
              </w:tc>
              <w:tc>
                <w:tcPr>
                  <w:tcW w:w="4275" w:type="dxa"/>
                  <w:tcBorders>
                    <w:tl2br w:val="nil"/>
                    <w:tr2bl w:val="nil"/>
                  </w:tcBorders>
                  <w:noWrap w:val="0"/>
                  <w:vAlign w:val="center"/>
                </w:tcPr>
                <w:p w14:paraId="6747288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二）落实生态空间管控要求，强化减排措施。结合目前高新区发展煤化工、白酒酿造、电力能源等产业带来的区域环境问题，以及现状环境空气、地表水超标问题，按照汾渭平原大气污染防治重点区域的相关要求，优化产业结构，提高治理和管理水平，夯实减排责任，细化减排措施，确保区域环境指标达标。</w:t>
                  </w:r>
                </w:p>
              </w:tc>
              <w:tc>
                <w:tcPr>
                  <w:tcW w:w="1948" w:type="dxa"/>
                  <w:tcBorders>
                    <w:tl2br w:val="nil"/>
                    <w:tr2bl w:val="nil"/>
                  </w:tcBorders>
                  <w:noWrap w:val="0"/>
                  <w:vAlign w:val="center"/>
                </w:tcPr>
                <w:p w14:paraId="336AB6E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本项目不属于以上行业范畴，产生的污染物均达标排放。</w:t>
                  </w:r>
                </w:p>
              </w:tc>
              <w:tc>
                <w:tcPr>
                  <w:tcW w:w="722" w:type="dxa"/>
                  <w:vMerge w:val="continue"/>
                  <w:tcBorders>
                    <w:tl2br w:val="nil"/>
                    <w:tr2bl w:val="nil"/>
                  </w:tcBorders>
                  <w:noWrap w:val="0"/>
                  <w:vAlign w:val="center"/>
                </w:tcPr>
                <w:p w14:paraId="205BF94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5287F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39" w:hRule="atLeast"/>
                <w:jc w:val="center"/>
              </w:trPr>
              <w:tc>
                <w:tcPr>
                  <w:tcW w:w="813" w:type="dxa"/>
                  <w:vMerge w:val="continue"/>
                  <w:tcBorders>
                    <w:tl2br w:val="nil"/>
                    <w:tr2bl w:val="nil"/>
                  </w:tcBorders>
                  <w:noWrap w:val="0"/>
                  <w:vAlign w:val="center"/>
                </w:tcPr>
                <w:p w14:paraId="37C1B40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69D87BD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三）坚持以改善环境质量为核心，优先环境基础设施建设，落实现有生活污水收集管网建设，强化高新区内企业废水预处理，加快中水处理设施和回用管网等建设，对依托污水处理厂实施提标改造，提高处理效率和回用效率，减缓因发展而带来的水环境压力。</w:t>
                  </w:r>
                </w:p>
              </w:tc>
              <w:tc>
                <w:tcPr>
                  <w:tcW w:w="1948" w:type="dxa"/>
                  <w:tcBorders>
                    <w:tl2br w:val="nil"/>
                    <w:tr2bl w:val="nil"/>
                  </w:tcBorders>
                  <w:noWrap w:val="0"/>
                  <w:vAlign w:val="center"/>
                </w:tcPr>
                <w:p w14:paraId="7BBAE89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本次扩建项目不新增劳动人员不新增生活污水，且项目运行中仅碱液喷淋塔环保治理设备涉及用水，产生废水作为危险废物处置，不涉及排水。</w:t>
                  </w:r>
                </w:p>
              </w:tc>
              <w:tc>
                <w:tcPr>
                  <w:tcW w:w="722" w:type="dxa"/>
                  <w:vMerge w:val="continue"/>
                  <w:tcBorders>
                    <w:tl2br w:val="nil"/>
                    <w:tr2bl w:val="nil"/>
                  </w:tcBorders>
                  <w:noWrap w:val="0"/>
                  <w:vAlign w:val="center"/>
                </w:tcPr>
                <w:p w14:paraId="3BA0F78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177BB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43" w:hRule="atLeast"/>
                <w:jc w:val="center"/>
              </w:trPr>
              <w:tc>
                <w:tcPr>
                  <w:tcW w:w="813" w:type="dxa"/>
                  <w:vMerge w:val="continue"/>
                  <w:tcBorders>
                    <w:tl2br w:val="nil"/>
                    <w:tr2bl w:val="nil"/>
                  </w:tcBorders>
                  <w:noWrap w:val="0"/>
                  <w:vAlign w:val="center"/>
                </w:tcPr>
                <w:p w14:paraId="6A170CB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369288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四）加强环境影响跟踪监测，适时对《总体规划》进行调整。根据高新区功能分区、产业布局、重点企业分布、特征污染物的排放种类和工况、环境敏感目标分布等情况，统筹建设高新区环境监测监控网络，大气、水、土壤等环境质量和污染源在线监测结果应与当地生态环境部门联网，根据监测结果并结合环境影响、区域污染物削减措施实施的进度和效果等适时优化、调整。</w:t>
                  </w:r>
                </w:p>
              </w:tc>
              <w:tc>
                <w:tcPr>
                  <w:tcW w:w="1948" w:type="dxa"/>
                  <w:tcBorders>
                    <w:tl2br w:val="nil"/>
                    <w:tr2bl w:val="nil"/>
                  </w:tcBorders>
                  <w:noWrap w:val="0"/>
                  <w:vAlign w:val="center"/>
                </w:tcPr>
                <w:p w14:paraId="6533A69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本次评价要求企业进行环境影响跟踪监测。</w:t>
                  </w:r>
                </w:p>
              </w:tc>
              <w:tc>
                <w:tcPr>
                  <w:tcW w:w="722" w:type="dxa"/>
                  <w:vMerge w:val="continue"/>
                  <w:tcBorders>
                    <w:tl2br w:val="nil"/>
                    <w:tr2bl w:val="nil"/>
                  </w:tcBorders>
                  <w:noWrap w:val="0"/>
                  <w:vAlign w:val="center"/>
                </w:tcPr>
                <w:p w14:paraId="3FA0DFB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7678D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34" w:hRule="atLeast"/>
                <w:jc w:val="center"/>
              </w:trPr>
              <w:tc>
                <w:tcPr>
                  <w:tcW w:w="813" w:type="dxa"/>
                  <w:vMerge w:val="continue"/>
                  <w:tcBorders>
                    <w:tl2br w:val="nil"/>
                    <w:tr2bl w:val="nil"/>
                  </w:tcBorders>
                  <w:noWrap w:val="0"/>
                  <w:vAlign w:val="center"/>
                </w:tcPr>
                <w:p w14:paraId="6D6EE97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6C8424F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五）建立健全区域风险防范、生态安全保障和人群健康体系，加强区内重要风险源的管控，组织制定生态环境保护规划，统筹考虑区内污染物排放、生态恢复与建设、环境风险防范、人群健康、环境管理等事宜。加强高新区内企业危险化学品等储运的环境风险管理，强化应急响应联动机制。</w:t>
                  </w:r>
                </w:p>
              </w:tc>
              <w:tc>
                <w:tcPr>
                  <w:tcW w:w="1948" w:type="dxa"/>
                  <w:tcBorders>
                    <w:tl2br w:val="nil"/>
                    <w:tr2bl w:val="nil"/>
                  </w:tcBorders>
                  <w:noWrap w:val="0"/>
                  <w:vAlign w:val="center"/>
                </w:tcPr>
                <w:p w14:paraId="7808CE9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w:t>
                  </w:r>
                  <w:r>
                    <w:rPr>
                      <w:rFonts w:hint="eastAsia" w:asciiTheme="minorEastAsia" w:hAnsiTheme="minorEastAsia" w:eastAsiaTheme="minorEastAsia" w:cstheme="minorEastAsia"/>
                      <w:b w:val="0"/>
                      <w:color w:val="auto"/>
                      <w:sz w:val="21"/>
                      <w:szCs w:val="21"/>
                      <w:highlight w:val="none"/>
                      <w:lang w:val="en-US" w:eastAsia="zh-CN"/>
                    </w:rPr>
                    <w:t>，厂区现有工程已按要求制定突发环境事故应急预案并备案，评价要求本项目建成后及时修订应急预案。厂区设有应急事故池，生产废水不外排。</w:t>
                  </w:r>
                </w:p>
              </w:tc>
              <w:tc>
                <w:tcPr>
                  <w:tcW w:w="722" w:type="dxa"/>
                  <w:vMerge w:val="continue"/>
                  <w:tcBorders>
                    <w:tl2br w:val="nil"/>
                    <w:tr2bl w:val="nil"/>
                  </w:tcBorders>
                  <w:noWrap w:val="0"/>
                  <w:vAlign w:val="center"/>
                </w:tcPr>
                <w:p w14:paraId="480326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r w14:paraId="78E1D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13" w:type="dxa"/>
                  <w:vMerge w:val="continue"/>
                  <w:tcBorders>
                    <w:tl2br w:val="nil"/>
                    <w:tr2bl w:val="nil"/>
                  </w:tcBorders>
                  <w:noWrap w:val="0"/>
                  <w:vAlign w:val="center"/>
                </w:tcPr>
                <w:p w14:paraId="17F546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c>
                <w:tcPr>
                  <w:tcW w:w="4275" w:type="dxa"/>
                  <w:tcBorders>
                    <w:tl2br w:val="nil"/>
                    <w:tr2bl w:val="nil"/>
                  </w:tcBorders>
                  <w:noWrap w:val="0"/>
                  <w:vAlign w:val="center"/>
                </w:tcPr>
                <w:p w14:paraId="0B507E6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（六）在《总体规划》实施过程中，按照相关规定适时开展环境影响跟踪评价，《总体规划》修编时应重新编制环境影响报告书。</w:t>
                  </w:r>
                </w:p>
              </w:tc>
              <w:tc>
                <w:tcPr>
                  <w:tcW w:w="1948" w:type="dxa"/>
                  <w:tcBorders>
                    <w:tl2br w:val="nil"/>
                    <w:tr2bl w:val="nil"/>
                  </w:tcBorders>
                  <w:noWrap w:val="0"/>
                  <w:vAlign w:val="center"/>
                </w:tcPr>
                <w:p w14:paraId="45AE07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r>
                    <w:rPr>
                      <w:rFonts w:hint="eastAsia" w:asciiTheme="minorEastAsia" w:hAnsiTheme="minorEastAsia" w:eastAsiaTheme="minorEastAsia" w:cstheme="minorEastAsia"/>
                      <w:b w:val="0"/>
                      <w:color w:val="auto"/>
                      <w:sz w:val="21"/>
                      <w:szCs w:val="21"/>
                      <w:highlight w:val="none"/>
                      <w:lang w:val="en-US" w:eastAsia="zh-CN"/>
                    </w:rPr>
                    <w:t>/</w:t>
                  </w:r>
                </w:p>
              </w:tc>
              <w:tc>
                <w:tcPr>
                  <w:tcW w:w="722" w:type="dxa"/>
                  <w:vMerge w:val="continue"/>
                  <w:tcBorders>
                    <w:tl2br w:val="nil"/>
                    <w:tr2bl w:val="nil"/>
                  </w:tcBorders>
                  <w:noWrap w:val="0"/>
                  <w:vAlign w:val="center"/>
                </w:tcPr>
                <w:p w14:paraId="688FDA1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color w:val="auto"/>
                      <w:sz w:val="21"/>
                      <w:szCs w:val="21"/>
                      <w:highlight w:val="none"/>
                      <w:lang w:val="en-US" w:eastAsia="zh-CN"/>
                    </w:rPr>
                  </w:pPr>
                </w:p>
              </w:tc>
            </w:tr>
          </w:tbl>
          <w:p w14:paraId="087E3E92">
            <w:pPr>
              <w:numPr>
                <w:ilvl w:val="0"/>
                <w:numId w:val="0"/>
              </w:numPr>
              <w:autoSpaceDE w:val="0"/>
              <w:autoSpaceDN w:val="0"/>
              <w:adjustRightInd w:val="0"/>
              <w:snapToGrid w:val="0"/>
              <w:spacing w:line="360" w:lineRule="auto"/>
              <w:jc w:val="both"/>
              <w:rPr>
                <w:rFonts w:eastAsiaTheme="minorEastAsia"/>
                <w:b/>
                <w:bCs/>
                <w:color w:val="auto"/>
                <w:sz w:val="24"/>
                <w:szCs w:val="22"/>
                <w:highlight w:val="none"/>
                <w:lang w:val="zh-CN"/>
              </w:rPr>
            </w:pPr>
          </w:p>
        </w:tc>
      </w:tr>
      <w:tr w14:paraId="68AB6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1" w:hRule="atLeast"/>
          <w:jc w:val="center"/>
        </w:trPr>
        <w:tc>
          <w:tcPr>
            <w:tcW w:w="759" w:type="dxa"/>
            <w:vAlign w:val="center"/>
          </w:tcPr>
          <w:p w14:paraId="129DDE45">
            <w:pPr>
              <w:autoSpaceDE w:val="0"/>
              <w:autoSpaceDN w:val="0"/>
              <w:adjustRightInd w:val="0"/>
              <w:snapToGrid w:val="0"/>
              <w:jc w:val="center"/>
              <w:rPr>
                <w:color w:val="auto"/>
                <w:kern w:val="0"/>
                <w:highlight w:val="none"/>
              </w:rPr>
            </w:pPr>
            <w:r>
              <w:rPr>
                <w:color w:val="auto"/>
                <w:kern w:val="0"/>
                <w:highlight w:val="none"/>
              </w:rPr>
              <w:t>其他符合性分析</w:t>
            </w:r>
          </w:p>
        </w:tc>
        <w:tc>
          <w:tcPr>
            <w:tcW w:w="8922" w:type="dxa"/>
            <w:gridSpan w:val="4"/>
            <w:vAlign w:val="center"/>
          </w:tcPr>
          <w:p w14:paraId="588AB0A1">
            <w:pPr>
              <w:spacing w:line="360" w:lineRule="auto"/>
              <w:ind w:firstLine="422" w:firstLineChars="200"/>
              <w:rPr>
                <w:rFonts w:hint="eastAsia"/>
                <w:b/>
                <w:bCs/>
                <w:color w:val="auto"/>
                <w:highlight w:val="none"/>
              </w:rPr>
            </w:pPr>
            <w:r>
              <w:rPr>
                <w:rFonts w:hint="eastAsia"/>
                <w:b/>
                <w:bCs/>
                <w:snapToGrid w:val="0"/>
                <w:color w:val="auto"/>
                <w:highlight w:val="none"/>
              </w:rPr>
              <w:t>1</w:t>
            </w:r>
            <w:r>
              <w:rPr>
                <w:rFonts w:hint="eastAsia"/>
                <w:b/>
                <w:bCs/>
                <w:snapToGrid w:val="0"/>
                <w:color w:val="auto"/>
                <w:highlight w:val="none"/>
                <w:lang w:val="en-US" w:eastAsia="zh-CN"/>
              </w:rPr>
              <w:t>.</w:t>
            </w:r>
            <w:r>
              <w:rPr>
                <w:rFonts w:hint="eastAsia"/>
                <w:b/>
                <w:bCs/>
                <w:color w:val="auto"/>
                <w:highlight w:val="none"/>
              </w:rPr>
              <w:t>建设项目所在地“三线一单”符合性分析</w:t>
            </w:r>
          </w:p>
          <w:p w14:paraId="799CE739">
            <w:pPr>
              <w:spacing w:line="360" w:lineRule="auto"/>
              <w:ind w:firstLine="480" w:firstLineChars="200"/>
              <w:rPr>
                <w:color w:val="auto"/>
                <w:sz w:val="24"/>
                <w:highlight w:val="none"/>
              </w:rPr>
            </w:pPr>
            <w:r>
              <w:rPr>
                <w:color w:val="auto"/>
                <w:sz w:val="24"/>
                <w:highlight w:val="none"/>
              </w:rPr>
              <w:t>根据生态环境部《关于以改善环境质量为核心加强环境影响评价管理的通知》（环环评〔2016〕150号）要求，切实加强环境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12F82FE4">
            <w:pPr>
              <w:spacing w:line="360" w:lineRule="auto"/>
              <w:ind w:firstLine="480"/>
              <w:rPr>
                <w:color w:val="auto"/>
                <w:sz w:val="24"/>
                <w:highlight w:val="none"/>
              </w:rPr>
            </w:pPr>
            <w:r>
              <w:rPr>
                <w:color w:val="auto"/>
                <w:sz w:val="24"/>
                <w:highlight w:val="none"/>
              </w:rPr>
              <w:t>陕西省生态环境厅文件陕环办发〔2022〕76号文件，《陕西省“三线一单”生态环境分区管理应用技术指南》</w:t>
            </w:r>
            <w:r>
              <w:rPr>
                <w:rFonts w:hint="eastAsia"/>
                <w:color w:val="auto"/>
                <w:sz w:val="24"/>
                <w:highlight w:val="none"/>
              </w:rPr>
              <w:t>：</w:t>
            </w:r>
            <w:r>
              <w:rPr>
                <w:color w:val="auto"/>
                <w:sz w:val="24"/>
                <w:highlight w:val="none"/>
              </w:rPr>
              <w:t>环境影响评价（试行）通知，进行建设项目与“三线一单”生态环境分区管控符合性分析，采用一图、一表、一说明的形式表达。</w:t>
            </w:r>
          </w:p>
          <w:p w14:paraId="5F20FC84">
            <w:pPr>
              <w:spacing w:line="360" w:lineRule="auto"/>
              <w:ind w:firstLine="480"/>
              <w:jc w:val="left"/>
              <w:rPr>
                <w:color w:val="auto"/>
                <w:sz w:val="24"/>
                <w:highlight w:val="none"/>
              </w:rPr>
            </w:pPr>
            <w:r>
              <w:rPr>
                <w:color w:val="auto"/>
                <w:sz w:val="24"/>
                <w:highlight w:val="none"/>
              </w:rPr>
              <w:t>本项目通过陕西省“三线一单”数据应用分析平台（V1.0）冲突分析可知其建设范围全部位于生态环境管控的</w:t>
            </w:r>
            <w:r>
              <w:rPr>
                <w:rFonts w:hint="eastAsia"/>
                <w:color w:val="auto"/>
                <w:sz w:val="24"/>
                <w:highlight w:val="none"/>
                <w:lang w:eastAsia="zh-CN"/>
              </w:rPr>
              <w:t>重点管控单元</w:t>
            </w:r>
            <w:r>
              <w:rPr>
                <w:color w:val="auto"/>
                <w:sz w:val="24"/>
                <w:highlight w:val="none"/>
              </w:rPr>
              <w:t>。</w:t>
            </w:r>
          </w:p>
          <w:p w14:paraId="0E65ACA9">
            <w:pPr>
              <w:ind w:firstLine="480"/>
              <w:jc w:val="center"/>
              <w:rPr>
                <w:b/>
                <w:bCs/>
                <w:color w:val="auto"/>
                <w:highlight w:val="none"/>
              </w:rPr>
            </w:pPr>
            <w:r>
              <w:rPr>
                <w:b/>
                <w:bCs/>
                <w:color w:val="auto"/>
                <w:highlight w:val="none"/>
                <w:lang w:val="zh-CN"/>
              </w:rPr>
              <w:t>表</w:t>
            </w:r>
            <w:r>
              <w:rPr>
                <w:b/>
                <w:bCs/>
                <w:color w:val="auto"/>
                <w:highlight w:val="none"/>
              </w:rPr>
              <w:t>1-</w:t>
            </w:r>
            <w:r>
              <w:rPr>
                <w:rFonts w:hint="eastAsia"/>
                <w:b/>
                <w:bCs/>
                <w:color w:val="auto"/>
                <w:highlight w:val="none"/>
              </w:rPr>
              <w:t>1</w:t>
            </w:r>
            <w:r>
              <w:rPr>
                <w:b/>
                <w:bCs/>
                <w:color w:val="auto"/>
                <w:highlight w:val="none"/>
              </w:rPr>
              <w:t xml:space="preserve">  </w:t>
            </w:r>
            <w:r>
              <w:rPr>
                <w:b/>
                <w:bCs/>
                <w:color w:val="auto"/>
                <w:highlight w:val="none"/>
                <w:lang w:val="zh-CN"/>
              </w:rPr>
              <w:t>环境管控单元涉及情况一览表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3275"/>
              <w:gridCol w:w="2828"/>
            </w:tblGrid>
            <w:tr w14:paraId="1F8F5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blHeader/>
                <w:jc w:val="center"/>
              </w:trPr>
              <w:tc>
                <w:tcPr>
                  <w:tcW w:w="1480" w:type="pct"/>
                  <w:tcBorders>
                    <w:tl2br w:val="nil"/>
                    <w:tr2bl w:val="nil"/>
                  </w:tcBorders>
                  <w:vAlign w:val="center"/>
                </w:tcPr>
                <w:p w14:paraId="0005FA20">
                  <w:pPr>
                    <w:wordWrap w:val="0"/>
                    <w:topLinePunct/>
                    <w:jc w:val="center"/>
                    <w:rPr>
                      <w:b/>
                      <w:bCs/>
                      <w:color w:val="auto"/>
                      <w:highlight w:val="none"/>
                    </w:rPr>
                  </w:pPr>
                  <w:r>
                    <w:rPr>
                      <w:b/>
                      <w:bCs/>
                      <w:color w:val="auto"/>
                      <w:highlight w:val="none"/>
                    </w:rPr>
                    <w:t>环境管控单元分类</w:t>
                  </w:r>
                </w:p>
              </w:tc>
              <w:tc>
                <w:tcPr>
                  <w:tcW w:w="1889" w:type="pct"/>
                  <w:tcBorders>
                    <w:tl2br w:val="nil"/>
                    <w:tr2bl w:val="nil"/>
                  </w:tcBorders>
                  <w:vAlign w:val="center"/>
                </w:tcPr>
                <w:p w14:paraId="1E552FE5">
                  <w:pPr>
                    <w:wordWrap w:val="0"/>
                    <w:topLinePunct/>
                    <w:jc w:val="center"/>
                    <w:rPr>
                      <w:b/>
                      <w:bCs/>
                      <w:color w:val="auto"/>
                      <w:highlight w:val="none"/>
                    </w:rPr>
                  </w:pPr>
                  <w:r>
                    <w:rPr>
                      <w:b/>
                      <w:bCs/>
                      <w:color w:val="auto"/>
                      <w:highlight w:val="none"/>
                    </w:rPr>
                    <w:t>是否涉及</w:t>
                  </w:r>
                </w:p>
              </w:tc>
              <w:tc>
                <w:tcPr>
                  <w:tcW w:w="1629" w:type="pct"/>
                  <w:tcBorders>
                    <w:tl2br w:val="nil"/>
                    <w:tr2bl w:val="nil"/>
                  </w:tcBorders>
                  <w:vAlign w:val="center"/>
                </w:tcPr>
                <w:p w14:paraId="77C6B159">
                  <w:pPr>
                    <w:wordWrap w:val="0"/>
                    <w:topLinePunct/>
                    <w:jc w:val="center"/>
                    <w:rPr>
                      <w:b/>
                      <w:bCs/>
                      <w:color w:val="auto"/>
                      <w:highlight w:val="none"/>
                    </w:rPr>
                  </w:pPr>
                  <w:r>
                    <w:rPr>
                      <w:b/>
                      <w:bCs/>
                      <w:color w:val="auto"/>
                      <w:highlight w:val="none"/>
                    </w:rPr>
                    <w:t>面积/长度</w:t>
                  </w:r>
                </w:p>
              </w:tc>
            </w:tr>
            <w:tr w14:paraId="4F35C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480" w:type="pct"/>
                  <w:tcBorders>
                    <w:tl2br w:val="nil"/>
                    <w:tr2bl w:val="nil"/>
                  </w:tcBorders>
                  <w:vAlign w:val="center"/>
                </w:tcPr>
                <w:p w14:paraId="23713D2B">
                  <w:pPr>
                    <w:wordWrap w:val="0"/>
                    <w:topLinePunct/>
                    <w:jc w:val="center"/>
                    <w:rPr>
                      <w:rFonts w:hint="eastAsia" w:eastAsia="宋体"/>
                      <w:color w:val="auto"/>
                      <w:highlight w:val="none"/>
                      <w:lang w:eastAsia="zh-CN"/>
                    </w:rPr>
                  </w:pPr>
                  <w:r>
                    <w:rPr>
                      <w:rFonts w:hint="eastAsia"/>
                      <w:color w:val="auto"/>
                      <w:highlight w:val="none"/>
                      <w:lang w:eastAsia="zh-CN"/>
                    </w:rPr>
                    <w:t>优先保护单元</w:t>
                  </w:r>
                </w:p>
              </w:tc>
              <w:tc>
                <w:tcPr>
                  <w:tcW w:w="1889" w:type="pct"/>
                  <w:tcBorders>
                    <w:tl2br w:val="nil"/>
                    <w:tr2bl w:val="nil"/>
                  </w:tcBorders>
                  <w:vAlign w:val="center"/>
                </w:tcPr>
                <w:p w14:paraId="61E95DF5">
                  <w:pPr>
                    <w:wordWrap w:val="0"/>
                    <w:topLinePunct/>
                    <w:jc w:val="center"/>
                    <w:rPr>
                      <w:rFonts w:hint="eastAsia" w:eastAsia="宋体"/>
                      <w:color w:val="auto"/>
                      <w:highlight w:val="none"/>
                      <w:lang w:eastAsia="zh-CN"/>
                    </w:rPr>
                  </w:pPr>
                  <w:r>
                    <w:rPr>
                      <w:rFonts w:hint="eastAsia"/>
                      <w:color w:val="auto"/>
                      <w:highlight w:val="none"/>
                      <w:lang w:eastAsia="zh-CN"/>
                    </w:rPr>
                    <w:t>否</w:t>
                  </w:r>
                </w:p>
              </w:tc>
              <w:tc>
                <w:tcPr>
                  <w:tcW w:w="1629" w:type="pct"/>
                  <w:tcBorders>
                    <w:tl2br w:val="nil"/>
                    <w:tr2bl w:val="nil"/>
                  </w:tcBorders>
                  <w:vAlign w:val="center"/>
                </w:tcPr>
                <w:p w14:paraId="7A69AB97">
                  <w:pPr>
                    <w:wordWrap w:val="0"/>
                    <w:topLinePunct/>
                    <w:jc w:val="center"/>
                    <w:rPr>
                      <w:rFonts w:hint="eastAsia" w:eastAsia="宋体"/>
                      <w:color w:val="auto"/>
                      <w:highlight w:val="none"/>
                      <w:lang w:val="en-US" w:eastAsia="zh-CN"/>
                    </w:rPr>
                  </w:pPr>
                  <w:r>
                    <w:rPr>
                      <w:rFonts w:hint="eastAsia"/>
                      <w:color w:val="auto"/>
                      <w:highlight w:val="none"/>
                      <w:lang w:val="en-US" w:eastAsia="zh-CN"/>
                    </w:rPr>
                    <w:t>/</w:t>
                  </w:r>
                </w:p>
              </w:tc>
            </w:tr>
            <w:tr w14:paraId="2D82B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80" w:type="pct"/>
                  <w:tcBorders>
                    <w:tl2br w:val="nil"/>
                    <w:tr2bl w:val="nil"/>
                  </w:tcBorders>
                  <w:vAlign w:val="center"/>
                </w:tcPr>
                <w:p w14:paraId="28E9AD42">
                  <w:pPr>
                    <w:wordWrap w:val="0"/>
                    <w:topLinePunct/>
                    <w:jc w:val="center"/>
                    <w:rPr>
                      <w:color w:val="auto"/>
                      <w:highlight w:val="none"/>
                    </w:rPr>
                  </w:pPr>
                  <w:r>
                    <w:rPr>
                      <w:color w:val="auto"/>
                      <w:highlight w:val="none"/>
                    </w:rPr>
                    <w:t>重点管控单元</w:t>
                  </w:r>
                </w:p>
              </w:tc>
              <w:tc>
                <w:tcPr>
                  <w:tcW w:w="1889" w:type="pct"/>
                  <w:tcBorders>
                    <w:tl2br w:val="nil"/>
                    <w:tr2bl w:val="nil"/>
                  </w:tcBorders>
                  <w:vAlign w:val="center"/>
                </w:tcPr>
                <w:p w14:paraId="6823C811">
                  <w:pPr>
                    <w:wordWrap w:val="0"/>
                    <w:topLinePunct/>
                    <w:jc w:val="center"/>
                    <w:rPr>
                      <w:rFonts w:hint="eastAsia" w:eastAsia="宋体"/>
                      <w:color w:val="auto"/>
                      <w:highlight w:val="none"/>
                      <w:lang w:eastAsia="zh-CN"/>
                    </w:rPr>
                  </w:pPr>
                  <w:r>
                    <w:rPr>
                      <w:rFonts w:hint="eastAsia"/>
                      <w:color w:val="auto"/>
                      <w:highlight w:val="none"/>
                      <w:lang w:eastAsia="zh-CN"/>
                    </w:rPr>
                    <w:t>是</w:t>
                  </w:r>
                </w:p>
              </w:tc>
              <w:tc>
                <w:tcPr>
                  <w:tcW w:w="1629" w:type="pct"/>
                  <w:tcBorders>
                    <w:tl2br w:val="nil"/>
                    <w:tr2bl w:val="nil"/>
                  </w:tcBorders>
                  <w:vAlign w:val="center"/>
                </w:tcPr>
                <w:p w14:paraId="7C8F5057">
                  <w:pPr>
                    <w:wordWrap w:val="0"/>
                    <w:topLinePunct/>
                    <w:jc w:val="center"/>
                    <w:rPr>
                      <w:color w:val="auto"/>
                      <w:highlight w:val="none"/>
                    </w:rPr>
                  </w:pPr>
                  <w:r>
                    <w:rPr>
                      <w:rFonts w:hint="eastAsia"/>
                      <w:color w:val="auto"/>
                      <w:highlight w:val="none"/>
                      <w:lang w:val="en-US" w:eastAsia="zh-CN"/>
                    </w:rPr>
                    <w:t>23333.3</w:t>
                  </w:r>
                  <w:r>
                    <w:rPr>
                      <w:rFonts w:hint="eastAsia"/>
                      <w:color w:val="auto"/>
                      <w:highlight w:val="none"/>
                    </w:rPr>
                    <w:t>平方米</w:t>
                  </w:r>
                </w:p>
              </w:tc>
            </w:tr>
            <w:tr w14:paraId="77916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0" w:type="pct"/>
                  <w:tcBorders>
                    <w:tl2br w:val="nil"/>
                    <w:tr2bl w:val="nil"/>
                  </w:tcBorders>
                  <w:vAlign w:val="center"/>
                </w:tcPr>
                <w:p w14:paraId="682C26CD">
                  <w:pPr>
                    <w:wordWrap w:val="0"/>
                    <w:topLinePunct/>
                    <w:jc w:val="center"/>
                    <w:rPr>
                      <w:color w:val="auto"/>
                      <w:highlight w:val="none"/>
                    </w:rPr>
                  </w:pPr>
                  <w:r>
                    <w:rPr>
                      <w:color w:val="auto"/>
                      <w:highlight w:val="none"/>
                    </w:rPr>
                    <w:t>一般管控单元</w:t>
                  </w:r>
                </w:p>
              </w:tc>
              <w:tc>
                <w:tcPr>
                  <w:tcW w:w="1889" w:type="pct"/>
                  <w:tcBorders>
                    <w:tl2br w:val="nil"/>
                    <w:tr2bl w:val="nil"/>
                  </w:tcBorders>
                  <w:vAlign w:val="center"/>
                </w:tcPr>
                <w:p w14:paraId="21509570">
                  <w:pPr>
                    <w:wordWrap w:val="0"/>
                    <w:topLinePunct/>
                    <w:jc w:val="center"/>
                    <w:rPr>
                      <w:color w:val="auto"/>
                      <w:highlight w:val="none"/>
                    </w:rPr>
                  </w:pPr>
                  <w:r>
                    <w:rPr>
                      <w:color w:val="auto"/>
                      <w:highlight w:val="none"/>
                    </w:rPr>
                    <w:t>否</w:t>
                  </w:r>
                </w:p>
              </w:tc>
              <w:tc>
                <w:tcPr>
                  <w:tcW w:w="1629" w:type="pct"/>
                  <w:tcBorders>
                    <w:tl2br w:val="nil"/>
                    <w:tr2bl w:val="nil"/>
                  </w:tcBorders>
                  <w:vAlign w:val="center"/>
                </w:tcPr>
                <w:p w14:paraId="709AAC23">
                  <w:pPr>
                    <w:wordWrap w:val="0"/>
                    <w:topLinePunct/>
                    <w:jc w:val="center"/>
                    <w:rPr>
                      <w:color w:val="auto"/>
                      <w:highlight w:val="none"/>
                    </w:rPr>
                  </w:pPr>
                  <w:r>
                    <w:rPr>
                      <w:rFonts w:hint="eastAsia"/>
                      <w:color w:val="auto"/>
                      <w:highlight w:val="none"/>
                    </w:rPr>
                    <w:t>/</w:t>
                  </w:r>
                </w:p>
              </w:tc>
            </w:tr>
          </w:tbl>
          <w:p w14:paraId="0D16BD78">
            <w:pPr>
              <w:spacing w:line="360" w:lineRule="auto"/>
              <w:ind w:firstLine="480" w:firstLineChars="200"/>
              <w:rPr>
                <w:color w:val="auto"/>
                <w:sz w:val="24"/>
                <w:highlight w:val="none"/>
              </w:rPr>
            </w:pPr>
            <w:r>
              <w:rPr>
                <w:color w:val="auto"/>
                <w:sz w:val="24"/>
                <w:highlight w:val="none"/>
              </w:rPr>
              <w:t>（1）“一图”：空间冲突附图</w:t>
            </w:r>
          </w:p>
          <w:p w14:paraId="256F3829">
            <w:pPr>
              <w:spacing w:line="360" w:lineRule="auto"/>
              <w:ind w:firstLine="480"/>
              <w:rPr>
                <w:b/>
                <w:bCs/>
                <w:color w:val="auto"/>
                <w:highlight w:val="none"/>
              </w:rPr>
            </w:pPr>
            <w:r>
              <w:rPr>
                <w:color w:val="auto"/>
                <w:sz w:val="24"/>
                <w:highlight w:val="none"/>
              </w:rPr>
              <w:t>根据陕西省“三线一单”数据应用分析平台（V1.0）冲突分析形成空间冲突附图，图中所示本项目位于</w:t>
            </w:r>
            <w:r>
              <w:rPr>
                <w:rFonts w:hint="eastAsia"/>
                <w:color w:val="auto"/>
                <w:sz w:val="24"/>
                <w:highlight w:val="none"/>
                <w:lang w:eastAsia="zh-CN"/>
              </w:rPr>
              <w:t>重点管控单元</w:t>
            </w:r>
            <w:r>
              <w:rPr>
                <w:color w:val="auto"/>
                <w:sz w:val="24"/>
                <w:highlight w:val="none"/>
              </w:rPr>
              <w:t>。管控单元对照空间冲突附图如下。</w:t>
            </w:r>
          </w:p>
          <w:p w14:paraId="19F54D45">
            <w:pPr>
              <w:spacing w:line="360" w:lineRule="auto"/>
              <w:jc w:val="center"/>
              <w:rPr>
                <w:b/>
                <w:bCs/>
                <w:color w:val="auto"/>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2408555</wp:posOffset>
                      </wp:positionH>
                      <wp:positionV relativeFrom="paragraph">
                        <wp:posOffset>493395</wp:posOffset>
                      </wp:positionV>
                      <wp:extent cx="904875" cy="266700"/>
                      <wp:effectExtent l="131445" t="6350" r="11430" b="546100"/>
                      <wp:wrapNone/>
                      <wp:docPr id="52" name="矩形标注 52"/>
                      <wp:cNvGraphicFramePr/>
                      <a:graphic xmlns:a="http://schemas.openxmlformats.org/drawingml/2006/main">
                        <a:graphicData uri="http://schemas.microsoft.com/office/word/2010/wordprocessingShape">
                          <wps:wsp>
                            <wps:cNvSpPr/>
                            <wps:spPr>
                              <a:xfrm>
                                <a:off x="3404870" y="2538730"/>
                                <a:ext cx="904875" cy="266700"/>
                              </a:xfrm>
                              <a:prstGeom prst="wedgeRectCallout">
                                <a:avLst>
                                  <a:gd name="adj1" fmla="val -63824"/>
                                  <a:gd name="adj2" fmla="val 245714"/>
                                </a:avLst>
                              </a:prstGeom>
                              <a:noFill/>
                              <a:ln w="1270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txbx>
                              <w:txbxContent>
                                <w:p w14:paraId="44DE398B">
                                  <w:pPr>
                                    <w:jc w:val="center"/>
                                    <w:rPr>
                                      <w:rFonts w:hint="default" w:eastAsia="宋体"/>
                                      <w:lang w:val="en-US" w:eastAsia="zh-CN"/>
                                    </w:rPr>
                                  </w:pPr>
                                  <w:r>
                                    <w:rPr>
                                      <w:rFonts w:hint="eastAsia"/>
                                      <w:lang w:val="en-US" w:eastAsia="zh-CN"/>
                                    </w:rPr>
                                    <w:t>建设项目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9.65pt;margin-top:38.85pt;height:21pt;width:71.25pt;z-index:251661312;v-text-anchor:middle;mso-width-relative:page;mso-height-relative:page;" filled="f" stroked="t" coordsize="21600,21600" o:gfxdata="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rVWmQNUAAAAKAQAADwAAAAAAAAABACAAAAAiAAAAZHJzL2Rvd25yZXYu&#10;eG1sUEsBAhQAFAAAAAgAh07iQBIyPlypAgAAMwUAAA4AAAAAAAAAAQAgAAAAJAEAAGRycy9lMm9E&#10;b2MueG1sUEsFBgAAAAAGAAYAWQEAAD8GAAAAAA==&#10;" adj="-2986,63874">
                      <v:fill on="f" focussize="0,0"/>
                      <v:stroke weight="1pt" color="#000000 [3213]" joinstyle="round" dashstyle="3 1"/>
                      <v:imagedata o:title=""/>
                      <o:lock v:ext="edit" aspectratio="f"/>
                      <v:textbox>
                        <w:txbxContent>
                          <w:p w14:paraId="44DE398B">
                            <w:pPr>
                              <w:jc w:val="center"/>
                              <w:rPr>
                                <w:rFonts w:hint="default" w:eastAsia="宋体"/>
                                <w:lang w:val="en-US" w:eastAsia="zh-CN"/>
                              </w:rPr>
                            </w:pPr>
                            <w:r>
                              <w:rPr>
                                <w:rFonts w:hint="eastAsia"/>
                                <w:lang w:val="en-US" w:eastAsia="zh-CN"/>
                              </w:rPr>
                              <w:t>建设项目</w:t>
                            </w:r>
                          </w:p>
                        </w:txbxContent>
                      </v:textbox>
                    </v:shape>
                  </w:pict>
                </mc:Fallback>
              </mc:AlternateContent>
            </w:r>
            <w:r>
              <w:rPr>
                <w:color w:val="auto"/>
                <w:highlight w:val="none"/>
              </w:rPr>
              <w:drawing>
                <wp:inline distT="0" distB="0" distL="114300" distR="114300">
                  <wp:extent cx="3772535" cy="3169285"/>
                  <wp:effectExtent l="0" t="0" r="18415" b="1206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8"/>
                          <a:stretch>
                            <a:fillRect/>
                          </a:stretch>
                        </pic:blipFill>
                        <pic:spPr>
                          <a:xfrm>
                            <a:off x="0" y="0"/>
                            <a:ext cx="3772535" cy="3169285"/>
                          </a:xfrm>
                          <a:prstGeom prst="rect">
                            <a:avLst/>
                          </a:prstGeom>
                          <a:noFill/>
                          <a:ln>
                            <a:noFill/>
                          </a:ln>
                        </pic:spPr>
                      </pic:pic>
                    </a:graphicData>
                  </a:graphic>
                </wp:inline>
              </w:drawing>
            </w:r>
          </w:p>
          <w:p w14:paraId="4E107F6D">
            <w:pPr>
              <w:adjustRightInd w:val="0"/>
              <w:snapToGrid w:val="0"/>
              <w:spacing w:line="360" w:lineRule="auto"/>
              <w:jc w:val="center"/>
              <w:rPr>
                <w:rFonts w:hint="eastAsia"/>
                <w:b/>
                <w:bCs/>
                <w:color w:val="auto"/>
                <w:highlight w:val="none"/>
              </w:rPr>
            </w:pPr>
            <w:r>
              <w:rPr>
                <w:rFonts w:hint="eastAsia"/>
                <w:b/>
                <w:bCs/>
                <w:color w:val="auto"/>
                <w:highlight w:val="none"/>
              </w:rPr>
              <w:t>图1-1  本项目空间冲突附图</w:t>
            </w:r>
          </w:p>
          <w:p w14:paraId="79C58717">
            <w:pPr>
              <w:ind w:firstLine="480"/>
              <w:jc w:val="center"/>
              <w:rPr>
                <w:b/>
                <w:bCs/>
                <w:color w:val="auto"/>
                <w:highlight w:val="none"/>
              </w:rPr>
            </w:pPr>
            <w:r>
              <w:rPr>
                <w:b/>
                <w:bCs/>
                <w:color w:val="auto"/>
                <w:highlight w:val="none"/>
              </w:rPr>
              <w:t>表1</w:t>
            </w:r>
            <w:r>
              <w:rPr>
                <w:rFonts w:hint="eastAsia"/>
                <w:b/>
                <w:bCs/>
                <w:color w:val="auto"/>
                <w:highlight w:val="none"/>
              </w:rPr>
              <w:t>-2  本项目与</w:t>
            </w:r>
            <w:r>
              <w:rPr>
                <w:b/>
                <w:bCs/>
                <w:color w:val="auto"/>
                <w:highlight w:val="none"/>
              </w:rPr>
              <w:t>环境管控单元管控</w:t>
            </w:r>
            <w:r>
              <w:rPr>
                <w:rFonts w:hint="eastAsia"/>
                <w:b/>
                <w:bCs/>
                <w:color w:val="auto"/>
                <w:highlight w:val="none"/>
              </w:rPr>
              <w:t>要求符合性分析一览表</w:t>
            </w:r>
          </w:p>
          <w:tbl>
            <w:tblPr>
              <w:tblStyle w:val="35"/>
              <w:tblW w:w="867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56"/>
              <w:gridCol w:w="708"/>
              <w:gridCol w:w="468"/>
              <w:gridCol w:w="380"/>
              <w:gridCol w:w="3921"/>
              <w:gridCol w:w="2155"/>
              <w:gridCol w:w="688"/>
            </w:tblGrid>
            <w:tr w14:paraId="4E0919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97" w:hRule="atLeast"/>
                <w:jc w:val="center"/>
              </w:trPr>
              <w:tc>
                <w:tcPr>
                  <w:tcW w:w="356" w:type="dxa"/>
                  <w:tcBorders>
                    <w:tl2br w:val="nil"/>
                    <w:tr2bl w:val="nil"/>
                  </w:tcBorders>
                  <w:shd w:val="clear" w:color="auto" w:fill="auto"/>
                  <w:vAlign w:val="center"/>
                </w:tcPr>
                <w:p w14:paraId="0DA322A8">
                  <w:pPr>
                    <w:widowControl/>
                    <w:jc w:val="center"/>
                    <w:textAlignment w:val="center"/>
                    <w:rPr>
                      <w:b/>
                      <w:bCs/>
                      <w:color w:val="auto"/>
                      <w:kern w:val="0"/>
                      <w:szCs w:val="21"/>
                      <w:highlight w:val="none"/>
                    </w:rPr>
                  </w:pPr>
                  <w:r>
                    <w:rPr>
                      <w:b/>
                      <w:bCs/>
                      <w:color w:val="auto"/>
                      <w:kern w:val="0"/>
                      <w:szCs w:val="21"/>
                      <w:highlight w:val="none"/>
                    </w:rPr>
                    <w:t>区县</w:t>
                  </w:r>
                </w:p>
              </w:tc>
              <w:tc>
                <w:tcPr>
                  <w:tcW w:w="708" w:type="dxa"/>
                  <w:tcBorders>
                    <w:tl2br w:val="nil"/>
                    <w:tr2bl w:val="nil"/>
                  </w:tcBorders>
                  <w:shd w:val="clear" w:color="auto" w:fill="auto"/>
                  <w:vAlign w:val="center"/>
                </w:tcPr>
                <w:p w14:paraId="2154DF65">
                  <w:pPr>
                    <w:widowControl/>
                    <w:jc w:val="center"/>
                    <w:textAlignment w:val="center"/>
                    <w:rPr>
                      <w:b/>
                      <w:bCs/>
                      <w:color w:val="auto"/>
                      <w:kern w:val="0"/>
                      <w:szCs w:val="21"/>
                      <w:highlight w:val="none"/>
                    </w:rPr>
                  </w:pPr>
                  <w:r>
                    <w:rPr>
                      <w:b/>
                      <w:bCs/>
                      <w:color w:val="auto"/>
                      <w:kern w:val="0"/>
                      <w:szCs w:val="21"/>
                      <w:highlight w:val="none"/>
                    </w:rPr>
                    <w:t>环境管控单元名称</w:t>
                  </w:r>
                </w:p>
              </w:tc>
              <w:tc>
                <w:tcPr>
                  <w:tcW w:w="468" w:type="dxa"/>
                  <w:tcBorders>
                    <w:tl2br w:val="nil"/>
                    <w:tr2bl w:val="nil"/>
                  </w:tcBorders>
                  <w:shd w:val="clear" w:color="auto" w:fill="auto"/>
                  <w:vAlign w:val="center"/>
                </w:tcPr>
                <w:p w14:paraId="1EA64A14">
                  <w:pPr>
                    <w:widowControl/>
                    <w:jc w:val="center"/>
                    <w:textAlignment w:val="center"/>
                    <w:rPr>
                      <w:b/>
                      <w:bCs/>
                      <w:color w:val="auto"/>
                      <w:kern w:val="0"/>
                      <w:szCs w:val="21"/>
                      <w:highlight w:val="none"/>
                    </w:rPr>
                  </w:pPr>
                  <w:r>
                    <w:rPr>
                      <w:b/>
                      <w:bCs/>
                      <w:color w:val="auto"/>
                      <w:kern w:val="0"/>
                      <w:szCs w:val="21"/>
                      <w:highlight w:val="none"/>
                    </w:rPr>
                    <w:t>单元要素属性</w:t>
                  </w:r>
                </w:p>
              </w:tc>
              <w:tc>
                <w:tcPr>
                  <w:tcW w:w="380" w:type="dxa"/>
                  <w:tcBorders>
                    <w:tl2br w:val="nil"/>
                    <w:tr2bl w:val="nil"/>
                  </w:tcBorders>
                  <w:shd w:val="clear" w:color="auto" w:fill="auto"/>
                  <w:vAlign w:val="center"/>
                </w:tcPr>
                <w:p w14:paraId="0B57742F">
                  <w:pPr>
                    <w:widowControl/>
                    <w:jc w:val="center"/>
                    <w:textAlignment w:val="center"/>
                    <w:rPr>
                      <w:b/>
                      <w:bCs/>
                      <w:color w:val="auto"/>
                      <w:kern w:val="0"/>
                      <w:szCs w:val="21"/>
                      <w:highlight w:val="none"/>
                    </w:rPr>
                  </w:pPr>
                  <w:r>
                    <w:rPr>
                      <w:b/>
                      <w:bCs/>
                      <w:color w:val="auto"/>
                      <w:kern w:val="0"/>
                      <w:szCs w:val="21"/>
                      <w:highlight w:val="none"/>
                    </w:rPr>
                    <w:t>管控要求分类</w:t>
                  </w:r>
                </w:p>
              </w:tc>
              <w:tc>
                <w:tcPr>
                  <w:tcW w:w="3921" w:type="dxa"/>
                  <w:tcBorders>
                    <w:tl2br w:val="nil"/>
                    <w:tr2bl w:val="nil"/>
                  </w:tcBorders>
                  <w:shd w:val="clear" w:color="auto" w:fill="auto"/>
                  <w:vAlign w:val="center"/>
                </w:tcPr>
                <w:p w14:paraId="33735A83">
                  <w:pPr>
                    <w:widowControl/>
                    <w:jc w:val="center"/>
                    <w:textAlignment w:val="center"/>
                    <w:rPr>
                      <w:b/>
                      <w:bCs/>
                      <w:color w:val="auto"/>
                      <w:kern w:val="0"/>
                      <w:szCs w:val="21"/>
                      <w:highlight w:val="none"/>
                    </w:rPr>
                  </w:pPr>
                  <w:r>
                    <w:rPr>
                      <w:b/>
                      <w:bCs/>
                      <w:color w:val="auto"/>
                      <w:kern w:val="0"/>
                      <w:szCs w:val="21"/>
                      <w:highlight w:val="none"/>
                    </w:rPr>
                    <w:t>管控要求</w:t>
                  </w:r>
                </w:p>
              </w:tc>
              <w:tc>
                <w:tcPr>
                  <w:tcW w:w="2155" w:type="dxa"/>
                  <w:tcBorders>
                    <w:tl2br w:val="nil"/>
                    <w:tr2bl w:val="nil"/>
                  </w:tcBorders>
                  <w:shd w:val="clear" w:color="auto" w:fill="auto"/>
                  <w:noWrap/>
                  <w:vAlign w:val="center"/>
                </w:tcPr>
                <w:p w14:paraId="3AB69584">
                  <w:pPr>
                    <w:widowControl/>
                    <w:jc w:val="center"/>
                    <w:textAlignment w:val="center"/>
                    <w:rPr>
                      <w:b/>
                      <w:bCs/>
                      <w:color w:val="auto"/>
                      <w:kern w:val="0"/>
                      <w:szCs w:val="21"/>
                      <w:highlight w:val="none"/>
                    </w:rPr>
                  </w:pPr>
                  <w:r>
                    <w:rPr>
                      <w:b/>
                      <w:bCs/>
                      <w:color w:val="auto"/>
                      <w:kern w:val="0"/>
                      <w:szCs w:val="21"/>
                      <w:highlight w:val="none"/>
                    </w:rPr>
                    <w:t>项目情况</w:t>
                  </w:r>
                </w:p>
              </w:tc>
              <w:tc>
                <w:tcPr>
                  <w:tcW w:w="688" w:type="dxa"/>
                  <w:tcBorders>
                    <w:tl2br w:val="nil"/>
                    <w:tr2bl w:val="nil"/>
                  </w:tcBorders>
                  <w:shd w:val="clear" w:color="auto" w:fill="auto"/>
                  <w:vAlign w:val="center"/>
                </w:tcPr>
                <w:p w14:paraId="106E1AF3">
                  <w:pPr>
                    <w:widowControl/>
                    <w:jc w:val="center"/>
                    <w:textAlignment w:val="center"/>
                    <w:rPr>
                      <w:b/>
                      <w:bCs/>
                      <w:color w:val="auto"/>
                      <w:kern w:val="0"/>
                      <w:szCs w:val="21"/>
                      <w:highlight w:val="none"/>
                    </w:rPr>
                  </w:pPr>
                  <w:r>
                    <w:rPr>
                      <w:b/>
                      <w:bCs/>
                      <w:color w:val="auto"/>
                      <w:kern w:val="0"/>
                      <w:szCs w:val="21"/>
                      <w:highlight w:val="none"/>
                    </w:rPr>
                    <w:t>相符性</w:t>
                  </w:r>
                </w:p>
              </w:tc>
            </w:tr>
            <w:tr w14:paraId="3DD07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restart"/>
                  <w:tcBorders>
                    <w:tl2br w:val="nil"/>
                    <w:tr2bl w:val="nil"/>
                  </w:tcBorders>
                  <w:shd w:val="clear" w:color="auto" w:fill="auto"/>
                  <w:vAlign w:val="center"/>
                </w:tcPr>
                <w:p w14:paraId="3BA36BF2">
                  <w:pPr>
                    <w:widowControl/>
                    <w:jc w:val="both"/>
                    <w:textAlignment w:val="center"/>
                    <w:rPr>
                      <w:rFonts w:hint="eastAsia"/>
                      <w:color w:val="auto"/>
                      <w:kern w:val="0"/>
                      <w:szCs w:val="21"/>
                      <w:highlight w:val="none"/>
                    </w:rPr>
                  </w:pPr>
                  <w:r>
                    <w:rPr>
                      <w:rFonts w:hint="eastAsia"/>
                      <w:color w:val="auto"/>
                      <w:kern w:val="0"/>
                      <w:szCs w:val="21"/>
                      <w:highlight w:val="none"/>
                    </w:rPr>
                    <w:t>凤</w:t>
                  </w:r>
                </w:p>
                <w:p w14:paraId="664186CB">
                  <w:pPr>
                    <w:widowControl/>
                    <w:jc w:val="both"/>
                    <w:textAlignment w:val="center"/>
                    <w:rPr>
                      <w:rFonts w:hint="eastAsia"/>
                      <w:color w:val="auto"/>
                      <w:kern w:val="0"/>
                      <w:szCs w:val="21"/>
                      <w:highlight w:val="none"/>
                    </w:rPr>
                  </w:pPr>
                  <w:r>
                    <w:rPr>
                      <w:rFonts w:hint="eastAsia"/>
                      <w:color w:val="auto"/>
                      <w:kern w:val="0"/>
                      <w:szCs w:val="21"/>
                      <w:highlight w:val="none"/>
                    </w:rPr>
                    <w:t>翔</w:t>
                  </w:r>
                </w:p>
                <w:p w14:paraId="6EEC7127">
                  <w:pPr>
                    <w:widowControl/>
                    <w:jc w:val="both"/>
                    <w:textAlignment w:val="center"/>
                    <w:rPr>
                      <w:color w:val="auto"/>
                      <w:kern w:val="0"/>
                      <w:szCs w:val="21"/>
                      <w:highlight w:val="none"/>
                    </w:rPr>
                  </w:pPr>
                  <w:r>
                    <w:rPr>
                      <w:rFonts w:hint="eastAsia"/>
                      <w:color w:val="auto"/>
                      <w:kern w:val="0"/>
                      <w:szCs w:val="21"/>
                      <w:highlight w:val="none"/>
                    </w:rPr>
                    <w:t>区</w:t>
                  </w:r>
                </w:p>
              </w:tc>
              <w:tc>
                <w:tcPr>
                  <w:tcW w:w="708" w:type="dxa"/>
                  <w:vMerge w:val="restart"/>
                  <w:tcBorders>
                    <w:tl2br w:val="nil"/>
                    <w:tr2bl w:val="nil"/>
                  </w:tcBorders>
                  <w:shd w:val="clear" w:color="auto" w:fill="auto"/>
                  <w:vAlign w:val="center"/>
                </w:tcPr>
                <w:p w14:paraId="4FD6415A">
                  <w:pPr>
                    <w:widowControl/>
                    <w:jc w:val="center"/>
                    <w:textAlignment w:val="center"/>
                    <w:rPr>
                      <w:color w:val="auto"/>
                      <w:kern w:val="0"/>
                      <w:szCs w:val="21"/>
                      <w:highlight w:val="none"/>
                    </w:rPr>
                  </w:pPr>
                  <w:r>
                    <w:rPr>
                      <w:rFonts w:hint="eastAsia"/>
                      <w:color w:val="auto"/>
                      <w:kern w:val="0"/>
                      <w:szCs w:val="21"/>
                      <w:highlight w:val="none"/>
                    </w:rPr>
                    <w:t>陕西省凤翔高新技术产业开发区</w:t>
                  </w:r>
                </w:p>
              </w:tc>
              <w:tc>
                <w:tcPr>
                  <w:tcW w:w="468" w:type="dxa"/>
                  <w:vMerge w:val="restart"/>
                  <w:tcBorders>
                    <w:tl2br w:val="nil"/>
                    <w:tr2bl w:val="nil"/>
                  </w:tcBorders>
                  <w:shd w:val="clear" w:color="auto" w:fill="auto"/>
                  <w:vAlign w:val="center"/>
                </w:tcPr>
                <w:p w14:paraId="0AC72F15">
                  <w:pPr>
                    <w:widowControl/>
                    <w:jc w:val="both"/>
                    <w:textAlignment w:val="center"/>
                    <w:rPr>
                      <w:rFonts w:hint="eastAsia"/>
                      <w:color w:val="auto"/>
                      <w:kern w:val="0"/>
                      <w:szCs w:val="21"/>
                      <w:highlight w:val="none"/>
                    </w:rPr>
                  </w:pPr>
                  <w:r>
                    <w:rPr>
                      <w:rFonts w:hint="eastAsia"/>
                      <w:color w:val="auto"/>
                      <w:kern w:val="0"/>
                      <w:szCs w:val="21"/>
                      <w:highlight w:val="none"/>
                    </w:rPr>
                    <w:t>环境</w:t>
                  </w:r>
                </w:p>
                <w:p w14:paraId="6C98A873">
                  <w:pPr>
                    <w:widowControl/>
                    <w:jc w:val="both"/>
                    <w:textAlignment w:val="center"/>
                    <w:rPr>
                      <w:rFonts w:hint="eastAsia"/>
                      <w:color w:val="auto"/>
                      <w:kern w:val="0"/>
                      <w:szCs w:val="21"/>
                      <w:highlight w:val="none"/>
                    </w:rPr>
                  </w:pPr>
                  <w:r>
                    <w:rPr>
                      <w:rFonts w:hint="eastAsia"/>
                      <w:color w:val="auto"/>
                      <w:kern w:val="0"/>
                      <w:szCs w:val="21"/>
                      <w:highlight w:val="none"/>
                    </w:rPr>
                    <w:t>高排</w:t>
                  </w:r>
                </w:p>
                <w:p w14:paraId="07DB6D9B">
                  <w:pPr>
                    <w:widowControl/>
                    <w:jc w:val="both"/>
                    <w:textAlignment w:val="center"/>
                    <w:rPr>
                      <w:rFonts w:hint="eastAsia"/>
                      <w:color w:val="auto"/>
                      <w:kern w:val="0"/>
                      <w:szCs w:val="21"/>
                      <w:highlight w:val="none"/>
                    </w:rPr>
                  </w:pPr>
                  <w:r>
                    <w:rPr>
                      <w:rFonts w:hint="eastAsia"/>
                      <w:color w:val="auto"/>
                      <w:kern w:val="0"/>
                      <w:szCs w:val="21"/>
                      <w:highlight w:val="none"/>
                    </w:rPr>
                    <w:t>放重</w:t>
                  </w:r>
                </w:p>
                <w:p w14:paraId="081C5727">
                  <w:pPr>
                    <w:widowControl/>
                    <w:jc w:val="both"/>
                    <w:textAlignment w:val="center"/>
                    <w:rPr>
                      <w:rFonts w:hint="eastAsia"/>
                      <w:color w:val="auto"/>
                      <w:kern w:val="0"/>
                      <w:szCs w:val="21"/>
                      <w:highlight w:val="none"/>
                    </w:rPr>
                  </w:pPr>
                  <w:r>
                    <w:rPr>
                      <w:rFonts w:hint="eastAsia"/>
                      <w:color w:val="auto"/>
                      <w:kern w:val="0"/>
                      <w:szCs w:val="21"/>
                      <w:highlight w:val="none"/>
                    </w:rPr>
                    <w:t>点管</w:t>
                  </w:r>
                </w:p>
                <w:p w14:paraId="458EC0CD">
                  <w:pPr>
                    <w:widowControl/>
                    <w:jc w:val="both"/>
                    <w:textAlignment w:val="center"/>
                    <w:rPr>
                      <w:color w:val="auto"/>
                      <w:kern w:val="0"/>
                      <w:szCs w:val="21"/>
                      <w:highlight w:val="none"/>
                    </w:rPr>
                  </w:pPr>
                  <w:r>
                    <w:rPr>
                      <w:rFonts w:hint="eastAsia"/>
                      <w:color w:val="auto"/>
                      <w:kern w:val="0"/>
                      <w:szCs w:val="21"/>
                      <w:highlight w:val="none"/>
                    </w:rPr>
                    <w:t>控区</w:t>
                  </w:r>
                </w:p>
              </w:tc>
              <w:tc>
                <w:tcPr>
                  <w:tcW w:w="380" w:type="dxa"/>
                  <w:tcBorders>
                    <w:tl2br w:val="nil"/>
                    <w:tr2bl w:val="nil"/>
                  </w:tcBorders>
                  <w:shd w:val="clear" w:color="auto" w:fill="auto"/>
                  <w:vAlign w:val="center"/>
                </w:tcPr>
                <w:p w14:paraId="53C7CABF">
                  <w:pPr>
                    <w:widowControl/>
                    <w:jc w:val="both"/>
                    <w:textAlignment w:val="center"/>
                    <w:rPr>
                      <w:color w:val="auto"/>
                      <w:kern w:val="0"/>
                      <w:szCs w:val="21"/>
                      <w:highlight w:val="none"/>
                    </w:rPr>
                  </w:pPr>
                  <w:r>
                    <w:rPr>
                      <w:rFonts w:hint="eastAsia"/>
                      <w:color w:val="auto"/>
                      <w:kern w:val="0"/>
                      <w:szCs w:val="21"/>
                      <w:highlight w:val="none"/>
                    </w:rPr>
                    <w:t>空间布局约束</w:t>
                  </w:r>
                </w:p>
              </w:tc>
              <w:tc>
                <w:tcPr>
                  <w:tcW w:w="3921" w:type="dxa"/>
                  <w:tcBorders>
                    <w:tl2br w:val="nil"/>
                    <w:tr2bl w:val="nil"/>
                  </w:tcBorders>
                  <w:shd w:val="clear" w:color="auto" w:fill="auto"/>
                  <w:vAlign w:val="center"/>
                </w:tcPr>
                <w:p w14:paraId="7A40B49C">
                  <w:pPr>
                    <w:jc w:val="both"/>
                    <w:rPr>
                      <w:rFonts w:hint="eastAsia"/>
                      <w:color w:val="auto"/>
                      <w:szCs w:val="21"/>
                      <w:highlight w:val="none"/>
                    </w:rPr>
                  </w:pPr>
                  <w:r>
                    <w:rPr>
                      <w:rFonts w:hint="eastAsia"/>
                      <w:color w:val="auto"/>
                      <w:szCs w:val="21"/>
                      <w:highlight w:val="none"/>
                    </w:rPr>
                    <w:t>大气环境高排放重点管控区：</w:t>
                  </w:r>
                </w:p>
                <w:p w14:paraId="1665F9A5">
                  <w:pPr>
                    <w:numPr>
                      <w:ilvl w:val="0"/>
                      <w:numId w:val="2"/>
                    </w:numPr>
                    <w:jc w:val="both"/>
                    <w:rPr>
                      <w:rFonts w:hint="eastAsia"/>
                      <w:color w:val="auto"/>
                      <w:szCs w:val="21"/>
                      <w:highlight w:val="none"/>
                    </w:rPr>
                  </w:pPr>
                  <w:r>
                    <w:rPr>
                      <w:rFonts w:hint="eastAsia"/>
                      <w:color w:val="auto"/>
                      <w:szCs w:val="21"/>
                      <w:highlight w:val="none"/>
                    </w:rPr>
                    <w:t>调整结构强化领域绿色低碳发展。严禁新增钢铁、焦化、水泥熟料、平板玻璃、电解铝、氧化铝、煤化工产能，合理控制煤制油气产能规模，严控新增炼油产能。推动水泥、焦化行业开展全流程超低排放改造。推动传统产业绿色转型升级。</w:t>
                  </w:r>
                </w:p>
                <w:p w14:paraId="11391F49">
                  <w:pPr>
                    <w:numPr>
                      <w:ilvl w:val="0"/>
                      <w:numId w:val="2"/>
                    </w:numPr>
                    <w:jc w:val="both"/>
                    <w:rPr>
                      <w:color w:val="auto"/>
                      <w:szCs w:val="21"/>
                      <w:highlight w:val="none"/>
                    </w:rPr>
                  </w:pPr>
                  <w:r>
                    <w:rPr>
                      <w:rFonts w:hint="eastAsia"/>
                      <w:color w:val="auto"/>
                      <w:szCs w:val="21"/>
                      <w:highlight w:val="none"/>
                    </w:rPr>
                    <w:t>采用先进节能低碳环保技术改造提升传统产业，提高清洁生产和污染治理水平。重点发展新能源、新材料、生物技术和新医药、节能环保等战略性新兴产业，引导战略性新兴产业与现有产业融合发展。</w:t>
                  </w:r>
                </w:p>
              </w:tc>
              <w:tc>
                <w:tcPr>
                  <w:tcW w:w="2155" w:type="dxa"/>
                  <w:tcBorders>
                    <w:tl2br w:val="nil"/>
                    <w:tr2bl w:val="nil"/>
                  </w:tcBorders>
                  <w:shd w:val="clear" w:color="auto" w:fill="auto"/>
                  <w:noWrap/>
                  <w:vAlign w:val="center"/>
                </w:tcPr>
                <w:p w14:paraId="31280889">
                  <w:pPr>
                    <w:jc w:val="both"/>
                    <w:rPr>
                      <w:rFonts w:hint="eastAsia" w:eastAsia="宋体"/>
                      <w:color w:val="auto"/>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本项目为</w:t>
                  </w:r>
                  <w:r>
                    <w:rPr>
                      <w:rFonts w:hint="eastAsia" w:asciiTheme="minorEastAsia" w:hAnsiTheme="minorEastAsia" w:eastAsiaTheme="minorEastAsia" w:cstheme="minorEastAsia"/>
                      <w:b w:val="0"/>
                      <w:color w:val="auto"/>
                      <w:spacing w:val="-1"/>
                      <w:kern w:val="2"/>
                      <w:sz w:val="21"/>
                      <w:szCs w:val="21"/>
                      <w:highlight w:val="none"/>
                      <w:lang w:val="en-US" w:eastAsia="zh-CN" w:bidi="ar-SA"/>
                    </w:rPr>
                    <w:t>危险废物贮存、中转项目，不属于禁止新增行业。本项目危废库为独立封闭库房，并对产废气的贮存间设为微负压收集系统，收集后的废气经治理措施处理后满足排放浓度要求，有效降低对周边环境影响。</w:t>
                  </w:r>
                </w:p>
              </w:tc>
              <w:tc>
                <w:tcPr>
                  <w:tcW w:w="688" w:type="dxa"/>
                  <w:tcBorders>
                    <w:tl2br w:val="nil"/>
                    <w:tr2bl w:val="nil"/>
                  </w:tcBorders>
                  <w:shd w:val="clear" w:color="auto" w:fill="auto"/>
                  <w:vAlign w:val="center"/>
                </w:tcPr>
                <w:p w14:paraId="517DFC1A">
                  <w:pPr>
                    <w:jc w:val="both"/>
                    <w:rPr>
                      <w:color w:val="auto"/>
                      <w:szCs w:val="21"/>
                      <w:highlight w:val="none"/>
                    </w:rPr>
                  </w:pPr>
                  <w:r>
                    <w:rPr>
                      <w:color w:val="auto"/>
                      <w:szCs w:val="21"/>
                      <w:highlight w:val="none"/>
                    </w:rPr>
                    <w:t>符合</w:t>
                  </w:r>
                </w:p>
              </w:tc>
            </w:tr>
            <w:tr w14:paraId="235B3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11" w:hRule="atLeast"/>
                <w:jc w:val="center"/>
              </w:trPr>
              <w:tc>
                <w:tcPr>
                  <w:tcW w:w="356" w:type="dxa"/>
                  <w:vMerge w:val="continue"/>
                  <w:tcBorders>
                    <w:tl2br w:val="nil"/>
                    <w:tr2bl w:val="nil"/>
                  </w:tcBorders>
                  <w:shd w:val="clear" w:color="auto" w:fill="auto"/>
                  <w:vAlign w:val="center"/>
                </w:tcPr>
                <w:p w14:paraId="30FF9C97">
                  <w:pPr>
                    <w:widowControl/>
                    <w:jc w:val="both"/>
                    <w:textAlignment w:val="center"/>
                    <w:rPr>
                      <w:color w:val="auto"/>
                      <w:kern w:val="0"/>
                      <w:szCs w:val="21"/>
                      <w:highlight w:val="none"/>
                    </w:rPr>
                  </w:pPr>
                </w:p>
              </w:tc>
              <w:tc>
                <w:tcPr>
                  <w:tcW w:w="708" w:type="dxa"/>
                  <w:vMerge w:val="continue"/>
                  <w:tcBorders>
                    <w:tl2br w:val="nil"/>
                    <w:tr2bl w:val="nil"/>
                  </w:tcBorders>
                  <w:shd w:val="clear" w:color="auto" w:fill="auto"/>
                  <w:vAlign w:val="center"/>
                </w:tcPr>
                <w:p w14:paraId="48FD2F98">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6D301B78">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29387253">
                  <w:pPr>
                    <w:widowControl/>
                    <w:jc w:val="both"/>
                    <w:textAlignment w:val="center"/>
                    <w:rPr>
                      <w:color w:val="auto"/>
                      <w:kern w:val="0"/>
                      <w:szCs w:val="21"/>
                      <w:highlight w:val="none"/>
                    </w:rPr>
                  </w:pPr>
                  <w:r>
                    <w:rPr>
                      <w:color w:val="auto"/>
                      <w:kern w:val="0"/>
                      <w:szCs w:val="21"/>
                      <w:highlight w:val="none"/>
                    </w:rPr>
                    <w:t>污染物排放管控</w:t>
                  </w:r>
                </w:p>
              </w:tc>
              <w:tc>
                <w:tcPr>
                  <w:tcW w:w="3921" w:type="dxa"/>
                  <w:tcBorders>
                    <w:tl2br w:val="nil"/>
                    <w:tr2bl w:val="nil"/>
                  </w:tcBorders>
                  <w:shd w:val="clear" w:color="auto" w:fill="auto"/>
                  <w:vAlign w:val="center"/>
                </w:tcPr>
                <w:p w14:paraId="12C28ACA">
                  <w:pPr>
                    <w:jc w:val="both"/>
                    <w:rPr>
                      <w:rFonts w:hint="eastAsia"/>
                      <w:color w:val="auto"/>
                      <w:szCs w:val="21"/>
                      <w:highlight w:val="none"/>
                      <w:lang w:val="en-US" w:eastAsia="zh-CN"/>
                    </w:rPr>
                  </w:pPr>
                  <w:r>
                    <w:rPr>
                      <w:rFonts w:hint="eastAsia"/>
                      <w:color w:val="auto"/>
                      <w:szCs w:val="21"/>
                      <w:highlight w:val="none"/>
                      <w:lang w:val="en-US" w:eastAsia="zh-CN"/>
                    </w:rPr>
                    <w:t>大气环境高排放重点管控区：</w:t>
                  </w:r>
                </w:p>
                <w:p w14:paraId="76C72508">
                  <w:pPr>
                    <w:numPr>
                      <w:ilvl w:val="0"/>
                      <w:numId w:val="3"/>
                    </w:numPr>
                    <w:jc w:val="both"/>
                    <w:rPr>
                      <w:rFonts w:hint="eastAsia"/>
                      <w:color w:val="auto"/>
                      <w:szCs w:val="21"/>
                      <w:highlight w:val="none"/>
                      <w:lang w:val="en-US" w:eastAsia="zh-CN"/>
                    </w:rPr>
                  </w:pPr>
                  <w:r>
                    <w:rPr>
                      <w:rFonts w:hint="eastAsia"/>
                      <w:color w:val="auto"/>
                      <w:szCs w:val="21"/>
                      <w:highlight w:val="none"/>
                      <w:lang w:val="en-US" w:eastAsia="zh-CN"/>
                    </w:rPr>
                    <w:t>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w:t>
                  </w:r>
                </w:p>
                <w:p w14:paraId="17796304">
                  <w:pPr>
                    <w:numPr>
                      <w:ilvl w:val="0"/>
                      <w:numId w:val="3"/>
                    </w:numPr>
                    <w:jc w:val="both"/>
                    <w:rPr>
                      <w:rFonts w:hint="eastAsia"/>
                      <w:color w:val="auto"/>
                      <w:szCs w:val="21"/>
                      <w:highlight w:val="none"/>
                      <w:lang w:val="en-US" w:eastAsia="zh-CN"/>
                    </w:rPr>
                  </w:pPr>
                  <w:r>
                    <w:rPr>
                      <w:rFonts w:hint="eastAsia"/>
                      <w:color w:val="auto"/>
                      <w:szCs w:val="21"/>
                      <w:highlight w:val="none"/>
                      <w:lang w:val="en-US" w:eastAsia="zh-CN"/>
                    </w:rPr>
                    <w:t>在工业园区、企业集群推广建设涉挥发性有机物“绿岛”项目。在工业涂装和包装印刷等行业全面推进源头替代，严格落实国家和地方产品挥发性有机物含量限值质量标准。</w:t>
                  </w:r>
                </w:p>
                <w:p w14:paraId="53CE78DD">
                  <w:pPr>
                    <w:numPr>
                      <w:ilvl w:val="0"/>
                      <w:numId w:val="3"/>
                    </w:numPr>
                    <w:jc w:val="both"/>
                    <w:rPr>
                      <w:color w:val="auto"/>
                      <w:szCs w:val="21"/>
                      <w:highlight w:val="none"/>
                    </w:rPr>
                  </w:pPr>
                  <w:r>
                    <w:rPr>
                      <w:rFonts w:hint="eastAsia"/>
                      <w:color w:val="auto"/>
                      <w:szCs w:val="21"/>
                      <w:highlight w:val="none"/>
                      <w:lang w:val="en-US" w:eastAsia="zh-CN"/>
                    </w:rPr>
                    <w:t>持续实施重点行业提标改造。降低电力、水泥、玻璃、石油、化工、有色金属、纺织印染、建材等行业大气污染排放。</w:t>
                  </w:r>
                </w:p>
                <w:p w14:paraId="4A52DE1C">
                  <w:pPr>
                    <w:numPr>
                      <w:ilvl w:val="0"/>
                      <w:numId w:val="3"/>
                    </w:numPr>
                    <w:jc w:val="both"/>
                    <w:rPr>
                      <w:color w:val="auto"/>
                      <w:szCs w:val="21"/>
                      <w:highlight w:val="none"/>
                    </w:rPr>
                  </w:pPr>
                  <w:r>
                    <w:rPr>
                      <w:rFonts w:hint="eastAsia"/>
                      <w:color w:val="auto"/>
                      <w:szCs w:val="21"/>
                      <w:highlight w:val="none"/>
                      <w:lang w:val="en-US" w:eastAsia="zh-CN"/>
                    </w:rPr>
                    <w:t>强化挥发性有机污染物（VOCs）治理。综合治理石化、化工、工业涂装、包装印刷、油品储运销、工业园区和产业集群等六大重点行业VOCs，全面推动企业VOCs治理设施升级改造。</w:t>
                  </w:r>
                </w:p>
              </w:tc>
              <w:tc>
                <w:tcPr>
                  <w:tcW w:w="2155" w:type="dxa"/>
                  <w:tcBorders>
                    <w:tl2br w:val="nil"/>
                    <w:tr2bl w:val="nil"/>
                  </w:tcBorders>
                  <w:shd w:val="clear" w:color="auto" w:fill="auto"/>
                  <w:noWrap/>
                  <w:vAlign w:val="center"/>
                </w:tcPr>
                <w:p w14:paraId="46390BE1">
                  <w:pPr>
                    <w:jc w:val="both"/>
                    <w:rPr>
                      <w:rFonts w:hint="eastAsia"/>
                      <w:color w:val="auto"/>
                      <w:szCs w:val="21"/>
                      <w:highlight w:val="none"/>
                    </w:rPr>
                  </w:pPr>
                  <w:r>
                    <w:rPr>
                      <w:rFonts w:hint="eastAsia"/>
                      <w:color w:val="auto"/>
                      <w:szCs w:val="21"/>
                      <w:highlight w:val="none"/>
                      <w:lang w:eastAsia="zh-CN"/>
                    </w:rPr>
                    <w:t>本项目属于危废收集、贮存、中转，贮存间内</w:t>
                  </w:r>
                  <w:r>
                    <w:rPr>
                      <w:rFonts w:hint="eastAsia"/>
                      <w:color w:val="auto"/>
                      <w:szCs w:val="21"/>
                      <w:highlight w:val="none"/>
                    </w:rPr>
                    <w:t>产生挥发性气体的危险废物贮存间集中布设在一个区域，并对贮存间设置为负压收集系统，废气经二级活性炭处理后</w:t>
                  </w:r>
                  <w:r>
                    <w:rPr>
                      <w:rFonts w:hint="eastAsia"/>
                      <w:color w:val="auto"/>
                      <w:szCs w:val="21"/>
                      <w:highlight w:val="none"/>
                      <w:lang w:eastAsia="zh-CN"/>
                    </w:rPr>
                    <w:t>达标</w:t>
                  </w:r>
                  <w:r>
                    <w:rPr>
                      <w:rFonts w:hint="eastAsia"/>
                      <w:color w:val="auto"/>
                      <w:szCs w:val="21"/>
                      <w:highlight w:val="none"/>
                    </w:rPr>
                    <w:t>排放。</w:t>
                  </w:r>
                </w:p>
                <w:p w14:paraId="27A3F420">
                  <w:pPr>
                    <w:jc w:val="both"/>
                    <w:rPr>
                      <w:rFonts w:hint="eastAsia"/>
                      <w:color w:val="auto"/>
                      <w:szCs w:val="21"/>
                      <w:highlight w:val="none"/>
                    </w:rPr>
                  </w:pPr>
                  <w:r>
                    <w:rPr>
                      <w:rFonts w:hint="eastAsia"/>
                      <w:color w:val="auto"/>
                      <w:szCs w:val="21"/>
                      <w:highlight w:val="none"/>
                    </w:rPr>
                    <w:t>废铅蓄电池、含酸性废液、废渣收集区设置为微负压收集系统，废气经碱液喷淋+干式过滤处理后</w:t>
                  </w:r>
                  <w:r>
                    <w:rPr>
                      <w:rFonts w:hint="eastAsia"/>
                      <w:color w:val="auto"/>
                      <w:szCs w:val="21"/>
                      <w:highlight w:val="none"/>
                      <w:lang w:eastAsia="zh-CN"/>
                    </w:rPr>
                    <w:t>达标</w:t>
                  </w:r>
                  <w:r>
                    <w:rPr>
                      <w:rFonts w:hint="eastAsia"/>
                      <w:color w:val="auto"/>
                      <w:szCs w:val="21"/>
                      <w:highlight w:val="none"/>
                    </w:rPr>
                    <w:t>排放。</w:t>
                  </w:r>
                </w:p>
                <w:p w14:paraId="6A93B5C5">
                  <w:pPr>
                    <w:jc w:val="both"/>
                    <w:rPr>
                      <w:color w:val="auto"/>
                      <w:szCs w:val="21"/>
                      <w:highlight w:val="none"/>
                    </w:rPr>
                  </w:pPr>
                </w:p>
              </w:tc>
              <w:tc>
                <w:tcPr>
                  <w:tcW w:w="688" w:type="dxa"/>
                  <w:tcBorders>
                    <w:tl2br w:val="nil"/>
                    <w:tr2bl w:val="nil"/>
                  </w:tcBorders>
                  <w:shd w:val="clear" w:color="auto" w:fill="auto"/>
                  <w:vAlign w:val="center"/>
                </w:tcPr>
                <w:p w14:paraId="7E381E34">
                  <w:pPr>
                    <w:jc w:val="both"/>
                    <w:rPr>
                      <w:color w:val="auto"/>
                      <w:szCs w:val="21"/>
                      <w:highlight w:val="none"/>
                    </w:rPr>
                  </w:pPr>
                  <w:r>
                    <w:rPr>
                      <w:color w:val="auto"/>
                      <w:szCs w:val="21"/>
                      <w:highlight w:val="none"/>
                    </w:rPr>
                    <w:t>符合</w:t>
                  </w:r>
                </w:p>
              </w:tc>
            </w:tr>
            <w:tr w14:paraId="42FE4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continue"/>
                  <w:tcBorders>
                    <w:tl2br w:val="nil"/>
                    <w:tr2bl w:val="nil"/>
                  </w:tcBorders>
                  <w:shd w:val="clear" w:color="auto" w:fill="auto"/>
                  <w:vAlign w:val="center"/>
                </w:tcPr>
                <w:p w14:paraId="0277C7DF">
                  <w:pPr>
                    <w:jc w:val="both"/>
                    <w:rPr>
                      <w:color w:val="auto"/>
                      <w:szCs w:val="21"/>
                      <w:highlight w:val="none"/>
                    </w:rPr>
                  </w:pPr>
                </w:p>
              </w:tc>
              <w:tc>
                <w:tcPr>
                  <w:tcW w:w="708" w:type="dxa"/>
                  <w:vMerge w:val="continue"/>
                  <w:tcBorders>
                    <w:tl2br w:val="nil"/>
                    <w:tr2bl w:val="nil"/>
                  </w:tcBorders>
                  <w:shd w:val="clear" w:color="auto" w:fill="auto"/>
                  <w:vAlign w:val="center"/>
                </w:tcPr>
                <w:p w14:paraId="080AAC70">
                  <w:pPr>
                    <w:widowControl/>
                    <w:jc w:val="both"/>
                    <w:textAlignment w:val="center"/>
                    <w:rPr>
                      <w:color w:val="auto"/>
                      <w:kern w:val="0"/>
                      <w:szCs w:val="21"/>
                      <w:highlight w:val="none"/>
                    </w:rPr>
                  </w:pPr>
                </w:p>
              </w:tc>
              <w:tc>
                <w:tcPr>
                  <w:tcW w:w="468" w:type="dxa"/>
                  <w:vMerge w:val="restart"/>
                  <w:tcBorders>
                    <w:tl2br w:val="nil"/>
                    <w:tr2bl w:val="nil"/>
                  </w:tcBorders>
                  <w:shd w:val="clear" w:color="auto" w:fill="auto"/>
                  <w:vAlign w:val="center"/>
                </w:tcPr>
                <w:p w14:paraId="5BAB9CD2">
                  <w:pPr>
                    <w:widowControl/>
                    <w:jc w:val="both"/>
                    <w:textAlignment w:val="center"/>
                    <w:rPr>
                      <w:rFonts w:hint="eastAsia"/>
                      <w:color w:val="auto"/>
                      <w:kern w:val="0"/>
                      <w:szCs w:val="21"/>
                      <w:highlight w:val="none"/>
                    </w:rPr>
                  </w:pPr>
                  <w:r>
                    <w:rPr>
                      <w:rFonts w:hint="eastAsia"/>
                      <w:color w:val="auto"/>
                      <w:kern w:val="0"/>
                      <w:szCs w:val="21"/>
                      <w:highlight w:val="none"/>
                    </w:rPr>
                    <w:t>陕西省凤翔高新</w:t>
                  </w:r>
                </w:p>
                <w:p w14:paraId="7AA783EE">
                  <w:pPr>
                    <w:widowControl/>
                    <w:jc w:val="both"/>
                    <w:textAlignment w:val="center"/>
                    <w:rPr>
                      <w:color w:val="auto"/>
                      <w:kern w:val="0"/>
                      <w:szCs w:val="21"/>
                      <w:highlight w:val="none"/>
                    </w:rPr>
                  </w:pPr>
                  <w:r>
                    <w:rPr>
                      <w:rFonts w:hint="eastAsia"/>
                      <w:color w:val="auto"/>
                      <w:kern w:val="0"/>
                      <w:szCs w:val="21"/>
                      <w:highlight w:val="none"/>
                    </w:rPr>
                    <w:t>技术产业开发区</w:t>
                  </w:r>
                </w:p>
              </w:tc>
              <w:tc>
                <w:tcPr>
                  <w:tcW w:w="380" w:type="dxa"/>
                  <w:tcBorders>
                    <w:tl2br w:val="nil"/>
                    <w:tr2bl w:val="nil"/>
                  </w:tcBorders>
                  <w:shd w:val="clear" w:color="auto" w:fill="auto"/>
                  <w:vAlign w:val="center"/>
                </w:tcPr>
                <w:p w14:paraId="7A49595A">
                  <w:pPr>
                    <w:widowControl/>
                    <w:jc w:val="both"/>
                    <w:textAlignment w:val="center"/>
                    <w:rPr>
                      <w:color w:val="auto"/>
                      <w:kern w:val="0"/>
                      <w:szCs w:val="21"/>
                      <w:highlight w:val="none"/>
                    </w:rPr>
                  </w:pPr>
                  <w:r>
                    <w:rPr>
                      <w:rFonts w:hint="eastAsia"/>
                      <w:color w:val="auto"/>
                      <w:kern w:val="0"/>
                      <w:szCs w:val="21"/>
                      <w:highlight w:val="none"/>
                    </w:rPr>
                    <w:t>空间布局约束</w:t>
                  </w:r>
                </w:p>
              </w:tc>
              <w:tc>
                <w:tcPr>
                  <w:tcW w:w="3921" w:type="dxa"/>
                  <w:tcBorders>
                    <w:tl2br w:val="nil"/>
                    <w:tr2bl w:val="nil"/>
                  </w:tcBorders>
                  <w:shd w:val="clear" w:color="auto" w:fill="auto"/>
                  <w:vAlign w:val="center"/>
                </w:tcPr>
                <w:p w14:paraId="4F252898">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严格按照园区规划的各功能区发展方向和要求，对区内项目进行把关。禁止建设区包括基本农田保护区、水源保护区、自然保护区的核心区、风景名胜区及森林公园的核心区、山林绿化区坡度大的地区以及高新区范围内的交通运输通道控制带。限制建设区包括风景名胜区、森林公园的控制区；自然保护区外围的控制区；一般农田地区、山林绿化区坡度较小的地区、重要生态廊道区等。</w:t>
                  </w:r>
                </w:p>
                <w:p w14:paraId="6C096918">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 大气环境受体敏感重点管控区的空间布局约束”；</w:t>
                  </w:r>
                </w:p>
                <w:p w14:paraId="79E5BDE6">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执行宝鸡市生态环境要素分区总体准入清单中“5.2 大气环境高排放重点管控区的空间布局约束”；</w:t>
                  </w:r>
                </w:p>
                <w:p w14:paraId="1885E211">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执行宝鸡市生态环境要素分区总体准入清单中“5.5 水环境工业污染重点管控区的空间布局约束”；</w:t>
                  </w:r>
                </w:p>
                <w:p w14:paraId="49C7D6A1">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执行宝鸡市生态环境要素分区总体准入清单中“5.8 农用地污染风险重点管控区的空间布局约束”；</w:t>
                  </w:r>
                </w:p>
                <w:p w14:paraId="1FA3ACDD">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执行宝鸡市生态环境要素分区总体准入清单中“5.9 建设用地污染风险重点管控区的空间布局约束”；</w:t>
                  </w:r>
                </w:p>
                <w:p w14:paraId="1E56560B">
                  <w:pPr>
                    <w:numPr>
                      <w:ilvl w:val="0"/>
                      <w:numId w:val="4"/>
                    </w:numPr>
                    <w:jc w:val="both"/>
                    <w:rPr>
                      <w:rFonts w:hint="eastAsia"/>
                      <w:color w:val="auto"/>
                      <w:szCs w:val="21"/>
                      <w:highlight w:val="none"/>
                      <w:lang w:val="en-US" w:eastAsia="zh-CN"/>
                    </w:rPr>
                  </w:pPr>
                  <w:r>
                    <w:rPr>
                      <w:rFonts w:hint="eastAsia"/>
                      <w:color w:val="auto"/>
                      <w:szCs w:val="21"/>
                      <w:highlight w:val="none"/>
                      <w:lang w:val="en-US" w:eastAsia="zh-CN"/>
                    </w:rPr>
                    <w:t>农用地优先保护区执行宝鸡市生态环境要素分区总体准入清单中“4.2农用地优先保护区的空间布局约束”。</w:t>
                  </w:r>
                </w:p>
              </w:tc>
              <w:tc>
                <w:tcPr>
                  <w:tcW w:w="2155" w:type="dxa"/>
                  <w:tcBorders>
                    <w:tl2br w:val="nil"/>
                    <w:tr2bl w:val="nil"/>
                  </w:tcBorders>
                  <w:shd w:val="clear" w:color="auto" w:fill="auto"/>
                  <w:vAlign w:val="center"/>
                </w:tcPr>
                <w:p w14:paraId="0CB13110">
                  <w:pPr>
                    <w:jc w:val="both"/>
                    <w:rPr>
                      <w:rFonts w:hint="eastAsia"/>
                      <w:color w:val="auto"/>
                      <w:szCs w:val="21"/>
                      <w:highlight w:val="none"/>
                      <w:lang w:val="en-US" w:eastAsia="zh-CN"/>
                    </w:rPr>
                  </w:pPr>
                  <w:r>
                    <w:rPr>
                      <w:rFonts w:hint="eastAsia"/>
                      <w:color w:val="auto"/>
                      <w:szCs w:val="21"/>
                      <w:highlight w:val="none"/>
                      <w:lang w:val="en-US" w:eastAsia="zh-CN"/>
                    </w:rPr>
                    <w:t>本项目在原有厂区进行扩建，原厂区位于长青工业园内，不涉及控制区。</w:t>
                  </w:r>
                </w:p>
                <w:p w14:paraId="70DF6761">
                  <w:pPr>
                    <w:pStyle w:val="26"/>
                    <w:rPr>
                      <w:rFonts w:hint="eastAsia"/>
                      <w:color w:val="auto"/>
                      <w:highlight w:val="none"/>
                      <w:lang w:val="en-US" w:eastAsia="zh-CN"/>
                    </w:rPr>
                  </w:pPr>
                </w:p>
              </w:tc>
              <w:tc>
                <w:tcPr>
                  <w:tcW w:w="688" w:type="dxa"/>
                  <w:tcBorders>
                    <w:tl2br w:val="nil"/>
                    <w:tr2bl w:val="nil"/>
                  </w:tcBorders>
                  <w:shd w:val="clear" w:color="auto" w:fill="auto"/>
                  <w:vAlign w:val="center"/>
                </w:tcPr>
                <w:p w14:paraId="36B9AD8C">
                  <w:pPr>
                    <w:jc w:val="both"/>
                    <w:rPr>
                      <w:color w:val="auto"/>
                      <w:szCs w:val="21"/>
                      <w:highlight w:val="none"/>
                    </w:rPr>
                  </w:pPr>
                  <w:r>
                    <w:rPr>
                      <w:color w:val="auto"/>
                      <w:szCs w:val="21"/>
                      <w:highlight w:val="none"/>
                    </w:rPr>
                    <w:t>符合</w:t>
                  </w:r>
                </w:p>
              </w:tc>
            </w:tr>
            <w:tr w14:paraId="057BA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8" w:hRule="atLeast"/>
                <w:jc w:val="center"/>
              </w:trPr>
              <w:tc>
                <w:tcPr>
                  <w:tcW w:w="356" w:type="dxa"/>
                  <w:vMerge w:val="continue"/>
                  <w:tcBorders>
                    <w:tl2br w:val="nil"/>
                    <w:tr2bl w:val="nil"/>
                  </w:tcBorders>
                  <w:shd w:val="clear" w:color="auto" w:fill="auto"/>
                  <w:vAlign w:val="center"/>
                </w:tcPr>
                <w:p w14:paraId="393F9F3B">
                  <w:pPr>
                    <w:jc w:val="both"/>
                    <w:rPr>
                      <w:color w:val="auto"/>
                      <w:szCs w:val="21"/>
                      <w:highlight w:val="none"/>
                    </w:rPr>
                  </w:pPr>
                </w:p>
              </w:tc>
              <w:tc>
                <w:tcPr>
                  <w:tcW w:w="708" w:type="dxa"/>
                  <w:vMerge w:val="continue"/>
                  <w:tcBorders>
                    <w:tl2br w:val="nil"/>
                    <w:tr2bl w:val="nil"/>
                  </w:tcBorders>
                  <w:shd w:val="clear" w:color="auto" w:fill="auto"/>
                  <w:vAlign w:val="center"/>
                </w:tcPr>
                <w:p w14:paraId="03BD377D">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6DCCA4F5">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403761C1">
                  <w:pPr>
                    <w:widowControl/>
                    <w:jc w:val="both"/>
                    <w:textAlignment w:val="center"/>
                    <w:rPr>
                      <w:color w:val="auto"/>
                      <w:kern w:val="0"/>
                      <w:szCs w:val="21"/>
                      <w:highlight w:val="none"/>
                    </w:rPr>
                  </w:pPr>
                  <w:r>
                    <w:rPr>
                      <w:color w:val="auto"/>
                      <w:kern w:val="0"/>
                      <w:szCs w:val="21"/>
                      <w:highlight w:val="none"/>
                    </w:rPr>
                    <w:t>污染物排放管控</w:t>
                  </w:r>
                </w:p>
              </w:tc>
              <w:tc>
                <w:tcPr>
                  <w:tcW w:w="3921" w:type="dxa"/>
                  <w:tcBorders>
                    <w:tl2br w:val="nil"/>
                    <w:tr2bl w:val="nil"/>
                  </w:tcBorders>
                  <w:shd w:val="clear" w:color="auto" w:fill="auto"/>
                  <w:vAlign w:val="center"/>
                </w:tcPr>
                <w:p w14:paraId="3E41AB51">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工业废水处理达标率 100%；园区污水处理率≥85%；固体废物处理率 100%；酿酒废水产生量≤24m3/kl；建立高新区喷雾压尘系统，使高新区大气中的总悬浮颗粒物浓度有所下降。</w:t>
                  </w:r>
                </w:p>
                <w:p w14:paraId="6C68B38F">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 大气环境受体敏感重点管控区的污染物排放管控”；</w:t>
                  </w:r>
                </w:p>
                <w:p w14:paraId="3B6AF7DA">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执行宝鸡市生态环境要素分区总体准入清单中“5.2 大气环境高排放重点管控区的污染物排放管控”；</w:t>
                  </w:r>
                </w:p>
                <w:p w14:paraId="5FE144C3">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执行宝鸡市生态环境要素分区总体准入清单中“5.5 水环境工业污染重点管控区的污染物排放管控”；</w:t>
                  </w:r>
                </w:p>
                <w:p w14:paraId="4F14D59E">
                  <w:pPr>
                    <w:numPr>
                      <w:ilvl w:val="0"/>
                      <w:numId w:val="5"/>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执行宝鸡市生态环境要素分区总体准入清单中“5.8 农用地污染风险重点管控区的污染物排放管控”。</w:t>
                  </w:r>
                </w:p>
              </w:tc>
              <w:tc>
                <w:tcPr>
                  <w:tcW w:w="2155" w:type="dxa"/>
                  <w:tcBorders>
                    <w:tl2br w:val="nil"/>
                    <w:tr2bl w:val="nil"/>
                  </w:tcBorders>
                  <w:shd w:val="clear" w:color="auto" w:fill="auto"/>
                  <w:vAlign w:val="center"/>
                </w:tcPr>
                <w:p w14:paraId="6A89F979">
                  <w:pPr>
                    <w:jc w:val="both"/>
                    <w:rPr>
                      <w:rFonts w:hint="eastAsia"/>
                      <w:color w:val="auto"/>
                      <w:szCs w:val="21"/>
                      <w:highlight w:val="none"/>
                      <w:lang w:val="en-US" w:eastAsia="zh-CN"/>
                    </w:rPr>
                  </w:pPr>
                  <w:r>
                    <w:rPr>
                      <w:rFonts w:hint="eastAsia"/>
                      <w:color w:val="auto"/>
                      <w:szCs w:val="21"/>
                      <w:highlight w:val="none"/>
                      <w:lang w:val="en-US" w:eastAsia="zh-CN"/>
                    </w:rPr>
                    <w:t>本项目本次扩建不涉及废水；</w:t>
                  </w:r>
                  <w:r>
                    <w:rPr>
                      <w:rFonts w:hint="eastAsia"/>
                      <w:color w:val="auto"/>
                      <w:szCs w:val="21"/>
                      <w:highlight w:val="none"/>
                      <w:lang w:eastAsia="zh-CN"/>
                    </w:rPr>
                    <w:t>贮存间内</w:t>
                  </w:r>
                  <w:r>
                    <w:rPr>
                      <w:rFonts w:hint="eastAsia"/>
                      <w:color w:val="auto"/>
                      <w:szCs w:val="21"/>
                      <w:highlight w:val="none"/>
                    </w:rPr>
                    <w:t>产生挥发性气体的危险废物贮存间集中布设在一个区域，并对贮存间设置为负压收集系统，废气经二级活性炭处理后</w:t>
                  </w:r>
                  <w:r>
                    <w:rPr>
                      <w:rFonts w:hint="eastAsia"/>
                      <w:color w:val="auto"/>
                      <w:szCs w:val="21"/>
                      <w:highlight w:val="none"/>
                      <w:lang w:eastAsia="zh-CN"/>
                    </w:rPr>
                    <w:t>达标</w:t>
                  </w:r>
                  <w:r>
                    <w:rPr>
                      <w:rFonts w:hint="eastAsia"/>
                      <w:color w:val="auto"/>
                      <w:szCs w:val="21"/>
                      <w:highlight w:val="none"/>
                    </w:rPr>
                    <w:t>排放。废铅蓄电池、含酸性废液、废渣收集区设置为微负压收集系统，废气经碱液喷淋+干式过滤处理后</w:t>
                  </w:r>
                  <w:r>
                    <w:rPr>
                      <w:rFonts w:hint="eastAsia"/>
                      <w:color w:val="auto"/>
                      <w:szCs w:val="21"/>
                      <w:highlight w:val="none"/>
                      <w:lang w:eastAsia="zh-CN"/>
                    </w:rPr>
                    <w:t>达标</w:t>
                  </w:r>
                  <w:r>
                    <w:rPr>
                      <w:rFonts w:hint="eastAsia"/>
                      <w:color w:val="auto"/>
                      <w:szCs w:val="21"/>
                      <w:highlight w:val="none"/>
                    </w:rPr>
                    <w:t>排放</w:t>
                  </w:r>
                  <w:r>
                    <w:rPr>
                      <w:rFonts w:hint="eastAsia"/>
                      <w:color w:val="auto"/>
                      <w:szCs w:val="21"/>
                      <w:highlight w:val="none"/>
                      <w:lang w:eastAsia="zh-CN"/>
                    </w:rPr>
                    <w:t>。</w:t>
                  </w:r>
                </w:p>
              </w:tc>
              <w:tc>
                <w:tcPr>
                  <w:tcW w:w="688" w:type="dxa"/>
                  <w:tcBorders>
                    <w:tl2br w:val="nil"/>
                    <w:tr2bl w:val="nil"/>
                  </w:tcBorders>
                  <w:shd w:val="clear" w:color="auto" w:fill="auto"/>
                  <w:vAlign w:val="center"/>
                </w:tcPr>
                <w:p w14:paraId="6AFB1638">
                  <w:pPr>
                    <w:jc w:val="both"/>
                    <w:rPr>
                      <w:color w:val="auto"/>
                      <w:szCs w:val="21"/>
                      <w:highlight w:val="none"/>
                    </w:rPr>
                  </w:pPr>
                  <w:r>
                    <w:rPr>
                      <w:color w:val="auto"/>
                      <w:szCs w:val="21"/>
                      <w:highlight w:val="none"/>
                    </w:rPr>
                    <w:t>符合</w:t>
                  </w:r>
                </w:p>
              </w:tc>
            </w:tr>
            <w:tr w14:paraId="3B2F3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93" w:hRule="atLeast"/>
                <w:jc w:val="center"/>
              </w:trPr>
              <w:tc>
                <w:tcPr>
                  <w:tcW w:w="356" w:type="dxa"/>
                  <w:vMerge w:val="continue"/>
                  <w:tcBorders>
                    <w:tl2br w:val="nil"/>
                    <w:tr2bl w:val="nil"/>
                  </w:tcBorders>
                  <w:shd w:val="clear" w:color="auto" w:fill="auto"/>
                  <w:vAlign w:val="center"/>
                </w:tcPr>
                <w:p w14:paraId="2C00C0F8">
                  <w:pPr>
                    <w:jc w:val="both"/>
                    <w:rPr>
                      <w:color w:val="auto"/>
                      <w:szCs w:val="21"/>
                      <w:highlight w:val="none"/>
                    </w:rPr>
                  </w:pPr>
                </w:p>
              </w:tc>
              <w:tc>
                <w:tcPr>
                  <w:tcW w:w="708" w:type="dxa"/>
                  <w:vMerge w:val="continue"/>
                  <w:tcBorders>
                    <w:tl2br w:val="nil"/>
                    <w:tr2bl w:val="nil"/>
                  </w:tcBorders>
                  <w:shd w:val="clear" w:color="auto" w:fill="auto"/>
                  <w:vAlign w:val="center"/>
                </w:tcPr>
                <w:p w14:paraId="1815B1D5">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2B7B9443">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4B80541F">
                  <w:pPr>
                    <w:widowControl/>
                    <w:jc w:val="both"/>
                    <w:textAlignment w:val="center"/>
                    <w:rPr>
                      <w:color w:val="auto"/>
                      <w:kern w:val="0"/>
                      <w:szCs w:val="21"/>
                      <w:highlight w:val="none"/>
                    </w:rPr>
                  </w:pPr>
                  <w:r>
                    <w:rPr>
                      <w:rFonts w:hint="eastAsia"/>
                      <w:color w:val="auto"/>
                      <w:kern w:val="0"/>
                      <w:szCs w:val="21"/>
                      <w:highlight w:val="none"/>
                    </w:rPr>
                    <w:t>环境风险防控</w:t>
                  </w:r>
                </w:p>
              </w:tc>
              <w:tc>
                <w:tcPr>
                  <w:tcW w:w="3921" w:type="dxa"/>
                  <w:tcBorders>
                    <w:tl2br w:val="nil"/>
                    <w:tr2bl w:val="nil"/>
                  </w:tcBorders>
                  <w:shd w:val="clear" w:color="auto" w:fill="auto"/>
                  <w:vAlign w:val="center"/>
                </w:tcPr>
                <w:p w14:paraId="63154BFF">
                  <w:pPr>
                    <w:numPr>
                      <w:ilvl w:val="0"/>
                      <w:numId w:val="6"/>
                    </w:numPr>
                    <w:jc w:val="both"/>
                    <w:rPr>
                      <w:rFonts w:hint="eastAsia"/>
                      <w:color w:val="auto"/>
                      <w:szCs w:val="21"/>
                      <w:highlight w:val="none"/>
                      <w:lang w:val="en-US" w:eastAsia="zh-CN"/>
                    </w:rPr>
                  </w:pPr>
                  <w:r>
                    <w:rPr>
                      <w:rFonts w:hint="eastAsia"/>
                      <w:color w:val="auto"/>
                      <w:szCs w:val="21"/>
                      <w:highlight w:val="none"/>
                      <w:lang w:val="en-US" w:eastAsia="zh-CN"/>
                    </w:rPr>
                    <w:t>建议凤翔区环保局、环境监测站与凤翔高新区共同组建凤翔高新区环境事故应急领导和监测小组，同时建立环境污染事故应急专家咨询系统，广泛聘请科研、消防、工矿部门专家参加。监测站应配备各种应急监测仪器及设备。</w:t>
                  </w:r>
                </w:p>
                <w:p w14:paraId="19794C5E">
                  <w:pPr>
                    <w:numPr>
                      <w:ilvl w:val="0"/>
                      <w:numId w:val="6"/>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执行宝鸡市生态环境要素分区总体准入清单中“5.8 农用地污染风险重点管控区的环境风险防控”；</w:t>
                  </w:r>
                </w:p>
                <w:p w14:paraId="6A734461">
                  <w:pPr>
                    <w:numPr>
                      <w:ilvl w:val="0"/>
                      <w:numId w:val="6"/>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执行宝鸡市生态环境要素分区总体准入清单中“5.9 建设用地污染风险重点管控区的环境风险防控”。</w:t>
                  </w:r>
                </w:p>
              </w:tc>
              <w:tc>
                <w:tcPr>
                  <w:tcW w:w="2155" w:type="dxa"/>
                  <w:tcBorders>
                    <w:tl2br w:val="nil"/>
                    <w:tr2bl w:val="nil"/>
                  </w:tcBorders>
                  <w:shd w:val="clear" w:color="auto" w:fill="auto"/>
                  <w:vAlign w:val="center"/>
                </w:tcPr>
                <w:p w14:paraId="72FC21F0">
                  <w:pPr>
                    <w:jc w:val="both"/>
                    <w:rPr>
                      <w:rFonts w:hint="eastAsia"/>
                      <w:color w:val="auto"/>
                      <w:szCs w:val="21"/>
                      <w:highlight w:val="none"/>
                      <w:lang w:val="en-US" w:eastAsia="zh-CN"/>
                    </w:rPr>
                  </w:pPr>
                  <w:r>
                    <w:rPr>
                      <w:rFonts w:hint="eastAsia"/>
                      <w:color w:val="auto"/>
                      <w:szCs w:val="21"/>
                      <w:highlight w:val="none"/>
                      <w:lang w:val="en-US" w:eastAsia="zh-CN"/>
                    </w:rPr>
                    <w:t>本项目在原有厂区内进行扩建，原有项目于2023年8月1日取得突发环境事件应急预案备案表，备案编号：610322-2019-67-M。本项目建成后，建设单位按照要求对全厂突发环境事件应急预案进行修编。</w:t>
                  </w:r>
                </w:p>
              </w:tc>
              <w:tc>
                <w:tcPr>
                  <w:tcW w:w="688" w:type="dxa"/>
                  <w:tcBorders>
                    <w:tl2br w:val="nil"/>
                    <w:tr2bl w:val="nil"/>
                  </w:tcBorders>
                  <w:shd w:val="clear" w:color="auto" w:fill="auto"/>
                  <w:vAlign w:val="center"/>
                </w:tcPr>
                <w:p w14:paraId="052E9E6B">
                  <w:pPr>
                    <w:jc w:val="both"/>
                    <w:rPr>
                      <w:color w:val="auto"/>
                      <w:szCs w:val="21"/>
                      <w:highlight w:val="none"/>
                    </w:rPr>
                  </w:pPr>
                  <w:r>
                    <w:rPr>
                      <w:color w:val="auto"/>
                      <w:szCs w:val="21"/>
                      <w:highlight w:val="none"/>
                    </w:rPr>
                    <w:t>符合</w:t>
                  </w:r>
                </w:p>
              </w:tc>
            </w:tr>
            <w:tr w14:paraId="59945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continue"/>
                  <w:tcBorders>
                    <w:tl2br w:val="nil"/>
                    <w:tr2bl w:val="nil"/>
                  </w:tcBorders>
                  <w:shd w:val="clear" w:color="auto" w:fill="auto"/>
                  <w:vAlign w:val="center"/>
                </w:tcPr>
                <w:p w14:paraId="1648CC63">
                  <w:pPr>
                    <w:jc w:val="both"/>
                    <w:rPr>
                      <w:color w:val="auto"/>
                      <w:szCs w:val="21"/>
                      <w:highlight w:val="none"/>
                    </w:rPr>
                  </w:pPr>
                </w:p>
              </w:tc>
              <w:tc>
                <w:tcPr>
                  <w:tcW w:w="708" w:type="dxa"/>
                  <w:vMerge w:val="continue"/>
                  <w:tcBorders>
                    <w:tl2br w:val="nil"/>
                    <w:tr2bl w:val="nil"/>
                  </w:tcBorders>
                  <w:shd w:val="clear" w:color="auto" w:fill="auto"/>
                  <w:vAlign w:val="center"/>
                </w:tcPr>
                <w:p w14:paraId="480FE6E6">
                  <w:pPr>
                    <w:widowControl/>
                    <w:jc w:val="both"/>
                    <w:textAlignment w:val="center"/>
                    <w:rPr>
                      <w:color w:val="auto"/>
                      <w:kern w:val="0"/>
                      <w:szCs w:val="21"/>
                      <w:highlight w:val="none"/>
                    </w:rPr>
                  </w:pPr>
                </w:p>
              </w:tc>
              <w:tc>
                <w:tcPr>
                  <w:tcW w:w="468" w:type="dxa"/>
                  <w:vMerge w:val="continue"/>
                  <w:tcBorders>
                    <w:tl2br w:val="nil"/>
                    <w:tr2bl w:val="nil"/>
                  </w:tcBorders>
                  <w:shd w:val="clear" w:color="auto" w:fill="auto"/>
                  <w:vAlign w:val="center"/>
                </w:tcPr>
                <w:p w14:paraId="729177BA">
                  <w:pPr>
                    <w:widowControl/>
                    <w:jc w:val="both"/>
                    <w:textAlignment w:val="center"/>
                    <w:rPr>
                      <w:color w:val="auto"/>
                      <w:kern w:val="0"/>
                      <w:szCs w:val="21"/>
                      <w:highlight w:val="none"/>
                    </w:rPr>
                  </w:pPr>
                </w:p>
              </w:tc>
              <w:tc>
                <w:tcPr>
                  <w:tcW w:w="380" w:type="dxa"/>
                  <w:tcBorders>
                    <w:tl2br w:val="nil"/>
                    <w:tr2bl w:val="nil"/>
                  </w:tcBorders>
                  <w:shd w:val="clear" w:color="auto" w:fill="auto"/>
                  <w:vAlign w:val="center"/>
                </w:tcPr>
                <w:p w14:paraId="335C90CE">
                  <w:pPr>
                    <w:widowControl/>
                    <w:jc w:val="both"/>
                    <w:textAlignment w:val="center"/>
                    <w:rPr>
                      <w:color w:val="auto"/>
                      <w:kern w:val="0"/>
                      <w:szCs w:val="21"/>
                      <w:highlight w:val="none"/>
                    </w:rPr>
                  </w:pPr>
                  <w:r>
                    <w:rPr>
                      <w:color w:val="auto"/>
                      <w:kern w:val="0"/>
                      <w:szCs w:val="21"/>
                      <w:highlight w:val="none"/>
                    </w:rPr>
                    <w:t>资源开发效率要求</w:t>
                  </w:r>
                </w:p>
              </w:tc>
              <w:tc>
                <w:tcPr>
                  <w:tcW w:w="3921" w:type="dxa"/>
                  <w:tcBorders>
                    <w:tl2br w:val="nil"/>
                    <w:tr2bl w:val="nil"/>
                  </w:tcBorders>
                  <w:shd w:val="clear" w:color="auto" w:fill="auto"/>
                  <w:vAlign w:val="center"/>
                </w:tcPr>
                <w:p w14:paraId="03D1D3B2">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酿酒地下水取水量≤30t/kL；天然气普及率≥80%，集中供热比例≥80%；在规划区中部配套建设污水处理及中水回用设施；固体废弃物综合利用率≥90%。</w:t>
                  </w:r>
                </w:p>
                <w:p w14:paraId="1BF423A8">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执行宝鸡市生态环境要素分区总体准入清单中“5.10 生态用水补给区管控分区的资源利用效率要求”；</w:t>
                  </w:r>
                </w:p>
                <w:p w14:paraId="37E9E4DA">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执行宝鸡市生态环境要素分区总体准入清单中“5.12 土地资源重点管控区的资源利用效率要求”；</w:t>
                  </w:r>
                </w:p>
                <w:p w14:paraId="76CFF099">
                  <w:pPr>
                    <w:numPr>
                      <w:ilvl w:val="0"/>
                      <w:numId w:val="7"/>
                    </w:numPr>
                    <w:jc w:val="both"/>
                    <w:rPr>
                      <w:rFonts w:hint="eastAsia"/>
                      <w:color w:val="auto"/>
                      <w:szCs w:val="21"/>
                      <w:highlight w:val="none"/>
                      <w:lang w:val="en-US" w:eastAsia="zh-CN"/>
                    </w:rPr>
                  </w:pPr>
                  <w:r>
                    <w:rPr>
                      <w:rFonts w:hint="eastAsia"/>
                      <w:color w:val="auto"/>
                      <w:szCs w:val="21"/>
                      <w:highlight w:val="none"/>
                      <w:lang w:val="en-US" w:eastAsia="zh-CN"/>
                    </w:rPr>
                    <w:t>执行宝鸡市生态环境要素分区总体准入清单中“5.13 高污染燃料禁燃区的资源利用效率要求”。</w:t>
                  </w:r>
                </w:p>
              </w:tc>
              <w:tc>
                <w:tcPr>
                  <w:tcW w:w="2155" w:type="dxa"/>
                  <w:tcBorders>
                    <w:tl2br w:val="nil"/>
                    <w:tr2bl w:val="nil"/>
                  </w:tcBorders>
                  <w:shd w:val="clear" w:color="auto" w:fill="auto"/>
                  <w:vAlign w:val="center"/>
                </w:tcPr>
                <w:p w14:paraId="14AB8569">
                  <w:pPr>
                    <w:jc w:val="both"/>
                    <w:rPr>
                      <w:rFonts w:hint="default"/>
                      <w:color w:val="auto"/>
                      <w:szCs w:val="21"/>
                      <w:highlight w:val="none"/>
                      <w:lang w:val="en-US" w:eastAsia="zh-CN"/>
                    </w:rPr>
                  </w:pPr>
                  <w:r>
                    <w:rPr>
                      <w:rFonts w:hint="eastAsia"/>
                      <w:color w:val="auto"/>
                      <w:szCs w:val="21"/>
                      <w:highlight w:val="none"/>
                      <w:lang w:val="en-US" w:eastAsia="zh-CN"/>
                    </w:rPr>
                    <w:t>本次项目不新增劳动人员，不新增用水。本项目厂区用水为园区内供水系统，不涉及地下水取水。项目生产不涉及生产用水环节，因此无中水回用环节。</w:t>
                  </w:r>
                </w:p>
              </w:tc>
              <w:tc>
                <w:tcPr>
                  <w:tcW w:w="688" w:type="dxa"/>
                  <w:tcBorders>
                    <w:tl2br w:val="nil"/>
                    <w:tr2bl w:val="nil"/>
                  </w:tcBorders>
                  <w:shd w:val="clear" w:color="auto" w:fill="auto"/>
                  <w:vAlign w:val="center"/>
                </w:tcPr>
                <w:p w14:paraId="63CB4062">
                  <w:pPr>
                    <w:jc w:val="both"/>
                    <w:rPr>
                      <w:color w:val="auto"/>
                      <w:szCs w:val="21"/>
                      <w:highlight w:val="none"/>
                    </w:rPr>
                  </w:pPr>
                  <w:r>
                    <w:rPr>
                      <w:color w:val="auto"/>
                      <w:szCs w:val="21"/>
                      <w:highlight w:val="none"/>
                    </w:rPr>
                    <w:t>符合</w:t>
                  </w:r>
                </w:p>
              </w:tc>
            </w:tr>
            <w:tr w14:paraId="0DA08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6" w:type="dxa"/>
                  <w:vMerge w:val="continue"/>
                  <w:tcBorders>
                    <w:tl2br w:val="nil"/>
                    <w:tr2bl w:val="nil"/>
                  </w:tcBorders>
                  <w:shd w:val="clear" w:color="auto" w:fill="auto"/>
                  <w:vAlign w:val="center"/>
                </w:tcPr>
                <w:p w14:paraId="461F008B">
                  <w:pPr>
                    <w:jc w:val="both"/>
                    <w:rPr>
                      <w:color w:val="auto"/>
                      <w:szCs w:val="21"/>
                      <w:highlight w:val="none"/>
                    </w:rPr>
                  </w:pPr>
                </w:p>
              </w:tc>
              <w:tc>
                <w:tcPr>
                  <w:tcW w:w="708" w:type="dxa"/>
                  <w:vMerge w:val="continue"/>
                  <w:tcBorders>
                    <w:tl2br w:val="nil"/>
                    <w:tr2bl w:val="nil"/>
                  </w:tcBorders>
                  <w:shd w:val="clear" w:color="auto" w:fill="auto"/>
                  <w:vAlign w:val="center"/>
                </w:tcPr>
                <w:p w14:paraId="08D95B5C">
                  <w:pPr>
                    <w:widowControl/>
                    <w:jc w:val="both"/>
                    <w:textAlignment w:val="center"/>
                    <w:rPr>
                      <w:color w:val="auto"/>
                      <w:kern w:val="0"/>
                      <w:szCs w:val="21"/>
                      <w:highlight w:val="none"/>
                    </w:rPr>
                  </w:pPr>
                </w:p>
              </w:tc>
              <w:tc>
                <w:tcPr>
                  <w:tcW w:w="468" w:type="dxa"/>
                  <w:tcBorders>
                    <w:tl2br w:val="nil"/>
                    <w:tr2bl w:val="nil"/>
                  </w:tcBorders>
                  <w:shd w:val="clear" w:color="auto" w:fill="auto"/>
                  <w:vAlign w:val="center"/>
                </w:tcPr>
                <w:p w14:paraId="2366B42E">
                  <w:pPr>
                    <w:widowControl/>
                    <w:jc w:val="both"/>
                    <w:textAlignment w:val="center"/>
                    <w:rPr>
                      <w:rFonts w:hint="eastAsia"/>
                      <w:color w:val="auto"/>
                      <w:kern w:val="0"/>
                      <w:szCs w:val="21"/>
                      <w:highlight w:val="none"/>
                    </w:rPr>
                  </w:pPr>
                  <w:r>
                    <w:rPr>
                      <w:rFonts w:hint="eastAsia"/>
                      <w:color w:val="auto"/>
                      <w:kern w:val="0"/>
                      <w:szCs w:val="21"/>
                      <w:highlight w:val="none"/>
                    </w:rPr>
                    <w:t>土地</w:t>
                  </w:r>
                </w:p>
                <w:p w14:paraId="7BA67B0B">
                  <w:pPr>
                    <w:widowControl/>
                    <w:jc w:val="both"/>
                    <w:textAlignment w:val="center"/>
                    <w:rPr>
                      <w:rFonts w:hint="eastAsia"/>
                      <w:color w:val="auto"/>
                      <w:kern w:val="0"/>
                      <w:szCs w:val="21"/>
                      <w:highlight w:val="none"/>
                    </w:rPr>
                  </w:pPr>
                  <w:r>
                    <w:rPr>
                      <w:rFonts w:hint="eastAsia"/>
                      <w:color w:val="auto"/>
                      <w:kern w:val="0"/>
                      <w:szCs w:val="21"/>
                      <w:highlight w:val="none"/>
                    </w:rPr>
                    <w:t>资源</w:t>
                  </w:r>
                </w:p>
                <w:p w14:paraId="1390F8D7">
                  <w:pPr>
                    <w:widowControl/>
                    <w:jc w:val="both"/>
                    <w:textAlignment w:val="center"/>
                    <w:rPr>
                      <w:rFonts w:hint="eastAsia"/>
                      <w:color w:val="auto"/>
                      <w:kern w:val="0"/>
                      <w:szCs w:val="21"/>
                      <w:highlight w:val="none"/>
                    </w:rPr>
                  </w:pPr>
                  <w:r>
                    <w:rPr>
                      <w:rFonts w:hint="eastAsia"/>
                      <w:color w:val="auto"/>
                      <w:kern w:val="0"/>
                      <w:szCs w:val="21"/>
                      <w:highlight w:val="none"/>
                    </w:rPr>
                    <w:t>重点</w:t>
                  </w:r>
                </w:p>
                <w:p w14:paraId="7ED85EC0">
                  <w:pPr>
                    <w:widowControl/>
                    <w:jc w:val="both"/>
                    <w:textAlignment w:val="center"/>
                    <w:rPr>
                      <w:rFonts w:hint="eastAsia"/>
                      <w:color w:val="auto"/>
                      <w:kern w:val="0"/>
                      <w:szCs w:val="21"/>
                      <w:highlight w:val="none"/>
                    </w:rPr>
                  </w:pPr>
                  <w:r>
                    <w:rPr>
                      <w:rFonts w:hint="eastAsia"/>
                      <w:color w:val="auto"/>
                      <w:kern w:val="0"/>
                      <w:szCs w:val="21"/>
                      <w:highlight w:val="none"/>
                    </w:rPr>
                    <w:t>管控</w:t>
                  </w:r>
                </w:p>
                <w:p w14:paraId="35A9963D">
                  <w:pPr>
                    <w:widowControl/>
                    <w:jc w:val="both"/>
                    <w:textAlignment w:val="center"/>
                    <w:rPr>
                      <w:color w:val="auto"/>
                      <w:kern w:val="0"/>
                      <w:szCs w:val="21"/>
                      <w:highlight w:val="none"/>
                    </w:rPr>
                  </w:pPr>
                  <w:r>
                    <w:rPr>
                      <w:rFonts w:hint="eastAsia"/>
                      <w:color w:val="auto"/>
                      <w:kern w:val="0"/>
                      <w:szCs w:val="21"/>
                      <w:highlight w:val="none"/>
                    </w:rPr>
                    <w:t>区</w:t>
                  </w:r>
                </w:p>
              </w:tc>
              <w:tc>
                <w:tcPr>
                  <w:tcW w:w="380" w:type="dxa"/>
                  <w:tcBorders>
                    <w:tl2br w:val="nil"/>
                    <w:tr2bl w:val="nil"/>
                  </w:tcBorders>
                  <w:shd w:val="clear" w:color="auto" w:fill="auto"/>
                  <w:vAlign w:val="center"/>
                </w:tcPr>
                <w:p w14:paraId="35B3E790">
                  <w:pPr>
                    <w:widowControl/>
                    <w:jc w:val="both"/>
                    <w:textAlignment w:val="center"/>
                    <w:rPr>
                      <w:color w:val="auto"/>
                      <w:kern w:val="0"/>
                      <w:szCs w:val="21"/>
                      <w:highlight w:val="none"/>
                    </w:rPr>
                  </w:pPr>
                </w:p>
                <w:p w14:paraId="3C4C0EED">
                  <w:pPr>
                    <w:widowControl/>
                    <w:jc w:val="both"/>
                    <w:textAlignment w:val="center"/>
                    <w:rPr>
                      <w:color w:val="auto"/>
                      <w:kern w:val="0"/>
                      <w:szCs w:val="21"/>
                      <w:highlight w:val="none"/>
                    </w:rPr>
                  </w:pPr>
                  <w:r>
                    <w:rPr>
                      <w:color w:val="auto"/>
                      <w:kern w:val="0"/>
                      <w:szCs w:val="21"/>
                      <w:highlight w:val="none"/>
                    </w:rPr>
                    <w:t>资源开发效率要求</w:t>
                  </w:r>
                </w:p>
              </w:tc>
              <w:tc>
                <w:tcPr>
                  <w:tcW w:w="3921" w:type="dxa"/>
                  <w:tcBorders>
                    <w:tl2br w:val="nil"/>
                    <w:tr2bl w:val="nil"/>
                  </w:tcBorders>
                  <w:shd w:val="clear" w:color="auto" w:fill="auto"/>
                  <w:vAlign w:val="center"/>
                </w:tcPr>
                <w:p w14:paraId="1F3F3D6C">
                  <w:pPr>
                    <w:numPr>
                      <w:ilvl w:val="0"/>
                      <w:numId w:val="8"/>
                    </w:numPr>
                    <w:jc w:val="both"/>
                    <w:rPr>
                      <w:rFonts w:hint="eastAsia"/>
                      <w:color w:val="auto"/>
                      <w:szCs w:val="21"/>
                      <w:highlight w:val="none"/>
                      <w:lang w:val="en-US" w:eastAsia="zh-CN"/>
                    </w:rPr>
                  </w:pPr>
                  <w:r>
                    <w:rPr>
                      <w:rFonts w:hint="eastAsia"/>
                      <w:color w:val="auto"/>
                      <w:szCs w:val="21"/>
                      <w:highlight w:val="none"/>
                      <w:lang w:val="en-US" w:eastAsia="zh-CN"/>
                    </w:rPr>
                    <w:t>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14:paraId="34879724">
                  <w:pPr>
                    <w:numPr>
                      <w:ilvl w:val="0"/>
                      <w:numId w:val="8"/>
                    </w:numPr>
                    <w:jc w:val="both"/>
                    <w:rPr>
                      <w:rFonts w:hint="eastAsia"/>
                      <w:color w:val="auto"/>
                      <w:szCs w:val="21"/>
                      <w:highlight w:val="none"/>
                      <w:lang w:val="en-US" w:eastAsia="zh-CN"/>
                    </w:rPr>
                  </w:pPr>
                  <w:r>
                    <w:rPr>
                      <w:rFonts w:hint="eastAsia"/>
                      <w:color w:val="auto"/>
                      <w:szCs w:val="21"/>
                      <w:highlight w:val="none"/>
                      <w:lang w:val="en-US" w:eastAsia="zh-CN"/>
                    </w:rPr>
                    <w:t>严格用地准入管理。严格执行自然资源开发利用限制和禁止目录、建设用地定额标准和市场准入负面清单。</w:t>
                  </w:r>
                </w:p>
              </w:tc>
              <w:tc>
                <w:tcPr>
                  <w:tcW w:w="2155" w:type="dxa"/>
                  <w:tcBorders>
                    <w:tl2br w:val="nil"/>
                    <w:tr2bl w:val="nil"/>
                  </w:tcBorders>
                  <w:shd w:val="clear" w:color="auto" w:fill="auto"/>
                  <w:vAlign w:val="center"/>
                </w:tcPr>
                <w:p w14:paraId="53AF9C23">
                  <w:pPr>
                    <w:jc w:val="both"/>
                    <w:rPr>
                      <w:rFonts w:hint="eastAsia"/>
                      <w:color w:val="auto"/>
                      <w:szCs w:val="21"/>
                      <w:highlight w:val="none"/>
                      <w:lang w:val="en-US" w:eastAsia="zh-CN"/>
                    </w:rPr>
                  </w:pPr>
                  <w:r>
                    <w:rPr>
                      <w:rFonts w:hint="eastAsia"/>
                      <w:color w:val="auto"/>
                      <w:szCs w:val="21"/>
                      <w:highlight w:val="none"/>
                      <w:lang w:val="en-US" w:eastAsia="zh-CN"/>
                    </w:rPr>
                    <w:t>本项目在原有厂内进行扩建，不涉及新增工业用地。</w:t>
                  </w:r>
                </w:p>
              </w:tc>
              <w:tc>
                <w:tcPr>
                  <w:tcW w:w="688" w:type="dxa"/>
                  <w:tcBorders>
                    <w:tl2br w:val="nil"/>
                    <w:tr2bl w:val="nil"/>
                  </w:tcBorders>
                  <w:shd w:val="clear" w:color="auto" w:fill="auto"/>
                  <w:vAlign w:val="center"/>
                </w:tcPr>
                <w:p w14:paraId="16E1F109">
                  <w:pPr>
                    <w:jc w:val="both"/>
                    <w:rPr>
                      <w:color w:val="auto"/>
                      <w:szCs w:val="21"/>
                      <w:highlight w:val="none"/>
                    </w:rPr>
                  </w:pPr>
                  <w:r>
                    <w:rPr>
                      <w:color w:val="auto"/>
                      <w:szCs w:val="21"/>
                      <w:highlight w:val="none"/>
                    </w:rPr>
                    <w:t>符合</w:t>
                  </w:r>
                </w:p>
              </w:tc>
            </w:tr>
          </w:tbl>
          <w:p w14:paraId="12B579E8">
            <w:pPr>
              <w:pStyle w:val="3"/>
              <w:keepLines w:val="0"/>
              <w:adjustRightInd w:val="0"/>
              <w:snapToGrid w:val="0"/>
              <w:spacing w:before="0" w:after="0" w:line="360" w:lineRule="auto"/>
              <w:ind w:firstLine="480" w:firstLineChars="200"/>
              <w:rPr>
                <w:rFonts w:ascii="Times New Roman" w:hAnsi="Times New Roman" w:eastAsia="宋体"/>
                <w:b w:val="0"/>
                <w:bCs w:val="0"/>
                <w:color w:val="auto"/>
                <w:sz w:val="24"/>
                <w:szCs w:val="24"/>
                <w:highlight w:val="none"/>
              </w:rPr>
            </w:pPr>
            <w:bookmarkStart w:id="19" w:name="_Toc28209"/>
            <w:bookmarkStart w:id="20" w:name="_Toc20962"/>
            <w:r>
              <w:rPr>
                <w:rFonts w:hint="eastAsia" w:ascii="Times New Roman" w:hAnsi="Times New Roman" w:eastAsia="宋体"/>
                <w:b w:val="0"/>
                <w:bCs w:val="0"/>
                <w:color w:val="auto"/>
                <w:sz w:val="24"/>
                <w:szCs w:val="24"/>
                <w:highlight w:val="none"/>
              </w:rPr>
              <w:t>根据上文“一图”“一表”的分析，项目位于环境管控</w:t>
            </w:r>
            <w:r>
              <w:rPr>
                <w:rFonts w:hint="eastAsia" w:ascii="Times New Roman" w:hAnsi="Times New Roman" w:eastAsia="宋体"/>
                <w:b w:val="0"/>
                <w:bCs w:val="0"/>
                <w:color w:val="auto"/>
                <w:sz w:val="24"/>
                <w:szCs w:val="24"/>
                <w:highlight w:val="none"/>
                <w:lang w:eastAsia="zh-CN"/>
              </w:rPr>
              <w:t>重点管控单元</w:t>
            </w:r>
            <w:r>
              <w:rPr>
                <w:rFonts w:hint="eastAsia" w:ascii="Times New Roman" w:hAnsi="Times New Roman" w:eastAsia="宋体"/>
                <w:b w:val="0"/>
                <w:bCs w:val="0"/>
                <w:color w:val="auto"/>
                <w:sz w:val="24"/>
                <w:szCs w:val="24"/>
                <w:highlight w:val="none"/>
              </w:rPr>
              <w:t>，项目</w:t>
            </w:r>
            <w:r>
              <w:rPr>
                <w:rFonts w:hint="eastAsia" w:ascii="Times New Roman" w:hAnsi="Times New Roman" w:eastAsia="宋体"/>
                <w:b w:val="0"/>
                <w:bCs w:val="0"/>
                <w:color w:val="auto"/>
                <w:sz w:val="24"/>
                <w:szCs w:val="24"/>
                <w:highlight w:val="none"/>
                <w:lang w:eastAsia="zh-CN"/>
              </w:rPr>
              <w:t>在原有</w:t>
            </w:r>
            <w:r>
              <w:rPr>
                <w:rFonts w:hint="eastAsia" w:ascii="Times New Roman" w:hAnsi="Times New Roman" w:eastAsia="宋体"/>
                <w:b w:val="0"/>
                <w:bCs w:val="0"/>
                <w:color w:val="auto"/>
                <w:sz w:val="24"/>
                <w:szCs w:val="24"/>
                <w:highlight w:val="none"/>
              </w:rPr>
              <w:t>已建成</w:t>
            </w:r>
            <w:r>
              <w:rPr>
                <w:rFonts w:hint="eastAsia" w:ascii="Times New Roman" w:hAnsi="Times New Roman" w:eastAsia="宋体"/>
                <w:b w:val="0"/>
                <w:bCs w:val="0"/>
                <w:color w:val="auto"/>
                <w:sz w:val="24"/>
                <w:szCs w:val="24"/>
                <w:highlight w:val="none"/>
                <w:lang w:eastAsia="zh-CN"/>
              </w:rPr>
              <w:t>综合用房内进行改造分隔</w:t>
            </w:r>
            <w:r>
              <w:rPr>
                <w:rFonts w:hint="eastAsia" w:ascii="Times New Roman" w:hAnsi="Times New Roman" w:eastAsia="宋体"/>
                <w:b w:val="0"/>
                <w:bCs w:val="0"/>
                <w:color w:val="auto"/>
                <w:sz w:val="24"/>
                <w:szCs w:val="24"/>
                <w:highlight w:val="none"/>
              </w:rPr>
              <w:t>，施工期只</w:t>
            </w:r>
            <w:r>
              <w:rPr>
                <w:rFonts w:hint="eastAsia" w:ascii="Times New Roman" w:hAnsi="Times New Roman" w:eastAsia="宋体"/>
                <w:b w:val="0"/>
                <w:bCs w:val="0"/>
                <w:color w:val="auto"/>
                <w:sz w:val="24"/>
                <w:szCs w:val="24"/>
                <w:highlight w:val="none"/>
                <w:lang w:eastAsia="zh-CN"/>
              </w:rPr>
              <w:t>对库房内部进行分隔、防渗处理</w:t>
            </w:r>
            <w:r>
              <w:rPr>
                <w:rFonts w:hint="eastAsia" w:ascii="Times New Roman" w:hAnsi="Times New Roman" w:eastAsia="宋体"/>
                <w:b w:val="0"/>
                <w:bCs w:val="0"/>
                <w:color w:val="auto"/>
                <w:sz w:val="24"/>
                <w:szCs w:val="24"/>
                <w:highlight w:val="none"/>
              </w:rPr>
              <w:t>，</w:t>
            </w:r>
            <w:r>
              <w:rPr>
                <w:rFonts w:hint="eastAsia" w:ascii="Times New Roman" w:hAnsi="Times New Roman" w:eastAsia="宋体"/>
                <w:b w:val="0"/>
                <w:bCs w:val="0"/>
                <w:color w:val="auto"/>
                <w:sz w:val="24"/>
                <w:szCs w:val="24"/>
                <w:highlight w:val="none"/>
                <w:lang w:eastAsia="zh-CN"/>
              </w:rPr>
              <w:t>不新增用地</w:t>
            </w:r>
            <w:r>
              <w:rPr>
                <w:rFonts w:hint="eastAsia" w:ascii="Times New Roman" w:hAnsi="Times New Roman" w:eastAsia="宋体"/>
                <w:b w:val="0"/>
                <w:bCs w:val="0"/>
                <w:color w:val="auto"/>
                <w:sz w:val="24"/>
                <w:szCs w:val="24"/>
                <w:highlight w:val="none"/>
              </w:rPr>
              <w:t>，项目运营期</w:t>
            </w:r>
            <w:r>
              <w:rPr>
                <w:rFonts w:ascii="Times New Roman" w:hAnsi="Times New Roman" w:eastAsia="宋体"/>
                <w:b w:val="0"/>
                <w:bCs w:val="0"/>
                <w:color w:val="auto"/>
                <w:sz w:val="24"/>
                <w:szCs w:val="24"/>
                <w:highlight w:val="none"/>
              </w:rPr>
              <w:t>产生的污染物配套相应治理设施处理后可达标排放。</w:t>
            </w:r>
            <w:bookmarkEnd w:id="19"/>
            <w:bookmarkEnd w:id="20"/>
          </w:p>
          <w:p w14:paraId="4194839C">
            <w:pPr>
              <w:adjustRightInd w:val="0"/>
              <w:snapToGrid w:val="0"/>
              <w:spacing w:line="360" w:lineRule="auto"/>
              <w:ind w:firstLine="480" w:firstLineChars="200"/>
              <w:rPr>
                <w:rFonts w:hint="eastAsia"/>
                <w:b/>
                <w:bCs/>
                <w:snapToGrid w:val="0"/>
                <w:color w:val="auto"/>
                <w:highlight w:val="none"/>
              </w:rPr>
            </w:pPr>
            <w:r>
              <w:rPr>
                <w:color w:val="auto"/>
                <w:sz w:val="24"/>
                <w:szCs w:val="24"/>
                <w:highlight w:val="none"/>
              </w:rPr>
              <w:t>综上，建设项目符合陕西省“三线一单”管控要求。</w:t>
            </w:r>
          </w:p>
          <w:p w14:paraId="0C62931A">
            <w:pPr>
              <w:autoSpaceDE w:val="0"/>
              <w:autoSpaceDN w:val="0"/>
              <w:adjustRightInd w:val="0"/>
              <w:snapToGrid w:val="0"/>
              <w:spacing w:line="360" w:lineRule="auto"/>
              <w:ind w:firstLine="482" w:firstLineChars="200"/>
              <w:jc w:val="left"/>
              <w:rPr>
                <w:b/>
                <w:bCs/>
                <w:snapToGrid w:val="0"/>
                <w:color w:val="auto"/>
                <w:sz w:val="24"/>
                <w:szCs w:val="24"/>
                <w:highlight w:val="none"/>
              </w:rPr>
            </w:pPr>
            <w:r>
              <w:rPr>
                <w:rFonts w:hint="eastAsia"/>
                <w:b/>
                <w:bCs/>
                <w:snapToGrid w:val="0"/>
                <w:color w:val="auto"/>
                <w:sz w:val="24"/>
                <w:szCs w:val="24"/>
                <w:highlight w:val="none"/>
              </w:rPr>
              <w:t>2</w:t>
            </w:r>
            <w:r>
              <w:rPr>
                <w:rFonts w:hint="eastAsia"/>
                <w:b/>
                <w:bCs/>
                <w:snapToGrid w:val="0"/>
                <w:color w:val="auto"/>
                <w:sz w:val="24"/>
                <w:szCs w:val="24"/>
                <w:highlight w:val="none"/>
                <w:lang w:val="en-US" w:eastAsia="zh-CN"/>
              </w:rPr>
              <w:t>.</w:t>
            </w:r>
            <w:r>
              <w:rPr>
                <w:b/>
                <w:bCs/>
                <w:snapToGrid w:val="0"/>
                <w:color w:val="auto"/>
                <w:sz w:val="24"/>
                <w:szCs w:val="24"/>
                <w:highlight w:val="none"/>
              </w:rPr>
              <w:t>项目</w:t>
            </w:r>
            <w:r>
              <w:rPr>
                <w:rFonts w:hint="eastAsia"/>
                <w:b/>
                <w:bCs/>
                <w:snapToGrid w:val="0"/>
                <w:color w:val="auto"/>
                <w:sz w:val="24"/>
                <w:szCs w:val="24"/>
                <w:highlight w:val="none"/>
              </w:rPr>
              <w:t>与生态环境保护法律法规</w:t>
            </w:r>
            <w:r>
              <w:rPr>
                <w:b/>
                <w:bCs/>
                <w:snapToGrid w:val="0"/>
                <w:color w:val="auto"/>
                <w:sz w:val="24"/>
                <w:szCs w:val="24"/>
                <w:highlight w:val="none"/>
              </w:rPr>
              <w:t>符合性</w:t>
            </w:r>
            <w:r>
              <w:rPr>
                <w:rFonts w:hint="eastAsia"/>
                <w:b/>
                <w:bCs/>
                <w:snapToGrid w:val="0"/>
                <w:color w:val="auto"/>
                <w:sz w:val="24"/>
                <w:szCs w:val="24"/>
                <w:highlight w:val="none"/>
              </w:rPr>
              <w:t>：</w:t>
            </w:r>
          </w:p>
          <w:p w14:paraId="04832D17">
            <w:pPr>
              <w:widowControl/>
              <w:adjustRightInd w:val="0"/>
              <w:snapToGrid w:val="0"/>
              <w:spacing w:line="360" w:lineRule="auto"/>
              <w:ind w:firstLine="480" w:firstLineChars="200"/>
              <w:rPr>
                <w:bCs/>
                <w:color w:val="auto"/>
                <w:sz w:val="24"/>
                <w:szCs w:val="24"/>
                <w:highlight w:val="none"/>
              </w:rPr>
            </w:pPr>
            <w:r>
              <w:rPr>
                <w:rFonts w:hint="eastAsia"/>
                <w:bCs/>
                <w:color w:val="auto"/>
                <w:sz w:val="24"/>
                <w:szCs w:val="24"/>
                <w:highlight w:val="none"/>
              </w:rPr>
              <w:t>本工程与相关生态环境保护法律法规政策符合性分析详见下表。</w:t>
            </w:r>
          </w:p>
          <w:p w14:paraId="05E1E479">
            <w:pPr>
              <w:adjustRightInd w:val="0"/>
              <w:snapToGrid w:val="0"/>
              <w:ind w:firstLine="422" w:firstLineChars="200"/>
              <w:jc w:val="center"/>
              <w:rPr>
                <w:b/>
                <w:color w:val="auto"/>
                <w:highlight w:val="none"/>
              </w:rPr>
            </w:pPr>
            <w:r>
              <w:rPr>
                <w:b/>
                <w:color w:val="auto"/>
                <w:highlight w:val="none"/>
              </w:rPr>
              <w:t>表1</w:t>
            </w:r>
            <w:r>
              <w:rPr>
                <w:rFonts w:hint="eastAsia"/>
                <w:b/>
                <w:color w:val="auto"/>
                <w:highlight w:val="none"/>
              </w:rPr>
              <w:t>-4</w:t>
            </w:r>
            <w:r>
              <w:rPr>
                <w:b/>
                <w:color w:val="auto"/>
                <w:highlight w:val="none"/>
              </w:rPr>
              <w:t xml:space="preserve"> 项目与</w:t>
            </w:r>
            <w:r>
              <w:rPr>
                <w:rFonts w:hint="eastAsia"/>
                <w:b/>
                <w:color w:val="auto"/>
                <w:highlight w:val="none"/>
              </w:rPr>
              <w:t>生态环境保护法律法规</w:t>
            </w:r>
            <w:r>
              <w:rPr>
                <w:b/>
                <w:color w:val="auto"/>
                <w:highlight w:val="none"/>
              </w:rPr>
              <w:t>相符性分析一览表</w:t>
            </w:r>
          </w:p>
          <w:tbl>
            <w:tblPr>
              <w:tblStyle w:val="189"/>
              <w:tblW w:w="87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0"/>
              <w:gridCol w:w="3735"/>
              <w:gridCol w:w="3242"/>
              <w:gridCol w:w="741"/>
            </w:tblGrid>
            <w:tr w14:paraId="1212F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5" w:hRule="atLeast"/>
                <w:jc w:val="center"/>
              </w:trPr>
              <w:tc>
                <w:tcPr>
                  <w:tcW w:w="1020" w:type="dxa"/>
                  <w:tcBorders>
                    <w:tl2br w:val="nil"/>
                    <w:tr2bl w:val="nil"/>
                  </w:tcBorders>
                  <w:vAlign w:val="top"/>
                </w:tcPr>
                <w:p w14:paraId="55E09B19">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名称</w:t>
                  </w:r>
                </w:p>
              </w:tc>
              <w:tc>
                <w:tcPr>
                  <w:tcW w:w="3735" w:type="dxa"/>
                  <w:tcBorders>
                    <w:tl2br w:val="nil"/>
                    <w:tr2bl w:val="nil"/>
                  </w:tcBorders>
                  <w:vAlign w:val="top"/>
                </w:tcPr>
                <w:p w14:paraId="48566504">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内容</w:t>
                  </w:r>
                </w:p>
              </w:tc>
              <w:tc>
                <w:tcPr>
                  <w:tcW w:w="3242" w:type="dxa"/>
                  <w:tcBorders>
                    <w:tl2br w:val="nil"/>
                    <w:tr2bl w:val="nil"/>
                  </w:tcBorders>
                  <w:vAlign w:val="top"/>
                </w:tcPr>
                <w:p w14:paraId="44C34D52">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本项目情况</w:t>
                  </w:r>
                </w:p>
              </w:tc>
              <w:tc>
                <w:tcPr>
                  <w:tcW w:w="741" w:type="dxa"/>
                  <w:tcBorders>
                    <w:tl2br w:val="nil"/>
                    <w:tr2bl w:val="nil"/>
                  </w:tcBorders>
                  <w:vAlign w:val="center"/>
                </w:tcPr>
                <w:p w14:paraId="06A3AE3B">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符合性</w:t>
                  </w:r>
                </w:p>
              </w:tc>
            </w:tr>
            <w:tr w14:paraId="19540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2" w:hRule="atLeast"/>
                <w:jc w:val="center"/>
              </w:trPr>
              <w:tc>
                <w:tcPr>
                  <w:tcW w:w="1020" w:type="dxa"/>
                  <w:vMerge w:val="restart"/>
                  <w:tcBorders>
                    <w:tl2br w:val="nil"/>
                    <w:tr2bl w:val="nil"/>
                  </w:tcBorders>
                  <w:vAlign w:val="top"/>
                </w:tcPr>
                <w:p w14:paraId="0107A2F1">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《国务院办公厅关于印发强化危险废物监管和利用处置能力改革实施方案的通知》（国办函〔2021〕47号）</w:t>
                  </w:r>
                </w:p>
              </w:tc>
              <w:tc>
                <w:tcPr>
                  <w:tcW w:w="3735" w:type="dxa"/>
                  <w:tcBorders>
                    <w:tl2br w:val="nil"/>
                    <w:tr2bl w:val="nil"/>
                  </w:tcBorders>
                  <w:vAlign w:val="top"/>
                </w:tcPr>
                <w:p w14:paraId="6EEBFA4B">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推动收集转运贮存专业化。深入推进生活垃圾分类，建立有害垃圾收集转运体系。支持危险废物专业收集转运和利用处置单位建设区域性收集网点和贮存设施，开展小微企业、科研机构、学校等产生的危险废物有偿收集转运服务。开展工业园区危险废物集中收集贮存试点。鼓励在有条件的高校集中区域开展实验室危险废物分类收集和预处理示范项目建设。</w:t>
                  </w:r>
                </w:p>
              </w:tc>
              <w:tc>
                <w:tcPr>
                  <w:tcW w:w="3242" w:type="dxa"/>
                  <w:vMerge w:val="restart"/>
                  <w:tcBorders>
                    <w:tl2br w:val="nil"/>
                    <w:tr2bl w:val="nil"/>
                  </w:tcBorders>
                  <w:vAlign w:val="top"/>
                </w:tcPr>
                <w:p w14:paraId="2004DCCA">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项目依托宝鸡地区工业园区危险废物开展集中收集贮存，通过整合危险废物资源信息，规范和理顺回收危险废物的渠道，压缩危险废物储存周期（收集的危险废物</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0%以上实现当天交付有资质运输单位，当日安全抵达有资质处置单位；最长暂存周期不超过一周），可大大降低危险废物暂存和运输过程中的环境风险。</w:t>
                  </w:r>
                </w:p>
              </w:tc>
              <w:tc>
                <w:tcPr>
                  <w:tcW w:w="741" w:type="dxa"/>
                  <w:tcBorders>
                    <w:tl2br w:val="nil"/>
                    <w:tr2bl w:val="nil"/>
                  </w:tcBorders>
                  <w:vAlign w:val="center"/>
                </w:tcPr>
                <w:p w14:paraId="132B1537">
                  <w:pPr>
                    <w:bidi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符合</w:t>
                  </w:r>
                </w:p>
              </w:tc>
            </w:tr>
            <w:tr w14:paraId="153198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5" w:hRule="atLeast"/>
                <w:jc w:val="center"/>
              </w:trPr>
              <w:tc>
                <w:tcPr>
                  <w:tcW w:w="1020" w:type="dxa"/>
                  <w:vMerge w:val="continue"/>
                  <w:tcBorders>
                    <w:tl2br w:val="nil"/>
                    <w:tr2bl w:val="nil"/>
                  </w:tcBorders>
                  <w:vAlign w:val="top"/>
                </w:tcPr>
                <w:p w14:paraId="19CF37B4">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751B103B">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推进转移运输便捷化。建立危险废物和医疗废物运输车辆备案制度，完善“点对点”的常备通行路线，实现危险废物和医疗废物运输车辆规范有序、安全便捷通行。</w:t>
                  </w:r>
                </w:p>
              </w:tc>
              <w:tc>
                <w:tcPr>
                  <w:tcW w:w="3242" w:type="dxa"/>
                  <w:vMerge w:val="continue"/>
                  <w:tcBorders>
                    <w:tl2br w:val="nil"/>
                    <w:tr2bl w:val="nil"/>
                  </w:tcBorders>
                  <w:vAlign w:val="top"/>
                </w:tcPr>
                <w:p w14:paraId="2417CA1D">
                  <w:pPr>
                    <w:bidi w:val="0"/>
                    <w:rPr>
                      <w:rFonts w:hint="eastAsia" w:asciiTheme="minorEastAsia" w:hAnsiTheme="minorEastAsia" w:eastAsiaTheme="minorEastAsia" w:cstheme="minorEastAsia"/>
                      <w:color w:val="auto"/>
                      <w:sz w:val="21"/>
                      <w:szCs w:val="21"/>
                      <w:highlight w:val="none"/>
                    </w:rPr>
                  </w:pPr>
                </w:p>
              </w:tc>
              <w:tc>
                <w:tcPr>
                  <w:tcW w:w="741" w:type="dxa"/>
                  <w:tcBorders>
                    <w:tl2br w:val="nil"/>
                    <w:tr2bl w:val="nil"/>
                  </w:tcBorders>
                  <w:vAlign w:val="center"/>
                </w:tcPr>
                <w:p w14:paraId="6B843085">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7CC75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1020" w:type="dxa"/>
                  <w:vMerge w:val="restart"/>
                  <w:tcBorders>
                    <w:tl2br w:val="nil"/>
                    <w:tr2bl w:val="nil"/>
                  </w:tcBorders>
                  <w:vAlign w:val="top"/>
                </w:tcPr>
                <w:p w14:paraId="2BCCCB4D">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《关于开展小微企业危险废物收集试点的通知》（环办固体函〔2022〕66号）</w:t>
                  </w:r>
                </w:p>
              </w:tc>
              <w:tc>
                <w:tcPr>
                  <w:tcW w:w="3735" w:type="dxa"/>
                  <w:tcBorders>
                    <w:tl2br w:val="nil"/>
                    <w:tr2bl w:val="nil"/>
                  </w:tcBorders>
                  <w:vAlign w:val="top"/>
                </w:tcPr>
                <w:p w14:paraId="2A1E7F7A">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通过开展试点，推动建立规范有序的小微企业危险废物收集体系，探索形成一套可推广的小微企业危险废物收集模式，研究完善危险废物收集单位管理制度，有效防范小微企业危险废物环境风险。</w:t>
                  </w:r>
                </w:p>
              </w:tc>
              <w:tc>
                <w:tcPr>
                  <w:tcW w:w="3242" w:type="dxa"/>
                  <w:tcBorders>
                    <w:tl2br w:val="nil"/>
                    <w:tr2bl w:val="nil"/>
                  </w:tcBorders>
                  <w:vAlign w:val="top"/>
                </w:tcPr>
                <w:p w14:paraId="5319BC0E">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项目建成后通过在消费末端回收危险废物，进一步完善危险废物的收集方式，整合危险废物资源信息，规范和理顺回收危险废物的渠道，压缩危险废物储存周期（收集的危险废物</w:t>
                  </w:r>
                  <w:r>
                    <w:rPr>
                      <w:rFonts w:hint="eastAsia" w:asciiTheme="minorEastAsia" w:hAnsiTheme="minorEastAsia" w:eastAsiaTheme="minorEastAsia" w:cstheme="minorEastAsia"/>
                      <w:color w:val="auto"/>
                      <w:sz w:val="21"/>
                      <w:szCs w:val="21"/>
                      <w:highlight w:val="none"/>
                      <w:lang w:val="en-US" w:eastAsia="zh-CN"/>
                    </w:rPr>
                    <w:t>中90</w:t>
                  </w:r>
                  <w:r>
                    <w:rPr>
                      <w:rFonts w:hint="eastAsia" w:asciiTheme="minorEastAsia" w:hAnsiTheme="minorEastAsia" w:eastAsiaTheme="minorEastAsia" w:cstheme="minorEastAsia"/>
                      <w:color w:val="auto"/>
                      <w:sz w:val="21"/>
                      <w:szCs w:val="21"/>
                      <w:highlight w:val="none"/>
                    </w:rPr>
                    <w:t>%以上实现当天交付有资质运输单位，当日安全抵达有资质处置单位；最长暂存周期不超过一周），降低中小企业危险废物暂存环节可能存在的环境风险。</w:t>
                  </w:r>
                </w:p>
              </w:tc>
              <w:tc>
                <w:tcPr>
                  <w:tcW w:w="741" w:type="dxa"/>
                  <w:tcBorders>
                    <w:tl2br w:val="nil"/>
                    <w:tr2bl w:val="nil"/>
                  </w:tcBorders>
                  <w:vAlign w:val="center"/>
                </w:tcPr>
                <w:p w14:paraId="4179907F">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337361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01" w:hRule="atLeast"/>
                <w:jc w:val="center"/>
              </w:trPr>
              <w:tc>
                <w:tcPr>
                  <w:tcW w:w="1020" w:type="dxa"/>
                  <w:vMerge w:val="continue"/>
                  <w:tcBorders>
                    <w:tl2br w:val="nil"/>
                    <w:tr2bl w:val="nil"/>
                  </w:tcBorders>
                  <w:vAlign w:val="top"/>
                </w:tcPr>
                <w:p w14:paraId="50B105F6">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15E16576">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集单位应具有环境科学与工程、化学等相关专业背景中级及以上专业技术职称的全职技术人员，具有符合国家和地方环境保护标准要求的包装工具、贮存场所和配套的污染防治设施，具有防范危险废物污染环境的管理制度、污染防治措施和环境应急预案等；应具有与所收集的危险废物相适应的分析检测能力，不具备相关分析检测能力的，应委托具备相关能</w:t>
                  </w:r>
                  <w:r>
                    <w:rPr>
                      <w:rFonts w:hint="eastAsia" w:asciiTheme="minorEastAsia" w:hAnsiTheme="minorEastAsia" w:eastAsiaTheme="minorEastAsia" w:cstheme="minorEastAsia"/>
                      <w:color w:val="auto"/>
                      <w:sz w:val="21"/>
                      <w:szCs w:val="21"/>
                      <w:highlight w:val="none"/>
                      <w:lang w:eastAsia="zh-CN"/>
                    </w:rPr>
                    <w:t>力的</w:t>
                  </w:r>
                  <w:r>
                    <w:rPr>
                      <w:rFonts w:hint="eastAsia" w:asciiTheme="minorEastAsia" w:hAnsiTheme="minorEastAsia" w:eastAsiaTheme="minorEastAsia" w:cstheme="minorEastAsia"/>
                      <w:color w:val="auto"/>
                      <w:sz w:val="21"/>
                      <w:szCs w:val="21"/>
                      <w:highlight w:val="none"/>
                    </w:rPr>
                    <w:t>单位开展分析检测工作。</w:t>
                  </w:r>
                </w:p>
              </w:tc>
              <w:tc>
                <w:tcPr>
                  <w:tcW w:w="3242" w:type="dxa"/>
                  <w:tcBorders>
                    <w:tl2br w:val="nil"/>
                    <w:tr2bl w:val="nil"/>
                  </w:tcBorders>
                  <w:vAlign w:val="top"/>
                </w:tcPr>
                <w:p w14:paraId="632F5C32">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本项目依托</w:t>
                  </w:r>
                  <w:r>
                    <w:rPr>
                      <w:rFonts w:hint="eastAsia" w:asciiTheme="minorEastAsia" w:hAnsiTheme="minorEastAsia" w:eastAsiaTheme="minorEastAsia" w:cstheme="minorEastAsia"/>
                      <w:color w:val="auto"/>
                      <w:sz w:val="21"/>
                      <w:szCs w:val="21"/>
                      <w:highlight w:val="none"/>
                      <w:lang w:eastAsia="zh-CN"/>
                    </w:rPr>
                    <w:t>现有公司</w:t>
                  </w:r>
                  <w:r>
                    <w:rPr>
                      <w:rFonts w:hint="eastAsia" w:asciiTheme="minorEastAsia" w:hAnsiTheme="minorEastAsia" w:eastAsiaTheme="minorEastAsia" w:cstheme="minorEastAsia"/>
                      <w:color w:val="auto"/>
                      <w:sz w:val="21"/>
                      <w:szCs w:val="21"/>
                      <w:highlight w:val="none"/>
                    </w:rPr>
                    <w:t>的全职技术人员进行服务、指导，确保项目暂存的危险废物暂存过程合规、安全，及时修订环境应急预案，落实管理制度上墙，宣传和贯彻到全面彻底，并严格落实排污许可规定的防范措施和定期监测。</w:t>
                  </w:r>
                </w:p>
              </w:tc>
              <w:tc>
                <w:tcPr>
                  <w:tcW w:w="741" w:type="dxa"/>
                  <w:tcBorders>
                    <w:tl2br w:val="nil"/>
                    <w:tr2bl w:val="nil"/>
                  </w:tcBorders>
                  <w:vAlign w:val="center"/>
                </w:tcPr>
                <w:p w14:paraId="14CB1270">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0AAD2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2" w:hRule="atLeast"/>
                <w:jc w:val="center"/>
              </w:trPr>
              <w:tc>
                <w:tcPr>
                  <w:tcW w:w="1020" w:type="dxa"/>
                  <w:vMerge w:val="restart"/>
                  <w:tcBorders>
                    <w:tl2br w:val="nil"/>
                    <w:tr2bl w:val="nil"/>
                  </w:tcBorders>
                  <w:vAlign w:val="top"/>
                </w:tcPr>
                <w:p w14:paraId="3F7AE044">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《陕西省人民政府办公厅关于印发强化危险废物监管和利用处置能力改革工作方案的通知》（陕政办函〔2021〕153号）</w:t>
                  </w:r>
                </w:p>
              </w:tc>
              <w:tc>
                <w:tcPr>
                  <w:tcW w:w="3735" w:type="dxa"/>
                  <w:tcBorders>
                    <w:tl2br w:val="nil"/>
                    <w:tr2bl w:val="nil"/>
                  </w:tcBorders>
                  <w:vAlign w:val="top"/>
                </w:tcPr>
                <w:p w14:paraId="151C3D44">
                  <w:pPr>
                    <w:bidi w:val="0"/>
                    <w:rPr>
                      <w:rFonts w:hint="eastAsia" w:asciiTheme="minorEastAsia" w:hAnsiTheme="minorEastAsia" w:eastAsiaTheme="minorEastAsia" w:cstheme="minorEastAsia"/>
                      <w:color w:val="auto"/>
                      <w:sz w:val="21"/>
                      <w:szCs w:val="21"/>
                      <w:highlight w:val="none"/>
                    </w:rPr>
                  </w:pPr>
                </w:p>
                <w:p w14:paraId="1ABA0B08">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目标：到2022年底，危险废物监管体制机制进一步完善，建立安全监管与环境监管联动机制；危险废物非法转移倾倒行为得到有效遏制。基本补齐医疗废物、危险废物收集处理设施方面短板，引导危险废物环境治理产业积极有序发展。</w:t>
                  </w:r>
                </w:p>
              </w:tc>
              <w:tc>
                <w:tcPr>
                  <w:tcW w:w="3242" w:type="dxa"/>
                  <w:tcBorders>
                    <w:tl2br w:val="nil"/>
                    <w:tr2bl w:val="nil"/>
                  </w:tcBorders>
                  <w:vAlign w:val="top"/>
                </w:tcPr>
                <w:p w14:paraId="7E0A67B0">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为危险废物收集、储存类项目，主要依托宝鸡地区工业园区危险废物开展集中收集贮存，通过进一步完善危险废物的收集方式，整合危险废物资源信息，规范和理顺回收危险废物的渠道，服务危险废物产出企业，并从根本上杜绝危险废物非法转移和倾倒。</w:t>
                  </w:r>
                </w:p>
              </w:tc>
              <w:tc>
                <w:tcPr>
                  <w:tcW w:w="741" w:type="dxa"/>
                  <w:tcBorders>
                    <w:tl2br w:val="nil"/>
                    <w:tr2bl w:val="nil"/>
                  </w:tcBorders>
                  <w:vAlign w:val="center"/>
                </w:tcPr>
                <w:p w14:paraId="4CD59AA9">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0CFB2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2" w:hRule="atLeast"/>
                <w:jc w:val="center"/>
              </w:trPr>
              <w:tc>
                <w:tcPr>
                  <w:tcW w:w="1020" w:type="dxa"/>
                  <w:vMerge w:val="continue"/>
                  <w:tcBorders>
                    <w:tl2br w:val="nil"/>
                    <w:tr2bl w:val="nil"/>
                  </w:tcBorders>
                  <w:vAlign w:val="top"/>
                </w:tcPr>
                <w:p w14:paraId="434EE4EA">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58A496B8">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强化企业主体责任：建立企业主体责任承诺制，压实企业污染环境防治和安全生产主体责任，危险废物产生、收集、贮存、运输、利用、处置单位</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以下统称危险废物相关企业</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的主要负责人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法定代表人、实际控制人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是危险废物污染环境防治和安全生</w:t>
                  </w:r>
                  <w:r>
                    <w:rPr>
                      <w:rFonts w:hint="eastAsia" w:asciiTheme="minorEastAsia" w:hAnsiTheme="minorEastAsia" w:eastAsiaTheme="minorEastAsia" w:cstheme="minorEastAsia"/>
                      <w:color w:val="auto"/>
                      <w:sz w:val="21"/>
                      <w:szCs w:val="21"/>
                      <w:highlight w:val="none"/>
                      <w:lang w:eastAsia="zh-CN"/>
                    </w:rPr>
                    <w:t>产的</w:t>
                  </w:r>
                  <w:r>
                    <w:rPr>
                      <w:rFonts w:hint="eastAsia" w:asciiTheme="minorEastAsia" w:hAnsiTheme="minorEastAsia" w:eastAsiaTheme="minorEastAsia" w:cstheme="minorEastAsia"/>
                      <w:color w:val="auto"/>
                      <w:sz w:val="21"/>
                      <w:szCs w:val="21"/>
                      <w:highlight w:val="none"/>
                    </w:rPr>
                    <w:t>第一责任人，严格落实危险废物污染环境防治和安全生产法律法规制度，依法依规投保环境污染责任保险。</w:t>
                  </w:r>
                </w:p>
              </w:tc>
              <w:tc>
                <w:tcPr>
                  <w:tcW w:w="3242" w:type="dxa"/>
                  <w:tcBorders>
                    <w:tl2br w:val="nil"/>
                    <w:tr2bl w:val="nil"/>
                  </w:tcBorders>
                  <w:vAlign w:val="top"/>
                </w:tcPr>
                <w:p w14:paraId="688B6B33">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通过制定企业环境保护制度的方式，进一步明确运营期危险废物收集、贮存及转运期间主要负责人（法定代表人、实际控制人）是危险废物污染环境防治和安全生产第一责任人，并在建成投产前就落实投保环境污染责任保险。</w:t>
                  </w:r>
                </w:p>
              </w:tc>
              <w:tc>
                <w:tcPr>
                  <w:tcW w:w="741" w:type="dxa"/>
                  <w:tcBorders>
                    <w:tl2br w:val="nil"/>
                    <w:tr2bl w:val="nil"/>
                  </w:tcBorders>
                  <w:vAlign w:val="center"/>
                </w:tcPr>
                <w:p w14:paraId="196F3872">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0B4DD7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top"/>
                </w:tcPr>
                <w:p w14:paraId="27FEBAC8">
                  <w:pPr>
                    <w:bidi w:val="0"/>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top"/>
                </w:tcPr>
                <w:p w14:paraId="17B28003">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强化危险废物收集转运贮存等过程监管：推动收集贮存转运专业化。加快推进危险废物集中收集贮存转运试点建设，支持危险废物专业收集转运、利用处置的单位和社会力量，围绕工业园区内及周边区域年产生危险废物不超过1吨的工业企业、科研机构、学校等产废量小的单位建设区域性收集网点和贮存设施，开展危险废物专业收集转运有偿服务。开展工业园区危险废物集中收集贮存试点</w:t>
                  </w:r>
                </w:p>
              </w:tc>
              <w:tc>
                <w:tcPr>
                  <w:tcW w:w="3242" w:type="dxa"/>
                  <w:tcBorders>
                    <w:tl2br w:val="nil"/>
                    <w:tr2bl w:val="nil"/>
                  </w:tcBorders>
                  <w:vAlign w:val="top"/>
                </w:tcPr>
                <w:p w14:paraId="0460E548">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危险废物收集、暂存设施为区域性收集和贮存设施，依托宝鸡地区工业园区危险废物开展集中收集贮存。建成后通过在回收危险废物，进一步完善危险废物的收集方式，整合危险废物资源信息，规范和理顺回收危险废物的渠道，压缩危险废物储存周期（收集的危险废物90%的危废一周内委托处置，暂存周期最长不超过</w:t>
                  </w:r>
                  <w:r>
                    <w:rPr>
                      <w:rFonts w:hint="eastAsia" w:asciiTheme="minorEastAsia" w:hAnsiTheme="minorEastAsia" w:eastAsiaTheme="minorEastAsia" w:cstheme="minorEastAsia"/>
                      <w:color w:val="auto"/>
                      <w:sz w:val="21"/>
                      <w:szCs w:val="21"/>
                      <w:highlight w:val="none"/>
                      <w:lang w:eastAsia="zh-CN"/>
                    </w:rPr>
                    <w:t>7天</w:t>
                  </w:r>
                  <w:r>
                    <w:rPr>
                      <w:rFonts w:hint="eastAsia" w:asciiTheme="minorEastAsia" w:hAnsiTheme="minorEastAsia" w:eastAsiaTheme="minorEastAsia" w:cstheme="minorEastAsia"/>
                      <w:color w:val="auto"/>
                      <w:sz w:val="21"/>
                      <w:szCs w:val="21"/>
                      <w:highlight w:val="none"/>
                    </w:rPr>
                    <w:t>）。</w:t>
                  </w:r>
                </w:p>
              </w:tc>
              <w:tc>
                <w:tcPr>
                  <w:tcW w:w="741" w:type="dxa"/>
                  <w:tcBorders>
                    <w:tl2br w:val="nil"/>
                    <w:tr2bl w:val="nil"/>
                  </w:tcBorders>
                  <w:vAlign w:val="center"/>
                </w:tcPr>
                <w:p w14:paraId="37149A07">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11E900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tcBorders>
                    <w:tl2br w:val="nil"/>
                    <w:tr2bl w:val="nil"/>
                  </w:tcBorders>
                  <w:vAlign w:val="top"/>
                </w:tcPr>
                <w:p w14:paraId="5FB86BEA">
                  <w:pPr>
                    <w:bidi w:val="0"/>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《陕西省危险废物处置利用设施陕西省环境保护厅办公室关于印发建设规划（2018-2025年）的通知》（陕环办发[2018]22号</w:t>
                  </w:r>
                </w:p>
              </w:tc>
              <w:tc>
                <w:tcPr>
                  <w:tcW w:w="3735" w:type="dxa"/>
                  <w:tcBorders>
                    <w:tl2br w:val="nil"/>
                    <w:tr2bl w:val="nil"/>
                  </w:tcBorders>
                  <w:vAlign w:val="top"/>
                </w:tcPr>
                <w:p w14:paraId="56F94212">
                  <w:pPr>
                    <w:widowControl w:val="0"/>
                    <w:adjustRightInd w:val="0"/>
                    <w:snapToGrid w:val="0"/>
                    <w:jc w:val="center"/>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以设区市（区）为区域统筹规划建设危险废物集中处置设施，重点推进危险废物产量较大区域集中处置设施建设，并配置含汞、镉、铅、镍等废电池、废含汞荧光灯、实验室危险废物等社会源危险废物处置设施，接纳生活、科研、教学及产废量较少的企业的危险废物，着力解决各类危险废物处置需求，为危险废物处置提供“兜底式”保障和应急需求。完善产业园区危险废物收运体系，产业园区管理机构应根据园区产业规划和企业需求，做好危险废物收集贮存转运设施的规划、建设及运营。规范废铅蓄电池和废矿物油回收网络体系。</w:t>
                  </w:r>
                </w:p>
              </w:tc>
              <w:tc>
                <w:tcPr>
                  <w:tcW w:w="3242" w:type="dxa"/>
                  <w:tcBorders>
                    <w:tl2br w:val="nil"/>
                    <w:tr2bl w:val="nil"/>
                  </w:tcBorders>
                  <w:vAlign w:val="top"/>
                </w:tcPr>
                <w:p w14:paraId="7299AC2D">
                  <w:pPr>
                    <w:bidi w:val="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本</w:t>
                  </w:r>
                  <w:r>
                    <w:rPr>
                      <w:rFonts w:hint="eastAsia" w:asciiTheme="minorEastAsia" w:hAnsiTheme="minorEastAsia" w:eastAsiaTheme="minorEastAsia" w:cstheme="minorEastAsia"/>
                      <w:color w:val="auto"/>
                      <w:sz w:val="21"/>
                      <w:szCs w:val="21"/>
                      <w:highlight w:val="none"/>
                      <w:lang w:eastAsia="zh-CN"/>
                    </w:rPr>
                    <w:t>次扩建在原有厂区</w:t>
                  </w:r>
                  <w:r>
                    <w:rPr>
                      <w:rFonts w:hint="eastAsia" w:asciiTheme="minorEastAsia" w:hAnsiTheme="minorEastAsia" w:eastAsiaTheme="minorEastAsia" w:cstheme="minorEastAsia"/>
                      <w:color w:val="auto"/>
                      <w:sz w:val="21"/>
                      <w:szCs w:val="21"/>
                      <w:highlight w:val="none"/>
                    </w:rPr>
                    <w:t>内，位于</w:t>
                  </w:r>
                  <w:r>
                    <w:rPr>
                      <w:rFonts w:hint="eastAsia" w:asciiTheme="minorEastAsia" w:hAnsiTheme="minorEastAsia" w:eastAsiaTheme="minorEastAsia" w:cstheme="minorEastAsia"/>
                      <w:color w:val="auto"/>
                      <w:sz w:val="21"/>
                      <w:szCs w:val="21"/>
                      <w:highlight w:val="none"/>
                      <w:lang w:eastAsia="zh-CN"/>
                    </w:rPr>
                    <w:t>长青工业园内</w:t>
                  </w:r>
                  <w:r>
                    <w:rPr>
                      <w:rFonts w:hint="eastAsia" w:asciiTheme="minorEastAsia" w:hAnsiTheme="minorEastAsia" w:eastAsiaTheme="minorEastAsia" w:cstheme="minorEastAsia"/>
                      <w:color w:val="auto"/>
                      <w:sz w:val="21"/>
                      <w:szCs w:val="21"/>
                      <w:highlight w:val="none"/>
                    </w:rPr>
                    <w:t>。属于</w:t>
                  </w:r>
                  <w:r>
                    <w:rPr>
                      <w:rFonts w:hint="eastAsia" w:asciiTheme="minorEastAsia" w:hAnsiTheme="minorEastAsia" w:eastAsiaTheme="minorEastAsia" w:cstheme="minorEastAsia"/>
                      <w:color w:val="auto"/>
                      <w:sz w:val="21"/>
                      <w:szCs w:val="21"/>
                      <w:highlight w:val="none"/>
                      <w:lang w:eastAsia="zh-CN"/>
                    </w:rPr>
                    <w:t>凤翔</w:t>
                  </w:r>
                  <w:r>
                    <w:rPr>
                      <w:rFonts w:hint="eastAsia" w:asciiTheme="minorEastAsia" w:hAnsiTheme="minorEastAsia" w:eastAsiaTheme="minorEastAsia" w:cstheme="minorEastAsia"/>
                      <w:color w:val="auto"/>
                      <w:sz w:val="21"/>
                      <w:szCs w:val="21"/>
                      <w:highlight w:val="none"/>
                    </w:rPr>
                    <w:t>区，项目收集符合政策规定的各类危险废物。为危废收集中心项目，严格按照相关规定进行建设、运行、管理。</w:t>
                  </w:r>
                </w:p>
              </w:tc>
              <w:tc>
                <w:tcPr>
                  <w:tcW w:w="741" w:type="dxa"/>
                  <w:tcBorders>
                    <w:tl2br w:val="nil"/>
                    <w:tr2bl w:val="nil"/>
                  </w:tcBorders>
                  <w:vAlign w:val="center"/>
                </w:tcPr>
                <w:p w14:paraId="2B34C63F">
                  <w:pPr>
                    <w:bidi w:val="0"/>
                    <w:jc w:val="center"/>
                    <w:rPr>
                      <w:rFonts w:hint="eastAsia" w:asciiTheme="minorEastAsia" w:hAnsiTheme="minorEastAsia" w:eastAsiaTheme="minorEastAsia" w:cstheme="minorEastAsia"/>
                      <w:color w:val="auto"/>
                      <w:sz w:val="21"/>
                      <w:szCs w:val="21"/>
                      <w:highlight w:val="none"/>
                    </w:rPr>
                  </w:pPr>
                </w:p>
              </w:tc>
            </w:tr>
            <w:tr w14:paraId="62758A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020" w:type="dxa"/>
                  <w:tcBorders>
                    <w:tl2br w:val="nil"/>
                    <w:tr2bl w:val="nil"/>
                  </w:tcBorders>
                  <w:vAlign w:val="top"/>
                </w:tcPr>
                <w:p w14:paraId="4B7E9E88">
                  <w:pPr>
                    <w:bidi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《陕西省危险废 物处置利用设施 建设规划》（陕 环办发〔2018〕 22  号）及其补充 说明（陕环固管函[2018]285</w:t>
                  </w:r>
                  <w:r>
                    <w:rPr>
                      <w:rFonts w:hint="eastAsia" w:asciiTheme="minorEastAsia" w:hAnsiTheme="minorEastAsia" w:eastAsiaTheme="minorEastAsia" w:cstheme="minorEastAsia"/>
                      <w:color w:val="auto"/>
                      <w:sz w:val="21"/>
                      <w:szCs w:val="21"/>
                      <w:highlight w:val="none"/>
                      <w:lang w:val="en-US" w:eastAsia="zh-CN"/>
                    </w:rPr>
                    <w:t>号</w:t>
                  </w:r>
                  <w:r>
                    <w:rPr>
                      <w:rFonts w:hint="eastAsia" w:asciiTheme="minorEastAsia" w:hAnsiTheme="minorEastAsia" w:eastAsiaTheme="minorEastAsia" w:cstheme="minorEastAsia"/>
                      <w:color w:val="auto"/>
                      <w:sz w:val="21"/>
                      <w:szCs w:val="21"/>
                      <w:highlight w:val="none"/>
                    </w:rPr>
                    <w:t>）</w:t>
                  </w:r>
                </w:p>
              </w:tc>
              <w:tc>
                <w:tcPr>
                  <w:tcW w:w="3735" w:type="dxa"/>
                  <w:tcBorders>
                    <w:tl2br w:val="nil"/>
                    <w:tr2bl w:val="nil"/>
                  </w:tcBorders>
                  <w:vAlign w:val="top"/>
                </w:tcPr>
                <w:p w14:paraId="76ACBAD0">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危险废物收集体系急需完善：众多微小企业产生的危险废物及社会源危险废物点多面广、量小分散，存在管理不规范、转移不及时，处置费用高等问题，已成为严重威胁环境安全的高风险点。废矿物油、废铅酸蓄电池等非法收集现象突出，全省正规回收量占比仅为4%和0.65%，社会源危险废物大多没有进入有资质的单位处置利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eastAsia="zh-CN"/>
                    </w:rPr>
                    <w:t>规划范围</w:t>
                  </w:r>
                  <w:r>
                    <w:rPr>
                      <w:rFonts w:hint="eastAsia" w:asciiTheme="minorEastAsia" w:hAnsiTheme="minorEastAsia" w:eastAsiaTheme="minorEastAsia" w:cstheme="minorEastAsia"/>
                      <w:color w:val="auto"/>
                      <w:sz w:val="21"/>
                      <w:szCs w:val="21"/>
                      <w:highlight w:val="none"/>
                    </w:rPr>
                    <w:t>为陕西省行政管辖范围，面积20.58平方公里”。</w:t>
                  </w:r>
                </w:p>
              </w:tc>
              <w:tc>
                <w:tcPr>
                  <w:tcW w:w="3242" w:type="dxa"/>
                  <w:tcBorders>
                    <w:tl2br w:val="nil"/>
                    <w:tr2bl w:val="nil"/>
                  </w:tcBorders>
                  <w:vAlign w:val="top"/>
                </w:tcPr>
                <w:p w14:paraId="4C8363C7">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w:t>
                  </w:r>
                  <w:r>
                    <w:rPr>
                      <w:rFonts w:hint="eastAsia" w:asciiTheme="minorEastAsia" w:hAnsiTheme="minorEastAsia" w:eastAsiaTheme="minorEastAsia" w:cstheme="minorEastAsia"/>
                      <w:color w:val="auto"/>
                      <w:sz w:val="21"/>
                      <w:szCs w:val="21"/>
                      <w:highlight w:val="none"/>
                      <w:lang w:eastAsia="zh-CN"/>
                    </w:rPr>
                    <w:t>次扩建在原有厂区</w:t>
                  </w:r>
                  <w:r>
                    <w:rPr>
                      <w:rFonts w:hint="eastAsia" w:asciiTheme="minorEastAsia" w:hAnsiTheme="minorEastAsia" w:eastAsiaTheme="minorEastAsia" w:cstheme="minorEastAsia"/>
                      <w:color w:val="auto"/>
                      <w:sz w:val="21"/>
                      <w:szCs w:val="21"/>
                      <w:highlight w:val="none"/>
                    </w:rPr>
                    <w:t>内，位于</w:t>
                  </w:r>
                  <w:r>
                    <w:rPr>
                      <w:rFonts w:hint="eastAsia" w:asciiTheme="minorEastAsia" w:hAnsiTheme="minorEastAsia" w:eastAsiaTheme="minorEastAsia" w:cstheme="minorEastAsia"/>
                      <w:color w:val="auto"/>
                      <w:sz w:val="21"/>
                      <w:szCs w:val="21"/>
                      <w:highlight w:val="none"/>
                      <w:lang w:eastAsia="zh-CN"/>
                    </w:rPr>
                    <w:t>长青工业园内</w:t>
                  </w:r>
                  <w:r>
                    <w:rPr>
                      <w:rFonts w:hint="eastAsia" w:asciiTheme="minorEastAsia" w:hAnsiTheme="minorEastAsia" w:eastAsiaTheme="minorEastAsia" w:cstheme="minorEastAsia"/>
                      <w:color w:val="auto"/>
                      <w:sz w:val="21"/>
                      <w:szCs w:val="21"/>
                      <w:highlight w:val="none"/>
                    </w:rPr>
                    <w:t>。</w:t>
                  </w:r>
                </w:p>
                <w:p w14:paraId="659849B0">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项目扩建前</w:t>
                  </w:r>
                  <w:r>
                    <w:rPr>
                      <w:rFonts w:hint="eastAsia" w:asciiTheme="minorEastAsia" w:hAnsiTheme="minorEastAsia" w:eastAsiaTheme="minorEastAsia" w:cstheme="minorEastAsia"/>
                      <w:color w:val="auto"/>
                      <w:sz w:val="21"/>
                      <w:szCs w:val="21"/>
                      <w:highlight w:val="none"/>
                      <w:lang w:eastAsia="zh-CN"/>
                    </w:rPr>
                    <w:t>主要为</w:t>
                  </w:r>
                  <w:r>
                    <w:rPr>
                      <w:rFonts w:hint="eastAsia" w:asciiTheme="minorEastAsia" w:hAnsiTheme="minorEastAsia" w:eastAsiaTheme="minorEastAsia" w:cstheme="minorEastAsia"/>
                      <w:color w:val="auto"/>
                      <w:sz w:val="21"/>
                      <w:szCs w:val="21"/>
                      <w:highlight w:val="none"/>
                    </w:rPr>
                    <w:t>回收处理废矿物油和油泥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废有机溶剂、精馏废液、废酸、废碱等生产。</w:t>
                  </w:r>
                </w:p>
                <w:p w14:paraId="24AD2A4C">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w:t>
                  </w:r>
                  <w:r>
                    <w:rPr>
                      <w:rFonts w:hint="eastAsia" w:asciiTheme="minorEastAsia" w:hAnsiTheme="minorEastAsia" w:eastAsiaTheme="minorEastAsia" w:cstheme="minorEastAsia"/>
                      <w:color w:val="auto"/>
                      <w:sz w:val="21"/>
                      <w:szCs w:val="21"/>
                      <w:highlight w:val="none"/>
                      <w:lang w:eastAsia="zh-CN"/>
                    </w:rPr>
                    <w:t>次扩建在原有厂区内新增：W2、W</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lang w:eastAsia="zh-CN"/>
                    </w:rPr>
                    <w:t>、W12、HW13、W</w:t>
                  </w:r>
                  <w:r>
                    <w:rPr>
                      <w:rFonts w:hint="eastAsia" w:asciiTheme="minorEastAsia" w:hAnsiTheme="minorEastAsia" w:eastAsiaTheme="minorEastAsia" w:cstheme="minorEastAsia"/>
                      <w:color w:val="auto"/>
                      <w:sz w:val="21"/>
                      <w:szCs w:val="21"/>
                      <w:highlight w:val="none"/>
                      <w:lang w:val="en-US" w:eastAsia="zh-CN"/>
                    </w:rPr>
                    <w:t>14</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15</w:t>
                  </w:r>
                  <w:r>
                    <w:rPr>
                      <w:rFonts w:hint="eastAsia" w:asciiTheme="minorEastAsia" w:hAnsiTheme="minorEastAsia" w:eastAsiaTheme="minorEastAsia" w:cstheme="minorEastAsia"/>
                      <w:color w:val="auto"/>
                      <w:sz w:val="21"/>
                      <w:szCs w:val="21"/>
                      <w:highlight w:val="none"/>
                      <w:lang w:eastAsia="zh-CN"/>
                    </w:rPr>
                    <w:t>、HW16、HW17、W</w:t>
                  </w:r>
                  <w:r>
                    <w:rPr>
                      <w:rFonts w:hint="eastAsia" w:asciiTheme="minorEastAsia" w:hAnsiTheme="minorEastAsia" w:eastAsiaTheme="minorEastAsia" w:cstheme="minorEastAsia"/>
                      <w:color w:val="auto"/>
                      <w:sz w:val="21"/>
                      <w:szCs w:val="21"/>
                      <w:highlight w:val="none"/>
                      <w:lang w:val="en-US" w:eastAsia="zh-CN"/>
                    </w:rPr>
                    <w:t>18</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19</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20</w:t>
                  </w:r>
                  <w:r>
                    <w:rPr>
                      <w:rFonts w:hint="eastAsia" w:asciiTheme="minorEastAsia" w:hAnsiTheme="minorEastAsia" w:eastAsiaTheme="minorEastAsia" w:cstheme="minorEastAsia"/>
                      <w:color w:val="auto"/>
                      <w:sz w:val="21"/>
                      <w:szCs w:val="21"/>
                      <w:highlight w:val="none"/>
                      <w:lang w:eastAsia="zh-CN"/>
                    </w:rPr>
                    <w:t>、HW21、HW22、HW23、W</w:t>
                  </w:r>
                  <w:r>
                    <w:rPr>
                      <w:rFonts w:hint="eastAsia" w:asciiTheme="minorEastAsia" w:hAnsiTheme="minorEastAsia" w:eastAsiaTheme="minorEastAsia" w:cstheme="minorEastAsia"/>
                      <w:color w:val="auto"/>
                      <w:sz w:val="21"/>
                      <w:szCs w:val="21"/>
                      <w:highlight w:val="none"/>
                      <w:lang w:val="en-US" w:eastAsia="zh-CN"/>
                    </w:rPr>
                    <w:t>24</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25</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26</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27</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28</w:t>
                  </w:r>
                  <w:r>
                    <w:rPr>
                      <w:rFonts w:hint="eastAsia" w:asciiTheme="minorEastAsia" w:hAnsiTheme="minorEastAsia" w:eastAsiaTheme="minorEastAsia" w:cstheme="minorEastAsia"/>
                      <w:color w:val="auto"/>
                      <w:sz w:val="21"/>
                      <w:szCs w:val="21"/>
                      <w:highlight w:val="none"/>
                      <w:lang w:eastAsia="zh-CN"/>
                    </w:rPr>
                    <w:t>、HW29、W</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lang w:eastAsia="zh-CN"/>
                    </w:rPr>
                    <w:t>、HW31、</w:t>
                  </w:r>
                  <w:r>
                    <w:rPr>
                      <w:rFonts w:hint="eastAsia" w:asciiTheme="minorEastAsia" w:hAnsiTheme="minorEastAsia" w:eastAsiaTheme="minorEastAsia" w:cstheme="minorEastAsia"/>
                      <w:color w:val="auto"/>
                      <w:sz w:val="21"/>
                      <w:szCs w:val="21"/>
                      <w:highlight w:val="none"/>
                      <w:lang w:eastAsia="zh-CN"/>
                    </w:rPr>
                    <w:t>HW32、W</w:t>
                  </w:r>
                  <w:r>
                    <w:rPr>
                      <w:rFonts w:hint="eastAsia" w:asciiTheme="minorEastAsia" w:hAnsiTheme="minorEastAsia" w:eastAsiaTheme="minorEastAsia" w:cstheme="minorEastAsia"/>
                      <w:color w:val="auto"/>
                      <w:sz w:val="21"/>
                      <w:szCs w:val="21"/>
                      <w:highlight w:val="none"/>
                      <w:lang w:val="en-US" w:eastAsia="zh-CN"/>
                    </w:rPr>
                    <w:t>33</w:t>
                  </w:r>
                  <w:r>
                    <w:rPr>
                      <w:rFonts w:hint="eastAsia" w:asciiTheme="minorEastAsia" w:hAnsiTheme="minorEastAsia" w:eastAsiaTheme="minorEastAsia" w:cstheme="minorEastAsia"/>
                      <w:color w:val="auto"/>
                      <w:sz w:val="21"/>
                      <w:szCs w:val="21"/>
                      <w:highlight w:val="none"/>
                      <w:lang w:eastAsia="zh-CN"/>
                    </w:rPr>
                    <w:t>、HW36、</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37</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38</w:t>
                  </w:r>
                  <w:r>
                    <w:rPr>
                      <w:rFonts w:hint="eastAsia" w:asciiTheme="minorEastAsia" w:hAnsiTheme="minorEastAsia" w:eastAsiaTheme="minorEastAsia" w:cstheme="minorEastAsia"/>
                      <w:color w:val="auto"/>
                      <w:sz w:val="21"/>
                      <w:szCs w:val="21"/>
                      <w:highlight w:val="none"/>
                      <w:lang w:eastAsia="zh-CN"/>
                    </w:rPr>
                    <w:t>、HW39、W</w:t>
                  </w:r>
                  <w:r>
                    <w:rPr>
                      <w:rFonts w:hint="eastAsia" w:asciiTheme="minorEastAsia" w:hAnsiTheme="minorEastAsia" w:eastAsiaTheme="minorEastAsia" w:cstheme="minorEastAsia"/>
                      <w:color w:val="auto"/>
                      <w:sz w:val="21"/>
                      <w:szCs w:val="21"/>
                      <w:highlight w:val="none"/>
                      <w:lang w:val="en-US" w:eastAsia="zh-CN"/>
                    </w:rPr>
                    <w:t>40</w:t>
                  </w:r>
                  <w:r>
                    <w:rPr>
                      <w:rFonts w:hint="eastAsia" w:asciiTheme="minorEastAsia" w:hAnsiTheme="minorEastAsia" w:eastAsiaTheme="minorEastAsia" w:cstheme="minorEastAsia"/>
                      <w:color w:val="auto"/>
                      <w:sz w:val="21"/>
                      <w:szCs w:val="21"/>
                      <w:highlight w:val="none"/>
                      <w:lang w:eastAsia="zh-CN"/>
                    </w:rPr>
                    <w:t>、W</w:t>
                  </w:r>
                  <w:r>
                    <w:rPr>
                      <w:rFonts w:hint="eastAsia" w:asciiTheme="minorEastAsia" w:hAnsiTheme="minorEastAsia" w:eastAsiaTheme="minorEastAsia" w:cstheme="minorEastAsia"/>
                      <w:color w:val="auto"/>
                      <w:sz w:val="21"/>
                      <w:szCs w:val="21"/>
                      <w:highlight w:val="none"/>
                      <w:lang w:val="en-US" w:eastAsia="zh-CN"/>
                    </w:rPr>
                    <w:t>45</w:t>
                  </w:r>
                  <w:r>
                    <w:rPr>
                      <w:rFonts w:hint="eastAsia" w:asciiTheme="minorEastAsia" w:hAnsiTheme="minorEastAsia" w:eastAsiaTheme="minorEastAsia" w:cstheme="minorEastAsia"/>
                      <w:color w:val="auto"/>
                      <w:sz w:val="21"/>
                      <w:szCs w:val="21"/>
                      <w:highlight w:val="none"/>
                      <w:lang w:eastAsia="zh-CN"/>
                    </w:rPr>
                    <w:t>、HW46、W</w:t>
                  </w:r>
                  <w:r>
                    <w:rPr>
                      <w:rFonts w:hint="eastAsia" w:asciiTheme="minorEastAsia" w:hAnsiTheme="minorEastAsia" w:eastAsiaTheme="minorEastAsia" w:cstheme="minorEastAsia"/>
                      <w:color w:val="auto"/>
                      <w:sz w:val="21"/>
                      <w:szCs w:val="21"/>
                      <w:highlight w:val="none"/>
                      <w:lang w:val="en-US" w:eastAsia="zh-CN"/>
                    </w:rPr>
                    <w:t>47</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eastAsia="zh-CN"/>
                    </w:rPr>
                    <w:t>HW48、HW49、HW50，</w:t>
                  </w:r>
                  <w:r>
                    <w:rPr>
                      <w:rFonts w:hint="eastAsia" w:asciiTheme="minorEastAsia" w:hAnsiTheme="minorEastAsia" w:eastAsiaTheme="minorEastAsia" w:cstheme="minorEastAsia"/>
                      <w:color w:val="auto"/>
                      <w:sz w:val="21"/>
                      <w:szCs w:val="21"/>
                      <w:highlight w:val="none"/>
                      <w:lang w:val="en-US" w:eastAsia="zh-CN"/>
                    </w:rPr>
                    <w:t>44类危险废物</w:t>
                  </w:r>
                  <w:r>
                    <w:rPr>
                      <w:rFonts w:hint="eastAsia" w:asciiTheme="minorEastAsia" w:hAnsiTheme="minorEastAsia" w:eastAsiaTheme="minorEastAsia" w:cstheme="minorEastAsia"/>
                      <w:color w:val="auto"/>
                      <w:sz w:val="21"/>
                      <w:szCs w:val="21"/>
                      <w:highlight w:val="none"/>
                    </w:rPr>
                    <w:t>的收</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转运工作。</w:t>
                  </w:r>
                </w:p>
                <w:p w14:paraId="71F61129">
                  <w:pPr>
                    <w:bidi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建成后通过在回收危险废物，进一步完善危险废物的收集方式，整合危险废物资源信息，规范和理顺回收危险废物的渠道，压缩危险废物储存周期（收集的危险废物90%的危废一周内委托处置，暂存周期最长不超过</w:t>
                  </w:r>
                  <w:r>
                    <w:rPr>
                      <w:rFonts w:hint="eastAsia" w:asciiTheme="minorEastAsia" w:hAnsiTheme="minorEastAsia" w:eastAsiaTheme="minorEastAsia" w:cstheme="minorEastAsia"/>
                      <w:color w:val="auto"/>
                      <w:sz w:val="21"/>
                      <w:szCs w:val="21"/>
                      <w:highlight w:val="none"/>
                      <w:lang w:eastAsia="zh-CN"/>
                    </w:rPr>
                    <w:t>7天</w:t>
                  </w:r>
                  <w:r>
                    <w:rPr>
                      <w:rFonts w:hint="eastAsia" w:asciiTheme="minorEastAsia" w:hAnsiTheme="minorEastAsia" w:eastAsiaTheme="minorEastAsia" w:cstheme="minorEastAsia"/>
                      <w:color w:val="auto"/>
                      <w:sz w:val="21"/>
                      <w:szCs w:val="21"/>
                      <w:highlight w:val="none"/>
                    </w:rPr>
                    <w:t>），降低中小企业危险废物暂存环节可能存在的环境风险，符合国家循环经济和宝鸡市发展的要求，是节省资源、减少环境污染、降低环境风险的具体实践，可实现环境效益、社会效益和经济效益的同步发展。</w:t>
                  </w:r>
                </w:p>
              </w:tc>
              <w:tc>
                <w:tcPr>
                  <w:tcW w:w="741" w:type="dxa"/>
                  <w:tcBorders>
                    <w:tl2br w:val="nil"/>
                    <w:tr2bl w:val="nil"/>
                  </w:tcBorders>
                  <w:vAlign w:val="center"/>
                </w:tcPr>
                <w:p w14:paraId="482D0009">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72C5E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020" w:type="dxa"/>
                  <w:vMerge w:val="restart"/>
                  <w:tcBorders>
                    <w:tl2br w:val="nil"/>
                    <w:tr2bl w:val="nil"/>
                  </w:tcBorders>
                  <w:vAlign w:val="center"/>
                </w:tcPr>
                <w:p w14:paraId="37BDB22A">
                  <w:pPr>
                    <w:bidi w:val="0"/>
                    <w:jc w:val="center"/>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宝鸡市小微企业及社会源危险废物集中收集试点工作方案</w:t>
                  </w:r>
                </w:p>
              </w:tc>
              <w:tc>
                <w:tcPr>
                  <w:tcW w:w="3735" w:type="dxa"/>
                  <w:tcBorders>
                    <w:tl2br w:val="nil"/>
                    <w:tr2bl w:val="nil"/>
                  </w:tcBorders>
                  <w:vAlign w:val="center"/>
                </w:tcPr>
                <w:p w14:paraId="21F86023">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(四)试点收集范围</w:t>
                  </w:r>
                </w:p>
                <w:p w14:paraId="0DF27728">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1.小微企业试点区域内危险废物(不含医疗废物)年产生总量5吨以下的产废企业。</w:t>
                  </w:r>
                </w:p>
                <w:p w14:paraId="1DDE0A3E">
                  <w:pPr>
                    <w:widowControl w:val="0"/>
                    <w:adjustRightInd w:val="0"/>
                    <w:snapToGrid w:val="0"/>
                    <w:jc w:val="center"/>
                    <w:rPr>
                      <w:rFonts w:hint="eastAsia" w:asciiTheme="minorEastAsia" w:hAnsiTheme="minorEastAsia" w:eastAsiaTheme="minorEastAsia" w:cstheme="minorEastAsia"/>
                      <w:color w:val="auto"/>
                      <w:sz w:val="21"/>
                      <w:szCs w:val="21"/>
                      <w:highlight w:val="none"/>
                    </w:rPr>
                  </w:pPr>
                  <w:r>
                    <w:rPr>
                      <w:rFonts w:hint="default" w:ascii="Times New Roman" w:hAnsi="Times New Roman" w:eastAsia="宋体" w:cs="Times New Roman"/>
                      <w:color w:val="auto"/>
                      <w:sz w:val="21"/>
                      <w:szCs w:val="21"/>
                      <w:highlight w:val="none"/>
                    </w:rPr>
                    <w:t>2.社会源(1)各教育、科研、医疗、检测机构和机关、企事业单位产生的危险废物。(2)汽修、电动自行车维修活动中产生的危险废物；(3)生活垃圾暂存点产生的有害垃圾；(4)禁止收集、贮存医疗废物及具有爆炸性、剧毒性、反应性、感染性的危险废物，无明确利用处置途径、成分不明和环境风险不可控的危险废物及有关行政管理部门认为不宜收集贮存的危险废物。</w:t>
                  </w:r>
                </w:p>
              </w:tc>
              <w:tc>
                <w:tcPr>
                  <w:tcW w:w="3242" w:type="dxa"/>
                  <w:tcBorders>
                    <w:tl2br w:val="nil"/>
                    <w:tr2bl w:val="nil"/>
                  </w:tcBorders>
                  <w:vAlign w:val="center"/>
                </w:tcPr>
                <w:p w14:paraId="3D317489">
                  <w:pPr>
                    <w:bidi w:val="0"/>
                    <w:ind w:firstLine="420" w:firstLineChars="200"/>
                    <w:jc w:val="center"/>
                    <w:rPr>
                      <w:rFonts w:hint="eastAsia" w:eastAsia="宋体" w:asciiTheme="minorEastAsia" w:hAnsiTheme="minorEastAsia" w:cstheme="minorEastAsia"/>
                      <w:color w:val="auto"/>
                      <w:sz w:val="21"/>
                      <w:szCs w:val="21"/>
                      <w:highlight w:val="none"/>
                      <w:lang w:eastAsia="zh-CN"/>
                    </w:rPr>
                  </w:pPr>
                  <w:r>
                    <w:rPr>
                      <w:rFonts w:hint="default" w:ascii="Times New Roman" w:hAnsi="Times New Roman" w:eastAsia="宋体" w:cs="Times New Roman"/>
                      <w:color w:val="auto"/>
                      <w:sz w:val="21"/>
                      <w:szCs w:val="21"/>
                      <w:highlight w:val="none"/>
                    </w:rPr>
                    <w:t>本项目建成后主要收集宝鸡市及周边区小微企业及社会源产生的危险废物，符合该方案的要求；本环评要求收集过程应严格按照该工作方案要求进行危废的收集</w:t>
                  </w:r>
                  <w:r>
                    <w:rPr>
                      <w:rFonts w:hint="eastAsia" w:cs="Times New Roman"/>
                      <w:color w:val="auto"/>
                      <w:sz w:val="21"/>
                      <w:szCs w:val="21"/>
                      <w:highlight w:val="none"/>
                      <w:lang w:eastAsia="zh-CN"/>
                    </w:rPr>
                    <w:t>。</w:t>
                  </w:r>
                </w:p>
              </w:tc>
              <w:tc>
                <w:tcPr>
                  <w:tcW w:w="741" w:type="dxa"/>
                  <w:tcBorders>
                    <w:tl2br w:val="nil"/>
                    <w:tr2bl w:val="nil"/>
                  </w:tcBorders>
                  <w:vAlign w:val="center"/>
                </w:tcPr>
                <w:p w14:paraId="54698263">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21511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1020" w:type="dxa"/>
                  <w:vMerge w:val="continue"/>
                  <w:tcBorders>
                    <w:tl2br w:val="nil"/>
                    <w:tr2bl w:val="nil"/>
                  </w:tcBorders>
                  <w:vAlign w:val="center"/>
                </w:tcPr>
                <w:p w14:paraId="27F084A0">
                  <w:pPr>
                    <w:bidi w:val="0"/>
                    <w:jc w:val="center"/>
                    <w:rPr>
                      <w:rFonts w:hint="default" w:ascii="Times New Roman" w:hAnsi="Times New Roman" w:eastAsia="宋体" w:cs="Times New Roman"/>
                      <w:color w:val="auto"/>
                      <w:sz w:val="21"/>
                      <w:szCs w:val="21"/>
                      <w:highlight w:val="none"/>
                    </w:rPr>
                  </w:pPr>
                </w:p>
              </w:tc>
              <w:tc>
                <w:tcPr>
                  <w:tcW w:w="3735" w:type="dxa"/>
                  <w:tcBorders>
                    <w:tl2br w:val="nil"/>
                    <w:tr2bl w:val="nil"/>
                  </w:tcBorders>
                  <w:vAlign w:val="center"/>
                </w:tcPr>
                <w:p w14:paraId="1203ADCE">
                  <w:pPr>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陕西省内具备以下条件的危险废物经营单位，均可申请小微企业及社会源危险废物收集试点：</w:t>
                  </w:r>
                  <w:r>
                    <w:rPr>
                      <w:rFonts w:hint="default" w:ascii="Times New Roman" w:hAnsi="Times New Roman" w:eastAsia="宋体" w:cs="Times New Roman"/>
                      <w:b/>
                      <w:color w:val="auto"/>
                      <w:sz w:val="21"/>
                      <w:szCs w:val="21"/>
                      <w:highlight w:val="none"/>
                    </w:rPr>
                    <w:t>1.资质要求:</w:t>
                  </w:r>
                  <w:r>
                    <w:rPr>
                      <w:rFonts w:hint="default" w:ascii="Times New Roman" w:hAnsi="Times New Roman" w:eastAsia="宋体" w:cs="Times New Roman"/>
                      <w:color w:val="auto"/>
                      <w:sz w:val="21"/>
                      <w:szCs w:val="21"/>
                      <w:highlight w:val="none"/>
                    </w:rPr>
                    <w:t>申请试点的单位应当为持有危险废物经营许可证的独立法人企业，危险废物规范化环境管理考核评估达标且近三年内未发生环境违法问题。</w:t>
                  </w:r>
                  <w:r>
                    <w:rPr>
                      <w:rFonts w:hint="default" w:ascii="Times New Roman" w:hAnsi="Times New Roman" w:eastAsia="宋体" w:cs="Times New Roman"/>
                      <w:b/>
                      <w:color w:val="auto"/>
                      <w:sz w:val="21"/>
                      <w:szCs w:val="21"/>
                      <w:highlight w:val="none"/>
                    </w:rPr>
                    <w:t>2.人员要求:</w:t>
                  </w:r>
                  <w:r>
                    <w:rPr>
                      <w:rFonts w:hint="default" w:ascii="Times New Roman" w:hAnsi="Times New Roman" w:eastAsia="宋体" w:cs="Times New Roman"/>
                      <w:color w:val="auto"/>
                      <w:sz w:val="21"/>
                      <w:szCs w:val="21"/>
                      <w:highlight w:val="none"/>
                    </w:rPr>
                    <w:t>具有3名以上环境科学与工程、化学等相关专业背景中级及以上专业技术职称，并有3年以上固体废物污染治理经历的全职技术人员。</w:t>
                  </w:r>
                  <w:r>
                    <w:rPr>
                      <w:rFonts w:hint="default" w:ascii="Times New Roman" w:hAnsi="Times New Roman" w:eastAsia="宋体" w:cs="Times New Roman"/>
                      <w:b/>
                      <w:color w:val="auto"/>
                      <w:sz w:val="21"/>
                      <w:szCs w:val="21"/>
                      <w:highlight w:val="none"/>
                    </w:rPr>
                    <w:t>3.场所要求:</w:t>
                  </w:r>
                  <w:r>
                    <w:rPr>
                      <w:rFonts w:hint="default" w:ascii="Times New Roman" w:hAnsi="Times New Roman" w:eastAsia="宋体" w:cs="Times New Roman"/>
                      <w:color w:val="auto"/>
                      <w:sz w:val="21"/>
                      <w:szCs w:val="21"/>
                      <w:highlight w:val="none"/>
                    </w:rPr>
                    <w:t>在试点区域内具备国家和地方环境保护标准的贮存场所(或中转站)，贮存场所面积不低于500m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须符合环境影响评价、突发环境事件应急预案、排污许可、消防、安全生产等相关要求。利用现有危险废物贮存场所的，如增加危险废物贮存种类或数量、需要改(扩)建或及发生其他建设项目重大变动的，须重新按照上述要求办理相关手续，</w:t>
                  </w:r>
                  <w:r>
                    <w:rPr>
                      <w:rFonts w:hint="default" w:ascii="Times New Roman" w:hAnsi="Times New Roman" w:eastAsia="宋体" w:cs="Times New Roman"/>
                      <w:b/>
                      <w:color w:val="auto"/>
                      <w:sz w:val="21"/>
                      <w:szCs w:val="21"/>
                      <w:highlight w:val="none"/>
                    </w:rPr>
                    <w:t>4.规模要求:</w:t>
                  </w:r>
                  <w:r>
                    <w:rPr>
                      <w:rFonts w:hint="default" w:ascii="Times New Roman" w:hAnsi="Times New Roman" w:eastAsia="宋体" w:cs="Times New Roman"/>
                      <w:color w:val="auto"/>
                      <w:sz w:val="21"/>
                      <w:szCs w:val="21"/>
                      <w:highlight w:val="none"/>
                    </w:rPr>
                    <w:t>试点单位应根据自身设施条件，合理确定危险废物收集种类及规模。试点单位收集点最大贮存量不得超过有效库容的80%。</w:t>
                  </w:r>
                  <w:r>
                    <w:rPr>
                      <w:rFonts w:hint="default" w:ascii="Times New Roman" w:hAnsi="Times New Roman" w:cs="Times New Roman"/>
                      <w:b/>
                      <w:bCs/>
                      <w:color w:val="auto"/>
                      <w:sz w:val="21"/>
                      <w:szCs w:val="21"/>
                      <w:highlight w:val="none"/>
                      <w:lang w:val="en-US" w:eastAsia="zh-CN"/>
                    </w:rPr>
                    <w:t>5.运输要求：</w:t>
                  </w:r>
                  <w:r>
                    <w:rPr>
                      <w:rFonts w:hint="default" w:ascii="Times New Roman" w:hAnsi="Times New Roman" w:eastAsia="宋体" w:cs="Times New Roman"/>
                      <w:color w:val="auto"/>
                      <w:sz w:val="21"/>
                      <w:szCs w:val="21"/>
                      <w:highlight w:val="none"/>
                    </w:rPr>
                    <w:t>建设单位自行配备自有专用运输车辆及人员，不得租赁第三方车辆或委托第三方机构参与运输。该车辆专用于内部运输，运输车辆统一采用具备“防扬散、防渗漏、防遗撒”措施的封闭式货车，加装货仓监控GPS及蓝牙电子磅秤，车身显著位置喷涂“小微企业及社会源危险废物收集试点专用车辆”标识</w:t>
                  </w:r>
                </w:p>
              </w:tc>
              <w:tc>
                <w:tcPr>
                  <w:tcW w:w="3242" w:type="dxa"/>
                  <w:tcBorders>
                    <w:tl2br w:val="nil"/>
                    <w:tr2bl w:val="nil"/>
                  </w:tcBorders>
                  <w:vAlign w:val="center"/>
                </w:tcPr>
                <w:p w14:paraId="19B216DF">
                  <w:pPr>
                    <w:bidi w:val="0"/>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建设单位为已取得危险废物经营许可证的独立法人企业，危险废物规范化环境管理考核评估达标且近三年内未发生环境违法问题。②本项目建成后拟设置具有3名以上环境科学与工程、化学等相关专业背景中级及以上专业技术职称，并有3年以上固体废物污染治理经历的全职技术人员。</w:t>
                  </w:r>
                </w:p>
                <w:p w14:paraId="2ADAF3FA">
                  <w:pPr>
                    <w:bidi w:val="0"/>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4"/>
                      <w:highlight w:val="none"/>
                    </w:rPr>
                    <w:t>本项目在原有厂区进行扩建，原厂区位于长青工业园内，</w:t>
                  </w:r>
                  <w:r>
                    <w:rPr>
                      <w:rFonts w:hint="eastAsia" w:cs="Times New Roman"/>
                      <w:color w:val="auto"/>
                      <w:sz w:val="21"/>
                      <w:szCs w:val="24"/>
                      <w:highlight w:val="none"/>
                      <w:lang w:eastAsia="zh-CN"/>
                    </w:rPr>
                    <w:t>本次扩建</w:t>
                  </w:r>
                  <w:r>
                    <w:rPr>
                      <w:rFonts w:hint="default" w:ascii="Times New Roman" w:hAnsi="Times New Roman" w:eastAsia="宋体" w:cs="Times New Roman"/>
                      <w:color w:val="auto"/>
                      <w:sz w:val="21"/>
                      <w:szCs w:val="21"/>
                      <w:highlight w:val="none"/>
                    </w:rPr>
                    <w:t>贮存场所</w:t>
                  </w:r>
                  <w:r>
                    <w:rPr>
                      <w:rFonts w:hint="eastAsia"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rPr>
                    <w:t>1668.26m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，场所符合环境影响评价、突发环境事件应急预案、排污许可、消防、安全生产等相关要求。</w:t>
                  </w:r>
                </w:p>
                <w:p w14:paraId="2D910E63">
                  <w:pPr>
                    <w:bidi w:val="0"/>
                    <w:ind w:firstLine="420" w:firstLineChars="20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④</w:t>
                  </w:r>
                  <w:r>
                    <w:rPr>
                      <w:rFonts w:hint="default" w:ascii="Times New Roman" w:hAnsi="Times New Roman" w:eastAsia="宋体" w:cs="Times New Roman"/>
                      <w:color w:val="auto"/>
                      <w:sz w:val="21"/>
                      <w:szCs w:val="21"/>
                      <w:highlight w:val="none"/>
                    </w:rPr>
                    <w:t>本项目运营期收集点最大贮存量</w:t>
                  </w:r>
                  <w:r>
                    <w:rPr>
                      <w:rFonts w:hint="eastAsia" w:cs="Times New Roman"/>
                      <w:color w:val="auto"/>
                      <w:sz w:val="21"/>
                      <w:szCs w:val="21"/>
                      <w:highlight w:val="none"/>
                      <w:lang w:val="en-US" w:eastAsia="zh-CN"/>
                    </w:rPr>
                    <w:t>为118.8t占设计总收集贮存量的1.8%，</w:t>
                  </w:r>
                  <w:r>
                    <w:rPr>
                      <w:rFonts w:hint="default" w:ascii="Times New Roman" w:hAnsi="Times New Roman" w:eastAsia="宋体" w:cs="Times New Roman"/>
                      <w:color w:val="auto"/>
                      <w:sz w:val="21"/>
                      <w:szCs w:val="21"/>
                      <w:highlight w:val="none"/>
                    </w:rPr>
                    <w:t>不超过有效库容的80%；</w:t>
                  </w:r>
                  <w:r>
                    <w:rPr>
                      <w:rFonts w:hint="eastAsia" w:cs="Times New Roman"/>
                      <w:color w:val="auto"/>
                      <w:sz w:val="21"/>
                      <w:szCs w:val="21"/>
                      <w:highlight w:val="none"/>
                      <w:lang w:val="en-US" w:eastAsia="zh-CN"/>
                    </w:rPr>
                    <w:t>,</w:t>
                  </w:r>
                </w:p>
                <w:p w14:paraId="09798D48">
                  <w:pPr>
                    <w:bidi w:val="0"/>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⑤本项目</w:t>
                  </w:r>
                  <w:r>
                    <w:rPr>
                      <w:rFonts w:hint="default" w:ascii="Times New Roman" w:hAnsi="Times New Roman" w:eastAsia="宋体" w:cs="Times New Roman"/>
                      <w:color w:val="auto"/>
                      <w:sz w:val="21"/>
                      <w:szCs w:val="21"/>
                      <w:highlight w:val="none"/>
                    </w:rPr>
                    <w:t>从产废单位到本项目厂区装车及运输过程属于内部运输，</w:t>
                  </w:r>
                  <w:r>
                    <w:rPr>
                      <w:rFonts w:hint="default" w:ascii="Times New Roman" w:hAnsi="Times New Roman" w:eastAsia="宋体" w:cs="Times New Roman"/>
                      <w:color w:val="auto"/>
                      <w:sz w:val="21"/>
                      <w:szCs w:val="21"/>
                      <w:highlight w:val="none"/>
                      <w:lang w:val="en-US" w:eastAsia="zh-CN"/>
                    </w:rPr>
                    <w:t>内部运输采用专用内部车辆进行运输，项目区到危险废物处置单位委托有运输资质的公司进行拉运。</w:t>
                  </w:r>
                </w:p>
              </w:tc>
              <w:tc>
                <w:tcPr>
                  <w:tcW w:w="741" w:type="dxa"/>
                  <w:tcBorders>
                    <w:tl2br w:val="nil"/>
                    <w:tr2bl w:val="nil"/>
                  </w:tcBorders>
                  <w:vAlign w:val="center"/>
                </w:tcPr>
                <w:p w14:paraId="6BCE19D6">
                  <w:pPr>
                    <w:bidi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符合</w:t>
                  </w:r>
                </w:p>
              </w:tc>
            </w:tr>
            <w:tr w14:paraId="72661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1020" w:type="dxa"/>
                  <w:tcBorders>
                    <w:tl2br w:val="nil"/>
                    <w:tr2bl w:val="nil"/>
                  </w:tcBorders>
                  <w:vAlign w:val="center"/>
                </w:tcPr>
                <w:p w14:paraId="44B463CA">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《宝鸡市大气污染治理专项行动方案（2023—2027年）》</w:t>
                  </w:r>
                </w:p>
              </w:tc>
              <w:tc>
                <w:tcPr>
                  <w:tcW w:w="3735" w:type="dxa"/>
                  <w:tcBorders>
                    <w:tl2br w:val="nil"/>
                    <w:tr2bl w:val="nil"/>
                  </w:tcBorders>
                  <w:vAlign w:val="center"/>
                </w:tcPr>
                <w:p w14:paraId="10A49237">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严格执行《产业结构调整指导目录》，坚决遏制“两高”项目盲目发展，严禁新增钢铁、焦化、水泥熟料、平板玻璃、电解铝、氧化铝、煤化工产能，合理控制煤制油气产能规模，严控新增炼油产能。</w:t>
                  </w:r>
                </w:p>
              </w:tc>
              <w:tc>
                <w:tcPr>
                  <w:tcW w:w="3242" w:type="dxa"/>
                  <w:tcBorders>
                    <w:tl2br w:val="nil"/>
                    <w:tr2bl w:val="nil"/>
                  </w:tcBorders>
                  <w:vAlign w:val="center"/>
                </w:tcPr>
                <w:p w14:paraId="5B407085">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本项目主要为危险废物仓储，不涉及新增钢铁、焦化、水泥熟料、平板玻璃、电解铝、氧化铝、煤化工等。</w:t>
                  </w:r>
                </w:p>
              </w:tc>
              <w:tc>
                <w:tcPr>
                  <w:tcW w:w="741" w:type="dxa"/>
                  <w:tcBorders>
                    <w:tl2br w:val="nil"/>
                    <w:tr2bl w:val="nil"/>
                  </w:tcBorders>
                  <w:vAlign w:val="center"/>
                </w:tcPr>
                <w:p w14:paraId="3D04A79E">
                  <w:pPr>
                    <w:rPr>
                      <w:rFonts w:hint="eastAsia"/>
                      <w:color w:val="auto"/>
                      <w:highlight w:val="none"/>
                    </w:rPr>
                  </w:pPr>
                  <w:r>
                    <w:rPr>
                      <w:rFonts w:hint="eastAsia" w:asciiTheme="minorEastAsia" w:hAnsiTheme="minorEastAsia" w:eastAsiaTheme="minorEastAsia" w:cstheme="minorEastAsia"/>
                      <w:color w:val="auto"/>
                      <w:sz w:val="21"/>
                      <w:szCs w:val="21"/>
                      <w:highlight w:val="none"/>
                    </w:rPr>
                    <w:t>符合</w:t>
                  </w:r>
                </w:p>
              </w:tc>
            </w:tr>
            <w:tr w14:paraId="7B811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020" w:type="dxa"/>
                  <w:vMerge w:val="restart"/>
                  <w:tcBorders>
                    <w:tl2br w:val="nil"/>
                    <w:tr2bl w:val="nil"/>
                  </w:tcBorders>
                  <w:vAlign w:val="center"/>
                </w:tcPr>
                <w:p w14:paraId="6225C5A7">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关于印发《地下水污染防治实施方案》的通知（环土壤[2019]25号）</w:t>
                  </w:r>
                </w:p>
              </w:tc>
              <w:tc>
                <w:tcPr>
                  <w:tcW w:w="3735" w:type="dxa"/>
                  <w:tcBorders>
                    <w:tl2br w:val="nil"/>
                    <w:tr2bl w:val="nil"/>
                  </w:tcBorders>
                  <w:vAlign w:val="center"/>
                </w:tcPr>
                <w:p w14:paraId="1DEF5D79">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以保护和改善地下水环境质量为核心，坚持“源头治理、系统治理、综合治理”，落实地下水污染防治主体责任。</w:t>
                  </w:r>
                </w:p>
              </w:tc>
              <w:tc>
                <w:tcPr>
                  <w:tcW w:w="3242" w:type="dxa"/>
                  <w:vMerge w:val="restart"/>
                  <w:tcBorders>
                    <w:tl2br w:val="nil"/>
                    <w:tr2bl w:val="nil"/>
                  </w:tcBorders>
                  <w:vAlign w:val="center"/>
                </w:tcPr>
                <w:p w14:paraId="4644AB3B">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本项目未设置水井，不产生废水。并进行抗渗混凝土进行防渗处理。</w:t>
                  </w:r>
                </w:p>
              </w:tc>
              <w:tc>
                <w:tcPr>
                  <w:tcW w:w="741" w:type="dxa"/>
                  <w:tcBorders>
                    <w:tl2br w:val="nil"/>
                    <w:tr2bl w:val="nil"/>
                  </w:tcBorders>
                  <w:vAlign w:val="center"/>
                </w:tcPr>
                <w:p w14:paraId="778977A3">
                  <w:pPr>
                    <w:rPr>
                      <w:rFonts w:hint="eastAsia"/>
                      <w:color w:val="auto"/>
                      <w:highlight w:val="none"/>
                    </w:rPr>
                  </w:pPr>
                  <w:r>
                    <w:rPr>
                      <w:rFonts w:hint="eastAsia"/>
                      <w:color w:val="auto"/>
                      <w:highlight w:val="none"/>
                    </w:rPr>
                    <w:t>符合</w:t>
                  </w:r>
                </w:p>
              </w:tc>
            </w:tr>
            <w:tr w14:paraId="743A0B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center"/>
                </w:tcPr>
                <w:p w14:paraId="324C3EC9">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28307CD8">
                  <w:pPr>
                    <w:bidi w:val="0"/>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对高风险的化学品生产企业以及工业集聚区、矿山开采区、尾矿库、危险废物处置场、垃圾填埋场等区域开展必要的防渗处理。</w:t>
                  </w:r>
                </w:p>
              </w:tc>
              <w:tc>
                <w:tcPr>
                  <w:tcW w:w="3242" w:type="dxa"/>
                  <w:vMerge w:val="continue"/>
                  <w:tcBorders>
                    <w:tl2br w:val="nil"/>
                    <w:tr2bl w:val="nil"/>
                  </w:tcBorders>
                  <w:vAlign w:val="center"/>
                </w:tcPr>
                <w:p w14:paraId="7A440890">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741" w:type="dxa"/>
                  <w:tcBorders>
                    <w:tl2br w:val="nil"/>
                    <w:tr2bl w:val="nil"/>
                  </w:tcBorders>
                  <w:vAlign w:val="center"/>
                </w:tcPr>
                <w:p w14:paraId="5ECE2121">
                  <w:pPr>
                    <w:rPr>
                      <w:rFonts w:hint="eastAsia"/>
                      <w:color w:val="auto"/>
                      <w:highlight w:val="none"/>
                    </w:rPr>
                  </w:pPr>
                  <w:r>
                    <w:rPr>
                      <w:rFonts w:hint="eastAsia"/>
                      <w:color w:val="auto"/>
                      <w:highlight w:val="none"/>
                    </w:rPr>
                    <w:t>符合</w:t>
                  </w:r>
                </w:p>
              </w:tc>
            </w:tr>
            <w:tr w14:paraId="565E4A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01" w:hRule="atLeast"/>
                <w:jc w:val="center"/>
              </w:trPr>
              <w:tc>
                <w:tcPr>
                  <w:tcW w:w="1020" w:type="dxa"/>
                  <w:vMerge w:val="restart"/>
                  <w:tcBorders>
                    <w:tl2br w:val="nil"/>
                    <w:tr2bl w:val="nil"/>
                  </w:tcBorders>
                  <w:vAlign w:val="center"/>
                </w:tcPr>
                <w:p w14:paraId="7CB4A0CC">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宝鸡市水污染防治工作方案</w:t>
                  </w:r>
                </w:p>
              </w:tc>
              <w:tc>
                <w:tcPr>
                  <w:tcW w:w="3735" w:type="dxa"/>
                  <w:tcBorders>
                    <w:tl2br w:val="nil"/>
                    <w:tr2bl w:val="nil"/>
                  </w:tcBorders>
                  <w:vAlign w:val="center"/>
                </w:tcPr>
                <w:p w14:paraId="7E03ADD5">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取缔重污染“10+3”小企业，全面排查装备水平低、环保设施差的小型工业企业。</w:t>
                  </w:r>
                </w:p>
              </w:tc>
              <w:tc>
                <w:tcPr>
                  <w:tcW w:w="3242" w:type="dxa"/>
                  <w:tcBorders>
                    <w:tl2br w:val="nil"/>
                    <w:tr2bl w:val="nil"/>
                  </w:tcBorders>
                  <w:vAlign w:val="center"/>
                </w:tcPr>
                <w:p w14:paraId="6780D5FB">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主要为危险废物仓储，不属于重污染“10+3”小企业（主要为不符合国家产业政策的小型造纸、制革、印染染料、炼焦、炼硫、炼砷、炼油、电镀、农药等10类和皂素、冶金、果汁等严重污染水环境的生产项目），</w:t>
                  </w:r>
                  <w:r>
                    <w:rPr>
                      <w:rFonts w:hint="eastAsia" w:asciiTheme="minorEastAsia" w:hAnsiTheme="minorEastAsia" w:eastAsiaTheme="minorEastAsia" w:cstheme="minorEastAsia"/>
                      <w:color w:val="auto"/>
                      <w:sz w:val="21"/>
                      <w:szCs w:val="21"/>
                      <w:highlight w:val="none"/>
                      <w:lang w:val="en-US" w:eastAsia="zh-CN"/>
                    </w:rPr>
                    <w:t>且本项目无产生废水产生。</w:t>
                  </w:r>
                </w:p>
              </w:tc>
              <w:tc>
                <w:tcPr>
                  <w:tcW w:w="741" w:type="dxa"/>
                  <w:tcBorders>
                    <w:tl2br w:val="nil"/>
                    <w:tr2bl w:val="nil"/>
                  </w:tcBorders>
                  <w:vAlign w:val="center"/>
                </w:tcPr>
                <w:p w14:paraId="3BB0C706">
                  <w:pPr>
                    <w:rPr>
                      <w:rFonts w:hint="eastAsia"/>
                      <w:color w:val="auto"/>
                      <w:highlight w:val="none"/>
                      <w:lang w:val="en-US" w:eastAsia="zh-CN"/>
                    </w:rPr>
                  </w:pPr>
                  <w:r>
                    <w:rPr>
                      <w:rFonts w:hint="eastAsia"/>
                      <w:color w:val="auto"/>
                      <w:highlight w:val="none"/>
                    </w:rPr>
                    <w:t>符合</w:t>
                  </w:r>
                </w:p>
              </w:tc>
            </w:tr>
            <w:tr w14:paraId="6F2732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center"/>
                </w:tcPr>
                <w:p w14:paraId="237EAAB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p>
              </w:tc>
              <w:tc>
                <w:tcPr>
                  <w:tcW w:w="3735" w:type="dxa"/>
                  <w:tcBorders>
                    <w:tl2br w:val="nil"/>
                    <w:tr2bl w:val="nil"/>
                  </w:tcBorders>
                  <w:vAlign w:val="center"/>
                </w:tcPr>
                <w:p w14:paraId="3448BB0F">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渭河流域禁止新建、扩建化学制浆造纸、化工、印染、果汁和淀粉加工等高耗水、高污染项目。</w:t>
                  </w:r>
                </w:p>
              </w:tc>
              <w:tc>
                <w:tcPr>
                  <w:tcW w:w="3242" w:type="dxa"/>
                  <w:tcBorders>
                    <w:tl2br w:val="nil"/>
                    <w:tr2bl w:val="nil"/>
                  </w:tcBorders>
                  <w:vAlign w:val="center"/>
                </w:tcPr>
                <w:p w14:paraId="0565020D">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本项目主要为危险废物仓储，不属于高耗水行业。此外经检索《陕西省“两高”项目管理暂行目录（2022年版）》，不属于高耗能、高排放项目。</w:t>
                  </w:r>
                </w:p>
              </w:tc>
              <w:tc>
                <w:tcPr>
                  <w:tcW w:w="741" w:type="dxa"/>
                  <w:tcBorders>
                    <w:tl2br w:val="nil"/>
                    <w:tr2bl w:val="nil"/>
                  </w:tcBorders>
                  <w:vAlign w:val="center"/>
                </w:tcPr>
                <w:p w14:paraId="47ED476A">
                  <w:pPr>
                    <w:rPr>
                      <w:rFonts w:hint="eastAsia"/>
                      <w:color w:val="auto"/>
                      <w:highlight w:val="none"/>
                      <w:lang w:val="en-US" w:eastAsia="zh-CN"/>
                    </w:rPr>
                  </w:pPr>
                  <w:r>
                    <w:rPr>
                      <w:rFonts w:hint="eastAsia"/>
                      <w:color w:val="auto"/>
                      <w:highlight w:val="none"/>
                    </w:rPr>
                    <w:t>符合</w:t>
                  </w:r>
                </w:p>
              </w:tc>
            </w:tr>
            <w:tr w14:paraId="29E8B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restart"/>
                  <w:tcBorders>
                    <w:tl2br w:val="nil"/>
                    <w:tr2bl w:val="nil"/>
                  </w:tcBorders>
                  <w:vAlign w:val="center"/>
                </w:tcPr>
                <w:p w14:paraId="4DC399BE">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《土壤污染防治行动计划》</w:t>
                  </w:r>
                </w:p>
              </w:tc>
              <w:tc>
                <w:tcPr>
                  <w:tcW w:w="3735" w:type="dxa"/>
                  <w:tcBorders>
                    <w:tl2br w:val="nil"/>
                    <w:tr2bl w:val="nil"/>
                  </w:tcBorders>
                  <w:vAlign w:val="center"/>
                </w:tcPr>
                <w:p w14:paraId="3A17CA7D">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切实加大保护力度。各地要将符合条件的优先保护类耕地划为永久基本农田，实行严格保护，确保其面积不减少、土壤环境质量不下降，除法律规定的重点建设项目选址确实无法避让外，其他任何建设不得占用。防控企业污染。严格控制在优先保护类耕地集中区域新建有色金属冶炼、石油加工、化工、焦化、电镀、制革等行业企业，现有相关行业企业要采用新技术、新工艺，加快提标升级改造步伐。</w:t>
                  </w:r>
                </w:p>
              </w:tc>
              <w:tc>
                <w:tcPr>
                  <w:tcW w:w="3242" w:type="dxa"/>
                  <w:tcBorders>
                    <w:tl2br w:val="nil"/>
                    <w:tr2bl w:val="nil"/>
                  </w:tcBorders>
                  <w:vAlign w:val="center"/>
                </w:tcPr>
                <w:p w14:paraId="1BD2806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本项目选址位于凤翔长青工业园区，建设用地属于工业用地，符合园区产业定位及规划布局。本项目选址不属于优先保护类耕地集中区域</w:t>
                  </w:r>
                </w:p>
              </w:tc>
              <w:tc>
                <w:tcPr>
                  <w:tcW w:w="741" w:type="dxa"/>
                  <w:tcBorders>
                    <w:tl2br w:val="nil"/>
                    <w:tr2bl w:val="nil"/>
                  </w:tcBorders>
                  <w:vAlign w:val="center"/>
                </w:tcPr>
                <w:p w14:paraId="4D9A72E7">
                  <w:pPr>
                    <w:rPr>
                      <w:rFonts w:hint="eastAsia"/>
                      <w:color w:val="auto"/>
                      <w:highlight w:val="none"/>
                      <w:lang w:val="en-US" w:eastAsia="zh-CN"/>
                    </w:rPr>
                  </w:pPr>
                  <w:r>
                    <w:rPr>
                      <w:rFonts w:hint="eastAsia"/>
                      <w:color w:val="auto"/>
                      <w:highlight w:val="none"/>
                    </w:rPr>
                    <w:t>符合</w:t>
                  </w:r>
                </w:p>
              </w:tc>
            </w:tr>
            <w:tr w14:paraId="6E8821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1020" w:type="dxa"/>
                  <w:vMerge w:val="continue"/>
                  <w:tcBorders>
                    <w:tl2br w:val="nil"/>
                    <w:tr2bl w:val="nil"/>
                  </w:tcBorders>
                  <w:vAlign w:val="center"/>
                </w:tcPr>
                <w:p w14:paraId="2245133F">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07ED4A3F">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3242" w:type="dxa"/>
                  <w:tcBorders>
                    <w:tl2br w:val="nil"/>
                    <w:tr2bl w:val="nil"/>
                  </w:tcBorders>
                  <w:vAlign w:val="center"/>
                </w:tcPr>
                <w:p w14:paraId="0EEFB8AB">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本评价对土壤环境影响进行了分析评价，并提出了防范土壤污染的具体措施。</w:t>
                  </w:r>
                </w:p>
              </w:tc>
              <w:tc>
                <w:tcPr>
                  <w:tcW w:w="741" w:type="dxa"/>
                  <w:tcBorders>
                    <w:tl2br w:val="nil"/>
                    <w:tr2bl w:val="nil"/>
                  </w:tcBorders>
                  <w:vAlign w:val="center"/>
                </w:tcPr>
                <w:p w14:paraId="2504CBDE">
                  <w:pPr>
                    <w:rPr>
                      <w:rFonts w:hint="eastAsia"/>
                      <w:color w:val="auto"/>
                      <w:highlight w:val="none"/>
                      <w:lang w:val="en-US" w:eastAsia="zh-CN"/>
                    </w:rPr>
                  </w:pPr>
                  <w:r>
                    <w:rPr>
                      <w:rFonts w:hint="eastAsia"/>
                      <w:color w:val="auto"/>
                      <w:highlight w:val="none"/>
                    </w:rPr>
                    <w:t>符合</w:t>
                  </w:r>
                </w:p>
              </w:tc>
            </w:tr>
            <w:tr w14:paraId="255A98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0" w:type="dxa"/>
                  <w:vMerge w:val="continue"/>
                  <w:tcBorders>
                    <w:tl2br w:val="nil"/>
                    <w:tr2bl w:val="nil"/>
                  </w:tcBorders>
                  <w:vAlign w:val="center"/>
                </w:tcPr>
                <w:p w14:paraId="65CB2756">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47188ED8">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强化空间布局管控。加强规划区划和建设项目布局论证，根据土壤等环境承载能力，合理确定区域功能定位、空间布局。鼓励工业企业集聚发展，提高土地节约集约利用水平，减少土壤污染。严格执行相关行业企业布局选址要求，禁止在居民区、学校、医疗和养老机构等周边新建有色金属冶炼、焦化等行业企业；</w:t>
                  </w:r>
                </w:p>
              </w:tc>
              <w:tc>
                <w:tcPr>
                  <w:tcW w:w="3242" w:type="dxa"/>
                  <w:tcBorders>
                    <w:tl2br w:val="nil"/>
                    <w:tr2bl w:val="nil"/>
                  </w:tcBorders>
                  <w:vAlign w:val="center"/>
                </w:tcPr>
                <w:p w14:paraId="416F3B59">
                  <w:pPr>
                    <w:bidi w:val="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本项目选址位于凤翔长青工业园区，工业园区已编制了规划环境影响报告书并通过省环保厅审查。建设用地属于工业用地，符合园区产业定位及规划布局。</w:t>
                  </w:r>
                </w:p>
              </w:tc>
              <w:tc>
                <w:tcPr>
                  <w:tcW w:w="741" w:type="dxa"/>
                  <w:tcBorders>
                    <w:tl2br w:val="nil"/>
                    <w:tr2bl w:val="nil"/>
                  </w:tcBorders>
                  <w:vAlign w:val="center"/>
                </w:tcPr>
                <w:p w14:paraId="1577A99B">
                  <w:pPr>
                    <w:rPr>
                      <w:rFonts w:hint="eastAsia"/>
                      <w:color w:val="auto"/>
                      <w:highlight w:val="none"/>
                      <w:lang w:val="en-US" w:eastAsia="zh-CN"/>
                    </w:rPr>
                  </w:pPr>
                  <w:r>
                    <w:rPr>
                      <w:rFonts w:hint="eastAsia"/>
                      <w:color w:val="auto"/>
                      <w:highlight w:val="none"/>
                    </w:rPr>
                    <w:t>符合</w:t>
                  </w:r>
                </w:p>
              </w:tc>
            </w:tr>
            <w:tr w14:paraId="2AF6E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1020" w:type="dxa"/>
                  <w:vMerge w:val="restart"/>
                  <w:tcBorders>
                    <w:tl2br w:val="nil"/>
                    <w:tr2bl w:val="nil"/>
                  </w:tcBorders>
                  <w:vAlign w:val="center"/>
                </w:tcPr>
                <w:p w14:paraId="014ADCC9">
                  <w:pPr>
                    <w:bidi w:val="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《水污染防治行动计划》</w:t>
                  </w:r>
                </w:p>
              </w:tc>
              <w:tc>
                <w:tcPr>
                  <w:tcW w:w="3735" w:type="dxa"/>
                  <w:tcBorders>
                    <w:tl2br w:val="nil"/>
                    <w:tr2bl w:val="nil"/>
                  </w:tcBorders>
                  <w:vAlign w:val="center"/>
                </w:tcPr>
                <w:p w14:paraId="7DBFE181">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新建、改建、扩建造纸、焦化、氮肥、有色金属、印染、农副食品加工、原料药制造、制革、农药、电镀等十大重点行业建设项目实行主要污染物排放等量或减量置换</w:t>
                  </w:r>
                </w:p>
              </w:tc>
              <w:tc>
                <w:tcPr>
                  <w:tcW w:w="3242" w:type="dxa"/>
                  <w:tcBorders>
                    <w:tl2br w:val="nil"/>
                    <w:tr2bl w:val="nil"/>
                  </w:tcBorders>
                  <w:vAlign w:val="center"/>
                </w:tcPr>
                <w:p w14:paraId="3D3110CF">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拟建项目不属于十大重点行业。</w:t>
                  </w:r>
                </w:p>
              </w:tc>
              <w:tc>
                <w:tcPr>
                  <w:tcW w:w="741" w:type="dxa"/>
                  <w:tcBorders>
                    <w:tl2br w:val="nil"/>
                    <w:tr2bl w:val="nil"/>
                  </w:tcBorders>
                  <w:vAlign w:val="center"/>
                </w:tcPr>
                <w:p w14:paraId="0E75D8CE">
                  <w:pPr>
                    <w:rPr>
                      <w:rFonts w:hint="eastAsia"/>
                      <w:color w:val="auto"/>
                      <w:highlight w:val="none"/>
                      <w:lang w:val="en-US" w:eastAsia="zh-CN"/>
                    </w:rPr>
                  </w:pPr>
                  <w:r>
                    <w:rPr>
                      <w:rFonts w:hint="eastAsia"/>
                      <w:color w:val="auto"/>
                      <w:highlight w:val="none"/>
                    </w:rPr>
                    <w:t>符合</w:t>
                  </w:r>
                </w:p>
              </w:tc>
            </w:tr>
            <w:tr w14:paraId="4A20F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1020" w:type="dxa"/>
                  <w:vMerge w:val="continue"/>
                  <w:tcBorders>
                    <w:tl2br w:val="nil"/>
                    <w:tr2bl w:val="nil"/>
                  </w:tcBorders>
                  <w:vAlign w:val="center"/>
                </w:tcPr>
                <w:p w14:paraId="349DB6AA">
                  <w:pPr>
                    <w:bidi w:val="0"/>
                    <w:ind w:firstLine="420" w:firstLineChars="200"/>
                    <w:jc w:val="both"/>
                    <w:rPr>
                      <w:rFonts w:hint="eastAsia" w:asciiTheme="minorEastAsia" w:hAnsiTheme="minorEastAsia" w:eastAsiaTheme="minorEastAsia" w:cstheme="minorEastAsia"/>
                      <w:color w:val="auto"/>
                      <w:sz w:val="21"/>
                      <w:szCs w:val="21"/>
                      <w:highlight w:val="none"/>
                    </w:rPr>
                  </w:pPr>
                </w:p>
              </w:tc>
              <w:tc>
                <w:tcPr>
                  <w:tcW w:w="3735" w:type="dxa"/>
                  <w:tcBorders>
                    <w:tl2br w:val="nil"/>
                    <w:tr2bl w:val="nil"/>
                  </w:tcBorders>
                  <w:vAlign w:val="center"/>
                </w:tcPr>
                <w:p w14:paraId="3B67345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七大重点流域干流沿岸，要严格控制石油加工、化学原料和化学制品制造、医药制造、化学纤维制造、有色金属冶炼、纺织印染等项目环境风险，合理布局生产装置及危险废物仓储等设施</w:t>
                  </w:r>
                </w:p>
              </w:tc>
              <w:tc>
                <w:tcPr>
                  <w:tcW w:w="3242" w:type="dxa"/>
                  <w:tcBorders>
                    <w:tl2br w:val="nil"/>
                    <w:tr2bl w:val="nil"/>
                  </w:tcBorders>
                  <w:vAlign w:val="center"/>
                </w:tcPr>
                <w:p w14:paraId="43673A2E">
                  <w:pPr>
                    <w:bidi w:val="0"/>
                    <w:ind w:firstLine="420"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本项目位于凤翔县长青工业园，不在长江七大重点流域干流沿岸。</w:t>
                  </w:r>
                </w:p>
              </w:tc>
              <w:tc>
                <w:tcPr>
                  <w:tcW w:w="741" w:type="dxa"/>
                  <w:tcBorders>
                    <w:tl2br w:val="nil"/>
                    <w:tr2bl w:val="nil"/>
                  </w:tcBorders>
                  <w:vAlign w:val="center"/>
                </w:tcPr>
                <w:p w14:paraId="65192474">
                  <w:pPr>
                    <w:rPr>
                      <w:rFonts w:hint="eastAsia"/>
                      <w:color w:val="auto"/>
                      <w:highlight w:val="none"/>
                      <w:lang w:val="en-US" w:eastAsia="zh-CN"/>
                    </w:rPr>
                  </w:pPr>
                  <w:r>
                    <w:rPr>
                      <w:rFonts w:hint="eastAsia"/>
                      <w:color w:val="auto"/>
                      <w:highlight w:val="none"/>
                    </w:rPr>
                    <w:t>符合</w:t>
                  </w:r>
                </w:p>
              </w:tc>
            </w:tr>
          </w:tbl>
          <w:p w14:paraId="6FAE7CC2">
            <w:pPr>
              <w:adjustRightInd w:val="0"/>
              <w:snapToGrid w:val="0"/>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3.与《危险废物贮存污染控制标准》符合性分析</w:t>
            </w:r>
          </w:p>
          <w:p w14:paraId="7753972E">
            <w:pPr>
              <w:adjustRightInd w:val="0"/>
              <w:snapToGrid w:val="0"/>
              <w:ind w:firstLine="422" w:firstLineChars="200"/>
              <w:jc w:val="center"/>
              <w:rPr>
                <w:b/>
                <w:color w:val="auto"/>
                <w:highlight w:val="none"/>
              </w:rPr>
            </w:pPr>
            <w:r>
              <w:rPr>
                <w:b/>
                <w:color w:val="auto"/>
                <w:highlight w:val="none"/>
              </w:rPr>
              <w:t>表1</w:t>
            </w:r>
            <w:r>
              <w:rPr>
                <w:rFonts w:hint="eastAsia"/>
                <w:b/>
                <w:color w:val="auto"/>
                <w:highlight w:val="none"/>
              </w:rPr>
              <w:t>-</w:t>
            </w:r>
            <w:r>
              <w:rPr>
                <w:rFonts w:hint="eastAsia"/>
                <w:b/>
                <w:color w:val="auto"/>
                <w:highlight w:val="none"/>
                <w:lang w:val="en-US" w:eastAsia="zh-CN"/>
              </w:rPr>
              <w:t>5</w:t>
            </w:r>
            <w:r>
              <w:rPr>
                <w:b/>
                <w:color w:val="auto"/>
                <w:highlight w:val="none"/>
              </w:rPr>
              <w:t xml:space="preserve"> 项目与</w:t>
            </w:r>
            <w:r>
              <w:rPr>
                <w:rFonts w:hint="eastAsia"/>
                <w:b/>
                <w:color w:val="auto"/>
                <w:highlight w:val="none"/>
              </w:rPr>
              <w:t>《危险废物贮存污染控制标准》</w:t>
            </w:r>
            <w:r>
              <w:rPr>
                <w:rFonts w:hint="eastAsia"/>
                <w:b/>
                <w:color w:val="auto"/>
                <w:highlight w:val="none"/>
                <w:lang w:eastAsia="zh-CN"/>
              </w:rPr>
              <w:t>（GB-</w:t>
            </w:r>
            <w:r>
              <w:rPr>
                <w:rFonts w:hint="eastAsia"/>
                <w:b/>
                <w:color w:val="auto"/>
                <w:highlight w:val="none"/>
              </w:rPr>
              <w:t>18597-2023</w:t>
            </w:r>
            <w:r>
              <w:rPr>
                <w:rFonts w:hint="eastAsia"/>
                <w:b/>
                <w:color w:val="auto"/>
                <w:highlight w:val="none"/>
                <w:lang w:eastAsia="zh-CN"/>
              </w:rPr>
              <w:t>）</w:t>
            </w:r>
            <w:r>
              <w:rPr>
                <w:rFonts w:hint="eastAsia"/>
                <w:b/>
                <w:color w:val="auto"/>
                <w:highlight w:val="none"/>
              </w:rPr>
              <w:t>符合性分析</w:t>
            </w:r>
            <w:r>
              <w:rPr>
                <w:b/>
                <w:color w:val="auto"/>
                <w:highlight w:val="none"/>
              </w:rPr>
              <w:t>一览表</w:t>
            </w:r>
          </w:p>
          <w:tbl>
            <w:tblPr>
              <w:tblStyle w:val="35"/>
              <w:tblW w:w="86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729"/>
              <w:gridCol w:w="3086"/>
              <w:gridCol w:w="863"/>
            </w:tblGrid>
            <w:tr w14:paraId="72506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18B2C0D1">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标准要求</w:t>
                  </w:r>
                </w:p>
              </w:tc>
              <w:tc>
                <w:tcPr>
                  <w:tcW w:w="3086" w:type="dxa"/>
                  <w:tcBorders>
                    <w:tl2br w:val="nil"/>
                    <w:tr2bl w:val="nil"/>
                  </w:tcBorders>
                  <w:shd w:val="clear" w:color="auto" w:fill="auto"/>
                  <w:vAlign w:val="center"/>
                </w:tcPr>
                <w:p w14:paraId="0D68ECC7">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项目情况</w:t>
                  </w:r>
                </w:p>
              </w:tc>
              <w:tc>
                <w:tcPr>
                  <w:tcW w:w="863" w:type="dxa"/>
                  <w:tcBorders>
                    <w:tl2br w:val="nil"/>
                    <w:tr2bl w:val="nil"/>
                  </w:tcBorders>
                  <w:shd w:val="clear" w:color="auto" w:fill="auto"/>
                  <w:vAlign w:val="center"/>
                </w:tcPr>
                <w:p w14:paraId="41113D16">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符合性</w:t>
                  </w:r>
                </w:p>
              </w:tc>
            </w:tr>
            <w:tr w14:paraId="27F53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154C478E">
                  <w:pPr>
                    <w:bidi w:val="0"/>
                    <w:jc w:val="both"/>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1</w:t>
                  </w:r>
                  <w:r>
                    <w:rPr>
                      <w:rFonts w:hint="default" w:ascii="Times New Roman" w:hAnsi="Times New Roman" w:cs="Times New Roman" w:eastAsiaTheme="minorEastAsia"/>
                      <w:color w:val="auto"/>
                      <w:sz w:val="21"/>
                      <w:szCs w:val="21"/>
                      <w:highlight w:val="none"/>
                      <w:lang w:val="en-US" w:eastAsia="zh-CN"/>
                    </w:rPr>
                    <w:t>总体要求</w:t>
                  </w:r>
                </w:p>
              </w:tc>
              <w:tc>
                <w:tcPr>
                  <w:tcW w:w="3086" w:type="dxa"/>
                  <w:tcBorders>
                    <w:tl2br w:val="nil"/>
                    <w:tr2bl w:val="nil"/>
                  </w:tcBorders>
                  <w:shd w:val="clear" w:color="auto" w:fill="auto"/>
                  <w:vAlign w:val="center"/>
                </w:tcPr>
                <w:p w14:paraId="5FEEC5D0">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70A4DC9">
                  <w:pPr>
                    <w:bidi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r>
            <w:tr w14:paraId="12AAF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56EB8BB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产生、收集、贮存、利用、处置危险废物的单位应建造危险废物贮存设施或设置贮存场所，并根据需要选择贮存设施类型</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293C4EC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项目设置危险废物贮存场所，贮存设施类型主要为PV箱、袋和PV桶装</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031CFA4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FC20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31063A7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贮存危险废物应根据危险废物的类别、数量、形态、物理化学性质和环境风险等因素，确定贮存设施或场所类型和规模</w:t>
                  </w:r>
                  <w:r>
                    <w:rPr>
                      <w:rFonts w:hint="eastAsia" w:cs="Times New Roman" w:eastAsiaTheme="minorEastAsia"/>
                      <w:color w:val="auto"/>
                      <w:sz w:val="21"/>
                      <w:szCs w:val="21"/>
                      <w:highlight w:val="none"/>
                      <w:lang w:val="en-US" w:eastAsia="zh-CN"/>
                    </w:rPr>
                    <w:t>；</w:t>
                  </w:r>
                </w:p>
                <w:p w14:paraId="27ADA19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贮存危险废物应根据危险废物的类别、形态、物理化学性质和污染防治要求进行分类贮存，且应避免危险废物与不相容的物质或材料接触</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0B2077B7">
                  <w:pPr>
                    <w:bidi w:val="0"/>
                    <w:spacing w:line="240" w:lineRule="auto"/>
                    <w:jc w:val="both"/>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w:t>
                  </w:r>
                  <w:r>
                    <w:rPr>
                      <w:rFonts w:hint="eastAsia" w:cs="Times New Roman" w:eastAsiaTheme="minorEastAsia"/>
                      <w:color w:val="auto"/>
                      <w:sz w:val="21"/>
                      <w:szCs w:val="21"/>
                      <w:highlight w:val="none"/>
                      <w:lang w:val="en-US" w:eastAsia="zh-CN"/>
                    </w:rPr>
                    <w:t>根据</w:t>
                  </w:r>
                  <w:r>
                    <w:rPr>
                      <w:rFonts w:hint="default" w:ascii="Times New Roman" w:hAnsi="Times New Roman" w:cs="Times New Roman" w:eastAsiaTheme="minorEastAsia"/>
                      <w:color w:val="auto"/>
                      <w:sz w:val="21"/>
                      <w:szCs w:val="21"/>
                      <w:highlight w:val="none"/>
                      <w:lang w:val="en-US" w:eastAsia="zh-CN"/>
                    </w:rPr>
                    <w:t>不同类别的危险废物</w:t>
                  </w:r>
                  <w:r>
                    <w:rPr>
                      <w:rFonts w:hint="eastAsia" w:cs="Times New Roman" w:eastAsiaTheme="minorEastAsia"/>
                      <w:color w:val="auto"/>
                      <w:sz w:val="21"/>
                      <w:szCs w:val="21"/>
                      <w:highlight w:val="none"/>
                      <w:lang w:val="en-US" w:eastAsia="zh-CN"/>
                    </w:rPr>
                    <w:t>进行</w:t>
                  </w:r>
                  <w:r>
                    <w:rPr>
                      <w:rFonts w:hint="default" w:ascii="Times New Roman" w:hAnsi="Times New Roman" w:cs="Times New Roman" w:eastAsiaTheme="minorEastAsia"/>
                      <w:color w:val="auto"/>
                      <w:sz w:val="21"/>
                      <w:szCs w:val="21"/>
                      <w:highlight w:val="none"/>
                      <w:lang w:val="en-US" w:eastAsia="zh-CN"/>
                    </w:rPr>
                    <w:t>分区存放，废电池和易产生</w:t>
                  </w:r>
                  <w:r>
                    <w:rPr>
                      <w:rFonts w:hint="eastAsia" w:cs="Times New Roman" w:eastAsiaTheme="minorEastAsia"/>
                      <w:color w:val="auto"/>
                      <w:sz w:val="21"/>
                      <w:szCs w:val="21"/>
                      <w:highlight w:val="none"/>
                      <w:lang w:val="en-US" w:eastAsia="zh-CN"/>
                    </w:rPr>
                    <w:t>挥</w:t>
                  </w:r>
                  <w:r>
                    <w:rPr>
                      <w:rFonts w:hint="default" w:ascii="Times New Roman" w:hAnsi="Times New Roman" w:cs="Times New Roman" w:eastAsiaTheme="minorEastAsia"/>
                      <w:color w:val="auto"/>
                      <w:sz w:val="21"/>
                      <w:szCs w:val="21"/>
                      <w:highlight w:val="none"/>
                      <w:lang w:val="en-US" w:eastAsia="zh-CN"/>
                    </w:rPr>
                    <w:t>发性气体的危废，集中放置</w:t>
                  </w:r>
                  <w:r>
                    <w:rPr>
                      <w:rFonts w:hint="eastAsia" w:cs="Times New Roman" w:eastAsiaTheme="minorEastAsia"/>
                      <w:color w:val="auto"/>
                      <w:sz w:val="21"/>
                      <w:szCs w:val="21"/>
                      <w:highlight w:val="none"/>
                      <w:lang w:val="en-US" w:eastAsia="zh-CN"/>
                    </w:rPr>
                    <w:t>在同一</w:t>
                  </w:r>
                  <w:r>
                    <w:rPr>
                      <w:rFonts w:hint="default" w:ascii="Times New Roman" w:hAnsi="Times New Roman" w:cs="Times New Roman" w:eastAsiaTheme="minorEastAsia"/>
                      <w:color w:val="auto"/>
                      <w:sz w:val="21"/>
                      <w:szCs w:val="21"/>
                      <w:highlight w:val="none"/>
                      <w:lang w:val="en-US" w:eastAsia="zh-CN"/>
                    </w:rPr>
                    <w:t>区域</w:t>
                  </w:r>
                  <w:r>
                    <w:rPr>
                      <w:rFonts w:hint="eastAsia" w:cs="Times New Roman" w:eastAsiaTheme="minorEastAsia"/>
                      <w:color w:val="auto"/>
                      <w:sz w:val="21"/>
                      <w:szCs w:val="21"/>
                      <w:highlight w:val="none"/>
                      <w:lang w:val="en-US" w:eastAsia="zh-CN"/>
                    </w:rPr>
                    <w:t>进行存放，且</w:t>
                  </w:r>
                  <w:r>
                    <w:rPr>
                      <w:rFonts w:hint="default" w:ascii="Times New Roman" w:hAnsi="Times New Roman" w:cs="Times New Roman" w:eastAsiaTheme="minorEastAsia"/>
                      <w:color w:val="auto"/>
                      <w:sz w:val="21"/>
                      <w:szCs w:val="21"/>
                      <w:highlight w:val="none"/>
                      <w:lang w:val="en-US" w:eastAsia="zh-CN"/>
                    </w:rPr>
                    <w:t>危险废物</w:t>
                  </w:r>
                  <w:r>
                    <w:rPr>
                      <w:rFonts w:hint="eastAsia" w:cs="Times New Roman" w:eastAsiaTheme="minorEastAsia"/>
                      <w:color w:val="auto"/>
                      <w:sz w:val="21"/>
                      <w:szCs w:val="21"/>
                      <w:highlight w:val="none"/>
                      <w:lang w:val="en-US" w:eastAsia="zh-CN"/>
                    </w:rPr>
                    <w:t>采用专用包装贮存于独立贮存间内，不涉及</w:t>
                  </w:r>
                  <w:r>
                    <w:rPr>
                      <w:rFonts w:hint="default" w:ascii="Times New Roman" w:hAnsi="Times New Roman" w:cs="Times New Roman" w:eastAsiaTheme="minorEastAsia"/>
                      <w:color w:val="auto"/>
                      <w:sz w:val="21"/>
                      <w:szCs w:val="21"/>
                      <w:highlight w:val="none"/>
                      <w:lang w:val="en-US" w:eastAsia="zh-CN"/>
                    </w:rPr>
                    <w:t>危险废物</w:t>
                  </w:r>
                  <w:r>
                    <w:rPr>
                      <w:rFonts w:hint="eastAsia" w:cs="Times New Roman" w:eastAsiaTheme="minorEastAsia"/>
                      <w:color w:val="auto"/>
                      <w:sz w:val="21"/>
                      <w:szCs w:val="21"/>
                      <w:highlight w:val="none"/>
                      <w:lang w:val="en-US" w:eastAsia="zh-CN"/>
                    </w:rPr>
                    <w:t>接触。</w:t>
                  </w:r>
                </w:p>
              </w:tc>
              <w:tc>
                <w:tcPr>
                  <w:tcW w:w="863" w:type="dxa"/>
                  <w:tcBorders>
                    <w:tl2br w:val="nil"/>
                    <w:tr2bl w:val="nil"/>
                  </w:tcBorders>
                  <w:shd w:val="clear" w:color="auto" w:fill="auto"/>
                  <w:vAlign w:val="center"/>
                </w:tcPr>
                <w:p w14:paraId="1147F50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9787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4729" w:type="dxa"/>
                  <w:tcBorders>
                    <w:tl2br w:val="nil"/>
                    <w:tr2bl w:val="nil"/>
                  </w:tcBorders>
                  <w:shd w:val="clear" w:color="auto" w:fill="auto"/>
                  <w:vAlign w:val="center"/>
                </w:tcPr>
                <w:p w14:paraId="6B81F36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危险废物应根据危险废物的形态、物理化学性质、包装形式和污染物迁移途径，采取措施减少渗滤液及其衍生废物、渗漏的液态废物、粉尘、VOCs、酸雾、有毒有害大气污染物和刺激性气味气体等污染物的产生，防止其污染环境</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0B42BC38">
                  <w:pPr>
                    <w:bidi w:val="0"/>
                    <w:spacing w:line="240" w:lineRule="auto"/>
                    <w:jc w:val="both"/>
                    <w:rPr>
                      <w:rFonts w:hint="eastAsia"/>
                      <w:color w:val="auto"/>
                      <w:highlight w:val="none"/>
                      <w:lang w:eastAsia="zh-CN"/>
                    </w:rPr>
                  </w:pPr>
                  <w:r>
                    <w:rPr>
                      <w:rFonts w:hint="default" w:ascii="Times New Roman" w:hAnsi="Times New Roman" w:cs="Times New Roman" w:eastAsiaTheme="minorEastAsia"/>
                      <w:color w:val="auto"/>
                      <w:sz w:val="21"/>
                      <w:szCs w:val="21"/>
                      <w:highlight w:val="none"/>
                      <w:lang w:val="en-US" w:eastAsia="zh-CN"/>
                    </w:rPr>
                    <w:t>本项目液体危险废物及含水率较高的危险废物均采用密闭P V桶装</w:t>
                  </w:r>
                  <w:r>
                    <w:rPr>
                      <w:rFonts w:hint="eastAsia"/>
                      <w:color w:val="auto"/>
                      <w:highlight w:val="none"/>
                      <w:lang w:eastAsia="zh-CN"/>
                    </w:rPr>
                    <w:t>进行贮存，危废贮存库内设计有围堰、导流槽和事故应急池</w:t>
                  </w:r>
                </w:p>
                <w:p w14:paraId="7EF5E43E">
                  <w:pPr>
                    <w:bidi w:val="0"/>
                    <w:spacing w:line="240" w:lineRule="auto"/>
                    <w:jc w:val="both"/>
                    <w:rPr>
                      <w:rFonts w:hint="eastAsia" w:ascii="Times New Roman" w:hAnsi="Times New Roman" w:eastAsia="宋体" w:cs="Times New Roman"/>
                      <w:color w:val="auto"/>
                      <w:sz w:val="21"/>
                      <w:szCs w:val="21"/>
                      <w:highlight w:val="none"/>
                      <w:lang w:val="en-US" w:eastAsia="zh-CN"/>
                    </w:rPr>
                  </w:pPr>
                  <w:r>
                    <w:rPr>
                      <w:rFonts w:hint="eastAsia"/>
                      <w:color w:val="auto"/>
                      <w:highlight w:val="none"/>
                      <w:lang w:eastAsia="zh-CN"/>
                    </w:rPr>
                    <w:t>等堵截设施，用以应对渗滤液等液态物质的泄漏的风险。本项目所产生的有机废气采用密闭贮存区+收集管道+二级活性炭+排气筒有组织排放；废酸废气采用密闭贮存区+收集管道+喷淋塔+排气筒有组织排放，</w:t>
                  </w:r>
                  <w:r>
                    <w:rPr>
                      <w:rFonts w:hint="default" w:ascii="Times New Roman" w:hAnsi="Times New Roman" w:cs="Times New Roman" w:eastAsiaTheme="minorEastAsia"/>
                      <w:color w:val="auto"/>
                      <w:sz w:val="21"/>
                      <w:szCs w:val="21"/>
                      <w:highlight w:val="none"/>
                      <w:lang w:val="en-US" w:eastAsia="zh-CN"/>
                    </w:rPr>
                    <w:t>渗滤液</w:t>
                  </w:r>
                  <w:r>
                    <w:rPr>
                      <w:rFonts w:hint="eastAsia" w:cs="Times New Roman" w:eastAsiaTheme="minorEastAsia"/>
                      <w:color w:val="auto"/>
                      <w:sz w:val="21"/>
                      <w:szCs w:val="21"/>
                      <w:highlight w:val="none"/>
                      <w:lang w:val="en-US" w:eastAsia="zh-CN"/>
                    </w:rPr>
                    <w:t>及废气均采取有效方式进行收集及处理。</w:t>
                  </w:r>
                </w:p>
              </w:tc>
              <w:tc>
                <w:tcPr>
                  <w:tcW w:w="863" w:type="dxa"/>
                  <w:tcBorders>
                    <w:tl2br w:val="nil"/>
                    <w:tr2bl w:val="nil"/>
                  </w:tcBorders>
                  <w:shd w:val="clear" w:color="auto" w:fill="auto"/>
                  <w:vAlign w:val="center"/>
                </w:tcPr>
                <w:p w14:paraId="71195D1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62CE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9" w:hRule="atLeast"/>
                <w:jc w:val="center"/>
              </w:trPr>
              <w:tc>
                <w:tcPr>
                  <w:tcW w:w="4729" w:type="dxa"/>
                  <w:vMerge w:val="restart"/>
                  <w:tcBorders>
                    <w:tl2br w:val="nil"/>
                    <w:tr2bl w:val="nil"/>
                  </w:tcBorders>
                  <w:shd w:val="clear" w:color="auto" w:fill="auto"/>
                  <w:vAlign w:val="center"/>
                </w:tcPr>
                <w:p w14:paraId="7643F41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危险废物贮存过程产生的液态废物和固态废物应分类收集，</w:t>
                  </w:r>
                  <w:r>
                    <w:rPr>
                      <w:rFonts w:hint="eastAsia" w:cs="Times New Roman" w:eastAsiaTheme="minorEastAsia"/>
                      <w:color w:val="auto"/>
                      <w:sz w:val="21"/>
                      <w:szCs w:val="21"/>
                      <w:highlight w:val="none"/>
                      <w:lang w:val="en-US" w:eastAsia="zh-CN"/>
                    </w:rPr>
                    <w:t>按</w:t>
                  </w:r>
                  <w:r>
                    <w:rPr>
                      <w:rFonts w:hint="default" w:ascii="Times New Roman" w:hAnsi="Times New Roman" w:cs="Times New Roman" w:eastAsiaTheme="minorEastAsia"/>
                      <w:color w:val="auto"/>
                      <w:sz w:val="21"/>
                      <w:szCs w:val="21"/>
                      <w:highlight w:val="none"/>
                      <w:lang w:val="en-US" w:eastAsia="zh-CN"/>
                    </w:rPr>
                    <w:t>环境管理要求妥善处理</w:t>
                  </w:r>
                  <w:r>
                    <w:rPr>
                      <w:rFonts w:hint="eastAsia" w:cs="Times New Roman" w:eastAsiaTheme="minorEastAsia"/>
                      <w:color w:val="auto"/>
                      <w:sz w:val="21"/>
                      <w:szCs w:val="21"/>
                      <w:highlight w:val="none"/>
                      <w:lang w:val="en-US" w:eastAsia="zh-CN"/>
                    </w:rPr>
                    <w:t>；</w:t>
                  </w:r>
                </w:p>
                <w:p w14:paraId="4462A52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贮存设施或场所、容器和包装物应按</w:t>
                  </w:r>
                  <w:r>
                    <w:rPr>
                      <w:rFonts w:hint="eastAsia" w:cs="Times New Roman" w:eastAsiaTheme="minorEastAsia"/>
                      <w:color w:val="auto"/>
                      <w:sz w:val="21"/>
                      <w:szCs w:val="21"/>
                      <w:highlight w:val="none"/>
                      <w:lang w:val="en-US" w:eastAsia="zh-CN"/>
                    </w:rPr>
                    <w:t>HJ 1276-2022</w:t>
                  </w:r>
                  <w:r>
                    <w:rPr>
                      <w:rFonts w:hint="default" w:ascii="Times New Roman" w:hAnsi="Times New Roman" w:cs="Times New Roman" w:eastAsiaTheme="minorEastAsia"/>
                      <w:color w:val="auto"/>
                      <w:sz w:val="21"/>
                      <w:szCs w:val="21"/>
                      <w:highlight w:val="none"/>
                      <w:lang w:val="en-US" w:eastAsia="zh-CN"/>
                    </w:rPr>
                    <w:t>要求设置危险废物贮存设施或场所标志、危险废物贮存分区标志和危险废物标签等危险废物识别标志</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594F7EC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本项目不同类别的危险废物采用不同容器贮存</w:t>
                  </w:r>
                  <w:r>
                    <w:rPr>
                      <w:rFonts w:hint="eastAsia" w:cs="Times New Roman" w:eastAsiaTheme="minorEastAsia"/>
                      <w:color w:val="auto"/>
                      <w:sz w:val="21"/>
                      <w:szCs w:val="21"/>
                      <w:highlight w:val="none"/>
                      <w:lang w:val="en-US" w:eastAsia="zh-CN"/>
                    </w:rPr>
                    <w:t>；</w:t>
                  </w:r>
                </w:p>
                <w:p w14:paraId="0F584B1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所有危险废物容器均按要求粘贴标签</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FA8431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EA64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vMerge w:val="continue"/>
                  <w:tcBorders>
                    <w:tl2br w:val="nil"/>
                    <w:tr2bl w:val="nil"/>
                  </w:tcBorders>
                  <w:shd w:val="clear" w:color="auto" w:fill="auto"/>
                  <w:vAlign w:val="center"/>
                </w:tcPr>
                <w:p w14:paraId="3421684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060B069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7538AD3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4E4B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7" w:hRule="atLeast"/>
                <w:jc w:val="center"/>
              </w:trPr>
              <w:tc>
                <w:tcPr>
                  <w:tcW w:w="4729" w:type="dxa"/>
                  <w:tcBorders>
                    <w:tl2br w:val="nil"/>
                    <w:tr2bl w:val="nil"/>
                  </w:tcBorders>
                  <w:shd w:val="clear" w:color="auto" w:fill="auto"/>
                  <w:vAlign w:val="center"/>
                </w:tcPr>
                <w:p w14:paraId="14B55AC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应采用电子地磅、电子标签、电子管理台账等技术手段对危险废物贮存过程进行信息化管理，确保数据完整、真实、准确：采用视频监控的应确保监控画面清晰，视频记录保存时间至少为3个月</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6421D38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项目采用电子地磅、电子标签、电子管理台账等技术手段对危险废物贮存过程进行信息化管理，并装有监控</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9D4C92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C4FC8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4729" w:type="dxa"/>
                  <w:tcBorders>
                    <w:tl2br w:val="nil"/>
                    <w:tr2bl w:val="nil"/>
                  </w:tcBorders>
                  <w:shd w:val="clear" w:color="auto" w:fill="auto"/>
                  <w:vAlign w:val="center"/>
                </w:tcPr>
                <w:p w14:paraId="698F1C4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在常温常压下易爆、易燃及排出有毒气体的危险废物应进行预处理，使之稳定后贮存，否则应按易爆、易燃危险品贮存</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4AA00D0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在常温常压下易爆、易燃及排出有毒气体的危险废物在分散收集点进行预处理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CE4B23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F092E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76A0E36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2贮存设施选址要求</w:t>
                  </w:r>
                </w:p>
              </w:tc>
              <w:tc>
                <w:tcPr>
                  <w:tcW w:w="3086" w:type="dxa"/>
                  <w:tcBorders>
                    <w:tl2br w:val="nil"/>
                    <w:tr2bl w:val="nil"/>
                  </w:tcBorders>
                  <w:shd w:val="clear" w:color="auto" w:fill="auto"/>
                  <w:vAlign w:val="bottom"/>
                </w:tcPr>
                <w:p w14:paraId="198E6AE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3175355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6D096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8" w:hRule="atLeast"/>
                <w:jc w:val="center"/>
              </w:trPr>
              <w:tc>
                <w:tcPr>
                  <w:tcW w:w="4729" w:type="dxa"/>
                  <w:tcBorders>
                    <w:tl2br w:val="nil"/>
                    <w:tr2bl w:val="nil"/>
                  </w:tcBorders>
                  <w:shd w:val="clear" w:color="auto" w:fill="auto"/>
                  <w:vAlign w:val="center"/>
                </w:tcPr>
                <w:p w14:paraId="2158DA3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贮存设施选址应满足生态环境保护法律法规、规划和“三线一单”生态环境分区管控的要求，建设项目应依法进行环境影响评价</w:t>
                  </w:r>
                  <w:r>
                    <w:rPr>
                      <w:rFonts w:hint="eastAsia" w:cs="Times New Roman" w:eastAsiaTheme="minorEastAsia"/>
                      <w:color w:val="auto"/>
                      <w:sz w:val="21"/>
                      <w:szCs w:val="21"/>
                      <w:highlight w:val="none"/>
                      <w:lang w:val="en-US" w:eastAsia="zh-CN"/>
                    </w:rPr>
                    <w:t>；</w:t>
                  </w:r>
                </w:p>
                <w:p w14:paraId="0814EA7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集中贮存设施不应选在生态保护红线区域、永久基本农田和其他需要特别保护的区域内，不应建在溶洞区或易遭受洪水、滑坡、泥石流、潮汐等严重自然灾害影响的地区</w:t>
                  </w:r>
                  <w:r>
                    <w:rPr>
                      <w:rFonts w:hint="eastAsia" w:cs="Times New Roman" w:eastAsiaTheme="minorEastAsia"/>
                      <w:color w:val="auto"/>
                      <w:sz w:val="21"/>
                      <w:szCs w:val="21"/>
                      <w:highlight w:val="none"/>
                      <w:lang w:val="en-US" w:eastAsia="zh-CN"/>
                    </w:rPr>
                    <w:t>；</w:t>
                  </w:r>
                </w:p>
                <w:p w14:paraId="5A8BC41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贮存设施不应选在江河、湖泊、运河、渠道、水库及其最高水位线以下的滩地和岸坡，以及法律法规规定禁止贮存危险废物的其他地点</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7151737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位于长青工业园，原有厂区内</w:t>
                  </w:r>
                  <w:r>
                    <w:rPr>
                      <w:rFonts w:hint="eastAsia" w:cs="Times New Roman" w:eastAsiaTheme="minorEastAsia"/>
                      <w:color w:val="auto"/>
                      <w:sz w:val="21"/>
                      <w:szCs w:val="21"/>
                      <w:highlight w:val="none"/>
                      <w:lang w:val="en-US" w:eastAsia="zh-CN"/>
                    </w:rPr>
                    <w:t>，通过</w:t>
                  </w:r>
                  <w:r>
                    <w:rPr>
                      <w:rFonts w:hint="default" w:ascii="Times New Roman" w:hAnsi="Times New Roman" w:cs="Times New Roman" w:eastAsiaTheme="minorEastAsia"/>
                      <w:color w:val="auto"/>
                      <w:sz w:val="21"/>
                      <w:szCs w:val="21"/>
                      <w:highlight w:val="none"/>
                      <w:lang w:val="en-US" w:eastAsia="zh-CN"/>
                    </w:rPr>
                    <w:t>“三线一单”</w:t>
                  </w:r>
                  <w:r>
                    <w:rPr>
                      <w:rFonts w:hint="eastAsia" w:cs="Times New Roman" w:eastAsiaTheme="minorEastAsia"/>
                      <w:color w:val="auto"/>
                      <w:sz w:val="21"/>
                      <w:szCs w:val="21"/>
                      <w:highlight w:val="none"/>
                      <w:lang w:val="en-US" w:eastAsia="zh-CN"/>
                    </w:rPr>
                    <w:t>分析，项目满足选址要求；</w:t>
                  </w:r>
                </w:p>
                <w:p w14:paraId="49C4D50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贮存设施没有选在江河、湖泊、运河、渠道、水库及其最高水位线以下的滩地和岸坡，以及法律法规规定禁止贮存危险废物的其他地点</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63C8BB5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1EF8D8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48196E4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3贮存设施污染控制要求</w:t>
                  </w:r>
                </w:p>
              </w:tc>
              <w:tc>
                <w:tcPr>
                  <w:tcW w:w="3086" w:type="dxa"/>
                  <w:tcBorders>
                    <w:tl2br w:val="nil"/>
                    <w:tr2bl w:val="nil"/>
                  </w:tcBorders>
                  <w:shd w:val="clear" w:color="auto" w:fill="auto"/>
                  <w:vAlign w:val="bottom"/>
                </w:tcPr>
                <w:p w14:paraId="5553A42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4A07C4E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1EE96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0CCAAA5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一般规定</w:t>
                  </w:r>
                </w:p>
              </w:tc>
              <w:tc>
                <w:tcPr>
                  <w:tcW w:w="3086" w:type="dxa"/>
                  <w:tcBorders>
                    <w:tl2br w:val="nil"/>
                    <w:tr2bl w:val="nil"/>
                  </w:tcBorders>
                  <w:shd w:val="clear" w:color="auto" w:fill="auto"/>
                  <w:vAlign w:val="center"/>
                </w:tcPr>
                <w:p w14:paraId="69D7C92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9301E9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28550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1A24383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贮存设施应根据危险废物的形态、物理化学性质、包装形式和污染物迁移途径，采取必要的防风、防晒、防雨、防漏、防渗、防腐以及其他环境污染防治措施，不应露天堆放危险废物</w:t>
                  </w:r>
                  <w:r>
                    <w:rPr>
                      <w:rFonts w:hint="eastAsia" w:cs="Times New Roman" w:eastAsiaTheme="minorEastAsia"/>
                      <w:color w:val="auto"/>
                      <w:sz w:val="21"/>
                      <w:szCs w:val="21"/>
                      <w:highlight w:val="none"/>
                      <w:lang w:val="en-US" w:eastAsia="zh-CN"/>
                    </w:rPr>
                    <w:t>；</w:t>
                  </w:r>
                </w:p>
                <w:p w14:paraId="79A2743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贮存设施应根据危险废物的类别、数量、形态、物理化学性质和污染防治等要求设置必要的贮存分区，避免不相容的危险废物接触、混合</w:t>
                  </w:r>
                </w:p>
              </w:tc>
              <w:tc>
                <w:tcPr>
                  <w:tcW w:w="3086" w:type="dxa"/>
                  <w:tcBorders>
                    <w:tl2br w:val="nil"/>
                    <w:tr2bl w:val="nil"/>
                  </w:tcBorders>
                  <w:shd w:val="clear" w:color="auto" w:fill="auto"/>
                  <w:vAlign w:val="center"/>
                </w:tcPr>
                <w:p w14:paraId="2EC3F95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项目危废在仓库内贮存，不露天堆放</w:t>
                  </w:r>
                  <w:r>
                    <w:rPr>
                      <w:rFonts w:hint="eastAsia" w:cs="Times New Roman" w:eastAsiaTheme="minorEastAsia"/>
                      <w:color w:val="auto"/>
                      <w:sz w:val="21"/>
                      <w:szCs w:val="21"/>
                      <w:highlight w:val="none"/>
                      <w:lang w:val="en-US" w:eastAsia="zh-CN"/>
                    </w:rPr>
                    <w:t>；</w:t>
                  </w:r>
                </w:p>
                <w:p w14:paraId="515C051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贮存设施根据危险废物的类别、数量、形态、物理化学性质和污染防治等要求设置贮存分区</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2AD9918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6810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4729" w:type="dxa"/>
                  <w:tcBorders>
                    <w:tl2br w:val="nil"/>
                    <w:tr2bl w:val="nil"/>
                  </w:tcBorders>
                  <w:shd w:val="clear" w:color="auto" w:fill="auto"/>
                  <w:vAlign w:val="center"/>
                </w:tcPr>
                <w:p w14:paraId="33DA3B4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贮存设施或贮存分区内地面、墙面裙脚、堵截泄漏的围堰、接触危险废物的隔板和墙体等应采用坚固的材料建造，表面无裂缝</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4F7E1BD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贮存设施或贮存分区内地面、墙面裙脚、堵截泄漏的围堰、接触危险废物的墙体等采用坚固的材料建造，表面无裂缝</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D1FDAE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B6FD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5" w:hRule="atLeast"/>
                <w:jc w:val="center"/>
              </w:trPr>
              <w:tc>
                <w:tcPr>
                  <w:tcW w:w="4729" w:type="dxa"/>
                  <w:vMerge w:val="restart"/>
                  <w:tcBorders>
                    <w:tl2br w:val="nil"/>
                    <w:tr2bl w:val="nil"/>
                  </w:tcBorders>
                  <w:shd w:val="clear" w:color="auto" w:fill="auto"/>
                  <w:vAlign w:val="center"/>
                </w:tcPr>
                <w:p w14:paraId="4D8305B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贮存设施地面与裙脚应采取表面防渗措施；表面防渗材料应与所接触的物料或污染物相容，可采用抗渗</w:t>
                  </w:r>
                  <w:r>
                    <w:rPr>
                      <w:rFonts w:hint="eastAsia" w:cs="Times New Roman" w:eastAsiaTheme="minorEastAsia"/>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lang w:val="en-US" w:eastAsia="zh-CN"/>
                    </w:rPr>
                    <w:t>、高密度聚乙烯膜、钠基膨润土防水毯或其他防渗性能等效的材料。贮存的危险废物直接接触地面的，还应进行基础防渗，防渗层为至少1m厚黏土层</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渗透系数不大于10</w:t>
                  </w:r>
                  <w:r>
                    <w:rPr>
                      <w:rFonts w:hint="eastAsia"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vertAlign w:val="superscript"/>
                      <w:lang w:val="en-US" w:eastAsia="zh-CN"/>
                    </w:rPr>
                    <w:t>10</w:t>
                  </w:r>
                  <w:r>
                    <w:rPr>
                      <w:rFonts w:hint="default" w:ascii="Times New Roman" w:hAnsi="Times New Roman" w:cs="Times New Roman" w:eastAsiaTheme="minorEastAsia"/>
                      <w:color w:val="auto"/>
                      <w:sz w:val="21"/>
                      <w:szCs w:val="21"/>
                      <w:highlight w:val="none"/>
                      <w:lang w:val="en-US" w:eastAsia="zh-CN"/>
                    </w:rPr>
                    <w:t>cm/s</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或至少2mm厚高密度聚乙烯膜等人工防渗材料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渗透系数不大于10</w:t>
                  </w:r>
                  <w:r>
                    <w:rPr>
                      <w:rFonts w:hint="eastAsia"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vertAlign w:val="superscript"/>
                      <w:lang w:val="en-US" w:eastAsia="zh-CN"/>
                    </w:rPr>
                    <w:t>10</w:t>
                  </w:r>
                  <w:r>
                    <w:rPr>
                      <w:rFonts w:hint="default" w:ascii="Times New Roman" w:hAnsi="Times New Roman" w:cs="Times New Roman" w:eastAsiaTheme="minorEastAsia"/>
                      <w:color w:val="auto"/>
                      <w:sz w:val="21"/>
                      <w:szCs w:val="21"/>
                      <w:highlight w:val="none"/>
                      <w:lang w:val="en-US" w:eastAsia="zh-CN"/>
                    </w:rPr>
                    <w:t>cm/s</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或其他防渗性能等效的材料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同一贮存设施宜采用相同的防渗、防腐工艺</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包括防渗、防腐结构或材料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防渗、防腐材料应覆盖所有可能与废物及其渗滤液、渗漏液等接触的构筑物表面：采用不同防渗、防腐工艺应分别建设贮存分区</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53BA73D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按照标准规定要求进行建设，包含收集池、仓库地面等</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贮存设施采用相同的</w:t>
                  </w:r>
                  <w:r>
                    <w:rPr>
                      <w:rFonts w:hint="eastAsia" w:cs="Times New Roman" w:eastAsiaTheme="minorEastAsia"/>
                      <w:color w:val="auto"/>
                      <w:sz w:val="21"/>
                      <w:szCs w:val="21"/>
                      <w:highlight w:val="none"/>
                      <w:lang w:val="en-US" w:eastAsia="zh-CN"/>
                    </w:rPr>
                    <w:t>对应的</w:t>
                  </w:r>
                  <w:r>
                    <w:rPr>
                      <w:rFonts w:hint="default" w:ascii="Times New Roman" w:hAnsi="Times New Roman" w:cs="Times New Roman" w:eastAsiaTheme="minorEastAsia"/>
                      <w:color w:val="auto"/>
                      <w:sz w:val="21"/>
                      <w:szCs w:val="21"/>
                      <w:highlight w:val="none"/>
                      <w:lang w:val="en-US" w:eastAsia="zh-CN"/>
                    </w:rPr>
                    <w:t>防渗、防腐工艺</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包括防渗、防腐结构或材料</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防渗、防腐材料覆盖所有可能与废物及其渗滤液、渗漏液等接触的构筑物表面</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574C14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69E19E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5" w:hRule="atLeast"/>
                <w:jc w:val="center"/>
              </w:trPr>
              <w:tc>
                <w:tcPr>
                  <w:tcW w:w="4729" w:type="dxa"/>
                  <w:vMerge w:val="continue"/>
                  <w:tcBorders>
                    <w:tl2br w:val="nil"/>
                    <w:tr2bl w:val="nil"/>
                  </w:tcBorders>
                  <w:shd w:val="clear" w:color="auto" w:fill="auto"/>
                  <w:vAlign w:val="center"/>
                </w:tcPr>
                <w:p w14:paraId="54A04DA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5CDDA4D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2A22BF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FD7CD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4729" w:type="dxa"/>
                  <w:tcBorders>
                    <w:tl2br w:val="nil"/>
                    <w:tr2bl w:val="nil"/>
                  </w:tcBorders>
                  <w:shd w:val="clear" w:color="auto" w:fill="auto"/>
                  <w:vAlign w:val="center"/>
                </w:tcPr>
                <w:p w14:paraId="17EA237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贮存设施应采取技术和管理措施防止无关人员进入</w:t>
                  </w:r>
                </w:p>
              </w:tc>
              <w:tc>
                <w:tcPr>
                  <w:tcW w:w="3086" w:type="dxa"/>
                  <w:tcBorders>
                    <w:tl2br w:val="nil"/>
                    <w:tr2bl w:val="nil"/>
                  </w:tcBorders>
                  <w:shd w:val="clear" w:color="auto" w:fill="auto"/>
                  <w:vAlign w:val="center"/>
                </w:tcPr>
                <w:p w14:paraId="6E483CB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设有危险标识和专人管理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67B889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C436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44FEC49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贮存库</w:t>
                  </w:r>
                </w:p>
              </w:tc>
              <w:tc>
                <w:tcPr>
                  <w:tcW w:w="3086" w:type="dxa"/>
                  <w:tcBorders>
                    <w:tl2br w:val="nil"/>
                    <w:tr2bl w:val="nil"/>
                  </w:tcBorders>
                  <w:shd w:val="clear" w:color="auto" w:fill="auto"/>
                  <w:vAlign w:val="center"/>
                </w:tcPr>
                <w:p w14:paraId="48758AD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3B3EEA5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287194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9" w:hRule="atLeast"/>
                <w:jc w:val="center"/>
              </w:trPr>
              <w:tc>
                <w:tcPr>
                  <w:tcW w:w="4729" w:type="dxa"/>
                  <w:vMerge w:val="restart"/>
                  <w:tcBorders>
                    <w:tl2br w:val="nil"/>
                    <w:tr2bl w:val="nil"/>
                  </w:tcBorders>
                  <w:shd w:val="clear" w:color="auto" w:fill="auto"/>
                  <w:vAlign w:val="center"/>
                </w:tcPr>
                <w:p w14:paraId="3105944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贮存库内不同贮存分区之间应采取隔离措施，隔离措施可根据危险废物特性采用过道、隔板或隔墙等方式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在贮存库内或通过贮存分区方式贮存液态危险废物的，应具有液体泄漏堵截设施，堵截设施最小容积不应低于对应贮存区域最大液态废物容器容积或液态废物总储量1/10</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二者取较大者</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用于贮存可能产生渗滤液的危险废物的贮存库或贮存分区应设计渗滤液收集设施，收集设施容积应满足渗滤液的收集要求</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贮存易产生粉尘、VOCs、酸雾、有毒有害大气污染物和刺激性气味气体的危险废物贮存库应设置气体收集装置和气体净化设施；气体净化设施的排气筒高度应符合</w:t>
                  </w:r>
                  <w:r>
                    <w:rPr>
                      <w:rFonts w:hint="eastAsia" w:cs="Times New Roman" w:eastAsiaTheme="minorEastAsia"/>
                      <w:color w:val="auto"/>
                      <w:sz w:val="21"/>
                      <w:szCs w:val="21"/>
                      <w:highlight w:val="none"/>
                      <w:lang w:val="en-US" w:eastAsia="zh-CN"/>
                    </w:rPr>
                    <w:t>GB 16297-1996</w:t>
                  </w:r>
                  <w:r>
                    <w:rPr>
                      <w:rFonts w:hint="default" w:ascii="Times New Roman" w:hAnsi="Times New Roman" w:cs="Times New Roman" w:eastAsiaTheme="minorEastAsia"/>
                      <w:color w:val="auto"/>
                      <w:sz w:val="21"/>
                      <w:szCs w:val="21"/>
                      <w:highlight w:val="none"/>
                      <w:lang w:val="en-US" w:eastAsia="zh-CN"/>
                    </w:rPr>
                    <w:t>要求</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6825CA4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仓库内的</w:t>
                  </w:r>
                  <w:r>
                    <w:rPr>
                      <w:rFonts w:hint="eastAsia" w:cs="Times New Roman" w:eastAsiaTheme="minorEastAsia"/>
                      <w:color w:val="auto"/>
                      <w:sz w:val="21"/>
                      <w:szCs w:val="21"/>
                      <w:highlight w:val="none"/>
                      <w:lang w:val="en-US" w:eastAsia="zh-CN"/>
                    </w:rPr>
                    <w:t>各个</w:t>
                  </w:r>
                  <w:r>
                    <w:rPr>
                      <w:rFonts w:hint="default" w:ascii="Times New Roman" w:hAnsi="Times New Roman" w:cs="Times New Roman" w:eastAsiaTheme="minorEastAsia"/>
                      <w:color w:val="auto"/>
                      <w:sz w:val="21"/>
                      <w:szCs w:val="21"/>
                      <w:highlight w:val="none"/>
                      <w:lang w:val="en-US" w:eastAsia="zh-CN"/>
                    </w:rPr>
                    <w:t>贮存间均设置有隔离墙</w:t>
                  </w:r>
                  <w:r>
                    <w:rPr>
                      <w:rFonts w:hint="eastAsia" w:cs="Times New Roman" w:eastAsiaTheme="minorEastAsia"/>
                      <w:color w:val="auto"/>
                      <w:sz w:val="21"/>
                      <w:szCs w:val="21"/>
                      <w:highlight w:val="none"/>
                      <w:lang w:val="en-US" w:eastAsia="zh-CN"/>
                    </w:rPr>
                    <w:t>，为独立的贮存间；</w:t>
                  </w:r>
                </w:p>
                <w:p w14:paraId="5CE7A6E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贮存间内均设有收集池和导流沟，其中堵截设施最小容积不低于对应贮存区域最大液态废物容器容积或液态废物总储量1/10</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贮存区四周设置围堰，围堰高度不低于0.6m</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各贮存间截流沟沿贮存区外侧四周设置，截面尺寸0.1m×0.1m</w:t>
                  </w:r>
                  <w:r>
                    <w:rPr>
                      <w:rFonts w:hint="eastAsia" w:cs="Times New Roman" w:eastAsiaTheme="minorEastAsia"/>
                      <w:color w:val="auto"/>
                      <w:sz w:val="21"/>
                      <w:szCs w:val="21"/>
                      <w:highlight w:val="none"/>
                      <w:lang w:val="en-US" w:eastAsia="zh-CN"/>
                    </w:rPr>
                    <w:t>；</w:t>
                  </w:r>
                </w:p>
                <w:p w14:paraId="4FDE413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本项目所产生的有机废气采用密闭贮存区+收集管道+二级活性炭+排气筒有组织排放；废酸废气采用密闭贮存区+收集管道+喷淋塔+排气筒有组织排放，排</w:t>
                  </w:r>
                </w:p>
                <w:p w14:paraId="0147697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气筒高度为15m高，符合GB16297 要求。</w:t>
                  </w:r>
                </w:p>
              </w:tc>
              <w:tc>
                <w:tcPr>
                  <w:tcW w:w="863" w:type="dxa"/>
                  <w:tcBorders>
                    <w:tl2br w:val="nil"/>
                    <w:tr2bl w:val="nil"/>
                  </w:tcBorders>
                  <w:shd w:val="clear" w:color="auto" w:fill="auto"/>
                  <w:vAlign w:val="center"/>
                </w:tcPr>
                <w:p w14:paraId="4A66390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4A207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4729" w:type="dxa"/>
                  <w:vMerge w:val="continue"/>
                  <w:tcBorders>
                    <w:tl2br w:val="nil"/>
                    <w:tr2bl w:val="nil"/>
                  </w:tcBorders>
                  <w:shd w:val="clear" w:color="auto" w:fill="auto"/>
                  <w:vAlign w:val="center"/>
                </w:tcPr>
                <w:p w14:paraId="4CE24FE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30C6C1D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02D3292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110EE5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jc w:val="center"/>
              </w:trPr>
              <w:tc>
                <w:tcPr>
                  <w:tcW w:w="4729" w:type="dxa"/>
                  <w:vMerge w:val="continue"/>
                  <w:tcBorders>
                    <w:tl2br w:val="nil"/>
                    <w:tr2bl w:val="nil"/>
                  </w:tcBorders>
                  <w:shd w:val="clear" w:color="auto" w:fill="auto"/>
                  <w:vAlign w:val="center"/>
                </w:tcPr>
                <w:p w14:paraId="64FB3FD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65F6EBF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7FE5FA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E92B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09D9F84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4容器和包装物污染控制要求</w:t>
                  </w:r>
                </w:p>
              </w:tc>
              <w:tc>
                <w:tcPr>
                  <w:tcW w:w="3086" w:type="dxa"/>
                  <w:tcBorders>
                    <w:tl2br w:val="nil"/>
                    <w:tr2bl w:val="nil"/>
                  </w:tcBorders>
                  <w:shd w:val="clear" w:color="auto" w:fill="auto"/>
                  <w:vAlign w:val="center"/>
                </w:tcPr>
                <w:p w14:paraId="7911BFB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FF9245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4FA37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4729" w:type="dxa"/>
                  <w:tcBorders>
                    <w:tl2br w:val="nil"/>
                    <w:tr2bl w:val="nil"/>
                  </w:tcBorders>
                  <w:shd w:val="clear" w:color="auto" w:fill="auto"/>
                  <w:vAlign w:val="center"/>
                </w:tcPr>
                <w:p w14:paraId="011818E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容器和包装物材质、内衬应与盛装的危险废物相容</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针对不同类别、形态、物理化学性质的危险废物，其容器和包装物应满足相应的防渗、防漏、防腐和强度等要求</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6175848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容器和包装物材质、内衬与盛装的危险废物相容</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满足相应的防渗、防漏、防腐和强度要求</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6A8469F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3F4F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9" w:hRule="atLeast"/>
                <w:jc w:val="center"/>
              </w:trPr>
              <w:tc>
                <w:tcPr>
                  <w:tcW w:w="4729" w:type="dxa"/>
                  <w:vMerge w:val="restart"/>
                  <w:tcBorders>
                    <w:tl2br w:val="nil"/>
                    <w:tr2bl w:val="nil"/>
                  </w:tcBorders>
                  <w:shd w:val="clear" w:color="auto" w:fill="auto"/>
                  <w:vAlign w:val="center"/>
                </w:tcPr>
                <w:p w14:paraId="572ABD9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硬质容器和包装物及其支护结构堆叠码放时不应有明显变形，无破损泄漏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柔性容器和包装物堆叠码放时应封口严密，无破损泄漏</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05C8E8C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硬质容器和包装物及其支护结构堆叠码放时</w:t>
                  </w:r>
                  <w:r>
                    <w:rPr>
                      <w:rFonts w:hint="eastAsia" w:cs="Times New Roman" w:eastAsiaTheme="minorEastAsia"/>
                      <w:color w:val="auto"/>
                      <w:sz w:val="21"/>
                      <w:szCs w:val="21"/>
                      <w:highlight w:val="none"/>
                      <w:lang w:val="en-US" w:eastAsia="zh-CN"/>
                    </w:rPr>
                    <w:t>没有</w:t>
                  </w:r>
                  <w:r>
                    <w:rPr>
                      <w:rFonts w:hint="default" w:ascii="Times New Roman" w:hAnsi="Times New Roman" w:cs="Times New Roman" w:eastAsiaTheme="minorEastAsia"/>
                      <w:color w:val="auto"/>
                      <w:sz w:val="21"/>
                      <w:szCs w:val="21"/>
                      <w:highlight w:val="none"/>
                      <w:lang w:val="en-US" w:eastAsia="zh-CN"/>
                    </w:rPr>
                    <w:t>明显变形，无破损泄漏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柔性容器和包装物堆叠码放时封口严密，无破损泄漏</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7E7EB44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719A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4729" w:type="dxa"/>
                  <w:vMerge w:val="continue"/>
                  <w:tcBorders>
                    <w:tl2br w:val="nil"/>
                    <w:tr2bl w:val="nil"/>
                  </w:tcBorders>
                  <w:shd w:val="clear" w:color="auto" w:fill="auto"/>
                  <w:vAlign w:val="center"/>
                </w:tcPr>
                <w:p w14:paraId="7995C58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2C7A645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67692A4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3381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4729" w:type="dxa"/>
                  <w:vMerge w:val="restart"/>
                  <w:tcBorders>
                    <w:tl2br w:val="nil"/>
                    <w:tr2bl w:val="nil"/>
                  </w:tcBorders>
                  <w:shd w:val="clear" w:color="auto" w:fill="auto"/>
                  <w:vAlign w:val="center"/>
                </w:tcPr>
                <w:p w14:paraId="7AD1143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使用容器盛装液态、半固态危险废物时，容器内部应留有适当的空间，以适应因温度变化等可能引发的收缩和膨胀，防止其导致容器渗漏或永久变形</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容器和包装物外表面应保持清洁</w:t>
                  </w:r>
                  <w:r>
                    <w:rPr>
                      <w:rFonts w:hint="eastAsia" w:cs="Times New Roman" w:eastAsiaTheme="minorEastAsia"/>
                      <w:color w:val="auto"/>
                      <w:sz w:val="21"/>
                      <w:szCs w:val="21"/>
                      <w:highlight w:val="none"/>
                      <w:lang w:val="en-US" w:eastAsia="zh-CN"/>
                    </w:rPr>
                    <w:t>。</w:t>
                  </w:r>
                </w:p>
              </w:tc>
              <w:tc>
                <w:tcPr>
                  <w:tcW w:w="3086" w:type="dxa"/>
                  <w:vMerge w:val="restart"/>
                  <w:tcBorders>
                    <w:tl2br w:val="nil"/>
                    <w:tr2bl w:val="nil"/>
                  </w:tcBorders>
                  <w:shd w:val="clear" w:color="auto" w:fill="auto"/>
                  <w:vAlign w:val="center"/>
                </w:tcPr>
                <w:p w14:paraId="5C124CC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容器保持清洁</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内部留有适当的空间</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最大贮存体积为总容积的80%</w:t>
                  </w:r>
                  <w:r>
                    <w:rPr>
                      <w:rFonts w:hint="eastAsia" w:cs="Times New Roman" w:eastAsiaTheme="minorEastAsia"/>
                      <w:color w:val="auto"/>
                      <w:sz w:val="21"/>
                      <w:szCs w:val="21"/>
                      <w:highlight w:val="none"/>
                      <w:lang w:val="en-US" w:eastAsia="zh-CN"/>
                    </w:rPr>
                    <w:t>。</w:t>
                  </w:r>
                </w:p>
                <w:p w14:paraId="0DCA147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974D61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0D318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vMerge w:val="continue"/>
                  <w:tcBorders>
                    <w:tl2br w:val="nil"/>
                    <w:tr2bl w:val="nil"/>
                  </w:tcBorders>
                  <w:shd w:val="clear" w:color="auto" w:fill="auto"/>
                  <w:vAlign w:val="bottom"/>
                </w:tcPr>
                <w:p w14:paraId="505AAAD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3086" w:type="dxa"/>
                  <w:vMerge w:val="continue"/>
                  <w:tcBorders>
                    <w:tl2br w:val="nil"/>
                    <w:tr2bl w:val="nil"/>
                  </w:tcBorders>
                  <w:shd w:val="clear" w:color="auto" w:fill="auto"/>
                  <w:vAlign w:val="center"/>
                </w:tcPr>
                <w:p w14:paraId="06B8CFF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54CDB40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15978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70C1E14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5贮存过程污染控制要求</w:t>
                  </w:r>
                </w:p>
              </w:tc>
              <w:tc>
                <w:tcPr>
                  <w:tcW w:w="3086" w:type="dxa"/>
                  <w:tcBorders>
                    <w:tl2br w:val="nil"/>
                    <w:tr2bl w:val="nil"/>
                  </w:tcBorders>
                  <w:shd w:val="clear" w:color="auto" w:fill="auto"/>
                  <w:vAlign w:val="center"/>
                </w:tcPr>
                <w:p w14:paraId="0142B5E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4926D9E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6BC0B4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37" w:hRule="atLeast"/>
                <w:jc w:val="center"/>
              </w:trPr>
              <w:tc>
                <w:tcPr>
                  <w:tcW w:w="4729" w:type="dxa"/>
                  <w:tcBorders>
                    <w:tl2br w:val="nil"/>
                    <w:tr2bl w:val="nil"/>
                  </w:tcBorders>
                  <w:shd w:val="clear" w:color="auto" w:fill="auto"/>
                  <w:vAlign w:val="bottom"/>
                </w:tcPr>
                <w:p w14:paraId="6258C7D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一般规定</w:t>
                  </w:r>
                  <w:r>
                    <w:rPr>
                      <w:rFonts w:hint="eastAsia" w:cs="Times New Roman" w:eastAsiaTheme="minorEastAsia"/>
                      <w:color w:val="auto"/>
                      <w:sz w:val="21"/>
                      <w:szCs w:val="21"/>
                      <w:highlight w:val="none"/>
                      <w:lang w:val="en-US" w:eastAsia="zh-CN"/>
                    </w:rPr>
                    <w:t>：</w:t>
                  </w:r>
                </w:p>
                <w:p w14:paraId="13A8791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在常温常压下不易水解、不易挥发的固态危险废物可分类堆放贮存，其他固态危险废物应装入容器或包装物内贮存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液态危险废物应装入容器内贮存，或直接采用贮存池、贮存罐区贮存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半固态危险废物应装入容器或包装袋内贮存，或直接采用贮存池贮存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具有热塑性的危险废物应装入容器或包装袋内进行贮存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易产生粉尘、VOCs、酸雾、有毒有害大气污染物和刺激性气味气体的危险废物应装入闭口容器或包装物内贮存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危险废物贮存过程中易产生粉尘等无组织排放的，应采取抑尘等有效措施</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7D049FE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危废均装入相应容器中贮存</w:t>
                  </w:r>
                  <w:r>
                    <w:rPr>
                      <w:rFonts w:hint="eastAsia" w:cs="Times New Roman" w:eastAsiaTheme="minorEastAsia"/>
                      <w:color w:val="auto"/>
                      <w:sz w:val="21"/>
                      <w:szCs w:val="21"/>
                      <w:highlight w:val="none"/>
                      <w:lang w:val="en-US" w:eastAsia="zh-CN"/>
                    </w:rPr>
                    <w:t>；</w:t>
                  </w:r>
                </w:p>
                <w:p w14:paraId="2770F12F">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液态危险废物装入容器内贮存</w:t>
                  </w:r>
                  <w:r>
                    <w:rPr>
                      <w:rFonts w:hint="eastAsia" w:cs="Times New Roman" w:eastAsiaTheme="minorEastAsia"/>
                      <w:color w:val="auto"/>
                      <w:sz w:val="21"/>
                      <w:szCs w:val="21"/>
                      <w:highlight w:val="none"/>
                      <w:lang w:val="en-US" w:eastAsia="zh-CN"/>
                    </w:rPr>
                    <w:t>；</w:t>
                  </w:r>
                </w:p>
                <w:p w14:paraId="45B7F7E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半固态危险废物装入容器或包装袋内贮存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具有热塑性的危废装入容器或包装袋内进行贮存</w:t>
                  </w:r>
                  <w:r>
                    <w:rPr>
                      <w:rFonts w:hint="eastAsia" w:cs="Times New Roman" w:eastAsiaTheme="minorEastAsia"/>
                      <w:color w:val="auto"/>
                      <w:sz w:val="21"/>
                      <w:szCs w:val="21"/>
                      <w:highlight w:val="none"/>
                      <w:lang w:val="en-US" w:eastAsia="zh-CN"/>
                    </w:rPr>
                    <w:t>；</w:t>
                  </w:r>
                </w:p>
                <w:p w14:paraId="4DE17EC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产生粉尘、VOCs、酸雾、有毒有害大气污染物和刺激性气味气体的装入密闭PV箱和PV桶</w:t>
                  </w:r>
                  <w:r>
                    <w:rPr>
                      <w:rFonts w:hint="eastAsia" w:cs="Times New Roman" w:eastAsiaTheme="minorEastAsia"/>
                      <w:color w:val="auto"/>
                      <w:sz w:val="21"/>
                      <w:szCs w:val="21"/>
                      <w:highlight w:val="none"/>
                      <w:lang w:val="en-US" w:eastAsia="zh-CN"/>
                    </w:rPr>
                    <w:t>；</w:t>
                  </w:r>
                </w:p>
                <w:p w14:paraId="6B1FDB1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易挥发有机气体和酸雾危险废物贮存间均采取负压收集措施</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6A03614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p w14:paraId="0D1E6A8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p w14:paraId="55B2F99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5FC74F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59FFFDBB">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贮存设施运行环境管理要求</w:t>
                  </w:r>
                  <w:r>
                    <w:rPr>
                      <w:rFonts w:hint="eastAsia" w:cs="Times New Roman" w:eastAsiaTheme="minorEastAsia"/>
                      <w:color w:val="auto"/>
                      <w:sz w:val="21"/>
                      <w:szCs w:val="21"/>
                      <w:highlight w:val="none"/>
                      <w:lang w:val="en-US" w:eastAsia="zh-CN"/>
                    </w:rPr>
                    <w:t>：</w:t>
                  </w:r>
                </w:p>
                <w:p w14:paraId="497DF06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危险废物存入暂存设施前应对危险</w:t>
                  </w:r>
                  <w:r>
                    <w:rPr>
                      <w:rFonts w:hint="eastAsia" w:cs="Times New Roman" w:eastAsiaTheme="minorEastAsia"/>
                      <w:color w:val="auto"/>
                      <w:sz w:val="21"/>
                      <w:szCs w:val="21"/>
                      <w:highlight w:val="none"/>
                      <w:lang w:val="en-US" w:eastAsia="zh-CN"/>
                    </w:rPr>
                    <w:t>废</w:t>
                  </w:r>
                  <w:r>
                    <w:rPr>
                      <w:rFonts w:hint="default" w:ascii="Times New Roman" w:hAnsi="Times New Roman" w:cs="Times New Roman" w:eastAsiaTheme="minorEastAsia"/>
                      <w:color w:val="auto"/>
                      <w:sz w:val="21"/>
                      <w:szCs w:val="21"/>
                      <w:highlight w:val="none"/>
                      <w:lang w:val="en-US" w:eastAsia="zh-CN"/>
                    </w:rPr>
                    <w:t>物类别和特性与危险废物标签等危险废物识别标志的一致性进行核验，不一致的或类别、特性不明的不应存入</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bottom"/>
                </w:tcPr>
                <w:p w14:paraId="5B6CAEA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危险废物存入暂存设施前对危险</w:t>
                  </w:r>
                  <w:r>
                    <w:rPr>
                      <w:rFonts w:hint="eastAsia" w:cs="Times New Roman" w:eastAsiaTheme="minorEastAsia"/>
                      <w:color w:val="auto"/>
                      <w:sz w:val="21"/>
                      <w:szCs w:val="21"/>
                      <w:highlight w:val="none"/>
                      <w:lang w:val="en-US" w:eastAsia="zh-CN"/>
                    </w:rPr>
                    <w:t>废</w:t>
                  </w:r>
                  <w:r>
                    <w:rPr>
                      <w:rFonts w:hint="default" w:ascii="Times New Roman" w:hAnsi="Times New Roman" w:cs="Times New Roman" w:eastAsiaTheme="minorEastAsia"/>
                      <w:color w:val="auto"/>
                      <w:sz w:val="21"/>
                      <w:szCs w:val="21"/>
                      <w:highlight w:val="none"/>
                      <w:lang w:val="en-US" w:eastAsia="zh-CN"/>
                    </w:rPr>
                    <w:t>物类别和特性与危险废物标签等危险废物识别标志的一致性进行核验</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74C4C71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A3D8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4729" w:type="dxa"/>
                  <w:tcBorders>
                    <w:tl2br w:val="nil"/>
                    <w:tr2bl w:val="nil"/>
                  </w:tcBorders>
                  <w:shd w:val="clear" w:color="auto" w:fill="auto"/>
                  <w:vAlign w:val="center"/>
                </w:tcPr>
                <w:p w14:paraId="695D75C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应定期检查危险废物的贮存状况，及时清理贮存设施地面，更换破损泄漏的危险废物贮存容器和包装物，保证堆存危险废物的防雨、防风、防扬尘等设施功能完好</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428945DA">
                  <w:pPr>
                    <w:bidi w:val="0"/>
                    <w:spacing w:line="240" w:lineRule="auto"/>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建设单位定期检查危险废物的贮存状态</w:t>
                  </w:r>
                  <w:r>
                    <w:rPr>
                      <w:rFonts w:hint="eastAsia"/>
                      <w:color w:val="auto"/>
                      <w:highlight w:val="none"/>
                      <w:lang w:eastAsia="zh-CN"/>
                    </w:rPr>
                    <w:t>。</w:t>
                  </w:r>
                </w:p>
              </w:tc>
              <w:tc>
                <w:tcPr>
                  <w:tcW w:w="863" w:type="dxa"/>
                  <w:tcBorders>
                    <w:tl2br w:val="nil"/>
                    <w:tr2bl w:val="nil"/>
                  </w:tcBorders>
                  <w:shd w:val="clear" w:color="auto" w:fill="auto"/>
                  <w:vAlign w:val="center"/>
                </w:tcPr>
                <w:p w14:paraId="0B83AA1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DE39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center"/>
                </w:tcPr>
                <w:p w14:paraId="28B7BB5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作业设备及车辆等结束作业离开贮存设施时，应对其残留的危险废物进行清理，清理的废物或清洗废水应收集处理</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0F7DA3C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作业设备及车辆等结束作业离开贮存设施时，对残留的危险废物进行</w:t>
                  </w:r>
                  <w:r>
                    <w:rPr>
                      <w:rFonts w:hint="eastAsia" w:cs="Times New Roman" w:eastAsiaTheme="minorEastAsia"/>
                      <w:color w:val="auto"/>
                      <w:sz w:val="21"/>
                      <w:szCs w:val="21"/>
                      <w:highlight w:val="none"/>
                      <w:lang w:val="en-US" w:eastAsia="zh-CN"/>
                    </w:rPr>
                    <w:t>干式</w:t>
                  </w:r>
                  <w:r>
                    <w:rPr>
                      <w:rFonts w:hint="default" w:ascii="Times New Roman" w:hAnsi="Times New Roman" w:cs="Times New Roman" w:eastAsiaTheme="minorEastAsia"/>
                      <w:color w:val="auto"/>
                      <w:sz w:val="21"/>
                      <w:szCs w:val="21"/>
                      <w:highlight w:val="none"/>
                      <w:lang w:val="en-US" w:eastAsia="zh-CN"/>
                    </w:rPr>
                    <w:t>清理</w:t>
                  </w:r>
                  <w:r>
                    <w:rPr>
                      <w:rFonts w:hint="eastAsia" w:cs="Times New Roman" w:eastAsiaTheme="minorEastAsia"/>
                      <w:color w:val="auto"/>
                      <w:sz w:val="21"/>
                      <w:szCs w:val="21"/>
                      <w:highlight w:val="none"/>
                      <w:lang w:val="en-US" w:eastAsia="zh-CN"/>
                    </w:rPr>
                    <w:t>，不涉及清洗废水，</w:t>
                  </w:r>
                  <w:r>
                    <w:rPr>
                      <w:rFonts w:hint="default" w:ascii="Times New Roman" w:hAnsi="Times New Roman" w:cs="Times New Roman" w:eastAsiaTheme="minorEastAsia"/>
                      <w:color w:val="auto"/>
                      <w:sz w:val="21"/>
                      <w:szCs w:val="21"/>
                      <w:highlight w:val="none"/>
                      <w:lang w:val="en-US" w:eastAsia="zh-CN"/>
                    </w:rPr>
                    <w:t>清理的废物按照危险废物暂存</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7D3826B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613CC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42" w:hRule="atLeast"/>
                <w:jc w:val="center"/>
              </w:trPr>
              <w:tc>
                <w:tcPr>
                  <w:tcW w:w="4729" w:type="dxa"/>
                  <w:tcBorders>
                    <w:tl2br w:val="nil"/>
                    <w:tr2bl w:val="nil"/>
                  </w:tcBorders>
                  <w:shd w:val="clear" w:color="auto" w:fill="auto"/>
                  <w:vAlign w:val="center"/>
                </w:tcPr>
                <w:p w14:paraId="7AAA043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贮存设施运行期间，应按国家有关标准和规定建立危险废物管理台账并保存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贮存设施所有者或运营者应建立贮存设施环境管理制度、管理人员岗位职责制度、设施运行操作制度、人员岗位培训制度等</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贮存设施所有者或运营者应依据国家</w:t>
                  </w:r>
                  <w:r>
                    <w:rPr>
                      <w:rFonts w:hint="eastAsia" w:cs="Times New Roman" w:eastAsiaTheme="minorEastAsia"/>
                      <w:color w:val="auto"/>
                      <w:sz w:val="21"/>
                      <w:szCs w:val="21"/>
                      <w:highlight w:val="none"/>
                      <w:lang w:val="en-US" w:eastAsia="zh-CN"/>
                    </w:rPr>
                    <w:t>土壤和</w:t>
                  </w:r>
                  <w:r>
                    <w:rPr>
                      <w:rFonts w:hint="default" w:ascii="Times New Roman" w:hAnsi="Times New Roman" w:cs="Times New Roman" w:eastAsiaTheme="minorEastAsia"/>
                      <w:color w:val="auto"/>
                      <w:sz w:val="21"/>
                      <w:szCs w:val="21"/>
                      <w:highlight w:val="none"/>
                      <w:lang w:val="en-US" w:eastAsia="zh-CN"/>
                    </w:rPr>
                    <w:t>地下水污染防治的有关规定，结合贮存设施特点建立土壤和地下水污染隐患排查制度，定期开展隐患排查：发现隐患应及时采取措施消除隐患，并建立档案</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贮存设施所有者或运营者应建立贮存设施全部档案，包括设计、施工、验收、运行、监测和环境应急等，应按国家有关档案管理的</w:t>
                  </w:r>
                  <w:r>
                    <w:rPr>
                      <w:rFonts w:hint="eastAsia" w:cs="Times New Roman" w:eastAsiaTheme="minorEastAsia"/>
                      <w:color w:val="auto"/>
                      <w:sz w:val="21"/>
                      <w:szCs w:val="21"/>
                      <w:highlight w:val="none"/>
                      <w:lang w:val="en-US" w:eastAsia="zh-CN"/>
                    </w:rPr>
                    <w:t>法律法规</w:t>
                  </w:r>
                  <w:r>
                    <w:rPr>
                      <w:rFonts w:hint="default" w:ascii="Times New Roman" w:hAnsi="Times New Roman" w:cs="Times New Roman" w:eastAsiaTheme="minorEastAsia"/>
                      <w:color w:val="auto"/>
                      <w:sz w:val="21"/>
                      <w:szCs w:val="21"/>
                      <w:highlight w:val="none"/>
                      <w:lang w:val="en-US" w:eastAsia="zh-CN"/>
                    </w:rPr>
                    <w:t>进行整理和归档</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2C05053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拟建立危险废物管理台账并保存</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建设单位将在原有已建成的贮存设施环境管理制度、管理人员岗位职责制度、设施运行操作制度、人员岗位培训制度等制度在本项目建成后进行优化和修订</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建设单位</w:t>
                  </w:r>
                  <w:r>
                    <w:rPr>
                      <w:rFonts w:hint="eastAsia" w:cs="Times New Roman" w:eastAsiaTheme="minorEastAsia"/>
                      <w:color w:val="auto"/>
                      <w:sz w:val="21"/>
                      <w:szCs w:val="21"/>
                      <w:highlight w:val="none"/>
                      <w:lang w:val="en-US" w:eastAsia="zh-CN"/>
                    </w:rPr>
                    <w:t>在本项目建成后</w:t>
                  </w:r>
                  <w:r>
                    <w:rPr>
                      <w:rFonts w:hint="default" w:ascii="Times New Roman" w:hAnsi="Times New Roman" w:cs="Times New Roman" w:eastAsiaTheme="minorEastAsia"/>
                      <w:color w:val="auto"/>
                      <w:sz w:val="21"/>
                      <w:szCs w:val="21"/>
                      <w:highlight w:val="none"/>
                      <w:lang w:val="en-US" w:eastAsia="zh-CN"/>
                    </w:rPr>
                    <w:t>结合贮存设施特点</w:t>
                  </w:r>
                  <w:r>
                    <w:rPr>
                      <w:rFonts w:hint="eastAsia" w:cs="Times New Roman" w:eastAsiaTheme="minorEastAsia"/>
                      <w:color w:val="auto"/>
                      <w:sz w:val="21"/>
                      <w:szCs w:val="21"/>
                      <w:highlight w:val="none"/>
                      <w:lang w:val="en-US" w:eastAsia="zh-CN"/>
                    </w:rPr>
                    <w:t>对已经设立的</w:t>
                  </w:r>
                  <w:r>
                    <w:rPr>
                      <w:rFonts w:hint="default" w:ascii="Times New Roman" w:hAnsi="Times New Roman" w:cs="Times New Roman" w:eastAsiaTheme="minorEastAsia"/>
                      <w:color w:val="auto"/>
                      <w:sz w:val="21"/>
                      <w:szCs w:val="21"/>
                      <w:highlight w:val="none"/>
                      <w:lang w:val="en-US" w:eastAsia="zh-CN"/>
                    </w:rPr>
                    <w:t>土壤和地下水污染隐患排查制度</w:t>
                  </w:r>
                  <w:r>
                    <w:rPr>
                      <w:rFonts w:hint="eastAsia" w:cs="Times New Roman" w:eastAsiaTheme="minorEastAsia"/>
                      <w:color w:val="auto"/>
                      <w:sz w:val="21"/>
                      <w:szCs w:val="21"/>
                      <w:highlight w:val="none"/>
                      <w:lang w:val="en-US" w:eastAsia="zh-CN"/>
                    </w:rPr>
                    <w:t>进行修改</w:t>
                  </w:r>
                  <w:r>
                    <w:rPr>
                      <w:rFonts w:hint="default"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并修改</w:t>
                  </w:r>
                  <w:r>
                    <w:rPr>
                      <w:rFonts w:hint="default" w:ascii="Times New Roman" w:hAnsi="Times New Roman" w:cs="Times New Roman" w:eastAsiaTheme="minorEastAsia"/>
                      <w:color w:val="auto"/>
                      <w:sz w:val="21"/>
                      <w:szCs w:val="21"/>
                      <w:highlight w:val="none"/>
                      <w:lang w:val="en-US" w:eastAsia="zh-CN"/>
                    </w:rPr>
                    <w:t>隐患排查</w:t>
                  </w:r>
                  <w:r>
                    <w:rPr>
                      <w:rFonts w:hint="eastAsia" w:cs="Times New Roman" w:eastAsiaTheme="minorEastAsia"/>
                      <w:color w:val="auto"/>
                      <w:sz w:val="21"/>
                      <w:szCs w:val="21"/>
                      <w:highlight w:val="none"/>
                      <w:lang w:val="en-US" w:eastAsia="zh-CN"/>
                    </w:rPr>
                    <w:t>报告，</w:t>
                  </w:r>
                  <w:r>
                    <w:rPr>
                      <w:rFonts w:hint="default" w:ascii="Times New Roman" w:hAnsi="Times New Roman" w:cs="Times New Roman" w:eastAsiaTheme="minorEastAsia"/>
                      <w:color w:val="auto"/>
                      <w:sz w:val="21"/>
                      <w:szCs w:val="21"/>
                      <w:highlight w:val="none"/>
                      <w:lang w:val="en-US" w:eastAsia="zh-CN"/>
                    </w:rPr>
                    <w:t>发现隐患应及时采取措施消除隐患，并建立档案</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扩建建成后对建立的贮存设施全部档案进行建档和归档保管</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4F19C727">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p w14:paraId="4B6060F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5B6901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4729" w:type="dxa"/>
                  <w:tcBorders>
                    <w:tl2br w:val="nil"/>
                    <w:tr2bl w:val="nil"/>
                  </w:tcBorders>
                  <w:shd w:val="clear" w:color="auto" w:fill="auto"/>
                  <w:vAlign w:val="bottom"/>
                </w:tcPr>
                <w:p w14:paraId="6E3244D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6污染物排放控制要求</w:t>
                  </w:r>
                </w:p>
              </w:tc>
              <w:tc>
                <w:tcPr>
                  <w:tcW w:w="3086" w:type="dxa"/>
                  <w:tcBorders>
                    <w:tl2br w:val="nil"/>
                    <w:tr2bl w:val="nil"/>
                  </w:tcBorders>
                  <w:shd w:val="clear" w:color="auto" w:fill="auto"/>
                  <w:vAlign w:val="bottom"/>
                </w:tcPr>
                <w:p w14:paraId="05C30D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bottom"/>
                </w:tcPr>
                <w:p w14:paraId="62E26BA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6EDC6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 w:hRule="atLeast"/>
                <w:jc w:val="center"/>
              </w:trPr>
              <w:tc>
                <w:tcPr>
                  <w:tcW w:w="4729" w:type="dxa"/>
                  <w:tcBorders>
                    <w:tl2br w:val="nil"/>
                    <w:tr2bl w:val="nil"/>
                  </w:tcBorders>
                  <w:shd w:val="clear" w:color="auto" w:fill="auto"/>
                  <w:vAlign w:val="center"/>
                </w:tcPr>
                <w:p w14:paraId="5EAA1EE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贮存设施产生的废水</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包括贮存设施、作业设备、车辆等清洗废水，贮存罐区积存雨水，贮存事故废水等</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应进行收集处理，废水排放应符合GB-8978规定的要求</w:t>
                  </w:r>
                  <w:r>
                    <w:rPr>
                      <w:rFonts w:hint="eastAsia" w:cs="Times New Roman" w:eastAsiaTheme="minorEastAsia"/>
                      <w:color w:val="auto"/>
                      <w:sz w:val="21"/>
                      <w:szCs w:val="21"/>
                      <w:highlight w:val="none"/>
                      <w:lang w:val="en-US" w:eastAsia="zh-CN"/>
                    </w:rPr>
                    <w:t>。</w:t>
                  </w:r>
                </w:p>
              </w:tc>
              <w:tc>
                <w:tcPr>
                  <w:tcW w:w="3086" w:type="dxa"/>
                  <w:tcBorders>
                    <w:tl2br w:val="nil"/>
                    <w:tr2bl w:val="nil"/>
                  </w:tcBorders>
                  <w:shd w:val="clear" w:color="auto" w:fill="auto"/>
                  <w:vAlign w:val="center"/>
                </w:tcPr>
                <w:p w14:paraId="74E269E0">
                  <w:pPr>
                    <w:bidi w:val="0"/>
                    <w:spacing w:line="240" w:lineRule="auto"/>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本次扩建危废</w:t>
                  </w:r>
                  <w:r>
                    <w:rPr>
                      <w:rFonts w:hint="eastAsia" w:cs="Times New Roman" w:eastAsiaTheme="minorEastAsia"/>
                      <w:color w:val="auto"/>
                      <w:sz w:val="21"/>
                      <w:szCs w:val="21"/>
                      <w:highlight w:val="none"/>
                      <w:lang w:val="en-US" w:eastAsia="zh-CN"/>
                    </w:rPr>
                    <w:t>均在用独立封闭贮存库内，清洁采用干式清洁，且不涉及</w:t>
                  </w:r>
                  <w:r>
                    <w:rPr>
                      <w:rFonts w:hint="default" w:ascii="Times New Roman" w:hAnsi="Times New Roman" w:cs="Times New Roman" w:eastAsiaTheme="minorEastAsia"/>
                      <w:color w:val="auto"/>
                      <w:sz w:val="21"/>
                      <w:szCs w:val="21"/>
                      <w:highlight w:val="none"/>
                      <w:lang w:val="en-US" w:eastAsia="zh-CN"/>
                    </w:rPr>
                    <w:t>贮存设施、作业设备、车辆等清洗废水，无生产废水产生</w:t>
                  </w:r>
                  <w:r>
                    <w:rPr>
                      <w:rFonts w:hint="eastAsia"/>
                      <w:color w:val="auto"/>
                      <w:highlight w:val="none"/>
                      <w:lang w:eastAsia="zh-CN"/>
                    </w:rPr>
                    <w:t>。</w:t>
                  </w:r>
                </w:p>
                <w:p w14:paraId="3BA6B1BA">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166771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63BE9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59" w:hRule="atLeast"/>
                <w:jc w:val="center"/>
              </w:trPr>
              <w:tc>
                <w:tcPr>
                  <w:tcW w:w="4729" w:type="dxa"/>
                  <w:tcBorders>
                    <w:tl2br w:val="nil"/>
                    <w:tr2bl w:val="nil"/>
                  </w:tcBorders>
                  <w:shd w:val="clear" w:color="auto" w:fill="auto"/>
                  <w:vAlign w:val="center"/>
                </w:tcPr>
                <w:p w14:paraId="2E326A4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贮存设施产生的废气</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含无组织废气</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的排放应符合</w:t>
                  </w:r>
                  <w:r>
                    <w:rPr>
                      <w:rFonts w:hint="eastAsia" w:cs="Times New Roman" w:eastAsiaTheme="minorEastAsia"/>
                      <w:color w:val="auto"/>
                      <w:sz w:val="21"/>
                      <w:szCs w:val="21"/>
                      <w:highlight w:val="none"/>
                      <w:lang w:val="en-US" w:eastAsia="zh-CN"/>
                    </w:rPr>
                    <w:t>GB 16297-1996</w:t>
                  </w:r>
                  <w:r>
                    <w:rPr>
                      <w:rFonts w:hint="default" w:ascii="Times New Roman" w:hAnsi="Times New Roman" w:cs="Times New Roman" w:eastAsiaTheme="minorEastAsia"/>
                      <w:color w:val="auto"/>
                      <w:sz w:val="21"/>
                      <w:szCs w:val="21"/>
                      <w:highlight w:val="none"/>
                      <w:lang w:val="en-US" w:eastAsia="zh-CN"/>
                    </w:rPr>
                    <w:t>和</w:t>
                  </w:r>
                  <w:r>
                    <w:rPr>
                      <w:rFonts w:hint="eastAsia" w:cs="Times New Roman" w:eastAsiaTheme="minorEastAsia"/>
                      <w:color w:val="auto"/>
                      <w:sz w:val="21"/>
                      <w:szCs w:val="21"/>
                      <w:highlight w:val="none"/>
                      <w:lang w:val="en-US" w:eastAsia="zh-CN"/>
                    </w:rPr>
                    <w:t>GB 37822-2019</w:t>
                  </w:r>
                  <w:r>
                    <w:rPr>
                      <w:rFonts w:hint="default" w:ascii="Times New Roman" w:hAnsi="Times New Roman" w:cs="Times New Roman" w:eastAsiaTheme="minorEastAsia"/>
                      <w:color w:val="auto"/>
                      <w:sz w:val="21"/>
                      <w:szCs w:val="21"/>
                      <w:highlight w:val="none"/>
                      <w:lang w:val="en-US" w:eastAsia="zh-CN"/>
                    </w:rPr>
                    <w:t>规定的要求</w:t>
                  </w:r>
                </w:p>
                <w:p w14:paraId="7501185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贮存设施产生的恶臭气体的排放应符合</w:t>
                  </w:r>
                  <w:r>
                    <w:rPr>
                      <w:rFonts w:hint="eastAsia" w:cs="Times New Roman" w:eastAsiaTheme="minorEastAsia"/>
                      <w:color w:val="auto"/>
                      <w:sz w:val="21"/>
                      <w:szCs w:val="21"/>
                      <w:highlight w:val="none"/>
                      <w:lang w:val="en-US" w:eastAsia="zh-CN"/>
                    </w:rPr>
                    <w:t>GB 14554-1993</w:t>
                  </w:r>
                  <w:r>
                    <w:rPr>
                      <w:rFonts w:hint="default" w:ascii="Times New Roman" w:hAnsi="Times New Roman" w:cs="Times New Roman" w:eastAsiaTheme="minorEastAsia"/>
                      <w:color w:val="auto"/>
                      <w:sz w:val="21"/>
                      <w:szCs w:val="21"/>
                      <w:highlight w:val="none"/>
                      <w:lang w:val="en-US" w:eastAsia="zh-CN"/>
                    </w:rPr>
                    <w:t>规定的要求</w:t>
                  </w:r>
                </w:p>
              </w:tc>
              <w:tc>
                <w:tcPr>
                  <w:tcW w:w="3086" w:type="dxa"/>
                  <w:tcBorders>
                    <w:tl2br w:val="nil"/>
                    <w:tr2bl w:val="nil"/>
                  </w:tcBorders>
                  <w:shd w:val="clear" w:color="auto" w:fill="auto"/>
                  <w:vAlign w:val="center"/>
                </w:tcPr>
                <w:p w14:paraId="1B5F1B3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本次扩建项目产生的NMHC</w:t>
                  </w:r>
                  <w:r>
                    <w:rPr>
                      <w:rFonts w:hint="eastAsia" w:cs="Times New Roman" w:eastAsiaTheme="minorEastAsia"/>
                      <w:color w:val="auto"/>
                      <w:sz w:val="21"/>
                      <w:szCs w:val="21"/>
                      <w:highlight w:val="none"/>
                      <w:lang w:val="en-US" w:eastAsia="zh-CN"/>
                    </w:rPr>
                    <w:t>采用微负压收集</w:t>
                  </w:r>
                  <w:r>
                    <w:rPr>
                      <w:rFonts w:hint="default" w:ascii="Times New Roman" w:hAnsi="Times New Roman" w:cs="Times New Roman" w:eastAsiaTheme="minorEastAsia"/>
                      <w:color w:val="auto"/>
                      <w:sz w:val="21"/>
                      <w:szCs w:val="21"/>
                      <w:highlight w:val="none"/>
                      <w:lang w:val="en-US" w:eastAsia="zh-CN"/>
                    </w:rPr>
                    <w:t>采取措施进行处理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16863778">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4C6516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 w:hRule="atLeast"/>
                <w:jc w:val="center"/>
              </w:trPr>
              <w:tc>
                <w:tcPr>
                  <w:tcW w:w="4729" w:type="dxa"/>
                  <w:tcBorders>
                    <w:tl2br w:val="nil"/>
                    <w:tr2bl w:val="nil"/>
                  </w:tcBorders>
                  <w:shd w:val="clear" w:color="auto" w:fill="auto"/>
                  <w:vAlign w:val="center"/>
                </w:tcPr>
                <w:p w14:paraId="4AE34A19">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贮存设施内产生以及清理的固体废物应按固体废物分类管理要求妥善处理</w:t>
                  </w:r>
                </w:p>
              </w:tc>
              <w:tc>
                <w:tcPr>
                  <w:tcW w:w="3086" w:type="dxa"/>
                  <w:tcBorders>
                    <w:tl2br w:val="nil"/>
                    <w:tr2bl w:val="nil"/>
                  </w:tcBorders>
                  <w:shd w:val="clear" w:color="auto" w:fill="auto"/>
                  <w:vAlign w:val="center"/>
                </w:tcPr>
                <w:p w14:paraId="7EEFB2D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项目设置有危废贮存区</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贮存过程中产生的危废</w:t>
                  </w:r>
                  <w:r>
                    <w:rPr>
                      <w:rFonts w:hint="eastAsia" w:cs="Times New Roman" w:eastAsiaTheme="minorEastAsia"/>
                      <w:color w:val="auto"/>
                      <w:sz w:val="21"/>
                      <w:szCs w:val="21"/>
                      <w:highlight w:val="none"/>
                      <w:lang w:val="en-US" w:eastAsia="zh-CN"/>
                    </w:rPr>
                    <w:t>通过专用包装容器包装后分区分类贮存。</w:t>
                  </w:r>
                </w:p>
              </w:tc>
              <w:tc>
                <w:tcPr>
                  <w:tcW w:w="863" w:type="dxa"/>
                  <w:tcBorders>
                    <w:tl2br w:val="nil"/>
                    <w:tr2bl w:val="nil"/>
                  </w:tcBorders>
                  <w:shd w:val="clear" w:color="auto" w:fill="auto"/>
                  <w:vAlign w:val="center"/>
                </w:tcPr>
                <w:p w14:paraId="55DC3EE1">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10B27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9" w:hRule="atLeast"/>
                <w:jc w:val="center"/>
              </w:trPr>
              <w:tc>
                <w:tcPr>
                  <w:tcW w:w="4729" w:type="dxa"/>
                  <w:tcBorders>
                    <w:tl2br w:val="nil"/>
                    <w:tr2bl w:val="nil"/>
                  </w:tcBorders>
                  <w:shd w:val="clear" w:color="auto" w:fill="auto"/>
                  <w:vAlign w:val="center"/>
                </w:tcPr>
                <w:p w14:paraId="617EB3F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贮存设施排放的环境噪声应符合</w:t>
                  </w:r>
                  <w:r>
                    <w:rPr>
                      <w:rFonts w:hint="eastAsia" w:cs="Times New Roman" w:eastAsiaTheme="minorEastAsia"/>
                      <w:color w:val="auto"/>
                      <w:sz w:val="21"/>
                      <w:szCs w:val="21"/>
                      <w:highlight w:val="none"/>
                      <w:lang w:val="en-US" w:eastAsia="zh-CN"/>
                    </w:rPr>
                    <w:t>GB 12348-2008</w:t>
                  </w:r>
                  <w:r>
                    <w:rPr>
                      <w:rFonts w:hint="default" w:ascii="Times New Roman" w:hAnsi="Times New Roman" w:cs="Times New Roman" w:eastAsiaTheme="minorEastAsia"/>
                      <w:color w:val="auto"/>
                      <w:sz w:val="21"/>
                      <w:szCs w:val="21"/>
                      <w:highlight w:val="none"/>
                      <w:lang w:val="en-US" w:eastAsia="zh-CN"/>
                    </w:rPr>
                    <w:t>规定的要求</w:t>
                  </w:r>
                </w:p>
              </w:tc>
              <w:tc>
                <w:tcPr>
                  <w:tcW w:w="3086" w:type="dxa"/>
                  <w:tcBorders>
                    <w:tl2br w:val="nil"/>
                    <w:tr2bl w:val="nil"/>
                  </w:tcBorders>
                  <w:shd w:val="clear" w:color="auto" w:fill="auto"/>
                  <w:vAlign w:val="center"/>
                </w:tcPr>
                <w:p w14:paraId="57689F8C">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项目所有操作均在仓库内进行，可以满足现执行3类标准</w:t>
                  </w:r>
                  <w:r>
                    <w:rPr>
                      <w:rFonts w:hint="eastAsia" w:cs="Times New Roman" w:eastAsiaTheme="minorEastAsia"/>
                      <w:color w:val="auto"/>
                      <w:sz w:val="21"/>
                      <w:szCs w:val="21"/>
                      <w:highlight w:val="none"/>
                      <w:lang w:val="en-US" w:eastAsia="zh-CN"/>
                    </w:rPr>
                    <w:t>。</w:t>
                  </w:r>
                </w:p>
              </w:tc>
              <w:tc>
                <w:tcPr>
                  <w:tcW w:w="863" w:type="dxa"/>
                  <w:tcBorders>
                    <w:tl2br w:val="nil"/>
                    <w:tr2bl w:val="nil"/>
                  </w:tcBorders>
                  <w:shd w:val="clear" w:color="auto" w:fill="auto"/>
                  <w:vAlign w:val="center"/>
                </w:tcPr>
                <w:p w14:paraId="5A1DE49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B846F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2B5FC58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w:t>
                  </w:r>
                  <w:r>
                    <w:rPr>
                      <w:rFonts w:hint="default" w:ascii="Times New Roman" w:hAnsi="Times New Roman" w:cs="Times New Roman" w:eastAsiaTheme="minorEastAsia"/>
                      <w:color w:val="auto"/>
                      <w:sz w:val="21"/>
                      <w:szCs w:val="21"/>
                      <w:highlight w:val="none"/>
                      <w:lang w:val="en-US" w:eastAsia="zh-CN"/>
                    </w:rPr>
                    <w:t>环境监测要求</w:t>
                  </w:r>
                </w:p>
              </w:tc>
              <w:tc>
                <w:tcPr>
                  <w:tcW w:w="3086" w:type="dxa"/>
                  <w:tcBorders>
                    <w:tl2br w:val="nil"/>
                    <w:tr2bl w:val="nil"/>
                  </w:tcBorders>
                  <w:shd w:val="clear" w:color="auto" w:fill="auto"/>
                  <w:vAlign w:val="center"/>
                </w:tcPr>
                <w:p w14:paraId="48FF873E">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4F28FEC4">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3E956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4FA463D0">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所有者或运营者应依据《中华人民共和国大气污染防治法》《中华人民共和国水污染防治法》《中华人民共和国土壤污染防治法》等有关法律、《排污许可管理条例》等行政法规和HJ819、HJ1250等规定制订监测方案，对贮存设施污染物排放状况开展自行监测，保存原始监测记录，并公布监测结果。</w:t>
                  </w:r>
                </w:p>
              </w:tc>
              <w:tc>
                <w:tcPr>
                  <w:tcW w:w="3086" w:type="dxa"/>
                  <w:tcBorders>
                    <w:tl2br w:val="nil"/>
                    <w:tr2bl w:val="nil"/>
                  </w:tcBorders>
                  <w:shd w:val="clear" w:color="auto" w:fill="auto"/>
                  <w:vAlign w:val="center"/>
                </w:tcPr>
                <w:p w14:paraId="31D9B2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项目建设完期间严格按照项目特点与《排污许可证申请与核发技术规范工业固体废物和危险废物治理》（HJ1033—2019）中相关规定要求制定污染源监测计划，落实监测要求</w:t>
                  </w:r>
                  <w:r>
                    <w:rPr>
                      <w:rFonts w:hint="eastAsia" w:cs="Times New Roman" w:eastAsiaTheme="minorEastAsia"/>
                      <w:color w:val="auto"/>
                      <w:sz w:val="21"/>
                      <w:szCs w:val="21"/>
                      <w:highlight w:val="none"/>
                      <w:lang w:val="en-US" w:eastAsia="zh-CN"/>
                    </w:rPr>
                    <w:t>，公布监测结果。</w:t>
                  </w:r>
                </w:p>
              </w:tc>
              <w:tc>
                <w:tcPr>
                  <w:tcW w:w="863" w:type="dxa"/>
                  <w:tcBorders>
                    <w:tl2br w:val="nil"/>
                    <w:tr2bl w:val="nil"/>
                  </w:tcBorders>
                  <w:shd w:val="clear" w:color="auto" w:fill="auto"/>
                  <w:vAlign w:val="center"/>
                </w:tcPr>
                <w:p w14:paraId="228F217D">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7D9EEB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11C245C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w:t>
                  </w:r>
                  <w:r>
                    <w:rPr>
                      <w:rFonts w:hint="default" w:ascii="Times New Roman" w:hAnsi="Times New Roman" w:cs="Times New Roman" w:eastAsiaTheme="minorEastAsia"/>
                      <w:color w:val="auto"/>
                      <w:sz w:val="21"/>
                      <w:szCs w:val="21"/>
                      <w:highlight w:val="none"/>
                      <w:lang w:val="en-US" w:eastAsia="zh-CN"/>
                    </w:rPr>
                    <w:t>环境应急要求</w:t>
                  </w:r>
                </w:p>
              </w:tc>
              <w:tc>
                <w:tcPr>
                  <w:tcW w:w="3086" w:type="dxa"/>
                  <w:tcBorders>
                    <w:tl2br w:val="nil"/>
                    <w:tr2bl w:val="nil"/>
                  </w:tcBorders>
                  <w:shd w:val="clear" w:color="auto" w:fill="auto"/>
                  <w:vAlign w:val="center"/>
                </w:tcPr>
                <w:p w14:paraId="6664E835">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c>
                <w:tcPr>
                  <w:tcW w:w="863" w:type="dxa"/>
                  <w:tcBorders>
                    <w:tl2br w:val="nil"/>
                    <w:tr2bl w:val="nil"/>
                  </w:tcBorders>
                  <w:shd w:val="clear" w:color="auto" w:fill="auto"/>
                  <w:vAlign w:val="center"/>
                </w:tcPr>
                <w:p w14:paraId="392A709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p>
              </w:tc>
            </w:tr>
            <w:tr w14:paraId="3B033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5" w:hRule="atLeast"/>
                <w:jc w:val="center"/>
              </w:trPr>
              <w:tc>
                <w:tcPr>
                  <w:tcW w:w="4729" w:type="dxa"/>
                  <w:tcBorders>
                    <w:tl2br w:val="nil"/>
                    <w:tr2bl w:val="nil"/>
                  </w:tcBorders>
                  <w:shd w:val="clear" w:color="auto" w:fill="auto"/>
                  <w:vAlign w:val="center"/>
                </w:tcPr>
                <w:p w14:paraId="79E620D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贮存设施所有者或运营者应按照国家有关规定编制突发环境事件应急预案，定期开展必要的培训和环境应急演练，并做好培训、演练记录。</w:t>
                  </w:r>
                </w:p>
                <w:p w14:paraId="338345C6">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贮存设施所有者或运营者应配备满足其突发环境事件应急要求的应急人员、装备和物资，并应设置应急照明系统。</w:t>
                  </w:r>
                </w:p>
                <w:p w14:paraId="35CC2479">
                  <w:pPr>
                    <w:bidi w:val="0"/>
                    <w:spacing w:line="240" w:lineRule="auto"/>
                    <w:jc w:val="both"/>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相关部门发布自然灾害或恶劣天气预警后，贮存设施所有者或运营者应启动相应防控措施，若有必要可将危险废物转移至其他具有防护条件的地点贮存。</w:t>
                  </w:r>
                </w:p>
              </w:tc>
              <w:tc>
                <w:tcPr>
                  <w:tcW w:w="3086" w:type="dxa"/>
                  <w:tcBorders>
                    <w:tl2br w:val="nil"/>
                    <w:tr2bl w:val="nil"/>
                  </w:tcBorders>
                  <w:shd w:val="clear" w:color="auto" w:fill="auto"/>
                  <w:vAlign w:val="center"/>
                </w:tcPr>
                <w:p w14:paraId="0322F2CC">
                  <w:pPr>
                    <w:bidi w:val="0"/>
                    <w:spacing w:line="240" w:lineRule="auto"/>
                    <w:jc w:val="both"/>
                    <w:rPr>
                      <w:rFonts w:hint="eastAsia"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本项目严格落实分区防渗要求</w:t>
                  </w:r>
                  <w:r>
                    <w:rPr>
                      <w:rFonts w:hint="eastAsia" w:cs="Times New Roman" w:eastAsiaTheme="minorEastAsia"/>
                      <w:color w:val="auto"/>
                      <w:sz w:val="21"/>
                      <w:szCs w:val="21"/>
                      <w:highlight w:val="none"/>
                      <w:lang w:val="en-US" w:eastAsia="zh-CN"/>
                    </w:rPr>
                    <w:t>；且原有项目已</w:t>
                  </w:r>
                  <w:r>
                    <w:rPr>
                      <w:rFonts w:hint="default" w:ascii="Times New Roman" w:hAnsi="Times New Roman" w:cs="Times New Roman" w:eastAsiaTheme="minorEastAsia"/>
                      <w:color w:val="auto"/>
                      <w:sz w:val="21"/>
                      <w:szCs w:val="21"/>
                      <w:highlight w:val="none"/>
                      <w:lang w:val="en-US" w:eastAsia="zh-CN"/>
                    </w:rPr>
                    <w:t>建立应急物资库，</w:t>
                  </w:r>
                  <w:r>
                    <w:rPr>
                      <w:rFonts w:hint="eastAsia" w:cs="Times New Roman" w:eastAsiaTheme="minorEastAsia"/>
                      <w:color w:val="auto"/>
                      <w:sz w:val="21"/>
                      <w:szCs w:val="21"/>
                      <w:highlight w:val="none"/>
                      <w:lang w:val="en-US" w:eastAsia="zh-CN"/>
                    </w:rPr>
                    <w:t>及</w:t>
                  </w:r>
                  <w:r>
                    <w:rPr>
                      <w:rFonts w:hint="default" w:ascii="Times New Roman" w:hAnsi="Times New Roman" w:cs="Times New Roman" w:eastAsiaTheme="minorEastAsia"/>
                      <w:color w:val="auto"/>
                      <w:sz w:val="21"/>
                      <w:szCs w:val="21"/>
                      <w:highlight w:val="none"/>
                      <w:lang w:val="en-US" w:eastAsia="zh-CN"/>
                    </w:rPr>
                    <w:t>环境风险管理制度，</w:t>
                  </w:r>
                  <w:r>
                    <w:rPr>
                      <w:rFonts w:hint="eastAsia" w:cs="Times New Roman" w:eastAsiaTheme="minorEastAsia"/>
                      <w:color w:val="auto"/>
                      <w:sz w:val="21"/>
                      <w:szCs w:val="21"/>
                      <w:highlight w:val="none"/>
                      <w:lang w:val="en-US" w:eastAsia="zh-CN"/>
                    </w:rPr>
                    <w:t>有完整的突发环境事件应急体系；且现有项目已</w:t>
                  </w:r>
                  <w:r>
                    <w:rPr>
                      <w:rFonts w:hint="default" w:ascii="Times New Roman" w:hAnsi="Times New Roman" w:cs="Times New Roman" w:eastAsiaTheme="minorEastAsia"/>
                      <w:color w:val="auto"/>
                      <w:sz w:val="21"/>
                      <w:szCs w:val="21"/>
                      <w:highlight w:val="none"/>
                      <w:lang w:val="en-US" w:eastAsia="zh-CN"/>
                    </w:rPr>
                    <w:t>编制突发环境事件应急预案并备案</w:t>
                  </w:r>
                  <w:r>
                    <w:rPr>
                      <w:rFonts w:hint="eastAsia" w:cs="Times New Roman" w:eastAsiaTheme="minorEastAsia"/>
                      <w:color w:val="auto"/>
                      <w:sz w:val="21"/>
                      <w:szCs w:val="21"/>
                      <w:highlight w:val="none"/>
                      <w:lang w:val="en-US" w:eastAsia="zh-CN"/>
                    </w:rPr>
                    <w:t>，并开展必要的培训和环境应急演。</w:t>
                  </w:r>
                </w:p>
                <w:p w14:paraId="637C8BB2">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本次扩建完成后建设单位根据全厂建设情况，重新编制突发环境事件应急预案，制定培训和环境应急演练计划。</w:t>
                  </w:r>
                </w:p>
              </w:tc>
              <w:tc>
                <w:tcPr>
                  <w:tcW w:w="863" w:type="dxa"/>
                  <w:tcBorders>
                    <w:tl2br w:val="nil"/>
                    <w:tr2bl w:val="nil"/>
                  </w:tcBorders>
                  <w:shd w:val="clear" w:color="auto" w:fill="auto"/>
                  <w:vAlign w:val="center"/>
                </w:tcPr>
                <w:p w14:paraId="324169B3">
                  <w:pPr>
                    <w:bidi w:val="0"/>
                    <w:spacing w:line="240" w:lineRule="auto"/>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bl>
          <w:p w14:paraId="120ED174">
            <w:pPr>
              <w:adjustRightInd w:val="0"/>
              <w:snapToGrid w:val="0"/>
              <w:spacing w:line="360" w:lineRule="auto"/>
              <w:ind w:firstLine="482" w:firstLineChars="200"/>
              <w:rPr>
                <w:rFonts w:hint="default"/>
                <w:b/>
                <w:bCs/>
                <w:color w:val="auto"/>
                <w:sz w:val="24"/>
                <w:szCs w:val="24"/>
                <w:highlight w:val="none"/>
                <w:lang w:val="en-US" w:eastAsia="zh-CN"/>
              </w:rPr>
            </w:pPr>
            <w:r>
              <w:rPr>
                <w:rFonts w:hint="eastAsia"/>
                <w:b/>
                <w:bCs/>
                <w:color w:val="auto"/>
                <w:sz w:val="24"/>
                <w:szCs w:val="24"/>
                <w:highlight w:val="none"/>
                <w:lang w:val="en-US" w:eastAsia="zh-CN"/>
              </w:rPr>
              <w:t>4.与《废铅蓄电池处理污染控制技术规范》HJ 519-2020合性</w:t>
            </w:r>
          </w:p>
          <w:p w14:paraId="6A48771F">
            <w:pPr>
              <w:spacing w:line="360" w:lineRule="auto"/>
              <w:ind w:firstLine="480" w:firstLineChars="200"/>
              <w:rPr>
                <w:rFonts w:hint="eastAsia"/>
                <w:color w:val="auto"/>
                <w:sz w:val="24"/>
                <w:szCs w:val="24"/>
                <w:highlight w:val="none"/>
              </w:rPr>
            </w:pPr>
            <w:r>
              <w:rPr>
                <w:rFonts w:hint="eastAsia"/>
                <w:color w:val="auto"/>
                <w:sz w:val="24"/>
                <w:szCs w:val="24"/>
                <w:highlight w:val="none"/>
              </w:rPr>
              <w:t xml:space="preserve"> 本项目涉及HW31 含铅废物的收集、贮存、转运，其中</w:t>
            </w:r>
            <w:r>
              <w:rPr>
                <w:rFonts w:hint="eastAsia"/>
                <w:color w:val="auto"/>
                <w:sz w:val="24"/>
                <w:szCs w:val="24"/>
                <w:highlight w:val="none"/>
                <w:lang w:eastAsia="zh-CN"/>
              </w:rPr>
              <w:t>涉及</w:t>
            </w:r>
            <w:r>
              <w:rPr>
                <w:rFonts w:hint="eastAsia"/>
                <w:color w:val="auto"/>
                <w:sz w:val="24"/>
                <w:szCs w:val="24"/>
                <w:highlight w:val="none"/>
              </w:rPr>
              <w:t>废铅蓄电池。</w:t>
            </w:r>
          </w:p>
          <w:p w14:paraId="1DEB0E50">
            <w:pPr>
              <w:adjustRightInd w:val="0"/>
              <w:snapToGrid w:val="0"/>
              <w:ind w:firstLine="422" w:firstLineChars="200"/>
              <w:jc w:val="center"/>
              <w:rPr>
                <w:b/>
                <w:color w:val="auto"/>
                <w:highlight w:val="none"/>
              </w:rPr>
            </w:pPr>
            <w:r>
              <w:rPr>
                <w:b/>
                <w:color w:val="auto"/>
                <w:highlight w:val="none"/>
              </w:rPr>
              <w:t>表1</w:t>
            </w:r>
            <w:r>
              <w:rPr>
                <w:rFonts w:hint="eastAsia"/>
                <w:b/>
                <w:color w:val="auto"/>
                <w:highlight w:val="none"/>
              </w:rPr>
              <w:t>-</w:t>
            </w:r>
            <w:r>
              <w:rPr>
                <w:rFonts w:hint="eastAsia"/>
                <w:b/>
                <w:color w:val="auto"/>
                <w:highlight w:val="none"/>
                <w:lang w:val="en-US" w:eastAsia="zh-CN"/>
              </w:rPr>
              <w:t>6</w:t>
            </w:r>
            <w:r>
              <w:rPr>
                <w:b/>
                <w:color w:val="auto"/>
                <w:highlight w:val="none"/>
              </w:rPr>
              <w:t xml:space="preserve"> 项目与</w:t>
            </w:r>
            <w:r>
              <w:rPr>
                <w:rFonts w:hint="eastAsia"/>
                <w:b/>
                <w:color w:val="auto"/>
                <w:highlight w:val="none"/>
              </w:rPr>
              <w:t>《废铅</w:t>
            </w:r>
            <w:r>
              <w:rPr>
                <w:rFonts w:hint="eastAsia"/>
                <w:b/>
                <w:color w:val="auto"/>
                <w:highlight w:val="none"/>
                <w:lang w:eastAsia="zh-CN"/>
              </w:rPr>
              <w:t>蓄</w:t>
            </w:r>
            <w:r>
              <w:rPr>
                <w:rFonts w:hint="eastAsia"/>
                <w:b/>
                <w:color w:val="auto"/>
                <w:highlight w:val="none"/>
              </w:rPr>
              <w:t>电池处理污染控制技术规范》(HJ519—2020) 符合性分析</w:t>
            </w:r>
            <w:r>
              <w:rPr>
                <w:b/>
                <w:color w:val="auto"/>
                <w:highlight w:val="none"/>
              </w:rPr>
              <w:t>一览表</w:t>
            </w:r>
          </w:p>
          <w:tbl>
            <w:tblPr>
              <w:tblStyle w:val="35"/>
              <w:tblW w:w="87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20"/>
              <w:gridCol w:w="3696"/>
              <w:gridCol w:w="3316"/>
              <w:gridCol w:w="1006"/>
            </w:tblGrid>
            <w:tr w14:paraId="2B2917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top"/>
                </w:tcPr>
                <w:p w14:paraId="350DB37C">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序号</w:t>
                  </w:r>
                </w:p>
              </w:tc>
              <w:tc>
                <w:tcPr>
                  <w:tcW w:w="3696" w:type="dxa"/>
                  <w:tcBorders>
                    <w:tl2br w:val="nil"/>
                    <w:tr2bl w:val="nil"/>
                  </w:tcBorders>
                  <w:shd w:val="clear" w:color="auto" w:fill="auto"/>
                  <w:vAlign w:val="center"/>
                </w:tcPr>
                <w:p w14:paraId="227D6755">
                  <w:pPr>
                    <w:bidi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规范要求</w:t>
                  </w:r>
                </w:p>
              </w:tc>
              <w:tc>
                <w:tcPr>
                  <w:tcW w:w="3316" w:type="dxa"/>
                  <w:tcBorders>
                    <w:tl2br w:val="nil"/>
                    <w:tr2bl w:val="nil"/>
                  </w:tcBorders>
                  <w:shd w:val="clear" w:color="auto" w:fill="auto"/>
                  <w:vAlign w:val="center"/>
                </w:tcPr>
                <w:p w14:paraId="3A7E58E5">
                  <w:pPr>
                    <w:bidi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项目情况</w:t>
                  </w:r>
                </w:p>
              </w:tc>
              <w:tc>
                <w:tcPr>
                  <w:tcW w:w="1006" w:type="dxa"/>
                  <w:tcBorders>
                    <w:tl2br w:val="nil"/>
                    <w:tr2bl w:val="nil"/>
                  </w:tcBorders>
                  <w:shd w:val="clear" w:color="auto" w:fill="auto"/>
                  <w:vAlign w:val="center"/>
                </w:tcPr>
                <w:p w14:paraId="172E91B7">
                  <w:pPr>
                    <w:bidi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符合性</w:t>
                  </w:r>
                </w:p>
              </w:tc>
            </w:tr>
            <w:tr w14:paraId="59B49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top"/>
                </w:tcPr>
                <w:p w14:paraId="34750F7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一</w:t>
                  </w:r>
                </w:p>
              </w:tc>
              <w:tc>
                <w:tcPr>
                  <w:tcW w:w="8018" w:type="dxa"/>
                  <w:gridSpan w:val="3"/>
                  <w:tcBorders>
                    <w:tl2br w:val="nil"/>
                    <w:tr2bl w:val="nil"/>
                  </w:tcBorders>
                  <w:shd w:val="clear" w:color="auto" w:fill="auto"/>
                  <w:vAlign w:val="center"/>
                </w:tcPr>
                <w:p w14:paraId="73D5634F">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总体要求</w:t>
                  </w:r>
                </w:p>
              </w:tc>
            </w:tr>
            <w:tr w14:paraId="0E9347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1" w:hRule="atLeast"/>
                <w:jc w:val="center"/>
              </w:trPr>
              <w:tc>
                <w:tcPr>
                  <w:tcW w:w="720" w:type="dxa"/>
                  <w:tcBorders>
                    <w:tl2br w:val="nil"/>
                    <w:tr2bl w:val="nil"/>
                  </w:tcBorders>
                  <w:shd w:val="clear" w:color="auto" w:fill="auto"/>
                  <w:vAlign w:val="center"/>
                </w:tcPr>
                <w:p w14:paraId="32ECAC4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3696" w:type="dxa"/>
                  <w:tcBorders>
                    <w:tl2br w:val="nil"/>
                    <w:tr2bl w:val="nil"/>
                  </w:tcBorders>
                  <w:shd w:val="clear" w:color="auto" w:fill="auto"/>
                  <w:vAlign w:val="center"/>
                </w:tcPr>
                <w:p w14:paraId="76E6293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从事废铅蓄电池收集、贮存的企业，应依法获得危险废物经营许可证；禁止无经营许可证或者不按照经营许可证规定从事废铅蓄电池收集、贮存经营活动</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451F0E9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建设单位未取得危险废物经营许可证，且本次环评通过后，建设单位将对危废经营许可证进行申请</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641D4115">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862E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center"/>
                </w:tcPr>
                <w:p w14:paraId="2D9354E9">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w:t>
                  </w:r>
                </w:p>
              </w:tc>
              <w:tc>
                <w:tcPr>
                  <w:tcW w:w="3696" w:type="dxa"/>
                  <w:tcBorders>
                    <w:tl2br w:val="nil"/>
                    <w:tr2bl w:val="nil"/>
                  </w:tcBorders>
                  <w:shd w:val="clear" w:color="auto" w:fill="auto"/>
                  <w:vAlign w:val="center"/>
                </w:tcPr>
                <w:p w14:paraId="7B6C714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收集、运输、贮存废铅蓄电池的容器或托盘，应根据废铅蓄电池的特性设计，不易破损、变形，其所用材料能有效地防止渗漏、扩散，并耐酸腐蚀。装有废铅蓄电池的容器或托盘必须粘贴符合</w:t>
                  </w:r>
                  <w:r>
                    <w:rPr>
                      <w:rFonts w:hint="eastAsia" w:cs="Times New Roman" w:eastAsiaTheme="minorEastAsia"/>
                      <w:color w:val="auto"/>
                      <w:sz w:val="21"/>
                      <w:szCs w:val="21"/>
                      <w:highlight w:val="none"/>
                      <w:lang w:val="en-US" w:eastAsia="zh-CN"/>
                    </w:rPr>
                    <w:t>GB-</w:t>
                  </w:r>
                  <w:r>
                    <w:rPr>
                      <w:rFonts w:hint="default" w:ascii="Times New Roman" w:hAnsi="Times New Roman" w:cs="Times New Roman" w:eastAsiaTheme="minorEastAsia"/>
                      <w:color w:val="auto"/>
                      <w:sz w:val="21"/>
                      <w:szCs w:val="21"/>
                      <w:highlight w:val="none"/>
                      <w:lang w:val="en-US" w:eastAsia="zh-CN"/>
                    </w:rPr>
                    <w:t>18597要求的危险废物标签</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148251E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项目采用PV箱承装废铅蓄电池，采用密封防漏胶进行密封，并粘贴好标签</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244D87F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4B539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720" w:type="dxa"/>
                  <w:tcBorders>
                    <w:tl2br w:val="nil"/>
                    <w:tr2bl w:val="nil"/>
                  </w:tcBorders>
                  <w:shd w:val="clear" w:color="auto" w:fill="auto"/>
                  <w:vAlign w:val="center"/>
                </w:tcPr>
                <w:p w14:paraId="5F1E3D21">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696" w:type="dxa"/>
                  <w:tcBorders>
                    <w:tl2br w:val="nil"/>
                    <w:tr2bl w:val="nil"/>
                  </w:tcBorders>
                  <w:shd w:val="clear" w:color="auto" w:fill="auto"/>
                  <w:vAlign w:val="center"/>
                </w:tcPr>
                <w:p w14:paraId="4253E15F">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废铅蓄电池收集、贮存企业应建立废铅蓄电池收集处理数据信息管理系统，如实记录收集、贮存、转移废铅蓄电池的重量、来源、去向等信息，并实现与全国固体废物管理信息系统的数据对接</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4D6777E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建设单位建立数据管理系统，采用电子档+纸质档记录危废转运信息，并上传至环境管理部门的固废管理信息系统</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23457A3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3E90F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center"/>
                </w:tcPr>
                <w:p w14:paraId="444051F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w:t>
                  </w:r>
                </w:p>
              </w:tc>
              <w:tc>
                <w:tcPr>
                  <w:tcW w:w="3696" w:type="dxa"/>
                  <w:tcBorders>
                    <w:tl2br w:val="nil"/>
                    <w:tr2bl w:val="nil"/>
                  </w:tcBorders>
                  <w:shd w:val="clear" w:color="auto" w:fill="auto"/>
                  <w:vAlign w:val="center"/>
                </w:tcPr>
                <w:p w14:paraId="179666ED">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禁止在收集、运输和贮存过程中擅自拆解、破碎、丢弃废铅蓄电池；禁止倾倒含铅酸性电解质</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57A92702">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建设单位仅进行收集、贮存、转运，项目不拆解、丢弃废铅蓄电池，对于收集、运输和贮存过程中发现破损的废铅蓄电池立即采用 PE 箱进行包装，并及时交有危险废物处置资质的单位处置。</w:t>
                  </w:r>
                </w:p>
              </w:tc>
              <w:tc>
                <w:tcPr>
                  <w:tcW w:w="1006" w:type="dxa"/>
                  <w:tcBorders>
                    <w:tl2br w:val="nil"/>
                    <w:tr2bl w:val="nil"/>
                  </w:tcBorders>
                  <w:shd w:val="clear" w:color="auto" w:fill="auto"/>
                  <w:vAlign w:val="center"/>
                </w:tcPr>
                <w:p w14:paraId="23FEBF7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1A493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720" w:type="dxa"/>
                  <w:tcBorders>
                    <w:tl2br w:val="nil"/>
                    <w:tr2bl w:val="nil"/>
                  </w:tcBorders>
                  <w:shd w:val="clear" w:color="auto" w:fill="auto"/>
                  <w:vAlign w:val="center"/>
                </w:tcPr>
                <w:p w14:paraId="70CD981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p>
              </w:tc>
              <w:tc>
                <w:tcPr>
                  <w:tcW w:w="3696" w:type="dxa"/>
                  <w:tcBorders>
                    <w:tl2br w:val="nil"/>
                    <w:tr2bl w:val="nil"/>
                  </w:tcBorders>
                  <w:shd w:val="clear" w:color="auto" w:fill="auto"/>
                  <w:vAlign w:val="center"/>
                </w:tcPr>
                <w:p w14:paraId="40F58C72">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废铅蓄电池收集、运输、贮存过程除应满足环境保护相关要求外，还应符合国家安全生产、职业健康、交通运输、消防等法规</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7AF4C3AB">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本项目对废铅蓄电池收集、运输、贮存过程除满足环境保护相关要求外，还应符合国家安全生产、职业健康、交通运输、消防等法规标</w:t>
                  </w:r>
                </w:p>
                <w:p w14:paraId="44BC6E9E">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准的相关要求。</w:t>
                  </w:r>
                </w:p>
              </w:tc>
              <w:tc>
                <w:tcPr>
                  <w:tcW w:w="1006" w:type="dxa"/>
                  <w:tcBorders>
                    <w:tl2br w:val="nil"/>
                    <w:tr2bl w:val="nil"/>
                  </w:tcBorders>
                  <w:shd w:val="clear" w:color="auto" w:fill="auto"/>
                  <w:vAlign w:val="center"/>
                </w:tcPr>
                <w:p w14:paraId="22FB05CA">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E944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1" w:hRule="atLeast"/>
                <w:jc w:val="center"/>
              </w:trPr>
              <w:tc>
                <w:tcPr>
                  <w:tcW w:w="720" w:type="dxa"/>
                  <w:tcBorders>
                    <w:tl2br w:val="nil"/>
                    <w:tr2bl w:val="nil"/>
                  </w:tcBorders>
                  <w:shd w:val="clear" w:color="auto" w:fill="auto"/>
                  <w:vAlign w:val="center"/>
                </w:tcPr>
                <w:p w14:paraId="6CAA6F1F">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w:t>
                  </w:r>
                </w:p>
              </w:tc>
              <w:tc>
                <w:tcPr>
                  <w:tcW w:w="3696" w:type="dxa"/>
                  <w:tcBorders>
                    <w:tl2br w:val="nil"/>
                    <w:tr2bl w:val="nil"/>
                  </w:tcBorders>
                  <w:shd w:val="clear" w:color="auto" w:fill="auto"/>
                  <w:vAlign w:val="center"/>
                </w:tcPr>
                <w:p w14:paraId="5614232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废铅蓄电池收集企业和运输企业应组织收集人员、运输车辆驾驶员等相关人员参加危险废物环境管理和环境事故应急救援方面的培训</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46FA9B4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建设单位从业人员均进行相关培训，且企业计划定期组织突发环境事件应急培训与应急演练</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032E834A">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411B47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bottom"/>
                </w:tcPr>
                <w:p w14:paraId="761F6842">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二</w:t>
                  </w:r>
                </w:p>
              </w:tc>
              <w:tc>
                <w:tcPr>
                  <w:tcW w:w="3696" w:type="dxa"/>
                  <w:tcBorders>
                    <w:tl2br w:val="nil"/>
                    <w:tr2bl w:val="nil"/>
                  </w:tcBorders>
                  <w:shd w:val="clear" w:color="auto" w:fill="auto"/>
                  <w:vAlign w:val="bottom"/>
                </w:tcPr>
                <w:p w14:paraId="38773DA8">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暂存于贮存</w:t>
                  </w:r>
                </w:p>
              </w:tc>
              <w:tc>
                <w:tcPr>
                  <w:tcW w:w="3316" w:type="dxa"/>
                  <w:tcBorders>
                    <w:tl2br w:val="nil"/>
                    <w:tr2bl w:val="nil"/>
                  </w:tcBorders>
                  <w:shd w:val="clear" w:color="auto" w:fill="auto"/>
                  <w:vAlign w:val="top"/>
                </w:tcPr>
                <w:p w14:paraId="212AABA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p>
              </w:tc>
              <w:tc>
                <w:tcPr>
                  <w:tcW w:w="1006" w:type="dxa"/>
                  <w:tcBorders>
                    <w:tl2br w:val="nil"/>
                    <w:tr2bl w:val="nil"/>
                  </w:tcBorders>
                  <w:shd w:val="clear" w:color="auto" w:fill="auto"/>
                  <w:vAlign w:val="top"/>
                </w:tcPr>
                <w:p w14:paraId="49C4869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p>
              </w:tc>
            </w:tr>
            <w:tr w14:paraId="13953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 w:hRule="atLeast"/>
                <w:jc w:val="center"/>
              </w:trPr>
              <w:tc>
                <w:tcPr>
                  <w:tcW w:w="720" w:type="dxa"/>
                  <w:tcBorders>
                    <w:tl2br w:val="nil"/>
                    <w:tr2bl w:val="nil"/>
                  </w:tcBorders>
                  <w:shd w:val="clear" w:color="auto" w:fill="auto"/>
                  <w:vAlign w:val="center"/>
                </w:tcPr>
                <w:p w14:paraId="1DC4C79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w:t>
                  </w:r>
                </w:p>
              </w:tc>
              <w:tc>
                <w:tcPr>
                  <w:tcW w:w="3696" w:type="dxa"/>
                  <w:tcBorders>
                    <w:tl2br w:val="nil"/>
                    <w:tr2bl w:val="nil"/>
                  </w:tcBorders>
                  <w:shd w:val="clear" w:color="auto" w:fill="auto"/>
                  <w:vAlign w:val="center"/>
                </w:tcPr>
                <w:p w14:paraId="72A8AD0A">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收集网点暂存时间应不超过90天，重量应不超过3吨；集中转运点贮存时间最长不超过1年，贮存规模应小于贮存场所的设计容量。</w:t>
                  </w:r>
                </w:p>
              </w:tc>
              <w:tc>
                <w:tcPr>
                  <w:tcW w:w="3316" w:type="dxa"/>
                  <w:tcBorders>
                    <w:tl2br w:val="nil"/>
                    <w:tr2bl w:val="nil"/>
                  </w:tcBorders>
                  <w:shd w:val="clear" w:color="auto" w:fill="auto"/>
                  <w:vAlign w:val="center"/>
                </w:tcPr>
                <w:p w14:paraId="0680F0B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w:t>
                  </w:r>
                  <w:r>
                    <w:rPr>
                      <w:rFonts w:hint="eastAsia" w:cs="Times New Roman" w:eastAsiaTheme="minorEastAsia"/>
                      <w:color w:val="auto"/>
                      <w:sz w:val="21"/>
                      <w:szCs w:val="21"/>
                      <w:highlight w:val="none"/>
                      <w:lang w:val="en-US" w:eastAsia="zh-CN"/>
                    </w:rPr>
                    <w:t>最长</w:t>
                  </w:r>
                  <w:r>
                    <w:rPr>
                      <w:rFonts w:hint="default" w:ascii="Times New Roman" w:hAnsi="Times New Roman" w:cs="Times New Roman" w:eastAsiaTheme="minorEastAsia"/>
                      <w:color w:val="auto"/>
                      <w:sz w:val="21"/>
                      <w:szCs w:val="21"/>
                      <w:highlight w:val="none"/>
                      <w:lang w:val="en-US" w:eastAsia="zh-CN"/>
                    </w:rPr>
                    <w:t>暂存期为一周，重量</w:t>
                  </w:r>
                  <w:r>
                    <w:rPr>
                      <w:rFonts w:hint="eastAsia" w:cs="Times New Roman" w:eastAsiaTheme="minorEastAsia"/>
                      <w:color w:val="auto"/>
                      <w:sz w:val="21"/>
                      <w:szCs w:val="21"/>
                      <w:highlight w:val="none"/>
                      <w:lang w:val="en-US" w:eastAsia="zh-CN"/>
                    </w:rPr>
                    <w:t>小于</w:t>
                  </w:r>
                  <w:r>
                    <w:rPr>
                      <w:rFonts w:hint="default" w:ascii="Times New Roman" w:hAnsi="Times New Roman" w:cs="Times New Roman" w:eastAsiaTheme="minorEastAsia"/>
                      <w:color w:val="auto"/>
                      <w:sz w:val="21"/>
                      <w:szCs w:val="21"/>
                      <w:highlight w:val="none"/>
                      <w:lang w:val="en-US" w:eastAsia="zh-CN"/>
                    </w:rPr>
                    <w:t>3吨</w:t>
                  </w:r>
                  <w:r>
                    <w:rPr>
                      <w:rFonts w:hint="eastAsia" w:cs="Times New Roman" w:eastAsiaTheme="minorEastAsia"/>
                      <w:color w:val="auto"/>
                      <w:sz w:val="21"/>
                      <w:szCs w:val="21"/>
                      <w:highlight w:val="none"/>
                      <w:lang w:val="en-US" w:eastAsia="zh-CN"/>
                    </w:rPr>
                    <w:t>，且</w:t>
                  </w:r>
                  <w:r>
                    <w:rPr>
                      <w:rFonts w:hint="default" w:ascii="Times New Roman" w:hAnsi="Times New Roman" w:cs="Times New Roman" w:eastAsiaTheme="minorEastAsia"/>
                      <w:color w:val="auto"/>
                      <w:sz w:val="21"/>
                      <w:szCs w:val="21"/>
                      <w:highlight w:val="none"/>
                      <w:lang w:val="en-US" w:eastAsia="zh-CN"/>
                    </w:rPr>
                    <w:t>贮存规模应小于贮存场所的设计容量</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暂存时间</w:t>
                  </w:r>
                  <w:r>
                    <w:rPr>
                      <w:rFonts w:hint="eastAsia" w:cs="Times New Roman" w:eastAsiaTheme="minorEastAsia"/>
                      <w:color w:val="auto"/>
                      <w:sz w:val="21"/>
                      <w:szCs w:val="21"/>
                      <w:highlight w:val="none"/>
                      <w:lang w:val="en-US" w:eastAsia="zh-CN"/>
                    </w:rPr>
                    <w:t>、暂存</w:t>
                  </w:r>
                  <w:r>
                    <w:rPr>
                      <w:rFonts w:hint="default" w:ascii="Times New Roman" w:hAnsi="Times New Roman" w:cs="Times New Roman" w:eastAsiaTheme="minorEastAsia"/>
                      <w:color w:val="auto"/>
                      <w:sz w:val="21"/>
                      <w:szCs w:val="21"/>
                      <w:highlight w:val="none"/>
                      <w:lang w:val="en-US" w:eastAsia="zh-CN"/>
                    </w:rPr>
                    <w:t>重量</w:t>
                  </w:r>
                  <w:r>
                    <w:rPr>
                      <w:rFonts w:hint="eastAsia" w:cs="Times New Roman" w:eastAsiaTheme="minorEastAsia"/>
                      <w:color w:val="auto"/>
                      <w:sz w:val="21"/>
                      <w:szCs w:val="21"/>
                      <w:highlight w:val="none"/>
                      <w:lang w:val="en-US" w:eastAsia="zh-CN"/>
                    </w:rPr>
                    <w:t>及规模满足贮存要求</w:t>
                  </w:r>
                  <w:r>
                    <w:rPr>
                      <w:rFonts w:hint="default" w:ascii="Times New Roman" w:hAnsi="Times New Roman"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18C8323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8CF3B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1" w:hRule="atLeast"/>
                <w:jc w:val="center"/>
              </w:trPr>
              <w:tc>
                <w:tcPr>
                  <w:tcW w:w="720" w:type="dxa"/>
                  <w:tcBorders>
                    <w:tl2br w:val="nil"/>
                    <w:tr2bl w:val="nil"/>
                  </w:tcBorders>
                  <w:shd w:val="clear" w:color="auto" w:fill="auto"/>
                  <w:vAlign w:val="center"/>
                </w:tcPr>
                <w:p w14:paraId="4E987CF7">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w:t>
                  </w:r>
                </w:p>
              </w:tc>
              <w:tc>
                <w:tcPr>
                  <w:tcW w:w="3696" w:type="dxa"/>
                  <w:tcBorders>
                    <w:tl2br w:val="nil"/>
                    <w:tr2bl w:val="nil"/>
                  </w:tcBorders>
                  <w:shd w:val="clear" w:color="auto" w:fill="auto"/>
                  <w:vAlign w:val="center"/>
                </w:tcPr>
                <w:p w14:paraId="57C258D3">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应防雨，必须远离其他水源和热源</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面积不少于30m²</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有硬化地面和必要的防渗措施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应设有截流槽、导流沟、临时应急池和废液收集系统</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10C077E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项目贮存场所已做好防雨，并周边无水源及热源</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划分的含铅废物贮存区域面积为</w:t>
                  </w:r>
                  <w:r>
                    <w:rPr>
                      <w:rFonts w:hint="eastAsia" w:cs="Times New Roman" w:eastAsiaTheme="minorEastAsia"/>
                      <w:color w:val="auto"/>
                      <w:sz w:val="21"/>
                      <w:szCs w:val="21"/>
                      <w:highlight w:val="none"/>
                      <w:lang w:val="en-US" w:eastAsia="zh-CN"/>
                    </w:rPr>
                    <w:t>30</w:t>
                  </w:r>
                  <w:r>
                    <w:rPr>
                      <w:rFonts w:hint="default" w:ascii="Times New Roman" w:hAnsi="Times New Roman" w:cs="Times New Roman" w:eastAsiaTheme="minorEastAsia"/>
                      <w:color w:val="auto"/>
                      <w:sz w:val="21"/>
                      <w:szCs w:val="21"/>
                      <w:highlight w:val="none"/>
                      <w:lang w:val="en-US" w:eastAsia="zh-CN"/>
                    </w:rPr>
                    <w:t>m²</w:t>
                  </w:r>
                  <w:r>
                    <w:rPr>
                      <w:rFonts w:hint="eastAsia" w:cs="Times New Roman" w:eastAsia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val="en-US" w:eastAsia="zh-CN"/>
                    </w:rPr>
                    <w:t>且</w:t>
                  </w:r>
                  <w:r>
                    <w:rPr>
                      <w:rFonts w:hint="default" w:ascii="Times New Roman" w:hAnsi="Times New Roman" w:cs="Times New Roman" w:eastAsiaTheme="minorEastAsia"/>
                      <w:color w:val="auto"/>
                      <w:sz w:val="21"/>
                      <w:szCs w:val="21"/>
                      <w:highlight w:val="none"/>
                      <w:lang w:val="en-US" w:eastAsia="zh-CN"/>
                    </w:rPr>
                    <w:t>地面进行了硬化和防渗措施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贮存场所设置了导流沟、收集池等收集系统</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0C4CBBA9">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542C7C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3" w:hRule="atLeast"/>
                <w:jc w:val="center"/>
              </w:trPr>
              <w:tc>
                <w:tcPr>
                  <w:tcW w:w="720" w:type="dxa"/>
                  <w:tcBorders>
                    <w:tl2br w:val="nil"/>
                    <w:tr2bl w:val="nil"/>
                  </w:tcBorders>
                  <w:shd w:val="clear" w:color="auto" w:fill="auto"/>
                  <w:vAlign w:val="center"/>
                </w:tcPr>
                <w:p w14:paraId="7A02E728">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w:t>
                  </w:r>
                </w:p>
              </w:tc>
              <w:tc>
                <w:tcPr>
                  <w:tcW w:w="3696" w:type="dxa"/>
                  <w:tcBorders>
                    <w:tl2br w:val="nil"/>
                    <w:tr2bl w:val="nil"/>
                  </w:tcBorders>
                  <w:shd w:val="clear" w:color="auto" w:fill="auto"/>
                  <w:vAlign w:val="center"/>
                </w:tcPr>
                <w:p w14:paraId="3484B54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应配备通讯设备、计量设备、照明设施、视频监控设施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应设立警示标志，只允许收集废铅蓄电池的专门人员进入</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应有排风换气系统，保证良好通风</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应配备耐腐蚀、不易破损变形的专用容器，用于单独分区存放开口式废铅蓄电池和破损的密闭式免维护废铅蓄电池。</w:t>
                  </w:r>
                </w:p>
              </w:tc>
              <w:tc>
                <w:tcPr>
                  <w:tcW w:w="3316" w:type="dxa"/>
                  <w:tcBorders>
                    <w:tl2br w:val="nil"/>
                    <w:tr2bl w:val="nil"/>
                  </w:tcBorders>
                  <w:shd w:val="clear" w:color="auto" w:fill="auto"/>
                  <w:vAlign w:val="center"/>
                </w:tcPr>
                <w:p w14:paraId="6F442E2E">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项目配备了通讯设备、计量设备、照明设施及视频监控设施</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设置了警示标志，禁止无关人员入内</w:t>
                  </w:r>
                  <w:r>
                    <w:rPr>
                      <w:rFonts w:hint="eastAsia" w:cs="Times New Roman" w:eastAsiaTheme="minorEastAsia"/>
                      <w:color w:val="auto"/>
                      <w:sz w:val="21"/>
                      <w:szCs w:val="21"/>
                      <w:highlight w:val="none"/>
                      <w:lang w:val="en-US" w:eastAsia="zh-CN"/>
                    </w:rPr>
                    <w:t>；</w:t>
                  </w:r>
                </w:p>
                <w:p w14:paraId="770A1351">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酸性</w:t>
                  </w:r>
                  <w:r>
                    <w:rPr>
                      <w:rFonts w:hint="default" w:ascii="Times New Roman" w:hAnsi="Times New Roman" w:cs="Times New Roman" w:eastAsiaTheme="minorEastAsia"/>
                      <w:color w:val="auto"/>
                      <w:sz w:val="21"/>
                      <w:szCs w:val="21"/>
                      <w:highlight w:val="none"/>
                      <w:lang w:val="en-US" w:eastAsia="zh-CN"/>
                    </w:rPr>
                    <w:t>废气</w:t>
                  </w:r>
                  <w:r>
                    <w:rPr>
                      <w:rFonts w:hint="eastAsia" w:cs="Times New Roman" w:eastAsiaTheme="minorEastAsia"/>
                      <w:color w:val="auto"/>
                      <w:sz w:val="21"/>
                      <w:szCs w:val="21"/>
                      <w:highlight w:val="none"/>
                      <w:lang w:val="en-US" w:eastAsia="zh-CN"/>
                    </w:rPr>
                    <w:t>设置有</w:t>
                  </w:r>
                  <w:r>
                    <w:rPr>
                      <w:rFonts w:hint="default" w:ascii="Times New Roman" w:hAnsi="Times New Roman" w:cs="Times New Roman" w:eastAsiaTheme="minorEastAsia"/>
                      <w:color w:val="auto"/>
                      <w:sz w:val="21"/>
                      <w:szCs w:val="21"/>
                      <w:highlight w:val="none"/>
                      <w:lang w:val="en-US" w:eastAsia="zh-CN"/>
                    </w:rPr>
                    <w:t>收集设施，废气经碱液喷淋系统处理后排放，另外厂房设置有排风换气扇</w:t>
                  </w:r>
                  <w:r>
                    <w:rPr>
                      <w:rFonts w:hint="eastAsia" w:cs="Times New Roman" w:eastAsiaTheme="minorEastAsia"/>
                      <w:color w:val="auto"/>
                      <w:sz w:val="21"/>
                      <w:szCs w:val="21"/>
                      <w:highlight w:val="none"/>
                      <w:lang w:val="en-US" w:eastAsia="zh-CN"/>
                    </w:rPr>
                    <w:t>；破损废电池采用</w:t>
                  </w:r>
                  <w:r>
                    <w:rPr>
                      <w:rFonts w:hint="default" w:ascii="Times New Roman" w:hAnsi="Times New Roman" w:cs="Times New Roman" w:eastAsiaTheme="minorEastAsia"/>
                      <w:color w:val="auto"/>
                      <w:sz w:val="21"/>
                      <w:szCs w:val="21"/>
                      <w:highlight w:val="none"/>
                      <w:lang w:val="en-US" w:eastAsia="zh-CN"/>
                    </w:rPr>
                    <w:t>耐腐蚀的PV箱盛装</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7D3AEE50">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14:paraId="22CA3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0" w:type="dxa"/>
                  <w:tcBorders>
                    <w:tl2br w:val="nil"/>
                    <w:tr2bl w:val="nil"/>
                  </w:tcBorders>
                  <w:shd w:val="clear" w:color="auto" w:fill="auto"/>
                  <w:vAlign w:val="center"/>
                </w:tcPr>
                <w:p w14:paraId="1F2477D5">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696" w:type="dxa"/>
                  <w:tcBorders>
                    <w:tl2br w:val="nil"/>
                    <w:tr2bl w:val="nil"/>
                  </w:tcBorders>
                  <w:shd w:val="clear" w:color="auto" w:fill="auto"/>
                  <w:vAlign w:val="center"/>
                </w:tcPr>
                <w:p w14:paraId="20CE01C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禁止将废铅蓄电池堆放在露天场地，避免废铅蓄电池遭受雨淋水浸</w:t>
                  </w:r>
                  <w:r>
                    <w:rPr>
                      <w:rFonts w:hint="eastAsia" w:cs="Times New Roman" w:eastAsiaTheme="minorEastAsia"/>
                      <w:color w:val="auto"/>
                      <w:sz w:val="21"/>
                      <w:szCs w:val="21"/>
                      <w:highlight w:val="none"/>
                      <w:lang w:val="en-US" w:eastAsia="zh-CN"/>
                    </w:rPr>
                    <w:t>。</w:t>
                  </w:r>
                </w:p>
              </w:tc>
              <w:tc>
                <w:tcPr>
                  <w:tcW w:w="3316" w:type="dxa"/>
                  <w:tcBorders>
                    <w:tl2br w:val="nil"/>
                    <w:tr2bl w:val="nil"/>
                  </w:tcBorders>
                  <w:shd w:val="clear" w:color="auto" w:fill="auto"/>
                  <w:vAlign w:val="center"/>
                </w:tcPr>
                <w:p w14:paraId="7ACAC7A6">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项目贮存区域为密闭区域，防风、防雨、防晒、防渗</w:t>
                  </w:r>
                  <w:r>
                    <w:rPr>
                      <w:rFonts w:hint="eastAsia" w:cs="Times New Roman" w:eastAsiaTheme="minorEastAsia"/>
                      <w:color w:val="auto"/>
                      <w:sz w:val="21"/>
                      <w:szCs w:val="21"/>
                      <w:highlight w:val="none"/>
                      <w:lang w:val="en-US" w:eastAsia="zh-CN"/>
                    </w:rPr>
                    <w:t>。</w:t>
                  </w:r>
                </w:p>
              </w:tc>
              <w:tc>
                <w:tcPr>
                  <w:tcW w:w="1006" w:type="dxa"/>
                  <w:tcBorders>
                    <w:tl2br w:val="nil"/>
                    <w:tr2bl w:val="nil"/>
                  </w:tcBorders>
                  <w:shd w:val="clear" w:color="auto" w:fill="auto"/>
                  <w:vAlign w:val="center"/>
                </w:tcPr>
                <w:p w14:paraId="02575EE4">
                  <w:pPr>
                    <w:keepNext w:val="0"/>
                    <w:keepLines w:val="0"/>
                    <w:widowControl/>
                    <w:suppressLineNumbers w:val="0"/>
                    <w:jc w:val="left"/>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bl>
          <w:p w14:paraId="48B8F4C9">
            <w:pPr>
              <w:pStyle w:val="195"/>
              <w:spacing w:before="41" w:line="345" w:lineRule="auto"/>
              <w:ind w:left="6" w:right="4" w:firstLine="457"/>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与《危险废物收集、贮存、运输技术规范》（HJ2025-2012）的相符性分析</w:t>
            </w:r>
          </w:p>
          <w:p w14:paraId="2FACAE67">
            <w:pPr>
              <w:adjustRightInd w:val="0"/>
              <w:snapToGrid w:val="0"/>
              <w:ind w:firstLine="422" w:firstLineChars="200"/>
              <w:jc w:val="center"/>
              <w:rPr>
                <w:rFonts w:hint="default" w:eastAsia="宋体"/>
                <w:b/>
                <w:color w:val="auto"/>
                <w:highlight w:val="none"/>
              </w:rPr>
            </w:pPr>
            <w:r>
              <w:rPr>
                <w:rFonts w:hint="default" w:eastAsia="宋体"/>
                <w:b/>
                <w:color w:val="auto"/>
                <w:highlight w:val="none"/>
              </w:rPr>
              <w:t>表1-9  项目与《危险废物收集、贮存、运输技术规范》相符性分析</w:t>
            </w:r>
          </w:p>
          <w:tbl>
            <w:tblPr>
              <w:tblStyle w:val="35"/>
              <w:tblW w:w="87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4342"/>
              <w:gridCol w:w="3170"/>
              <w:gridCol w:w="631"/>
            </w:tblGrid>
            <w:tr w14:paraId="0CECF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32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60D223C">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序号</w:t>
                  </w:r>
                </w:p>
              </w:tc>
              <w:tc>
                <w:tcPr>
                  <w:tcW w:w="249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5CA7CBE">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内容要求</w:t>
                  </w:r>
                </w:p>
              </w:tc>
              <w:tc>
                <w:tcPr>
                  <w:tcW w:w="181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C2082B1">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本项目情况</w:t>
                  </w:r>
                </w:p>
              </w:tc>
              <w:tc>
                <w:tcPr>
                  <w:tcW w:w="361" w:type="pct"/>
                  <w:tcBorders>
                    <w:top w:val="single" w:color="000000" w:sz="2" w:space="0"/>
                    <w:left w:val="single" w:color="000000" w:sz="2" w:space="0"/>
                    <w:bottom w:val="single" w:color="000000" w:sz="2" w:space="0"/>
                    <w:right w:val="single" w:color="000000" w:sz="4" w:space="0"/>
                    <w:tl2br w:val="nil"/>
                    <w:tr2bl w:val="nil"/>
                  </w:tcBorders>
                  <w:noWrap w:val="0"/>
                  <w:vAlign w:val="center"/>
                </w:tcPr>
                <w:p w14:paraId="3291988D">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 合 性</w:t>
                  </w:r>
                </w:p>
              </w:tc>
            </w:tr>
            <w:tr w14:paraId="6B8B9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32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0D461DB">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1</w:t>
                  </w:r>
                </w:p>
              </w:tc>
              <w:tc>
                <w:tcPr>
                  <w:tcW w:w="249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94F8415">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 从事的危险废物收集、贮存、运输活动应遵照国家相关管理规定，建立健全规章制度及操作流程，确保该过程的安全、可靠。</w:t>
                  </w:r>
                </w:p>
              </w:tc>
              <w:tc>
                <w:tcPr>
                  <w:tcW w:w="181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218922E">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建设单位已经取得宝鸡市环境保护局颁发的《陕西省危险废物经营许可证》(HW6103220001)，</w:t>
                  </w:r>
                  <w:r>
                    <w:rPr>
                      <w:rFonts w:hint="eastAsia" w:cs="Times New Roman" w:eastAsiaTheme="minorEastAsia"/>
                      <w:color w:val="auto"/>
                      <w:sz w:val="21"/>
                      <w:szCs w:val="21"/>
                      <w:highlight w:val="none"/>
                      <w:lang w:val="en-US" w:eastAsia="zh-CN"/>
                    </w:rPr>
                    <w:t>本次扩建新增种类将在手续完整后，进行增项申请。</w:t>
                  </w:r>
                </w:p>
              </w:tc>
              <w:tc>
                <w:tcPr>
                  <w:tcW w:w="361" w:type="pct"/>
                  <w:tcBorders>
                    <w:top w:val="single" w:color="000000" w:sz="2" w:space="0"/>
                    <w:left w:val="single" w:color="000000" w:sz="2" w:space="0"/>
                    <w:bottom w:val="single" w:color="000000" w:sz="2" w:space="0"/>
                    <w:right w:val="single" w:color="000000" w:sz="4" w:space="0"/>
                    <w:tl2br w:val="nil"/>
                    <w:tr2bl w:val="nil"/>
                  </w:tcBorders>
                  <w:noWrap w:val="0"/>
                  <w:vAlign w:val="center"/>
                </w:tcPr>
                <w:p w14:paraId="388A2533">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符合</w:t>
                  </w:r>
                </w:p>
              </w:tc>
            </w:tr>
            <w:tr w14:paraId="65A1D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329"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118DEE8E">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2</w:t>
                  </w:r>
                </w:p>
              </w:tc>
              <w:tc>
                <w:tcPr>
                  <w:tcW w:w="2490"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75EDCDC">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危险废物收集、贮存、运输单位应编制应急预案。</w:t>
                  </w:r>
                </w:p>
              </w:tc>
              <w:tc>
                <w:tcPr>
                  <w:tcW w:w="1818"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35BB10FB">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本环评要求建设单位运营期间及时编制应急预案，并定期演练</w:t>
                  </w:r>
                  <w:r>
                    <w:rPr>
                      <w:rFonts w:hint="eastAsia" w:cs="Times New Roman" w:eastAsiaTheme="minorEastAsia"/>
                      <w:color w:val="auto"/>
                      <w:sz w:val="21"/>
                      <w:szCs w:val="21"/>
                      <w:highlight w:val="none"/>
                      <w:lang w:val="en-US" w:eastAsia="zh-CN"/>
                    </w:rPr>
                    <w:t>。</w:t>
                  </w:r>
                </w:p>
              </w:tc>
              <w:tc>
                <w:tcPr>
                  <w:tcW w:w="361" w:type="pct"/>
                  <w:tcBorders>
                    <w:top w:val="single" w:color="000000" w:sz="2" w:space="0"/>
                    <w:left w:val="single" w:color="000000" w:sz="2" w:space="0"/>
                    <w:bottom w:val="single" w:color="000000" w:sz="2" w:space="0"/>
                    <w:right w:val="single" w:color="000000" w:sz="4" w:space="0"/>
                    <w:tl2br w:val="nil"/>
                    <w:tr2bl w:val="nil"/>
                  </w:tcBorders>
                  <w:noWrap w:val="0"/>
                  <w:vAlign w:val="center"/>
                </w:tcPr>
                <w:p w14:paraId="01FEE1A9">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符合</w:t>
                  </w:r>
                </w:p>
              </w:tc>
            </w:tr>
            <w:tr w14:paraId="1B3C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329"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2B562189">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3</w:t>
                  </w:r>
                </w:p>
              </w:tc>
              <w:tc>
                <w:tcPr>
                  <w:tcW w:w="2490"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0F3EA199">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危险废物收集、贮存、运输时应按腐蚀性、毒性、易燃性、反应性和感染性等危险特性对危险废物进行分类、包装并设置相应的标志及标签。</w:t>
                  </w:r>
                </w:p>
              </w:tc>
              <w:tc>
                <w:tcPr>
                  <w:tcW w:w="1818" w:type="pct"/>
                  <w:tcBorders>
                    <w:top w:val="single" w:color="000000" w:sz="2" w:space="0"/>
                    <w:left w:val="single" w:color="000000" w:sz="2" w:space="0"/>
                    <w:bottom w:val="single" w:color="000000" w:sz="4" w:space="0"/>
                    <w:right w:val="single" w:color="000000" w:sz="2" w:space="0"/>
                    <w:tl2br w:val="nil"/>
                    <w:tr2bl w:val="nil"/>
                  </w:tcBorders>
                  <w:noWrap w:val="0"/>
                  <w:vAlign w:val="center"/>
                </w:tcPr>
                <w:p w14:paraId="656DF1FF">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本项目属于宝鸡市小微企业及社会源危险废物收集试点，主要从事危险废物贮存，本项目在</w:t>
                  </w:r>
                  <w:r>
                    <w:rPr>
                      <w:rFonts w:hint="eastAsia" w:cs="Times New Roman" w:eastAsiaTheme="minorEastAsia"/>
                      <w:color w:val="auto"/>
                      <w:sz w:val="21"/>
                      <w:szCs w:val="21"/>
                      <w:highlight w:val="none"/>
                      <w:lang w:val="en-US" w:eastAsia="zh-CN"/>
                    </w:rPr>
                    <w:t>危险废物</w:t>
                  </w:r>
                  <w:r>
                    <w:rPr>
                      <w:rFonts w:hint="default" w:cs="Times New Roman" w:eastAsiaTheme="minorEastAsia"/>
                      <w:color w:val="auto"/>
                      <w:sz w:val="21"/>
                      <w:szCs w:val="21"/>
                      <w:highlight w:val="none"/>
                      <w:lang w:val="en-US" w:eastAsia="zh-CN"/>
                    </w:rPr>
                    <w:t>贮存区域设置张贴相应标志及标签。</w:t>
                  </w:r>
                </w:p>
              </w:tc>
              <w:tc>
                <w:tcPr>
                  <w:tcW w:w="361" w:type="pct"/>
                  <w:tcBorders>
                    <w:top w:val="single" w:color="000000" w:sz="2" w:space="0"/>
                    <w:left w:val="single" w:color="000000" w:sz="2" w:space="0"/>
                    <w:bottom w:val="single" w:color="000000" w:sz="4" w:space="0"/>
                    <w:right w:val="single" w:color="000000" w:sz="4" w:space="0"/>
                    <w:tl2br w:val="nil"/>
                    <w:tr2bl w:val="nil"/>
                  </w:tcBorders>
                  <w:noWrap w:val="0"/>
                  <w:vAlign w:val="center"/>
                </w:tcPr>
                <w:p w14:paraId="0D5FE5DD">
                  <w:pPr>
                    <w:keepNext w:val="0"/>
                    <w:keepLines w:val="0"/>
                    <w:widowControl/>
                    <w:suppressLineNumbers w:val="0"/>
                    <w:jc w:val="center"/>
                    <w:textAlignment w:val="center"/>
                    <w:rPr>
                      <w:rFonts w:hint="default"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符合</w:t>
                  </w:r>
                </w:p>
              </w:tc>
            </w:tr>
          </w:tbl>
          <w:p w14:paraId="2C9859BF">
            <w:pPr>
              <w:adjustRightInd w:val="0"/>
              <w:snapToGrid w:val="0"/>
              <w:spacing w:line="360" w:lineRule="auto"/>
              <w:ind w:firstLine="482" w:firstLineChars="200"/>
              <w:rPr>
                <w:rFonts w:hint="eastAsia"/>
                <w:b/>
                <w:bCs/>
                <w:color w:val="auto"/>
                <w:sz w:val="24"/>
                <w:szCs w:val="24"/>
                <w:highlight w:val="none"/>
                <w:lang w:val="en-US" w:eastAsia="zh-CN"/>
              </w:rPr>
            </w:pPr>
          </w:p>
          <w:p w14:paraId="38A22A7C">
            <w:pPr>
              <w:adjustRightInd w:val="0"/>
              <w:snapToGrid w:val="0"/>
              <w:spacing w:line="360" w:lineRule="auto"/>
              <w:ind w:firstLine="482" w:firstLineChars="200"/>
              <w:rPr>
                <w:rFonts w:hint="eastAsia"/>
                <w:b/>
                <w:bCs/>
                <w:color w:val="auto"/>
                <w:sz w:val="24"/>
                <w:szCs w:val="24"/>
                <w:highlight w:val="none"/>
              </w:rPr>
            </w:pPr>
            <w:r>
              <w:rPr>
                <w:rFonts w:hint="eastAsia"/>
                <w:b/>
                <w:bCs/>
                <w:color w:val="auto"/>
                <w:sz w:val="24"/>
                <w:szCs w:val="24"/>
                <w:highlight w:val="none"/>
                <w:lang w:val="en-US" w:eastAsia="zh-CN"/>
              </w:rPr>
              <w:t>6.</w:t>
            </w:r>
            <w:r>
              <w:rPr>
                <w:rFonts w:hint="eastAsia"/>
                <w:b/>
                <w:bCs/>
                <w:color w:val="auto"/>
                <w:sz w:val="24"/>
                <w:szCs w:val="24"/>
                <w:highlight w:val="none"/>
              </w:rPr>
              <w:t>项目选址合理性分析</w:t>
            </w:r>
          </w:p>
          <w:p w14:paraId="23CF481C">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（1）用地合理性分析</w:t>
            </w:r>
          </w:p>
          <w:p w14:paraId="2A0B961E">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本项目选址于宝鸡市</w:t>
            </w:r>
            <w:r>
              <w:rPr>
                <w:rFonts w:hint="eastAsia"/>
                <w:color w:val="auto"/>
                <w:sz w:val="24"/>
                <w:szCs w:val="24"/>
                <w:highlight w:val="none"/>
                <w:lang w:eastAsia="zh-CN"/>
              </w:rPr>
              <w:t>凤翔</w:t>
            </w:r>
            <w:r>
              <w:rPr>
                <w:rFonts w:hint="eastAsia"/>
                <w:color w:val="auto"/>
                <w:sz w:val="24"/>
                <w:szCs w:val="24"/>
                <w:highlight w:val="none"/>
              </w:rPr>
              <w:t>长青工业园陕西宝鸡恒兴石化科技有限公司现有厂区内，地理坐标为N34°28'0.</w:t>
            </w:r>
            <w:r>
              <w:rPr>
                <w:rFonts w:hint="eastAsia"/>
                <w:color w:val="auto"/>
                <w:sz w:val="24"/>
                <w:szCs w:val="24"/>
                <w:highlight w:val="none"/>
                <w:lang w:val="en-US" w:eastAsia="zh-CN"/>
              </w:rPr>
              <w:t>537</w:t>
            </w:r>
            <w:r>
              <w:rPr>
                <w:rFonts w:hint="eastAsia"/>
                <w:color w:val="auto"/>
                <w:sz w:val="24"/>
                <w:szCs w:val="24"/>
                <w:highlight w:val="none"/>
              </w:rPr>
              <w:t>"，E107°16'</w:t>
            </w:r>
            <w:r>
              <w:rPr>
                <w:rFonts w:hint="eastAsia"/>
                <w:color w:val="auto"/>
                <w:sz w:val="24"/>
                <w:szCs w:val="24"/>
                <w:highlight w:val="none"/>
                <w:lang w:val="en-US" w:eastAsia="zh-CN"/>
              </w:rPr>
              <w:t>3.695</w:t>
            </w:r>
            <w:r>
              <w:rPr>
                <w:rFonts w:hint="eastAsia"/>
                <w:color w:val="auto"/>
                <w:sz w:val="24"/>
                <w:szCs w:val="24"/>
                <w:highlight w:val="none"/>
              </w:rPr>
              <w:t>"，厂区总占地面积约23333.3m</w:t>
            </w:r>
            <w:r>
              <w:rPr>
                <w:rFonts w:hint="eastAsia"/>
                <w:color w:val="auto"/>
                <w:sz w:val="24"/>
                <w:szCs w:val="24"/>
                <w:highlight w:val="none"/>
                <w:vertAlign w:val="superscript"/>
              </w:rPr>
              <w:t>2</w:t>
            </w:r>
            <w:r>
              <w:rPr>
                <w:rFonts w:hint="eastAsia"/>
                <w:color w:val="auto"/>
                <w:sz w:val="24"/>
                <w:szCs w:val="24"/>
                <w:highlight w:val="none"/>
              </w:rPr>
              <w:t>（35亩）。符合园区产业定位及规划产业布局。厂区所处位置属于凤翔长青工业园总体规划范围内，本项目属于宝鸡市小微企业及社会源危险废物收集试点，项目建成服务于工业园内</w:t>
            </w:r>
            <w:r>
              <w:rPr>
                <w:rFonts w:hint="eastAsia"/>
                <w:color w:val="auto"/>
                <w:sz w:val="24"/>
                <w:szCs w:val="24"/>
                <w:highlight w:val="none"/>
                <w:lang w:eastAsia="zh-CN"/>
              </w:rPr>
              <w:t>及宝鸡市周边</w:t>
            </w:r>
            <w:r>
              <w:rPr>
                <w:rFonts w:hint="eastAsia"/>
                <w:color w:val="auto"/>
                <w:sz w:val="24"/>
                <w:szCs w:val="24"/>
                <w:highlight w:val="none"/>
              </w:rPr>
              <w:t>小微企业及周边个体单位，有利于规范社会源危险废物收集体系，用地合理，且周边交通便利，便于后期危险废物运输工作的开展。</w:t>
            </w:r>
          </w:p>
          <w:p w14:paraId="2034C12C">
            <w:pPr>
              <w:numPr>
                <w:ilvl w:val="0"/>
                <w:numId w:val="9"/>
              </w:num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环境敏感性分析</w:t>
            </w:r>
          </w:p>
          <w:p w14:paraId="70154739">
            <w:pPr>
              <w:numPr>
                <w:ilvl w:val="0"/>
                <w:numId w:val="0"/>
              </w:numPr>
              <w:adjustRightInd w:val="0"/>
              <w:snapToGrid w:val="0"/>
              <w:spacing w:line="360" w:lineRule="auto"/>
              <w:ind w:firstLine="480" w:firstLineChars="200"/>
              <w:rPr>
                <w:rFonts w:hint="default" w:eastAsia="宋体"/>
                <w:color w:val="auto"/>
                <w:sz w:val="24"/>
                <w:szCs w:val="24"/>
                <w:highlight w:val="none"/>
                <w:lang w:val="en-US" w:eastAsia="zh-CN"/>
              </w:rPr>
            </w:pPr>
            <w:r>
              <w:rPr>
                <w:rFonts w:hint="default" w:eastAsia="宋体"/>
                <w:color w:val="auto"/>
                <w:sz w:val="24"/>
                <w:szCs w:val="24"/>
                <w:highlight w:val="none"/>
              </w:rPr>
              <w:t>根据现场勘查，所在区域不属于自然保护区、森林公园、风景名胜区、世界文化自然遗产、地质公园等禁止开发的生态红线区、重点保护生态红线区以及脆弱生态保护红线区内，项目建设不会占用生态</w:t>
            </w:r>
            <w:r>
              <w:rPr>
                <w:rFonts w:hint="default" w:eastAsia="宋体"/>
                <w:color w:val="auto"/>
                <w:sz w:val="24"/>
                <w:szCs w:val="24"/>
                <w:highlight w:val="none"/>
                <w:lang w:val="zh-CN"/>
              </w:rPr>
              <w:t>红线保护区。</w:t>
            </w:r>
            <w:r>
              <w:rPr>
                <w:rFonts w:hint="default" w:eastAsia="宋体"/>
                <w:color w:val="auto"/>
                <w:sz w:val="24"/>
                <w:szCs w:val="24"/>
                <w:highlight w:val="none"/>
                <w:lang w:val="en-US" w:eastAsia="zh-CN"/>
              </w:rPr>
              <w:t>项目选址满足符合国家法律法规、产业政策及相关规划的相关要求；项目选址用地不占用永久基本农田，不涉及生态保护红线，符合宝鸡市“三线一单”生态管控单元的管控要求；项目选址不在溶洞区或易遭受洪水、滑坡、泥石流、潮汐等严重自然灾害影响的地区，不在江河、湖泊、运河、渠道、水库及其最高水位线以下的滩地和岸坡，以及法律法规规定禁止贮存危险废物的其他地点，选址满足《危险废物贮存污染控制标准》（GB18597-2023）中“5 贮存设施选址要求”。项目选址合理。</w:t>
            </w:r>
          </w:p>
          <w:p w14:paraId="1FCD8F31">
            <w:pPr>
              <w:numPr>
                <w:ilvl w:val="0"/>
                <w:numId w:val="9"/>
              </w:numPr>
              <w:adjustRightInd w:val="0"/>
              <w:snapToGrid w:val="0"/>
              <w:spacing w:line="360" w:lineRule="auto"/>
              <w:ind w:left="0" w:leftChars="0" w:firstLine="480" w:firstLineChars="200"/>
              <w:rPr>
                <w:rFonts w:hint="eastAsia"/>
                <w:color w:val="auto"/>
                <w:sz w:val="24"/>
                <w:szCs w:val="24"/>
                <w:highlight w:val="none"/>
              </w:rPr>
            </w:pPr>
            <w:r>
              <w:rPr>
                <w:rFonts w:hint="eastAsia"/>
                <w:color w:val="auto"/>
                <w:sz w:val="24"/>
                <w:szCs w:val="24"/>
                <w:highlight w:val="none"/>
              </w:rPr>
              <w:t>周边环境敏感目标分布情况</w:t>
            </w:r>
          </w:p>
          <w:p w14:paraId="66ADE38F">
            <w:pPr>
              <w:numPr>
                <w:ilvl w:val="0"/>
                <w:numId w:val="0"/>
              </w:numPr>
              <w:adjustRightInd w:val="0"/>
              <w:snapToGrid w:val="0"/>
              <w:spacing w:line="360" w:lineRule="auto"/>
              <w:ind w:firstLine="480" w:firstLineChars="200"/>
              <w:rPr>
                <w:rFonts w:hint="eastAsia" w:eastAsia="宋体"/>
                <w:color w:val="auto"/>
                <w:sz w:val="24"/>
                <w:szCs w:val="24"/>
                <w:highlight w:val="none"/>
              </w:rPr>
            </w:pPr>
            <w:r>
              <w:rPr>
                <w:rFonts w:hint="default" w:eastAsia="宋体"/>
                <w:color w:val="auto"/>
                <w:sz w:val="24"/>
                <w:szCs w:val="24"/>
                <w:highlight w:val="none"/>
              </w:rPr>
              <w:t>根据现场勘查，</w:t>
            </w:r>
            <w:r>
              <w:rPr>
                <w:rFonts w:hint="eastAsia" w:eastAsia="宋体"/>
                <w:color w:val="auto"/>
                <w:sz w:val="24"/>
                <w:szCs w:val="24"/>
                <w:highlight w:val="none"/>
              </w:rPr>
              <w:t>项目厂界南侧为建业路及长青能化厂区，厂界西侧为陕西宝氮化工集团有限公司，东侧为变电站，北侧为空地。厂界50m范围内无医院、学校、机关、科研单位、住宅、自然保护区等对噪声敏感的建筑物或区域，项目选址不涉及饮用水水源保护区、自然保护区、风景名胜区以及国家法律法规明确的其他禁止建设区域。</w:t>
            </w:r>
          </w:p>
          <w:p w14:paraId="7B2C24F1">
            <w:pPr>
              <w:numPr>
                <w:ilvl w:val="0"/>
                <w:numId w:val="0"/>
              </w:numPr>
              <w:adjustRightInd w:val="0"/>
              <w:snapToGrid w:val="0"/>
              <w:spacing w:line="360" w:lineRule="auto"/>
              <w:ind w:firstLine="480" w:firstLineChars="200"/>
              <w:rPr>
                <w:rFonts w:hint="eastAsia"/>
                <w:color w:val="auto"/>
                <w:sz w:val="24"/>
                <w:szCs w:val="24"/>
                <w:highlight w:val="none"/>
              </w:rPr>
            </w:pPr>
            <w:r>
              <w:rPr>
                <w:rFonts w:hint="eastAsia" w:eastAsia="宋体"/>
                <w:color w:val="auto"/>
                <w:sz w:val="24"/>
                <w:szCs w:val="24"/>
                <w:highlight w:val="none"/>
              </w:rPr>
              <w:t>本</w:t>
            </w:r>
            <w:r>
              <w:rPr>
                <w:rFonts w:hint="eastAsia" w:eastAsia="宋体"/>
                <w:color w:val="auto"/>
                <w:sz w:val="24"/>
                <w:szCs w:val="24"/>
                <w:highlight w:val="none"/>
                <w:lang w:eastAsia="zh-CN"/>
              </w:rPr>
              <w:t>项目</w:t>
            </w:r>
            <w:r>
              <w:rPr>
                <w:rFonts w:hint="eastAsia" w:eastAsia="宋体"/>
                <w:color w:val="auto"/>
                <w:sz w:val="24"/>
                <w:szCs w:val="24"/>
                <w:highlight w:val="none"/>
              </w:rPr>
              <w:t>通过整合危险废物资源信息，规范和理顺回收危险废物的渠道，压缩危险废 物储存周期（收集的危险废物</w:t>
            </w:r>
            <w:r>
              <w:rPr>
                <w:rFonts w:hint="eastAsia" w:eastAsia="宋体"/>
                <w:color w:val="auto"/>
                <w:sz w:val="24"/>
                <w:szCs w:val="24"/>
                <w:highlight w:val="none"/>
                <w:lang w:eastAsia="zh-CN"/>
              </w:rPr>
              <w:t>90%的危废一周内委托处置，暂存周期最长不超过7天</w:t>
            </w:r>
            <w:r>
              <w:rPr>
                <w:rFonts w:hint="eastAsia" w:eastAsia="宋体"/>
                <w:color w:val="auto"/>
                <w:sz w:val="24"/>
                <w:szCs w:val="24"/>
                <w:highlight w:val="none"/>
              </w:rPr>
              <w:t>），并通过严格落实突发环境事件应急措施，消除各种隐患，大大降低暂存过程可能产生环境风险。运营期对周围环境的影响很小。对厂区严格按照本评价的要求，进行分区防渗。本项目在采取各项环境保护措施和环境风险防范与应急措施后，本项目环境影响能为周围环境接受，因此，从环境保护角度分析，本项目选址合理。</w:t>
            </w:r>
          </w:p>
        </w:tc>
      </w:tr>
    </w:tbl>
    <w:p w14:paraId="60E31807">
      <w:pPr>
        <w:spacing w:line="360" w:lineRule="auto"/>
        <w:outlineLvl w:val="9"/>
        <w:rPr>
          <w:rFonts w:eastAsia="黑体"/>
          <w:color w:val="auto"/>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7F4C09E">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21" w:name="_Toc22657"/>
      <w:bookmarkStart w:id="22" w:name="_Toc9529"/>
      <w:bookmarkStart w:id="23" w:name="_Toc19175"/>
      <w:bookmarkStart w:id="24" w:name="_Toc28452"/>
      <w:r>
        <w:rPr>
          <w:rFonts w:hint="eastAsia" w:ascii="黑体" w:hAnsi="黑体" w:eastAsia="黑体"/>
          <w:snapToGrid w:val="0"/>
          <w:color w:val="auto"/>
          <w:sz w:val="30"/>
          <w:szCs w:val="30"/>
          <w:highlight w:val="none"/>
        </w:rPr>
        <w:t>二、建设项目工程分析</w:t>
      </w:r>
      <w:bookmarkEnd w:id="21"/>
      <w:bookmarkEnd w:id="22"/>
      <w:bookmarkEnd w:id="23"/>
      <w:bookmarkEnd w:id="24"/>
    </w:p>
    <w:tbl>
      <w:tblPr>
        <w:tblStyle w:val="35"/>
        <w:tblW w:w="51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3"/>
        <w:gridCol w:w="8335"/>
      </w:tblGrid>
      <w:tr w14:paraId="3AC06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Align w:val="center"/>
          </w:tcPr>
          <w:p w14:paraId="28901324">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w:t>
            </w:r>
          </w:p>
          <w:p w14:paraId="561F6A13">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tc>
        <w:tc>
          <w:tcPr>
            <w:tcW w:w="4477" w:type="pct"/>
          </w:tcPr>
          <w:p w14:paraId="66C4E383">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项目由来</w:t>
            </w:r>
          </w:p>
          <w:p w14:paraId="0CD8C324">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陕西宝鸡恒兴石化科技有限公司位于宝鸡市凤翔长青工业园内，中心点地理坐标为东经107°16'3.</w:t>
            </w:r>
            <w:r>
              <w:rPr>
                <w:rFonts w:hint="eastAsia" w:cs="Times New Roman"/>
                <w:color w:val="auto"/>
                <w:sz w:val="24"/>
                <w:szCs w:val="24"/>
                <w:highlight w:val="none"/>
                <w:lang w:val="en-US" w:eastAsia="zh-CN"/>
              </w:rPr>
              <w:t>695</w:t>
            </w:r>
            <w:r>
              <w:rPr>
                <w:rFonts w:hint="default" w:ascii="Times New Roman" w:hAnsi="Times New Roman" w:cs="Times New Roman"/>
                <w:color w:val="auto"/>
                <w:sz w:val="24"/>
                <w:szCs w:val="24"/>
                <w:highlight w:val="none"/>
                <w:lang w:eastAsia="zh-CN"/>
              </w:rPr>
              <w:t>"，北纬34°28'0.53</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"，厂区总占地面积23333.3m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（35亩）</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主要进行危险废物收集及处置</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现有项目</w:t>
            </w:r>
            <w:r>
              <w:rPr>
                <w:rFonts w:hint="eastAsia" w:cs="Times New Roman"/>
                <w:color w:val="auto"/>
                <w:sz w:val="24"/>
                <w:szCs w:val="24"/>
                <w:highlight w:val="none"/>
                <w:lang w:eastAsia="zh-CN"/>
              </w:rPr>
              <w:t>中4万吨/年有机溶剂等废物资源化综合利用项目，主要进行</w:t>
            </w:r>
            <w:r>
              <w:rPr>
                <w:rFonts w:hint="default" w:ascii="Times New Roman" w:hAnsi="Times New Roman" w:cs="Times New Roman"/>
                <w:color w:val="auto"/>
                <w:sz w:val="24"/>
                <w:szCs w:val="24"/>
                <w:highlight w:val="none"/>
                <w:lang w:eastAsia="zh-CN"/>
              </w:rPr>
              <w:t>收集处置废矿物油、含油废水、油泥及含油包装物、废有机溶剂、精馏废液、废酸废碱危险废物。</w:t>
            </w:r>
          </w:p>
          <w:p w14:paraId="4AAF29B4">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原有项目</w:t>
            </w:r>
            <w:r>
              <w:rPr>
                <w:rFonts w:hint="default" w:ascii="Times New Roman" w:hAnsi="Times New Roman" w:cs="Times New Roman"/>
                <w:color w:val="auto"/>
                <w:sz w:val="24"/>
                <w:szCs w:val="24"/>
                <w:highlight w:val="none"/>
              </w:rPr>
              <w:t>于2019年3月27日取得了宝鸡市环境保护局凤翔分局《关于年产10万吨SBS（R）改性沥青生产线技术改造项目环境影响报告书的批复》（凤环函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2019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44号）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2021年11月25日完成项目竣工验收；2022年1月取得《</w:t>
            </w:r>
            <w:r>
              <w:rPr>
                <w:rFonts w:hint="default" w:ascii="Times New Roman" w:hAnsi="Times New Roman" w:cs="Times New Roman"/>
                <w:color w:val="auto"/>
                <w:sz w:val="24"/>
                <w:szCs w:val="24"/>
                <w:highlight w:val="none"/>
              </w:rPr>
              <w:t>关于</w:t>
            </w:r>
            <w:r>
              <w:rPr>
                <w:rFonts w:hint="default" w:ascii="Times New Roman" w:hAnsi="Times New Roman" w:cs="Times New Roman"/>
                <w:color w:val="auto"/>
                <w:sz w:val="24"/>
                <w:szCs w:val="24"/>
                <w:highlight w:val="none"/>
                <w:lang w:val="en-US" w:eastAsia="zh-CN"/>
              </w:rPr>
              <w:t>4万吨/年有机溶剂等废物资源化综合利用项目环境影响报告书</w:t>
            </w:r>
            <w:r>
              <w:rPr>
                <w:rFonts w:hint="default" w:ascii="Times New Roman" w:hAnsi="Times New Roman" w:cs="Times New Roman"/>
                <w:color w:val="auto"/>
                <w:sz w:val="24"/>
                <w:szCs w:val="24"/>
                <w:highlight w:val="none"/>
              </w:rPr>
              <w:t>的批复</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；并于2025年7月完成竣工验收工作。原有项目</w:t>
            </w:r>
            <w:r>
              <w:rPr>
                <w:rFonts w:hint="default" w:ascii="Times New Roman" w:hAnsi="Times New Roman" w:cs="Times New Roman"/>
                <w:color w:val="auto"/>
                <w:sz w:val="24"/>
                <w:szCs w:val="24"/>
                <w:highlight w:val="none"/>
              </w:rPr>
              <w:t>2019年8月1日，取得宝鸡市生态环境局凤翔分局的突发环境事件应急预案备案表，备案编号：610322-2019-67-M</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2022年8月对厂区突发环境事件应急预案进行了修编，并进行了备案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2020年04月24日，取得宝鸡市生态环境局凤翔分局核发的排污许可证，证书编号：916103220712766612001V。</w:t>
            </w:r>
          </w:p>
          <w:p w14:paraId="13150C92">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于</w:t>
            </w:r>
            <w:r>
              <w:rPr>
                <w:rFonts w:hint="eastAsia" w:ascii="Times New Roman" w:hAnsi="Times New Roman" w:cs="Times New Roman"/>
                <w:color w:val="auto"/>
                <w:sz w:val="24"/>
                <w:szCs w:val="24"/>
                <w:highlight w:val="none"/>
                <w:lang w:val="en-US" w:eastAsia="zh-CN"/>
              </w:rPr>
              <w:t>2020</w:t>
            </w:r>
            <w:r>
              <w:rPr>
                <w:rFonts w:hint="default" w:ascii="Times New Roman" w:hAnsi="Times New Roman" w:cs="Times New Roman"/>
                <w:color w:val="auto"/>
                <w:sz w:val="24"/>
                <w:szCs w:val="24"/>
                <w:highlight w:val="none"/>
              </w:rPr>
              <w:t>年1月</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日取得了宝鸡市环境保护局颁发的《陕西省危险废物经营许可证》(HW6103220001)，有效期：2025年1月20日至2028年1月20日，核准经营危险废物类别及规模如下表所示：</w:t>
            </w:r>
          </w:p>
          <w:p w14:paraId="3F248921">
            <w:pPr>
              <w:widowControl w:val="0"/>
              <w:adjustRightInd w:val="0"/>
              <w:snapToGri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表2-1  核准经营危险废物类别及规模一览表</w:t>
            </w:r>
          </w:p>
          <w:tbl>
            <w:tblPr>
              <w:tblStyle w:val="35"/>
              <w:tblW w:w="8096"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9"/>
              <w:gridCol w:w="900"/>
              <w:gridCol w:w="840"/>
              <w:gridCol w:w="4487"/>
              <w:gridCol w:w="1100"/>
            </w:tblGrid>
            <w:tr w14:paraId="077C0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trPr>
              <w:tc>
                <w:tcPr>
                  <w:tcW w:w="769" w:type="dxa"/>
                  <w:tcBorders>
                    <w:tl2br w:val="nil"/>
                    <w:tr2bl w:val="nil"/>
                  </w:tcBorders>
                  <w:shd w:val="clear" w:color="auto" w:fill="auto"/>
                  <w:vAlign w:val="center"/>
                </w:tcPr>
                <w:p w14:paraId="0C9D7B5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废物类别</w:t>
                  </w:r>
                </w:p>
              </w:tc>
              <w:tc>
                <w:tcPr>
                  <w:tcW w:w="900" w:type="dxa"/>
                  <w:tcBorders>
                    <w:tl2br w:val="nil"/>
                    <w:tr2bl w:val="nil"/>
                  </w:tcBorders>
                  <w:shd w:val="clear" w:color="auto" w:fill="auto"/>
                  <w:vAlign w:val="center"/>
                </w:tcPr>
                <w:p w14:paraId="3B6658BE">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行业来源</w:t>
                  </w:r>
                </w:p>
              </w:tc>
              <w:tc>
                <w:tcPr>
                  <w:tcW w:w="840" w:type="dxa"/>
                  <w:tcBorders>
                    <w:tl2br w:val="nil"/>
                    <w:tr2bl w:val="nil"/>
                  </w:tcBorders>
                  <w:shd w:val="clear" w:color="auto" w:fill="auto"/>
                  <w:vAlign w:val="center"/>
                </w:tcPr>
                <w:p w14:paraId="67941BE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废物代码</w:t>
                  </w:r>
                </w:p>
              </w:tc>
              <w:tc>
                <w:tcPr>
                  <w:tcW w:w="4487" w:type="dxa"/>
                  <w:tcBorders>
                    <w:tl2br w:val="nil"/>
                    <w:tr2bl w:val="nil"/>
                  </w:tcBorders>
                  <w:shd w:val="clear" w:color="auto" w:fill="auto"/>
                  <w:vAlign w:val="center"/>
                </w:tcPr>
                <w:p w14:paraId="0F6D636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危险废物</w:t>
                  </w:r>
                </w:p>
              </w:tc>
              <w:tc>
                <w:tcPr>
                  <w:tcW w:w="1100" w:type="dxa"/>
                  <w:tcBorders>
                    <w:tl2br w:val="nil"/>
                    <w:tr2bl w:val="nil"/>
                  </w:tcBorders>
                  <w:shd w:val="clear" w:color="auto" w:fill="auto"/>
                  <w:vAlign w:val="center"/>
                </w:tcPr>
                <w:p w14:paraId="2A405AF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经营规模(吨/年)</w:t>
                  </w:r>
                </w:p>
              </w:tc>
            </w:tr>
            <w:tr w14:paraId="4DA2A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69" w:type="dxa"/>
                  <w:vMerge w:val="restart"/>
                  <w:tcBorders>
                    <w:tl2br w:val="nil"/>
                    <w:tr2bl w:val="nil"/>
                  </w:tcBorders>
                  <w:shd w:val="clear" w:color="auto" w:fill="auto"/>
                  <w:vAlign w:val="center"/>
                </w:tcPr>
                <w:p w14:paraId="784C8E7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HW06废有机溶剂与含有机溶剂废物</w:t>
                  </w:r>
                </w:p>
              </w:tc>
              <w:tc>
                <w:tcPr>
                  <w:tcW w:w="900" w:type="dxa"/>
                  <w:vMerge w:val="restart"/>
                  <w:tcBorders>
                    <w:tl2br w:val="nil"/>
                    <w:tr2bl w:val="nil"/>
                  </w:tcBorders>
                  <w:shd w:val="clear" w:color="auto" w:fill="auto"/>
                  <w:vAlign w:val="center"/>
                </w:tcPr>
                <w:p w14:paraId="32A70131">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非特定行业</w:t>
                  </w:r>
                </w:p>
              </w:tc>
              <w:tc>
                <w:tcPr>
                  <w:tcW w:w="840" w:type="dxa"/>
                  <w:tcBorders>
                    <w:tl2br w:val="nil"/>
                    <w:tr2bl w:val="nil"/>
                  </w:tcBorders>
                  <w:shd w:val="clear" w:color="auto" w:fill="auto"/>
                  <w:vAlign w:val="center"/>
                </w:tcPr>
                <w:p w14:paraId="32A60ED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900-402-06</w:t>
                  </w:r>
                </w:p>
              </w:tc>
              <w:tc>
                <w:tcPr>
                  <w:tcW w:w="4487" w:type="dxa"/>
                  <w:tcBorders>
                    <w:tl2br w:val="nil"/>
                    <w:tr2bl w:val="nil"/>
                  </w:tcBorders>
                  <w:shd w:val="clear" w:color="auto" w:fill="auto"/>
                  <w:vAlign w:val="center"/>
                </w:tcPr>
                <w:p w14:paraId="3F8563B4">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业生产中作为清洗剂、萃取剂、溶剂或反应介质使用后废弃的有机溶剂，包括苯、苯乙烯、丁醇、丙酮、正己烷、甲苯、邻二甲苯、间二甲苯、对二甲苯、1,2,4-三甲苯、乙苯、乙醇、异丙醇、乙醚、丙醚、乙酸甲酯、乙酸乙酯、乙酸丁酯、丙酸丁酯、苯酚，以及在使用前混合的含有一种或多种上述溶剂的混合/调和溶剂</w:t>
                  </w:r>
                  <w:r>
                    <w:rPr>
                      <w:rFonts w:hint="eastAsia" w:ascii="宋体" w:hAnsi="宋体" w:cs="宋体"/>
                      <w:i w:val="0"/>
                      <w:iCs w:val="0"/>
                      <w:color w:val="auto"/>
                      <w:kern w:val="0"/>
                      <w:sz w:val="21"/>
                      <w:szCs w:val="21"/>
                      <w:highlight w:val="none"/>
                      <w:u w:val="none"/>
                      <w:lang w:val="en-US" w:eastAsia="zh-CN" w:bidi="ar"/>
                    </w:rPr>
                    <w:t>。</w:t>
                  </w:r>
                </w:p>
              </w:tc>
              <w:tc>
                <w:tcPr>
                  <w:tcW w:w="1100" w:type="dxa"/>
                  <w:vMerge w:val="restart"/>
                  <w:tcBorders>
                    <w:tl2br w:val="nil"/>
                    <w:tr2bl w:val="nil"/>
                  </w:tcBorders>
                  <w:shd w:val="clear" w:color="auto" w:fill="auto"/>
                  <w:vAlign w:val="center"/>
                </w:tcPr>
                <w:p w14:paraId="7A18330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10000</w:t>
                  </w:r>
                </w:p>
              </w:tc>
            </w:tr>
            <w:tr w14:paraId="0B18D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769" w:type="dxa"/>
                  <w:vMerge w:val="continue"/>
                  <w:tcBorders>
                    <w:tl2br w:val="nil"/>
                    <w:tr2bl w:val="nil"/>
                  </w:tcBorders>
                  <w:shd w:val="clear" w:color="auto" w:fill="auto"/>
                  <w:vAlign w:val="center"/>
                </w:tcPr>
                <w:p w14:paraId="19C01F75">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1350F752">
                  <w:pPr>
                    <w:spacing w:line="240" w:lineRule="auto"/>
                    <w:jc w:val="left"/>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12AD580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900-404-06</w:t>
                  </w:r>
                </w:p>
              </w:tc>
              <w:tc>
                <w:tcPr>
                  <w:tcW w:w="4487" w:type="dxa"/>
                  <w:tcBorders>
                    <w:tl2br w:val="nil"/>
                    <w:tr2bl w:val="nil"/>
                  </w:tcBorders>
                  <w:shd w:val="clear" w:color="auto" w:fill="auto"/>
                  <w:vAlign w:val="center"/>
                </w:tcPr>
                <w:p w14:paraId="1A22605C">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kern w:val="0"/>
                      <w:sz w:val="21"/>
                      <w:szCs w:val="21"/>
                      <w:highlight w:val="none"/>
                      <w:u w:val="none"/>
                      <w:lang w:val="en-US" w:eastAsia="zh-CN" w:bidi="ar"/>
                    </w:rPr>
                    <w:t>工业生产中作为清洗剂、萃取剂、溶剂或反应介质使用后废弃的其他列入《危险化学品目录》的有机溶剂，以及在使用前混合的含有一种或多种上述溶剂的混合/调和溶剂</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7AAADBF3">
                  <w:pPr>
                    <w:spacing w:line="240" w:lineRule="auto"/>
                    <w:jc w:val="center"/>
                    <w:rPr>
                      <w:rFonts w:hint="eastAsia" w:ascii="宋体" w:hAnsi="宋体" w:eastAsia="宋体" w:cs="宋体"/>
                      <w:i w:val="0"/>
                      <w:iCs w:val="0"/>
                      <w:color w:val="auto"/>
                      <w:sz w:val="21"/>
                      <w:szCs w:val="21"/>
                      <w:highlight w:val="none"/>
                      <w:u w:val="none"/>
                    </w:rPr>
                  </w:pPr>
                </w:p>
              </w:tc>
            </w:tr>
            <w:tr w14:paraId="17D55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 w:hRule="atLeast"/>
              </w:trPr>
              <w:tc>
                <w:tcPr>
                  <w:tcW w:w="769" w:type="dxa"/>
                  <w:vMerge w:val="continue"/>
                  <w:tcBorders>
                    <w:tl2br w:val="nil"/>
                    <w:tr2bl w:val="nil"/>
                  </w:tcBorders>
                  <w:shd w:val="clear" w:color="auto" w:fill="auto"/>
                  <w:vAlign w:val="center"/>
                </w:tcPr>
                <w:p w14:paraId="68B431C3">
                  <w:pPr>
                    <w:spacing w:line="240" w:lineRule="auto"/>
                    <w:jc w:val="center"/>
                    <w:rPr>
                      <w:rFonts w:hint="eastAsia" w:ascii="宋体" w:hAnsi="宋体" w:eastAsia="宋体" w:cs="宋体"/>
                      <w:i w:val="0"/>
                      <w:iCs w:val="0"/>
                      <w:color w:val="auto"/>
                      <w:sz w:val="21"/>
                      <w:szCs w:val="21"/>
                      <w:highlight w:val="none"/>
                      <w:u w:val="none"/>
                    </w:rPr>
                  </w:pPr>
                </w:p>
              </w:tc>
              <w:tc>
                <w:tcPr>
                  <w:tcW w:w="900" w:type="dxa"/>
                  <w:tcBorders>
                    <w:tl2br w:val="nil"/>
                    <w:tr2bl w:val="nil"/>
                  </w:tcBorders>
                  <w:shd w:val="clear" w:color="auto" w:fill="auto"/>
                  <w:vAlign w:val="center"/>
                </w:tcPr>
                <w:p w14:paraId="70B6E942">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4457101">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900-407-06</w:t>
                  </w:r>
                </w:p>
              </w:tc>
              <w:tc>
                <w:tcPr>
                  <w:tcW w:w="4487" w:type="dxa"/>
                  <w:tcBorders>
                    <w:tl2br w:val="nil"/>
                    <w:tr2bl w:val="nil"/>
                  </w:tcBorders>
                  <w:shd w:val="clear" w:color="auto" w:fill="auto"/>
                  <w:vAlign w:val="center"/>
                </w:tcPr>
                <w:p w14:paraId="1ED93F4F">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900-401-06、900-402-06、900-404-06中所列废有机溶剂分馏再生过程中产生的高沸物和釜底残渣</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07D2EE9">
                  <w:pPr>
                    <w:spacing w:line="240" w:lineRule="auto"/>
                    <w:jc w:val="center"/>
                    <w:rPr>
                      <w:rFonts w:hint="eastAsia" w:ascii="宋体" w:hAnsi="宋体" w:eastAsia="宋体" w:cs="宋体"/>
                      <w:i w:val="0"/>
                      <w:iCs w:val="0"/>
                      <w:color w:val="auto"/>
                      <w:sz w:val="21"/>
                      <w:szCs w:val="21"/>
                      <w:highlight w:val="none"/>
                      <w:u w:val="none"/>
                    </w:rPr>
                  </w:pPr>
                </w:p>
              </w:tc>
            </w:tr>
            <w:tr w14:paraId="371915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restart"/>
                  <w:tcBorders>
                    <w:tl2br w:val="nil"/>
                    <w:tr2bl w:val="nil"/>
                  </w:tcBorders>
                  <w:shd w:val="clear" w:color="auto" w:fill="auto"/>
                  <w:vAlign w:val="center"/>
                </w:tcPr>
                <w:p w14:paraId="1DA56CFF">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HW08废矿物油与含矿物油废物</w:t>
                  </w:r>
                </w:p>
              </w:tc>
              <w:tc>
                <w:tcPr>
                  <w:tcW w:w="900" w:type="dxa"/>
                  <w:tcBorders>
                    <w:tl2br w:val="nil"/>
                    <w:tr2bl w:val="nil"/>
                  </w:tcBorders>
                  <w:shd w:val="clear" w:color="auto" w:fill="auto"/>
                  <w:vAlign w:val="center"/>
                </w:tcPr>
                <w:p w14:paraId="01F8D0CB">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石油开采</w:t>
                  </w:r>
                </w:p>
              </w:tc>
              <w:tc>
                <w:tcPr>
                  <w:tcW w:w="840" w:type="dxa"/>
                  <w:tcBorders>
                    <w:tl2br w:val="nil"/>
                    <w:tr2bl w:val="nil"/>
                  </w:tcBorders>
                  <w:shd w:val="clear" w:color="auto" w:fill="auto"/>
                  <w:vAlign w:val="center"/>
                </w:tcPr>
                <w:p w14:paraId="05F43EFC">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071-001-08</w:t>
                  </w:r>
                </w:p>
              </w:tc>
              <w:tc>
                <w:tcPr>
                  <w:tcW w:w="4487" w:type="dxa"/>
                  <w:tcBorders>
                    <w:tl2br w:val="nil"/>
                    <w:tr2bl w:val="nil"/>
                  </w:tcBorders>
                  <w:shd w:val="clear" w:color="auto" w:fill="auto"/>
                  <w:vAlign w:val="center"/>
                </w:tcPr>
                <w:p w14:paraId="3600DAB9">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石油开采和联合站贮存产生的油泥和油脚</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0CE5BAB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87000</w:t>
                  </w:r>
                </w:p>
              </w:tc>
            </w:tr>
            <w:tr w14:paraId="2C487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6406E69F">
                  <w:pPr>
                    <w:spacing w:line="240" w:lineRule="auto"/>
                    <w:jc w:val="center"/>
                    <w:rPr>
                      <w:rFonts w:hint="eastAsia" w:ascii="宋体" w:hAnsi="宋体" w:eastAsia="宋体" w:cs="宋体"/>
                      <w:i w:val="0"/>
                      <w:iCs w:val="0"/>
                      <w:color w:val="auto"/>
                      <w:sz w:val="21"/>
                      <w:szCs w:val="21"/>
                      <w:highlight w:val="none"/>
                      <w:u w:val="none"/>
                    </w:rPr>
                  </w:pPr>
                </w:p>
              </w:tc>
              <w:tc>
                <w:tcPr>
                  <w:tcW w:w="900" w:type="dxa"/>
                  <w:tcBorders>
                    <w:tl2br w:val="nil"/>
                    <w:tr2bl w:val="nil"/>
                  </w:tcBorders>
                  <w:shd w:val="clear" w:color="auto" w:fill="auto"/>
                  <w:vAlign w:val="center"/>
                </w:tcPr>
                <w:p w14:paraId="5635D73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天然气开采</w:t>
                  </w:r>
                </w:p>
              </w:tc>
              <w:tc>
                <w:tcPr>
                  <w:tcW w:w="840" w:type="dxa"/>
                  <w:tcBorders>
                    <w:tl2br w:val="nil"/>
                    <w:tr2bl w:val="nil"/>
                  </w:tcBorders>
                  <w:shd w:val="clear" w:color="auto" w:fill="auto"/>
                  <w:vAlign w:val="center"/>
                </w:tcPr>
                <w:p w14:paraId="642D9C46">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072-001-08</w:t>
                  </w:r>
                </w:p>
              </w:tc>
              <w:tc>
                <w:tcPr>
                  <w:tcW w:w="4487" w:type="dxa"/>
                  <w:tcBorders>
                    <w:tl2br w:val="nil"/>
                    <w:tr2bl w:val="nil"/>
                  </w:tcBorders>
                  <w:shd w:val="clear" w:color="auto" w:fill="auto"/>
                  <w:vAlign w:val="center"/>
                </w:tcPr>
                <w:p w14:paraId="5A5CF17E">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以矿物油为连续相配制钻井泥浆用于天然气开采所产生的钻井岩屑和废弃钻井泥浆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4AC153C">
                  <w:pPr>
                    <w:spacing w:line="240" w:lineRule="auto"/>
                    <w:jc w:val="center"/>
                    <w:rPr>
                      <w:rFonts w:hint="eastAsia" w:ascii="宋体" w:hAnsi="宋体" w:eastAsia="宋体" w:cs="宋体"/>
                      <w:i w:val="0"/>
                      <w:iCs w:val="0"/>
                      <w:color w:val="auto"/>
                      <w:sz w:val="21"/>
                      <w:szCs w:val="21"/>
                      <w:highlight w:val="none"/>
                      <w:u w:val="none"/>
                    </w:rPr>
                  </w:pPr>
                </w:p>
              </w:tc>
            </w:tr>
            <w:tr w14:paraId="4BA02D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3886C158">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restart"/>
                  <w:tcBorders>
                    <w:tl2br w:val="nil"/>
                    <w:tr2bl w:val="nil"/>
                  </w:tcBorders>
                  <w:shd w:val="clear" w:color="auto" w:fill="auto"/>
                  <w:vAlign w:val="center"/>
                </w:tcPr>
                <w:p w14:paraId="16D88CD0">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精炼石油产品制造</w:t>
                  </w:r>
                </w:p>
              </w:tc>
              <w:tc>
                <w:tcPr>
                  <w:tcW w:w="840" w:type="dxa"/>
                  <w:tcBorders>
                    <w:tl2br w:val="nil"/>
                    <w:tr2bl w:val="nil"/>
                  </w:tcBorders>
                  <w:shd w:val="clear" w:color="auto" w:fill="auto"/>
                  <w:vAlign w:val="center"/>
                </w:tcPr>
                <w:p w14:paraId="7C50BB53">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251-001-08</w:t>
                  </w:r>
                </w:p>
              </w:tc>
              <w:tc>
                <w:tcPr>
                  <w:tcW w:w="4487" w:type="dxa"/>
                  <w:tcBorders>
                    <w:tl2br w:val="nil"/>
                    <w:tr2bl w:val="nil"/>
                  </w:tcBorders>
                  <w:shd w:val="clear" w:color="auto" w:fill="auto"/>
                  <w:vAlign w:val="center"/>
                </w:tcPr>
                <w:p w14:paraId="6E33B9F1">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清洗矿物油储存、输送设施过程中产生的油/水和烃/水混合物</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74487623">
                  <w:pPr>
                    <w:spacing w:line="240" w:lineRule="auto"/>
                    <w:jc w:val="center"/>
                    <w:rPr>
                      <w:rFonts w:hint="eastAsia" w:ascii="宋体" w:hAnsi="宋体" w:eastAsia="宋体" w:cs="宋体"/>
                      <w:i w:val="0"/>
                      <w:iCs w:val="0"/>
                      <w:color w:val="auto"/>
                      <w:sz w:val="21"/>
                      <w:szCs w:val="21"/>
                      <w:highlight w:val="none"/>
                      <w:u w:val="none"/>
                    </w:rPr>
                  </w:pPr>
                </w:p>
              </w:tc>
            </w:tr>
            <w:tr w14:paraId="5E158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 w:hRule="atLeast"/>
              </w:trPr>
              <w:tc>
                <w:tcPr>
                  <w:tcW w:w="769" w:type="dxa"/>
                  <w:vMerge w:val="continue"/>
                  <w:tcBorders>
                    <w:tl2br w:val="nil"/>
                    <w:tr2bl w:val="nil"/>
                  </w:tcBorders>
                  <w:shd w:val="clear" w:color="auto" w:fill="auto"/>
                  <w:vAlign w:val="center"/>
                </w:tcPr>
                <w:p w14:paraId="0AC21292">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D723264">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1110753">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251-002-08</w:t>
                  </w:r>
                </w:p>
              </w:tc>
              <w:tc>
                <w:tcPr>
                  <w:tcW w:w="4487" w:type="dxa"/>
                  <w:tcBorders>
                    <w:tl2br w:val="nil"/>
                    <w:tr2bl w:val="nil"/>
                  </w:tcBorders>
                  <w:shd w:val="clear" w:color="auto" w:fill="auto"/>
                  <w:vAlign w:val="center"/>
                </w:tcPr>
                <w:p w14:paraId="067D5A5C">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石油初炼过程中储存设施、油-水-固态物质分离器、积水槽、沟渠及其他输送管道、污水池、雨水收集管道产生的含油污泥</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32244E10">
                  <w:pPr>
                    <w:spacing w:line="240" w:lineRule="auto"/>
                    <w:jc w:val="center"/>
                    <w:rPr>
                      <w:rFonts w:hint="eastAsia" w:ascii="宋体" w:hAnsi="宋体" w:eastAsia="宋体" w:cs="宋体"/>
                      <w:i w:val="0"/>
                      <w:iCs w:val="0"/>
                      <w:color w:val="auto"/>
                      <w:sz w:val="21"/>
                      <w:szCs w:val="21"/>
                      <w:highlight w:val="none"/>
                      <w:u w:val="none"/>
                    </w:rPr>
                  </w:pPr>
                </w:p>
              </w:tc>
            </w:tr>
            <w:tr w14:paraId="7E66E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 w:hRule="atLeast"/>
              </w:trPr>
              <w:tc>
                <w:tcPr>
                  <w:tcW w:w="769" w:type="dxa"/>
                  <w:vMerge w:val="continue"/>
                  <w:tcBorders>
                    <w:tl2br w:val="nil"/>
                    <w:tr2bl w:val="nil"/>
                  </w:tcBorders>
                  <w:shd w:val="clear" w:color="auto" w:fill="auto"/>
                  <w:vAlign w:val="center"/>
                </w:tcPr>
                <w:p w14:paraId="1501DAD9">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40BBFBBE">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7B21E34B">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251-003-08</w:t>
                  </w:r>
                </w:p>
              </w:tc>
              <w:tc>
                <w:tcPr>
                  <w:tcW w:w="4487" w:type="dxa"/>
                  <w:tcBorders>
                    <w:tl2br w:val="nil"/>
                    <w:tr2bl w:val="nil"/>
                  </w:tcBorders>
                  <w:shd w:val="clear" w:color="auto" w:fill="auto"/>
                  <w:vAlign w:val="center"/>
                </w:tcPr>
                <w:p w14:paraId="578576B5">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石油炼制过程中含油废水隔油、气浮、沉淀等处理过程中产生的浮油、浮渣和污泥(不包括废水生化处理污泥)</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3C530971">
                  <w:pPr>
                    <w:spacing w:line="240" w:lineRule="auto"/>
                    <w:jc w:val="center"/>
                    <w:rPr>
                      <w:rFonts w:hint="eastAsia" w:ascii="宋体" w:hAnsi="宋体" w:eastAsia="宋体" w:cs="宋体"/>
                      <w:i w:val="0"/>
                      <w:iCs w:val="0"/>
                      <w:color w:val="auto"/>
                      <w:sz w:val="21"/>
                      <w:szCs w:val="21"/>
                      <w:highlight w:val="none"/>
                      <w:u w:val="none"/>
                    </w:rPr>
                  </w:pPr>
                </w:p>
              </w:tc>
            </w:tr>
            <w:tr w14:paraId="0A6FA9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1B40DE4D">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5FCE251">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54B52E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251-004-08</w:t>
                  </w:r>
                </w:p>
              </w:tc>
              <w:tc>
                <w:tcPr>
                  <w:tcW w:w="4487" w:type="dxa"/>
                  <w:tcBorders>
                    <w:tl2br w:val="nil"/>
                    <w:tr2bl w:val="nil"/>
                  </w:tcBorders>
                  <w:shd w:val="clear" w:color="auto" w:fill="auto"/>
                  <w:vAlign w:val="center"/>
                </w:tcPr>
                <w:p w14:paraId="45AA50DB">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石油炼制过程中溶气浮选工艺产生的浮渣</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230E451F">
                  <w:pPr>
                    <w:spacing w:line="240" w:lineRule="auto"/>
                    <w:jc w:val="center"/>
                    <w:rPr>
                      <w:rFonts w:hint="eastAsia" w:ascii="宋体" w:hAnsi="宋体" w:eastAsia="宋体" w:cs="宋体"/>
                      <w:i w:val="0"/>
                      <w:iCs w:val="0"/>
                      <w:color w:val="auto"/>
                      <w:sz w:val="21"/>
                      <w:szCs w:val="21"/>
                      <w:highlight w:val="none"/>
                      <w:u w:val="none"/>
                    </w:rPr>
                  </w:pPr>
                </w:p>
              </w:tc>
            </w:tr>
            <w:tr w14:paraId="4454B8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2F0ECC50">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551FED06">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43F89BA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251-005-08</w:t>
                  </w:r>
                </w:p>
              </w:tc>
              <w:tc>
                <w:tcPr>
                  <w:tcW w:w="4487" w:type="dxa"/>
                  <w:tcBorders>
                    <w:tl2br w:val="nil"/>
                    <w:tr2bl w:val="nil"/>
                  </w:tcBorders>
                  <w:shd w:val="clear" w:color="auto" w:fill="auto"/>
                  <w:vAlign w:val="center"/>
                </w:tcPr>
                <w:p w14:paraId="5D5D6D74">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石油炼制过程中产生的溢出废油或乳剂</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2507A5B">
                  <w:pPr>
                    <w:spacing w:line="240" w:lineRule="auto"/>
                    <w:jc w:val="center"/>
                    <w:rPr>
                      <w:rFonts w:hint="eastAsia" w:ascii="宋体" w:hAnsi="宋体" w:eastAsia="宋体" w:cs="宋体"/>
                      <w:i w:val="0"/>
                      <w:iCs w:val="0"/>
                      <w:color w:val="auto"/>
                      <w:sz w:val="21"/>
                      <w:szCs w:val="21"/>
                      <w:highlight w:val="none"/>
                      <w:u w:val="none"/>
                    </w:rPr>
                  </w:pPr>
                </w:p>
              </w:tc>
            </w:tr>
            <w:tr w14:paraId="2FC9E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36400FCD">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364654B9">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16663D71">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251-006-08</w:t>
                  </w:r>
                </w:p>
              </w:tc>
              <w:tc>
                <w:tcPr>
                  <w:tcW w:w="4487" w:type="dxa"/>
                  <w:tcBorders>
                    <w:tl2br w:val="nil"/>
                    <w:tr2bl w:val="nil"/>
                  </w:tcBorders>
                  <w:shd w:val="clear" w:color="auto" w:fill="auto"/>
                  <w:vAlign w:val="center"/>
                </w:tcPr>
                <w:p w14:paraId="6ECD3D74">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石油炼制换热器管束清洗过程中产生的含油污泥</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65B8C63E">
                  <w:pPr>
                    <w:spacing w:line="240" w:lineRule="auto"/>
                    <w:jc w:val="center"/>
                    <w:rPr>
                      <w:rFonts w:hint="eastAsia" w:ascii="宋体" w:hAnsi="宋体" w:eastAsia="宋体" w:cs="宋体"/>
                      <w:i w:val="0"/>
                      <w:iCs w:val="0"/>
                      <w:color w:val="auto"/>
                      <w:sz w:val="21"/>
                      <w:szCs w:val="21"/>
                      <w:highlight w:val="none"/>
                      <w:u w:val="none"/>
                    </w:rPr>
                  </w:pPr>
                </w:p>
              </w:tc>
            </w:tr>
            <w:tr w14:paraId="3FAB6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7E623173">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83C0ACA">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17B36CD7">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251-010-08</w:t>
                  </w:r>
                </w:p>
              </w:tc>
              <w:tc>
                <w:tcPr>
                  <w:tcW w:w="4487" w:type="dxa"/>
                  <w:tcBorders>
                    <w:tl2br w:val="nil"/>
                    <w:tr2bl w:val="nil"/>
                  </w:tcBorders>
                  <w:shd w:val="clear" w:color="auto" w:fill="auto"/>
                  <w:vAlign w:val="center"/>
                </w:tcPr>
                <w:p w14:paraId="67A455F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石油炼制过程中澄清油浆槽底沉积物</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3E4E593D">
                  <w:pPr>
                    <w:spacing w:line="240" w:lineRule="auto"/>
                    <w:jc w:val="center"/>
                    <w:rPr>
                      <w:rFonts w:hint="eastAsia" w:ascii="宋体" w:hAnsi="宋体" w:eastAsia="宋体" w:cs="宋体"/>
                      <w:i w:val="0"/>
                      <w:iCs w:val="0"/>
                      <w:color w:val="auto"/>
                      <w:sz w:val="21"/>
                      <w:szCs w:val="21"/>
                      <w:highlight w:val="none"/>
                      <w:u w:val="none"/>
                    </w:rPr>
                  </w:pPr>
                </w:p>
              </w:tc>
            </w:tr>
            <w:tr w14:paraId="446096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221F9594">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C2CA614">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6CE339E0">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251-011-08</w:t>
                  </w:r>
                </w:p>
              </w:tc>
              <w:tc>
                <w:tcPr>
                  <w:tcW w:w="4487" w:type="dxa"/>
                  <w:tcBorders>
                    <w:tl2br w:val="nil"/>
                    <w:tr2bl w:val="nil"/>
                  </w:tcBorders>
                  <w:shd w:val="clear" w:color="auto" w:fill="auto"/>
                  <w:vAlign w:val="center"/>
                </w:tcPr>
                <w:p w14:paraId="022885D1">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石油炼制过程中进油管路过滤或分离装置产生的残渣</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450D50E9">
                  <w:pPr>
                    <w:spacing w:line="240" w:lineRule="auto"/>
                    <w:jc w:val="center"/>
                    <w:rPr>
                      <w:rFonts w:hint="eastAsia" w:ascii="宋体" w:hAnsi="宋体" w:eastAsia="宋体" w:cs="宋体"/>
                      <w:i w:val="0"/>
                      <w:iCs w:val="0"/>
                      <w:color w:val="auto"/>
                      <w:sz w:val="21"/>
                      <w:szCs w:val="21"/>
                      <w:highlight w:val="none"/>
                      <w:u w:val="none"/>
                    </w:rPr>
                  </w:pPr>
                </w:p>
              </w:tc>
            </w:tr>
            <w:tr w14:paraId="7BC31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403BC2C0">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17003651">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001C2AEB">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251-012-08</w:t>
                  </w:r>
                </w:p>
              </w:tc>
              <w:tc>
                <w:tcPr>
                  <w:tcW w:w="4487" w:type="dxa"/>
                  <w:tcBorders>
                    <w:tl2br w:val="nil"/>
                    <w:tr2bl w:val="nil"/>
                  </w:tcBorders>
                  <w:shd w:val="clear" w:color="auto" w:fill="auto"/>
                  <w:vAlign w:val="center"/>
                </w:tcPr>
                <w:p w14:paraId="7CEC259F">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石油炼制过程中产生的废过滤介质</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6F6760F8">
                  <w:pPr>
                    <w:spacing w:line="240" w:lineRule="auto"/>
                    <w:jc w:val="center"/>
                    <w:rPr>
                      <w:rFonts w:hint="eastAsia" w:ascii="宋体" w:hAnsi="宋体" w:eastAsia="宋体" w:cs="宋体"/>
                      <w:i w:val="0"/>
                      <w:iCs w:val="0"/>
                      <w:color w:val="auto"/>
                      <w:sz w:val="21"/>
                      <w:szCs w:val="21"/>
                      <w:highlight w:val="none"/>
                      <w:u w:val="none"/>
                    </w:rPr>
                  </w:pPr>
                </w:p>
              </w:tc>
            </w:tr>
            <w:tr w14:paraId="2B438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00BB6DD2">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restart"/>
                  <w:tcBorders>
                    <w:tl2br w:val="nil"/>
                    <w:tr2bl w:val="nil"/>
                  </w:tcBorders>
                  <w:shd w:val="clear" w:color="auto" w:fill="auto"/>
                  <w:vAlign w:val="center"/>
                </w:tcPr>
                <w:p w14:paraId="4F3F2B6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center"/>
                </w:tcPr>
                <w:p w14:paraId="1D6CD8ED">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900-199-08</w:t>
                  </w:r>
                </w:p>
              </w:tc>
              <w:tc>
                <w:tcPr>
                  <w:tcW w:w="4487" w:type="dxa"/>
                  <w:tcBorders>
                    <w:tl2br w:val="nil"/>
                    <w:tr2bl w:val="nil"/>
                  </w:tcBorders>
                  <w:shd w:val="clear" w:color="auto" w:fill="auto"/>
                  <w:vAlign w:val="center"/>
                </w:tcPr>
                <w:p w14:paraId="1E84F660">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内燃机、汽车、轮船等集中拆解过程产生的废矿物油及油泥</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27EB56A5">
                  <w:pPr>
                    <w:spacing w:line="240" w:lineRule="auto"/>
                    <w:jc w:val="center"/>
                    <w:rPr>
                      <w:rFonts w:hint="eastAsia" w:ascii="宋体" w:hAnsi="宋体" w:eastAsia="宋体" w:cs="宋体"/>
                      <w:i w:val="0"/>
                      <w:iCs w:val="0"/>
                      <w:color w:val="auto"/>
                      <w:sz w:val="21"/>
                      <w:szCs w:val="21"/>
                      <w:highlight w:val="none"/>
                      <w:u w:val="none"/>
                    </w:rPr>
                  </w:pPr>
                </w:p>
              </w:tc>
            </w:tr>
            <w:tr w14:paraId="44F4D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2605826F">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048D70C7">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5204B71D">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900-200-08</w:t>
                  </w:r>
                </w:p>
              </w:tc>
              <w:tc>
                <w:tcPr>
                  <w:tcW w:w="4487" w:type="dxa"/>
                  <w:tcBorders>
                    <w:tl2br w:val="nil"/>
                    <w:tr2bl w:val="nil"/>
                  </w:tcBorders>
                  <w:shd w:val="clear" w:color="auto" w:fill="auto"/>
                  <w:vAlign w:val="center"/>
                </w:tcPr>
                <w:p w14:paraId="67EE55E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珩磨、研磨、打磨过程产生的废矿物油及油泥</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9B3D0E8">
                  <w:pPr>
                    <w:spacing w:line="240" w:lineRule="auto"/>
                    <w:jc w:val="center"/>
                    <w:rPr>
                      <w:rFonts w:hint="eastAsia" w:ascii="宋体" w:hAnsi="宋体" w:eastAsia="宋体" w:cs="宋体"/>
                      <w:i w:val="0"/>
                      <w:iCs w:val="0"/>
                      <w:color w:val="auto"/>
                      <w:sz w:val="21"/>
                      <w:szCs w:val="21"/>
                      <w:highlight w:val="none"/>
                      <w:u w:val="none"/>
                    </w:rPr>
                  </w:pPr>
                </w:p>
              </w:tc>
            </w:tr>
            <w:tr w14:paraId="6CF6DE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9" w:type="dxa"/>
                  <w:vMerge w:val="continue"/>
                  <w:tcBorders>
                    <w:tl2br w:val="nil"/>
                    <w:tr2bl w:val="nil"/>
                  </w:tcBorders>
                  <w:shd w:val="clear" w:color="auto" w:fill="auto"/>
                  <w:vAlign w:val="center"/>
                </w:tcPr>
                <w:p w14:paraId="7594A3BA">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center"/>
                </w:tcPr>
                <w:p w14:paraId="18BCC457">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center"/>
                </w:tcPr>
                <w:p w14:paraId="2D39C34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900-201-08</w:t>
                  </w:r>
                </w:p>
              </w:tc>
              <w:tc>
                <w:tcPr>
                  <w:tcW w:w="4487" w:type="dxa"/>
                  <w:tcBorders>
                    <w:tl2br w:val="nil"/>
                    <w:tr2bl w:val="nil"/>
                  </w:tcBorders>
                  <w:shd w:val="clear" w:color="auto" w:fill="auto"/>
                  <w:vAlign w:val="center"/>
                </w:tcPr>
                <w:p w14:paraId="55A48E54">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清洗金属零部件过程中产生的废弃煤油、柴油、汽油及其他由石油和煤炼制生产的溶剂油</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39556B45">
                  <w:pPr>
                    <w:spacing w:line="240" w:lineRule="auto"/>
                    <w:jc w:val="center"/>
                    <w:rPr>
                      <w:rFonts w:hint="eastAsia" w:ascii="宋体" w:hAnsi="宋体" w:eastAsia="宋体" w:cs="宋体"/>
                      <w:i w:val="0"/>
                      <w:iCs w:val="0"/>
                      <w:color w:val="auto"/>
                      <w:sz w:val="21"/>
                      <w:szCs w:val="21"/>
                      <w:highlight w:val="none"/>
                      <w:u w:val="none"/>
                    </w:rPr>
                  </w:pPr>
                </w:p>
              </w:tc>
            </w:tr>
            <w:tr w14:paraId="02B71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6E0C7FF4">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restart"/>
                  <w:tcBorders>
                    <w:tl2br w:val="nil"/>
                    <w:tr2bl w:val="nil"/>
                  </w:tcBorders>
                  <w:shd w:val="clear" w:color="auto" w:fill="auto"/>
                  <w:vAlign w:val="top"/>
                </w:tcPr>
                <w:p w14:paraId="77CAF25D">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非特定行业</w:t>
                  </w:r>
                </w:p>
              </w:tc>
              <w:tc>
                <w:tcPr>
                  <w:tcW w:w="840" w:type="dxa"/>
                  <w:tcBorders>
                    <w:tl2br w:val="nil"/>
                    <w:tr2bl w:val="nil"/>
                  </w:tcBorders>
                  <w:shd w:val="clear" w:color="auto" w:fill="auto"/>
                  <w:vAlign w:val="top"/>
                </w:tcPr>
                <w:p w14:paraId="53BFDCBD">
                  <w:pPr>
                    <w:spacing w:line="240" w:lineRule="auto"/>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900-203-08</w:t>
                  </w:r>
                </w:p>
              </w:tc>
              <w:tc>
                <w:tcPr>
                  <w:tcW w:w="4487" w:type="dxa"/>
                  <w:tcBorders>
                    <w:tl2br w:val="nil"/>
                    <w:tr2bl w:val="nil"/>
                  </w:tcBorders>
                  <w:shd w:val="clear" w:color="auto" w:fill="auto"/>
                  <w:vAlign w:val="top"/>
                </w:tcPr>
                <w:p w14:paraId="70191513">
                  <w:pPr>
                    <w:spacing w:line="240" w:lineRule="auto"/>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使用淬火油进行表面硬化处理产生的废矿物油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698FE907">
                  <w:pPr>
                    <w:spacing w:line="240" w:lineRule="auto"/>
                    <w:jc w:val="center"/>
                    <w:rPr>
                      <w:rFonts w:hint="eastAsia" w:ascii="宋体" w:hAnsi="宋体" w:eastAsia="宋体" w:cs="宋体"/>
                      <w:i w:val="0"/>
                      <w:iCs w:val="0"/>
                      <w:color w:val="auto"/>
                      <w:sz w:val="21"/>
                      <w:szCs w:val="21"/>
                      <w:highlight w:val="none"/>
                      <w:u w:val="none"/>
                    </w:rPr>
                  </w:pPr>
                </w:p>
              </w:tc>
            </w:tr>
            <w:tr w14:paraId="7FAB6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70FC5F3">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5794EE74">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7C732C4">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900-210-08</w:t>
                  </w:r>
                </w:p>
              </w:tc>
              <w:tc>
                <w:tcPr>
                  <w:tcW w:w="4487" w:type="dxa"/>
                  <w:tcBorders>
                    <w:tl2br w:val="nil"/>
                    <w:tr2bl w:val="nil"/>
                  </w:tcBorders>
                  <w:shd w:val="clear" w:color="auto" w:fill="auto"/>
                  <w:vAlign w:val="top"/>
                </w:tcPr>
                <w:p w14:paraId="1B0FA96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含油废水处理中隔油、气浮、沉淀等处理过程中产生的浮油、浮渣和污泥(不包括废水生化处理污泥)</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4980E81A">
                  <w:pPr>
                    <w:pStyle w:val="195"/>
                    <w:spacing w:before="125" w:line="219" w:lineRule="auto"/>
                    <w:ind w:left="13" w:leftChars="0"/>
                    <w:rPr>
                      <w:color w:val="auto"/>
                      <w:spacing w:val="-1"/>
                      <w:highlight w:val="none"/>
                    </w:rPr>
                  </w:pPr>
                </w:p>
              </w:tc>
            </w:tr>
            <w:tr w14:paraId="4D6C8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5B31DA5">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54AF5E12">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34562E0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900-213-08</w:t>
                  </w:r>
                </w:p>
              </w:tc>
              <w:tc>
                <w:tcPr>
                  <w:tcW w:w="4487" w:type="dxa"/>
                  <w:tcBorders>
                    <w:tl2br w:val="nil"/>
                    <w:tr2bl w:val="nil"/>
                  </w:tcBorders>
                  <w:shd w:val="clear" w:color="auto" w:fill="auto"/>
                  <w:vAlign w:val="top"/>
                </w:tcPr>
                <w:p w14:paraId="610F6352">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废矿物油再生净化过程中产生的沉淀残渣、过滤残渣、废过滤吸附介质</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00F12261">
                  <w:pPr>
                    <w:pStyle w:val="195"/>
                    <w:spacing w:before="125" w:line="219" w:lineRule="auto"/>
                    <w:ind w:left="13" w:leftChars="0"/>
                    <w:rPr>
                      <w:color w:val="auto"/>
                      <w:spacing w:val="-1"/>
                      <w:highlight w:val="none"/>
                    </w:rPr>
                  </w:pPr>
                </w:p>
              </w:tc>
            </w:tr>
            <w:tr w14:paraId="39A902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C1A7814">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720F2E7B">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4F0074A2">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900-214-08</w:t>
                  </w:r>
                </w:p>
              </w:tc>
              <w:tc>
                <w:tcPr>
                  <w:tcW w:w="4487" w:type="dxa"/>
                  <w:tcBorders>
                    <w:tl2br w:val="nil"/>
                    <w:tr2bl w:val="nil"/>
                  </w:tcBorders>
                  <w:shd w:val="clear" w:color="auto" w:fill="auto"/>
                  <w:vAlign w:val="top"/>
                </w:tcPr>
                <w:p w14:paraId="7C626C93">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车辆、轮船及其它机械维修过程中产生的废发动机油、制动器油、自动变速器油、齿轮油等废润滑油</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6C5F42D0">
                  <w:pPr>
                    <w:pStyle w:val="195"/>
                    <w:spacing w:before="125" w:line="219" w:lineRule="auto"/>
                    <w:ind w:left="13" w:leftChars="0"/>
                    <w:rPr>
                      <w:color w:val="auto"/>
                      <w:spacing w:val="-1"/>
                      <w:highlight w:val="none"/>
                    </w:rPr>
                  </w:pPr>
                </w:p>
              </w:tc>
            </w:tr>
            <w:tr w14:paraId="19E3E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768FF3D1">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0B7C5BB5">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96C029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900-216-08</w:t>
                  </w:r>
                </w:p>
              </w:tc>
              <w:tc>
                <w:tcPr>
                  <w:tcW w:w="4487" w:type="dxa"/>
                  <w:tcBorders>
                    <w:tl2br w:val="nil"/>
                    <w:tr2bl w:val="nil"/>
                  </w:tcBorders>
                  <w:shd w:val="clear" w:color="auto" w:fill="auto"/>
                  <w:vAlign w:val="top"/>
                </w:tcPr>
                <w:p w14:paraId="54FD95DE">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使用防锈油进行铸件表面防锈处理过程中产生的废防锈油</w:t>
                  </w:r>
                  <w:r>
                    <w:rPr>
                      <w:rFonts w:hint="eastAsia"/>
                      <w:color w:val="auto"/>
                      <w:highlight w:val="none"/>
                      <w:lang w:eastAsia="zh-CN"/>
                    </w:rPr>
                    <w:t>。</w:t>
                  </w:r>
                </w:p>
              </w:tc>
              <w:tc>
                <w:tcPr>
                  <w:tcW w:w="1100" w:type="dxa"/>
                  <w:vMerge w:val="continue"/>
                  <w:tcBorders>
                    <w:tl2br w:val="nil"/>
                    <w:tr2bl w:val="nil"/>
                  </w:tcBorders>
                  <w:shd w:val="clear" w:color="auto" w:fill="auto"/>
                  <w:vAlign w:val="center"/>
                </w:tcPr>
                <w:p w14:paraId="46F0412C">
                  <w:pPr>
                    <w:pStyle w:val="195"/>
                    <w:spacing w:before="125" w:line="219" w:lineRule="auto"/>
                    <w:ind w:left="13" w:leftChars="0"/>
                    <w:rPr>
                      <w:color w:val="auto"/>
                      <w:spacing w:val="-1"/>
                      <w:highlight w:val="none"/>
                    </w:rPr>
                  </w:pPr>
                </w:p>
              </w:tc>
            </w:tr>
            <w:tr w14:paraId="2E8FF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471101DF">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0777C633">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45D489F">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900-217-08</w:t>
                  </w:r>
                </w:p>
              </w:tc>
              <w:tc>
                <w:tcPr>
                  <w:tcW w:w="4487" w:type="dxa"/>
                  <w:tcBorders>
                    <w:tl2br w:val="nil"/>
                    <w:tr2bl w:val="nil"/>
                  </w:tcBorders>
                  <w:shd w:val="clear" w:color="auto" w:fill="auto"/>
                  <w:vAlign w:val="top"/>
                </w:tcPr>
                <w:p w14:paraId="32FD0F20">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使用工业齿轮油进行机械设备润滑过程中产生的废润滑油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49937C3D">
                  <w:pPr>
                    <w:pStyle w:val="195"/>
                    <w:spacing w:before="125" w:line="219" w:lineRule="auto"/>
                    <w:ind w:left="13" w:leftChars="0"/>
                    <w:rPr>
                      <w:color w:val="auto"/>
                      <w:spacing w:val="-1"/>
                      <w:highlight w:val="none"/>
                    </w:rPr>
                  </w:pPr>
                </w:p>
              </w:tc>
            </w:tr>
            <w:tr w14:paraId="78317B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EC39ECD">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1500B62F">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70A66048">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900-218-08</w:t>
                  </w:r>
                </w:p>
              </w:tc>
              <w:tc>
                <w:tcPr>
                  <w:tcW w:w="4487" w:type="dxa"/>
                  <w:tcBorders>
                    <w:tl2br w:val="nil"/>
                    <w:tr2bl w:val="nil"/>
                  </w:tcBorders>
                  <w:shd w:val="clear" w:color="auto" w:fill="auto"/>
                  <w:vAlign w:val="top"/>
                </w:tcPr>
                <w:p w14:paraId="29767AA6">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液压设备维护、更换和拆解过程中产生的废液压油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6F4014D1">
                  <w:pPr>
                    <w:pStyle w:val="195"/>
                    <w:spacing w:before="125" w:line="219" w:lineRule="auto"/>
                    <w:ind w:left="13" w:leftChars="0"/>
                    <w:rPr>
                      <w:color w:val="auto"/>
                      <w:spacing w:val="-1"/>
                      <w:highlight w:val="none"/>
                    </w:rPr>
                  </w:pPr>
                </w:p>
              </w:tc>
            </w:tr>
            <w:tr w14:paraId="1AE57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FE7F9DB">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7FCE6282">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594F29FC">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900-220-08</w:t>
                  </w:r>
                </w:p>
              </w:tc>
              <w:tc>
                <w:tcPr>
                  <w:tcW w:w="4487" w:type="dxa"/>
                  <w:tcBorders>
                    <w:tl2br w:val="nil"/>
                    <w:tr2bl w:val="nil"/>
                  </w:tcBorders>
                  <w:shd w:val="clear" w:color="auto" w:fill="auto"/>
                  <w:vAlign w:val="top"/>
                </w:tcPr>
                <w:p w14:paraId="6584A3FA">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变压器维护、更换和拆解过程中产生的废变压器油</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5235CC1D">
                  <w:pPr>
                    <w:pStyle w:val="195"/>
                    <w:spacing w:before="125" w:line="219" w:lineRule="auto"/>
                    <w:ind w:left="13" w:leftChars="0"/>
                    <w:rPr>
                      <w:color w:val="auto"/>
                      <w:spacing w:val="-1"/>
                      <w:highlight w:val="none"/>
                    </w:rPr>
                  </w:pPr>
                </w:p>
              </w:tc>
            </w:tr>
            <w:tr w14:paraId="0B472F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5E22EE45">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748D2E9F">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0E460855">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900-221-08</w:t>
                  </w:r>
                </w:p>
              </w:tc>
              <w:tc>
                <w:tcPr>
                  <w:tcW w:w="4487" w:type="dxa"/>
                  <w:tcBorders>
                    <w:tl2br w:val="nil"/>
                    <w:tr2bl w:val="nil"/>
                  </w:tcBorders>
                  <w:shd w:val="clear" w:color="auto" w:fill="auto"/>
                  <w:vAlign w:val="top"/>
                </w:tcPr>
                <w:p w14:paraId="551D22E9">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废燃料油及燃料油储存过程中产生的油泥</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2E77CAA9">
                  <w:pPr>
                    <w:pStyle w:val="195"/>
                    <w:spacing w:before="125" w:line="219" w:lineRule="auto"/>
                    <w:ind w:left="13" w:leftChars="0"/>
                    <w:rPr>
                      <w:color w:val="auto"/>
                      <w:spacing w:val="-1"/>
                      <w:highlight w:val="none"/>
                    </w:rPr>
                  </w:pPr>
                </w:p>
              </w:tc>
            </w:tr>
            <w:tr w14:paraId="19A8E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5227D028">
                  <w:pPr>
                    <w:spacing w:line="240" w:lineRule="auto"/>
                    <w:jc w:val="center"/>
                    <w:rPr>
                      <w:rFonts w:hint="eastAsia" w:ascii="宋体" w:hAnsi="宋体" w:eastAsia="宋体" w:cs="宋体"/>
                      <w:i w:val="0"/>
                      <w:iCs w:val="0"/>
                      <w:color w:val="auto"/>
                      <w:sz w:val="21"/>
                      <w:szCs w:val="21"/>
                      <w:highlight w:val="none"/>
                      <w:u w:val="none"/>
                    </w:rPr>
                  </w:pPr>
                </w:p>
              </w:tc>
              <w:tc>
                <w:tcPr>
                  <w:tcW w:w="900" w:type="dxa"/>
                  <w:vMerge w:val="continue"/>
                  <w:tcBorders>
                    <w:tl2br w:val="nil"/>
                    <w:tr2bl w:val="nil"/>
                  </w:tcBorders>
                  <w:shd w:val="clear" w:color="auto" w:fill="auto"/>
                  <w:vAlign w:val="top"/>
                </w:tcPr>
                <w:p w14:paraId="05D73459">
                  <w:pPr>
                    <w:spacing w:line="240" w:lineRule="auto"/>
                    <w:jc w:val="center"/>
                    <w:rPr>
                      <w:rFonts w:hint="eastAsia" w:ascii="宋体" w:hAnsi="宋体" w:eastAsia="宋体" w:cs="宋体"/>
                      <w:i w:val="0"/>
                      <w:iCs w:val="0"/>
                      <w:color w:val="auto"/>
                      <w:sz w:val="21"/>
                      <w:szCs w:val="21"/>
                      <w:highlight w:val="none"/>
                      <w:u w:val="none"/>
                    </w:rPr>
                  </w:pPr>
                </w:p>
              </w:tc>
              <w:tc>
                <w:tcPr>
                  <w:tcW w:w="840" w:type="dxa"/>
                  <w:tcBorders>
                    <w:tl2br w:val="nil"/>
                    <w:tr2bl w:val="nil"/>
                  </w:tcBorders>
                  <w:shd w:val="clear" w:color="auto" w:fill="auto"/>
                  <w:vAlign w:val="top"/>
                </w:tcPr>
                <w:p w14:paraId="6A7C38AA">
                  <w:pPr>
                    <w:spacing w:line="240"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900-249-08</w:t>
                  </w:r>
                </w:p>
              </w:tc>
              <w:tc>
                <w:tcPr>
                  <w:tcW w:w="4487" w:type="dxa"/>
                  <w:tcBorders>
                    <w:tl2br w:val="nil"/>
                    <w:tr2bl w:val="nil"/>
                  </w:tcBorders>
                  <w:shd w:val="clear" w:color="auto" w:fill="auto"/>
                  <w:vAlign w:val="top"/>
                </w:tcPr>
                <w:p w14:paraId="3D3B1B78">
                  <w:pPr>
                    <w:spacing w:line="240" w:lineRule="auto"/>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其他生产、销售、使用过程中产生的废矿物油及沾染矿物油的废弃包装物</w:t>
                  </w:r>
                  <w:r>
                    <w:rPr>
                      <w:rFonts w:hint="eastAsia" w:ascii="宋体" w:hAnsi="宋体" w:cs="宋体"/>
                      <w:i w:val="0"/>
                      <w:iCs w:val="0"/>
                      <w:color w:val="auto"/>
                      <w:sz w:val="21"/>
                      <w:szCs w:val="21"/>
                      <w:highlight w:val="none"/>
                      <w:u w:val="none"/>
                      <w:lang w:eastAsia="zh-CN"/>
                    </w:rPr>
                    <w:t>。</w:t>
                  </w:r>
                </w:p>
              </w:tc>
              <w:tc>
                <w:tcPr>
                  <w:tcW w:w="1100" w:type="dxa"/>
                  <w:vMerge w:val="continue"/>
                  <w:tcBorders>
                    <w:tl2br w:val="nil"/>
                    <w:tr2bl w:val="nil"/>
                  </w:tcBorders>
                  <w:shd w:val="clear" w:color="auto" w:fill="auto"/>
                  <w:vAlign w:val="center"/>
                </w:tcPr>
                <w:p w14:paraId="04E12E1A">
                  <w:pPr>
                    <w:pStyle w:val="195"/>
                    <w:spacing w:before="125" w:line="219" w:lineRule="auto"/>
                    <w:ind w:left="13" w:leftChars="0"/>
                    <w:rPr>
                      <w:color w:val="auto"/>
                      <w:spacing w:val="-1"/>
                      <w:highlight w:val="none"/>
                    </w:rPr>
                  </w:pPr>
                </w:p>
              </w:tc>
            </w:tr>
            <w:tr w14:paraId="382146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restart"/>
                  <w:tcBorders>
                    <w:tl2br w:val="nil"/>
                    <w:tr2bl w:val="nil"/>
                  </w:tcBorders>
                  <w:shd w:val="clear" w:color="auto" w:fill="auto"/>
                  <w:vAlign w:val="top"/>
                </w:tcPr>
                <w:p w14:paraId="0F55054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HW09</w:t>
                  </w:r>
                </w:p>
                <w:p w14:paraId="3C9F4C93">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油/水、烃/水混合物或乳化液</w:t>
                  </w:r>
                </w:p>
              </w:tc>
              <w:tc>
                <w:tcPr>
                  <w:tcW w:w="900" w:type="dxa"/>
                  <w:vMerge w:val="restart"/>
                  <w:tcBorders>
                    <w:tl2br w:val="nil"/>
                    <w:tr2bl w:val="nil"/>
                  </w:tcBorders>
                  <w:shd w:val="clear" w:color="auto" w:fill="auto"/>
                  <w:vAlign w:val="top"/>
                </w:tcPr>
                <w:p w14:paraId="2398236C">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2E225C6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900-005-09</w:t>
                  </w:r>
                </w:p>
              </w:tc>
              <w:tc>
                <w:tcPr>
                  <w:tcW w:w="4487" w:type="dxa"/>
                  <w:tcBorders>
                    <w:tl2br w:val="nil"/>
                    <w:tr2bl w:val="nil"/>
                  </w:tcBorders>
                  <w:shd w:val="clear" w:color="auto" w:fill="auto"/>
                  <w:vAlign w:val="top"/>
                </w:tcPr>
                <w:p w14:paraId="35944CE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水压机维护、更换和拆解过程中产生的油/水、烃/水混合物或乳化液</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72AC54D5">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8000</w:t>
                  </w:r>
                </w:p>
              </w:tc>
            </w:tr>
            <w:tr w14:paraId="6CEF6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32CE7A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4120532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6647B9C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900-006-09</w:t>
                  </w:r>
                </w:p>
              </w:tc>
              <w:tc>
                <w:tcPr>
                  <w:tcW w:w="4487" w:type="dxa"/>
                  <w:tcBorders>
                    <w:tl2br w:val="nil"/>
                    <w:tr2bl w:val="nil"/>
                  </w:tcBorders>
                  <w:shd w:val="clear" w:color="auto" w:fill="auto"/>
                  <w:vAlign w:val="top"/>
                </w:tcPr>
                <w:p w14:paraId="6448FD2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使用切削油或切削液进行机械加工过程中产生的油/水、烃/水混合物或乳化液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3EE2D91B">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5B4D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0A444A1B">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EBB002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3543EE5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900-007-09</w:t>
                  </w:r>
                </w:p>
              </w:tc>
              <w:tc>
                <w:tcPr>
                  <w:tcW w:w="4487" w:type="dxa"/>
                  <w:tcBorders>
                    <w:tl2br w:val="nil"/>
                    <w:tr2bl w:val="nil"/>
                  </w:tcBorders>
                  <w:shd w:val="clear" w:color="auto" w:fill="auto"/>
                  <w:vAlign w:val="top"/>
                </w:tcPr>
                <w:p w14:paraId="53B77EC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其他工艺过程中产生的油/水、烃/水混合物或乳化液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E2853C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13F1E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restart"/>
                  <w:tcBorders>
                    <w:tl2br w:val="nil"/>
                    <w:tr2bl w:val="nil"/>
                  </w:tcBorders>
                  <w:shd w:val="clear" w:color="auto" w:fill="auto"/>
                  <w:vAlign w:val="top"/>
                </w:tcPr>
                <w:p w14:paraId="0546204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HW11</w:t>
                  </w:r>
                </w:p>
                <w:p w14:paraId="46202E3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精(蒸)</w:t>
                  </w:r>
                </w:p>
                <w:p w14:paraId="5FF88D6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馏残渣</w:t>
                  </w:r>
                </w:p>
              </w:tc>
              <w:tc>
                <w:tcPr>
                  <w:tcW w:w="900" w:type="dxa"/>
                  <w:vMerge w:val="restart"/>
                  <w:tcBorders>
                    <w:tl2br w:val="nil"/>
                    <w:tr2bl w:val="nil"/>
                  </w:tcBorders>
                  <w:shd w:val="clear" w:color="auto" w:fill="auto"/>
                  <w:vAlign w:val="top"/>
                </w:tcPr>
                <w:p w14:paraId="6E9A69A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基础化学原料制造</w:t>
                  </w:r>
                </w:p>
              </w:tc>
              <w:tc>
                <w:tcPr>
                  <w:tcW w:w="840" w:type="dxa"/>
                  <w:tcBorders>
                    <w:tl2br w:val="nil"/>
                    <w:tr2bl w:val="nil"/>
                  </w:tcBorders>
                  <w:shd w:val="clear" w:color="auto" w:fill="auto"/>
                  <w:vAlign w:val="top"/>
                </w:tcPr>
                <w:p w14:paraId="432E271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451-003-11</w:t>
                  </w:r>
                </w:p>
              </w:tc>
              <w:tc>
                <w:tcPr>
                  <w:tcW w:w="4487" w:type="dxa"/>
                  <w:tcBorders>
                    <w:tl2br w:val="nil"/>
                    <w:tr2bl w:val="nil"/>
                  </w:tcBorders>
                  <w:shd w:val="clear" w:color="auto" w:fill="auto"/>
                  <w:vAlign w:val="top"/>
                </w:tcPr>
                <w:p w14:paraId="37DE1DE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煤气生产过程中煤气冷凝产生的煤焦油</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356B8863">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20000</w:t>
                  </w:r>
                </w:p>
              </w:tc>
            </w:tr>
            <w:tr w14:paraId="0302B9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393855B">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431176F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2069295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261-128-11</w:t>
                  </w:r>
                </w:p>
              </w:tc>
              <w:tc>
                <w:tcPr>
                  <w:tcW w:w="4487" w:type="dxa"/>
                  <w:tcBorders>
                    <w:tl2br w:val="nil"/>
                    <w:tr2bl w:val="nil"/>
                  </w:tcBorders>
                  <w:shd w:val="clear" w:color="auto" w:fill="auto"/>
                  <w:vAlign w:val="top"/>
                </w:tcPr>
                <w:p w14:paraId="12D428A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合成气加压催化生产甲醇过程中产生的重馏分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50CC675B">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B065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5319DBB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4CEF29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4DC1DF6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261-129-11</w:t>
                  </w:r>
                </w:p>
              </w:tc>
              <w:tc>
                <w:tcPr>
                  <w:tcW w:w="4487" w:type="dxa"/>
                  <w:tcBorders>
                    <w:tl2br w:val="nil"/>
                    <w:tr2bl w:val="nil"/>
                  </w:tcBorders>
                  <w:shd w:val="clear" w:color="auto" w:fill="auto"/>
                  <w:vAlign w:val="top"/>
                </w:tcPr>
                <w:p w14:paraId="1CB9A82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水合法、发酵法生产乙醇过程中产生的重馏分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5505AC66">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311B92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269E86E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97CD47F">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4179313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261-130-11</w:t>
                  </w:r>
                </w:p>
              </w:tc>
              <w:tc>
                <w:tcPr>
                  <w:tcW w:w="4487" w:type="dxa"/>
                  <w:tcBorders>
                    <w:tl2br w:val="nil"/>
                    <w:tr2bl w:val="nil"/>
                  </w:tcBorders>
                  <w:shd w:val="clear" w:color="auto" w:fill="auto"/>
                  <w:vAlign w:val="top"/>
                </w:tcPr>
                <w:p w14:paraId="2BB7AED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环氧乙烷直接水合生产乙二醇过程中产生的重馏分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74D95AE">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2AB570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4D7C06B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E16A952">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2AC976D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261-131-11</w:t>
                  </w:r>
                </w:p>
              </w:tc>
              <w:tc>
                <w:tcPr>
                  <w:tcW w:w="4487" w:type="dxa"/>
                  <w:tcBorders>
                    <w:tl2br w:val="nil"/>
                    <w:tr2bl w:val="nil"/>
                  </w:tcBorders>
                  <w:shd w:val="clear" w:color="auto" w:fill="auto"/>
                  <w:vAlign w:val="top"/>
                </w:tcPr>
                <w:p w14:paraId="69FCAA2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乙醛缩合加氢生产丁二醇过程中产生的重馏分</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CA55EF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A5F01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4B8E3539">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tcBorders>
                    <w:tl2br w:val="nil"/>
                    <w:tr2bl w:val="nil"/>
                  </w:tcBorders>
                  <w:shd w:val="clear" w:color="auto" w:fill="auto"/>
                  <w:vAlign w:val="top"/>
                </w:tcPr>
                <w:p w14:paraId="6E9BBCB3">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7DC0782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900-013-11</w:t>
                  </w:r>
                </w:p>
              </w:tc>
              <w:tc>
                <w:tcPr>
                  <w:tcW w:w="4487" w:type="dxa"/>
                  <w:tcBorders>
                    <w:tl2br w:val="nil"/>
                    <w:tr2bl w:val="nil"/>
                  </w:tcBorders>
                  <w:shd w:val="clear" w:color="auto" w:fill="auto"/>
                  <w:vAlign w:val="top"/>
                </w:tcPr>
                <w:p w14:paraId="4C58ACB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其他化工生产过程(不包括以生物质为主要原料的加工过程)中精馏、蒸馏和热解工艺产生的高沸点釜底残余物</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1B6E2038">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07F3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769" w:type="dxa"/>
                  <w:vMerge w:val="restart"/>
                  <w:tcBorders>
                    <w:tl2br w:val="nil"/>
                    <w:tr2bl w:val="nil"/>
                  </w:tcBorders>
                  <w:shd w:val="clear" w:color="auto" w:fill="auto"/>
                  <w:vAlign w:val="top"/>
                </w:tcPr>
                <w:p w14:paraId="23E4526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HW34</w:t>
                  </w:r>
                </w:p>
                <w:p w14:paraId="22226E8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废酸</w:t>
                  </w:r>
                </w:p>
              </w:tc>
              <w:tc>
                <w:tcPr>
                  <w:tcW w:w="900" w:type="dxa"/>
                  <w:tcBorders>
                    <w:tl2br w:val="nil"/>
                    <w:tr2bl w:val="nil"/>
                  </w:tcBorders>
                  <w:shd w:val="clear" w:color="auto" w:fill="auto"/>
                  <w:vAlign w:val="top"/>
                </w:tcPr>
                <w:p w14:paraId="6D57AED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基础化学原料制造</w:t>
                  </w:r>
                </w:p>
              </w:tc>
              <w:tc>
                <w:tcPr>
                  <w:tcW w:w="840" w:type="dxa"/>
                  <w:tcBorders>
                    <w:tl2br w:val="nil"/>
                    <w:tr2bl w:val="nil"/>
                  </w:tcBorders>
                  <w:shd w:val="clear" w:color="auto" w:fill="auto"/>
                  <w:vAlign w:val="top"/>
                </w:tcPr>
                <w:p w14:paraId="314F9EF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261-057-34</w:t>
                  </w:r>
                </w:p>
              </w:tc>
              <w:tc>
                <w:tcPr>
                  <w:tcW w:w="4487" w:type="dxa"/>
                  <w:tcBorders>
                    <w:tl2br w:val="nil"/>
                    <w:tr2bl w:val="nil"/>
                  </w:tcBorders>
                  <w:shd w:val="clear" w:color="auto" w:fill="auto"/>
                  <w:vAlign w:val="top"/>
                </w:tcPr>
                <w:p w14:paraId="267AB4E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硫酸和亚硫酸、盐酸、氢氟酸、磷酸和亚磷酸、硝酸和亚硝酸等的生产、配制过程中产生的废酸及酸渣</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01580C82">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5000</w:t>
                  </w:r>
                </w:p>
              </w:tc>
            </w:tr>
            <w:tr w14:paraId="5B0FA0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 w:hRule="atLeast"/>
              </w:trPr>
              <w:tc>
                <w:tcPr>
                  <w:tcW w:w="769" w:type="dxa"/>
                  <w:vMerge w:val="continue"/>
                  <w:tcBorders>
                    <w:tl2br w:val="nil"/>
                    <w:tr2bl w:val="nil"/>
                  </w:tcBorders>
                  <w:shd w:val="clear" w:color="auto" w:fill="auto"/>
                  <w:vAlign w:val="top"/>
                </w:tcPr>
                <w:p w14:paraId="1196E54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tcBorders>
                    <w:tl2br w:val="nil"/>
                    <w:tr2bl w:val="nil"/>
                  </w:tcBorders>
                  <w:shd w:val="clear" w:color="auto" w:fill="auto"/>
                  <w:vAlign w:val="top"/>
                </w:tcPr>
                <w:p w14:paraId="1FDEA6F3">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钢压延加工</w:t>
                  </w:r>
                </w:p>
              </w:tc>
              <w:tc>
                <w:tcPr>
                  <w:tcW w:w="840" w:type="dxa"/>
                  <w:tcBorders>
                    <w:tl2br w:val="nil"/>
                    <w:tr2bl w:val="nil"/>
                  </w:tcBorders>
                  <w:shd w:val="clear" w:color="auto" w:fill="auto"/>
                  <w:vAlign w:val="top"/>
                </w:tcPr>
                <w:p w14:paraId="300E33E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313-001-34</w:t>
                  </w:r>
                </w:p>
              </w:tc>
              <w:tc>
                <w:tcPr>
                  <w:tcW w:w="4487" w:type="dxa"/>
                  <w:tcBorders>
                    <w:tl2br w:val="nil"/>
                    <w:tr2bl w:val="nil"/>
                  </w:tcBorders>
                  <w:shd w:val="clear" w:color="auto" w:fill="auto"/>
                  <w:vAlign w:val="top"/>
                </w:tcPr>
                <w:p w14:paraId="6CB1576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钢的精加工过程中产生的废酸性洗液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EBA67E0">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46969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 w:hRule="atLeast"/>
              </w:trPr>
              <w:tc>
                <w:tcPr>
                  <w:tcW w:w="769" w:type="dxa"/>
                  <w:vMerge w:val="continue"/>
                  <w:tcBorders>
                    <w:tl2br w:val="nil"/>
                    <w:tr2bl w:val="nil"/>
                  </w:tcBorders>
                  <w:shd w:val="clear" w:color="auto" w:fill="auto"/>
                  <w:vAlign w:val="top"/>
                </w:tcPr>
                <w:p w14:paraId="74AA0308">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restart"/>
                  <w:tcBorders>
                    <w:tl2br w:val="nil"/>
                    <w:tr2bl w:val="nil"/>
                  </w:tcBorders>
                  <w:shd w:val="clear" w:color="auto" w:fill="auto"/>
                  <w:vAlign w:val="top"/>
                </w:tcPr>
                <w:p w14:paraId="16D5709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电子元件及</w:t>
                  </w:r>
                </w:p>
                <w:p w14:paraId="6D09B9DA">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电子专用材料制造</w:t>
                  </w:r>
                </w:p>
              </w:tc>
              <w:tc>
                <w:tcPr>
                  <w:tcW w:w="840" w:type="dxa"/>
                  <w:tcBorders>
                    <w:tl2br w:val="nil"/>
                    <w:tr2bl w:val="nil"/>
                  </w:tcBorders>
                  <w:shd w:val="clear" w:color="auto" w:fill="auto"/>
                  <w:vAlign w:val="top"/>
                </w:tcPr>
                <w:p w14:paraId="60C7A66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398-005-34</w:t>
                  </w:r>
                </w:p>
              </w:tc>
              <w:tc>
                <w:tcPr>
                  <w:tcW w:w="4487" w:type="dxa"/>
                  <w:tcBorders>
                    <w:tl2br w:val="nil"/>
                    <w:tr2bl w:val="nil"/>
                  </w:tcBorders>
                  <w:shd w:val="clear" w:color="auto" w:fill="auto"/>
                  <w:vAlign w:val="top"/>
                </w:tcPr>
                <w:p w14:paraId="7A8100E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使用酸进行电解除油、酸蚀、活化前表面敏化、催化、浸亮产生的废酸液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AAA1802">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F70D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5" w:hRule="atLeast"/>
              </w:trPr>
              <w:tc>
                <w:tcPr>
                  <w:tcW w:w="769" w:type="dxa"/>
                  <w:vMerge w:val="continue"/>
                  <w:tcBorders>
                    <w:tl2br w:val="nil"/>
                    <w:tr2bl w:val="nil"/>
                  </w:tcBorders>
                  <w:shd w:val="clear" w:color="auto" w:fill="auto"/>
                  <w:vAlign w:val="top"/>
                </w:tcPr>
                <w:p w14:paraId="756763C9">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35F5BEF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6F6DAAD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398-007-34</w:t>
                  </w:r>
                </w:p>
              </w:tc>
              <w:tc>
                <w:tcPr>
                  <w:tcW w:w="4487" w:type="dxa"/>
                  <w:tcBorders>
                    <w:tl2br w:val="nil"/>
                    <w:tr2bl w:val="nil"/>
                  </w:tcBorders>
                  <w:shd w:val="clear" w:color="auto" w:fill="auto"/>
                  <w:vAlign w:val="top"/>
                </w:tcPr>
                <w:p w14:paraId="209198C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液晶显示板或集成电路板的生产过程中使用酸浸蚀剂进行氧化物浸蚀产生的废酸液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B32EBC1">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CB6A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4F95372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restart"/>
                  <w:tcBorders>
                    <w:tl2br w:val="nil"/>
                    <w:tr2bl w:val="nil"/>
                  </w:tcBorders>
                  <w:shd w:val="clear" w:color="auto" w:fill="auto"/>
                  <w:vAlign w:val="top"/>
                </w:tcPr>
                <w:p w14:paraId="30F0995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589E2D1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900-300-34</w:t>
                  </w:r>
                </w:p>
              </w:tc>
              <w:tc>
                <w:tcPr>
                  <w:tcW w:w="4487" w:type="dxa"/>
                  <w:tcBorders>
                    <w:tl2br w:val="nil"/>
                    <w:tr2bl w:val="nil"/>
                  </w:tcBorders>
                  <w:shd w:val="clear" w:color="auto" w:fill="auto"/>
                  <w:vAlign w:val="top"/>
                </w:tcPr>
                <w:p w14:paraId="38FE6DA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使用酸进行清洗产生的废酸液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9E5CA9F">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08EEC8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371666F4">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D83D2E9">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2EF800EB">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900-304-34</w:t>
                  </w:r>
                </w:p>
              </w:tc>
              <w:tc>
                <w:tcPr>
                  <w:tcW w:w="4487" w:type="dxa"/>
                  <w:tcBorders>
                    <w:tl2br w:val="nil"/>
                    <w:tr2bl w:val="nil"/>
                  </w:tcBorders>
                  <w:shd w:val="clear" w:color="auto" w:fill="auto"/>
                  <w:vAlign w:val="top"/>
                </w:tcPr>
                <w:p w14:paraId="6B014932">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使用酸进行电解除油、金属表面敏化产生的废</w:t>
                  </w:r>
                  <w:r>
                    <w:rPr>
                      <w:rFonts w:hint="eastAsia" w:ascii="宋体" w:hAnsi="宋体" w:cs="宋体"/>
                      <w:i w:val="0"/>
                      <w:iCs w:val="0"/>
                      <w:color w:val="auto"/>
                      <w:sz w:val="21"/>
                      <w:szCs w:val="21"/>
                      <w:highlight w:val="none"/>
                      <w:u w:val="none"/>
                      <w:lang w:val="en-US" w:eastAsia="zh-CN"/>
                    </w:rPr>
                    <w:t>。</w:t>
                  </w:r>
                  <w:r>
                    <w:rPr>
                      <w:rFonts w:hint="eastAsia" w:ascii="宋体" w:hAnsi="宋体" w:eastAsia="宋体" w:cs="宋体"/>
                      <w:i w:val="0"/>
                      <w:iCs w:val="0"/>
                      <w:color w:val="auto"/>
                      <w:sz w:val="21"/>
                      <w:szCs w:val="21"/>
                      <w:highlight w:val="none"/>
                      <w:u w:val="none"/>
                      <w:lang w:val="en-US" w:eastAsia="zh-CN"/>
                    </w:rPr>
                    <w:t>酸液</w:t>
                  </w:r>
                </w:p>
              </w:tc>
              <w:tc>
                <w:tcPr>
                  <w:tcW w:w="1100" w:type="dxa"/>
                  <w:vMerge w:val="continue"/>
                  <w:tcBorders>
                    <w:tl2br w:val="nil"/>
                    <w:tr2bl w:val="nil"/>
                  </w:tcBorders>
                  <w:shd w:val="clear" w:color="auto" w:fill="auto"/>
                  <w:vAlign w:val="center"/>
                </w:tcPr>
                <w:p w14:paraId="7BAAD34A">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6512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0D9DC3C2">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2427B26">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66B95ED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900-307-34</w:t>
                  </w:r>
                </w:p>
              </w:tc>
              <w:tc>
                <w:tcPr>
                  <w:tcW w:w="4487" w:type="dxa"/>
                  <w:tcBorders>
                    <w:tl2br w:val="nil"/>
                    <w:tr2bl w:val="nil"/>
                  </w:tcBorders>
                  <w:shd w:val="clear" w:color="auto" w:fill="auto"/>
                  <w:vAlign w:val="top"/>
                </w:tcPr>
                <w:p w14:paraId="3CAF213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使用酸进行电解抛光处理产生的废酸液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6FBDE0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15FBB9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6D4C98E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780DFFC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60BF4A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900-308-34</w:t>
                  </w:r>
                </w:p>
              </w:tc>
              <w:tc>
                <w:tcPr>
                  <w:tcW w:w="4487" w:type="dxa"/>
                  <w:tcBorders>
                    <w:tl2br w:val="nil"/>
                    <w:tr2bl w:val="nil"/>
                  </w:tcBorders>
                  <w:shd w:val="clear" w:color="auto" w:fill="auto"/>
                  <w:vAlign w:val="top"/>
                </w:tcPr>
                <w:p w14:paraId="25D6537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使用酸进行催化(化学镀)产生的废酸液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271A695">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3CC744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 w:hRule="atLeast"/>
              </w:trPr>
              <w:tc>
                <w:tcPr>
                  <w:tcW w:w="769" w:type="dxa"/>
                  <w:vMerge w:val="continue"/>
                  <w:tcBorders>
                    <w:tl2br w:val="nil"/>
                    <w:tr2bl w:val="nil"/>
                  </w:tcBorders>
                  <w:shd w:val="clear" w:color="auto" w:fill="auto"/>
                  <w:vAlign w:val="top"/>
                </w:tcPr>
                <w:p w14:paraId="1758043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30AD9D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7F1F7D4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900-349-34</w:t>
                  </w:r>
                </w:p>
              </w:tc>
              <w:tc>
                <w:tcPr>
                  <w:tcW w:w="4487" w:type="dxa"/>
                  <w:tcBorders>
                    <w:tl2br w:val="nil"/>
                    <w:tr2bl w:val="nil"/>
                  </w:tcBorders>
                  <w:shd w:val="clear" w:color="auto" w:fill="auto"/>
                  <w:vAlign w:val="top"/>
                </w:tcPr>
                <w:p w14:paraId="28C8AC3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生产、销售及使用过程中产生的失效、变质、不合格、淘汰、伪劣的强酸性擦洗粉、清洁剂、污迹去除剂以及其他强酸性废酸液和酸渣</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128088C2">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4F9A1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769" w:type="dxa"/>
                  <w:vMerge w:val="restart"/>
                  <w:tcBorders>
                    <w:tl2br w:val="nil"/>
                    <w:tr2bl w:val="nil"/>
                  </w:tcBorders>
                  <w:shd w:val="clear" w:color="auto" w:fill="auto"/>
                  <w:vAlign w:val="top"/>
                </w:tcPr>
                <w:p w14:paraId="7A6888A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HW35</w:t>
                  </w:r>
                </w:p>
                <w:p w14:paraId="5A9EA46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废碱</w:t>
                  </w:r>
                </w:p>
              </w:tc>
              <w:tc>
                <w:tcPr>
                  <w:tcW w:w="900" w:type="dxa"/>
                  <w:tcBorders>
                    <w:tl2br w:val="nil"/>
                    <w:tr2bl w:val="nil"/>
                  </w:tcBorders>
                  <w:shd w:val="clear" w:color="auto" w:fill="auto"/>
                  <w:vAlign w:val="top"/>
                </w:tcPr>
                <w:p w14:paraId="2C7ED0F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基础化学原料制造</w:t>
                  </w:r>
                </w:p>
              </w:tc>
              <w:tc>
                <w:tcPr>
                  <w:tcW w:w="840" w:type="dxa"/>
                  <w:tcBorders>
                    <w:tl2br w:val="nil"/>
                    <w:tr2bl w:val="nil"/>
                  </w:tcBorders>
                  <w:shd w:val="clear" w:color="auto" w:fill="auto"/>
                  <w:vAlign w:val="top"/>
                </w:tcPr>
                <w:p w14:paraId="62CFA546">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261-059-35</w:t>
                  </w:r>
                </w:p>
              </w:tc>
              <w:tc>
                <w:tcPr>
                  <w:tcW w:w="4487" w:type="dxa"/>
                  <w:tcBorders>
                    <w:tl2br w:val="nil"/>
                    <w:tr2bl w:val="nil"/>
                  </w:tcBorders>
                  <w:shd w:val="clear" w:color="auto" w:fill="auto"/>
                  <w:vAlign w:val="top"/>
                </w:tcPr>
                <w:p w14:paraId="15E2FE3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氢氧化钙、氨水、氢氧化钠、氢氧化钾等的生产、配制中产生的废碱液、固态碱和碱渣</w:t>
                  </w:r>
                  <w:r>
                    <w:rPr>
                      <w:rFonts w:hint="eastAsia" w:ascii="宋体" w:hAnsi="宋体" w:cs="宋体"/>
                      <w:i w:val="0"/>
                      <w:iCs w:val="0"/>
                      <w:color w:val="auto"/>
                      <w:sz w:val="21"/>
                      <w:szCs w:val="21"/>
                      <w:highlight w:val="none"/>
                      <w:u w:val="none"/>
                      <w:lang w:val="en-US" w:eastAsia="zh-CN"/>
                    </w:rPr>
                    <w:t>。</w:t>
                  </w:r>
                </w:p>
              </w:tc>
              <w:tc>
                <w:tcPr>
                  <w:tcW w:w="1100" w:type="dxa"/>
                  <w:vMerge w:val="restart"/>
                  <w:tcBorders>
                    <w:tl2br w:val="nil"/>
                    <w:tr2bl w:val="nil"/>
                  </w:tcBorders>
                  <w:shd w:val="clear" w:color="auto" w:fill="auto"/>
                  <w:vAlign w:val="center"/>
                </w:tcPr>
                <w:p w14:paraId="0538B9DC">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1000</w:t>
                  </w:r>
                </w:p>
              </w:tc>
            </w:tr>
            <w:tr w14:paraId="4C971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4DC374F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restart"/>
                  <w:tcBorders>
                    <w:tl2br w:val="nil"/>
                    <w:tr2bl w:val="nil"/>
                  </w:tcBorders>
                  <w:shd w:val="clear" w:color="auto" w:fill="auto"/>
                  <w:vAlign w:val="top"/>
                </w:tcPr>
                <w:p w14:paraId="192DD52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17CBB27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900-350-35</w:t>
                  </w:r>
                </w:p>
              </w:tc>
              <w:tc>
                <w:tcPr>
                  <w:tcW w:w="4487" w:type="dxa"/>
                  <w:tcBorders>
                    <w:tl2br w:val="nil"/>
                    <w:tr2bl w:val="nil"/>
                  </w:tcBorders>
                  <w:shd w:val="clear" w:color="auto" w:fill="auto"/>
                  <w:vAlign w:val="top"/>
                </w:tcPr>
                <w:p w14:paraId="7512623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使用氢氧化钠进行煮炼过程中产生的废碱液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150BA03">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F2CA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4866203A">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33297B71">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090DE41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900-351-35</w:t>
                  </w:r>
                </w:p>
              </w:tc>
              <w:tc>
                <w:tcPr>
                  <w:tcW w:w="4487" w:type="dxa"/>
                  <w:tcBorders>
                    <w:tl2br w:val="nil"/>
                    <w:tr2bl w:val="nil"/>
                  </w:tcBorders>
                  <w:shd w:val="clear" w:color="auto" w:fill="auto"/>
                  <w:vAlign w:val="top"/>
                </w:tcPr>
                <w:p w14:paraId="3E77B722">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使用氢氧化钠进行丝光处理过程中产生的废碱液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796E6182">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7D1278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4568044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349A638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09F78B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900-352-35</w:t>
                  </w:r>
                </w:p>
              </w:tc>
              <w:tc>
                <w:tcPr>
                  <w:tcW w:w="4487" w:type="dxa"/>
                  <w:tcBorders>
                    <w:tl2br w:val="nil"/>
                    <w:tr2bl w:val="nil"/>
                  </w:tcBorders>
                  <w:shd w:val="clear" w:color="auto" w:fill="auto"/>
                  <w:vAlign w:val="top"/>
                </w:tcPr>
                <w:p w14:paraId="1BDC07E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使用碱进行清洗产生的废碱液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0331A7C9">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2446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3E2A0C6A">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204C57F1">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75B8618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900-353-35</w:t>
                  </w:r>
                </w:p>
              </w:tc>
              <w:tc>
                <w:tcPr>
                  <w:tcW w:w="4487" w:type="dxa"/>
                  <w:tcBorders>
                    <w:tl2br w:val="nil"/>
                    <w:tr2bl w:val="nil"/>
                  </w:tcBorders>
                  <w:shd w:val="clear" w:color="auto" w:fill="auto"/>
                  <w:vAlign w:val="top"/>
                </w:tcPr>
                <w:p w14:paraId="7C585C31">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使用碱进行清洗除蜡、碱性除油、电解除油产生的废碱液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29D69D38">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4B1B4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1564A790">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413711DB">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7552184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900-354-35</w:t>
                  </w:r>
                </w:p>
              </w:tc>
              <w:tc>
                <w:tcPr>
                  <w:tcW w:w="4487" w:type="dxa"/>
                  <w:tcBorders>
                    <w:tl2br w:val="nil"/>
                    <w:tr2bl w:val="nil"/>
                  </w:tcBorders>
                  <w:shd w:val="clear" w:color="auto" w:fill="auto"/>
                  <w:vAlign w:val="top"/>
                </w:tcPr>
                <w:p w14:paraId="12388D88">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使用碱进行电镀阻挡层或抗蚀层的脱除产生的废碱液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649BB2FE">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698B6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2574FA37">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51B6C375">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47631319">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900-355-35</w:t>
                  </w:r>
                </w:p>
              </w:tc>
              <w:tc>
                <w:tcPr>
                  <w:tcW w:w="4487" w:type="dxa"/>
                  <w:tcBorders>
                    <w:tl2br w:val="nil"/>
                    <w:tr2bl w:val="nil"/>
                  </w:tcBorders>
                  <w:shd w:val="clear" w:color="auto" w:fill="auto"/>
                  <w:vAlign w:val="top"/>
                </w:tcPr>
                <w:p w14:paraId="1FE0CD37">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使用碱进行氧化膜浸蚀产生的废碱液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119AC68C">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54D1B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2B3C0F3E">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667ABFE8">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DD6D4E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900-356-35</w:t>
                  </w:r>
                </w:p>
              </w:tc>
              <w:tc>
                <w:tcPr>
                  <w:tcW w:w="4487" w:type="dxa"/>
                  <w:tcBorders>
                    <w:tl2br w:val="nil"/>
                    <w:tr2bl w:val="nil"/>
                  </w:tcBorders>
                  <w:shd w:val="clear" w:color="auto" w:fill="auto"/>
                  <w:vAlign w:val="top"/>
                </w:tcPr>
                <w:p w14:paraId="7635961D">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使用碱溶液进行碱性清洗、图形显影产生的废碱液</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438775F5">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754DE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vMerge w:val="continue"/>
                  <w:tcBorders>
                    <w:tl2br w:val="nil"/>
                    <w:tr2bl w:val="nil"/>
                  </w:tcBorders>
                  <w:shd w:val="clear" w:color="auto" w:fill="auto"/>
                  <w:vAlign w:val="top"/>
                </w:tcPr>
                <w:p w14:paraId="77EEEDCD">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900" w:type="dxa"/>
                  <w:vMerge w:val="continue"/>
                  <w:tcBorders>
                    <w:tl2br w:val="nil"/>
                    <w:tr2bl w:val="nil"/>
                  </w:tcBorders>
                  <w:shd w:val="clear" w:color="auto" w:fill="auto"/>
                  <w:vAlign w:val="top"/>
                </w:tcPr>
                <w:p w14:paraId="0FEB93CC">
                  <w:pPr>
                    <w:spacing w:line="240" w:lineRule="auto"/>
                    <w:jc w:val="left"/>
                    <w:rPr>
                      <w:rFonts w:hint="eastAsia" w:ascii="宋体" w:hAnsi="宋体" w:eastAsia="宋体" w:cs="宋体"/>
                      <w:i w:val="0"/>
                      <w:iCs w:val="0"/>
                      <w:color w:val="auto"/>
                      <w:sz w:val="21"/>
                      <w:szCs w:val="21"/>
                      <w:highlight w:val="none"/>
                      <w:u w:val="none"/>
                      <w:lang w:val="en-US" w:eastAsia="zh-CN"/>
                    </w:rPr>
                  </w:pPr>
                </w:p>
              </w:tc>
              <w:tc>
                <w:tcPr>
                  <w:tcW w:w="840" w:type="dxa"/>
                  <w:tcBorders>
                    <w:tl2br w:val="nil"/>
                    <w:tr2bl w:val="nil"/>
                  </w:tcBorders>
                  <w:shd w:val="clear" w:color="auto" w:fill="auto"/>
                  <w:vAlign w:val="top"/>
                </w:tcPr>
                <w:p w14:paraId="1F96CE7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900-399-35</w:t>
                  </w:r>
                </w:p>
              </w:tc>
              <w:tc>
                <w:tcPr>
                  <w:tcW w:w="4487" w:type="dxa"/>
                  <w:tcBorders>
                    <w:tl2br w:val="nil"/>
                    <w:tr2bl w:val="nil"/>
                  </w:tcBorders>
                  <w:shd w:val="clear" w:color="auto" w:fill="auto"/>
                  <w:vAlign w:val="top"/>
                </w:tcPr>
                <w:p w14:paraId="0F47A61E">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生产、销售及使用过程中产生的失效、变质、不合格、淘汰、伪劣的强碱性擦洗粉、清洁剂、污迹去除剂以及其他强碱性废碱液、固态碱和碱渣</w:t>
                  </w:r>
                  <w:r>
                    <w:rPr>
                      <w:rFonts w:hint="eastAsia" w:ascii="宋体" w:hAnsi="宋体" w:cs="宋体"/>
                      <w:i w:val="0"/>
                      <w:iCs w:val="0"/>
                      <w:color w:val="auto"/>
                      <w:sz w:val="21"/>
                      <w:szCs w:val="21"/>
                      <w:highlight w:val="none"/>
                      <w:u w:val="none"/>
                      <w:lang w:val="en-US" w:eastAsia="zh-CN"/>
                    </w:rPr>
                    <w:t>。</w:t>
                  </w:r>
                </w:p>
              </w:tc>
              <w:tc>
                <w:tcPr>
                  <w:tcW w:w="1100" w:type="dxa"/>
                  <w:vMerge w:val="continue"/>
                  <w:tcBorders>
                    <w:tl2br w:val="nil"/>
                    <w:tr2bl w:val="nil"/>
                  </w:tcBorders>
                  <w:shd w:val="clear" w:color="auto" w:fill="auto"/>
                  <w:vAlign w:val="center"/>
                </w:tcPr>
                <w:p w14:paraId="7CF47C64">
                  <w:pPr>
                    <w:spacing w:line="240" w:lineRule="auto"/>
                    <w:jc w:val="left"/>
                    <w:rPr>
                      <w:rFonts w:hint="eastAsia" w:ascii="宋体" w:hAnsi="宋体" w:eastAsia="宋体" w:cs="宋体"/>
                      <w:i w:val="0"/>
                      <w:iCs w:val="0"/>
                      <w:color w:val="auto"/>
                      <w:sz w:val="21"/>
                      <w:szCs w:val="21"/>
                      <w:highlight w:val="none"/>
                      <w:u w:val="none"/>
                      <w:lang w:val="en-US" w:eastAsia="zh-CN"/>
                    </w:rPr>
                  </w:pPr>
                </w:p>
              </w:tc>
            </w:tr>
            <w:tr w14:paraId="2F966B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trPr>
              <w:tc>
                <w:tcPr>
                  <w:tcW w:w="769" w:type="dxa"/>
                  <w:tcBorders>
                    <w:tl2br w:val="nil"/>
                    <w:tr2bl w:val="nil"/>
                  </w:tcBorders>
                  <w:shd w:val="clear" w:color="auto" w:fill="auto"/>
                  <w:vAlign w:val="top"/>
                </w:tcPr>
                <w:p w14:paraId="2E826325">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HW49</w:t>
                  </w:r>
                </w:p>
                <w:p w14:paraId="4C808BAF">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其他废物</w:t>
                  </w:r>
                </w:p>
              </w:tc>
              <w:tc>
                <w:tcPr>
                  <w:tcW w:w="900" w:type="dxa"/>
                  <w:tcBorders>
                    <w:tl2br w:val="nil"/>
                    <w:tr2bl w:val="nil"/>
                  </w:tcBorders>
                  <w:shd w:val="clear" w:color="auto" w:fill="auto"/>
                  <w:vAlign w:val="top"/>
                </w:tcPr>
                <w:p w14:paraId="1D0AFEB0">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非特定行业</w:t>
                  </w:r>
                </w:p>
              </w:tc>
              <w:tc>
                <w:tcPr>
                  <w:tcW w:w="840" w:type="dxa"/>
                  <w:tcBorders>
                    <w:tl2br w:val="nil"/>
                    <w:tr2bl w:val="nil"/>
                  </w:tcBorders>
                  <w:shd w:val="clear" w:color="auto" w:fill="auto"/>
                  <w:vAlign w:val="top"/>
                </w:tcPr>
                <w:p w14:paraId="41BB09A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900-041-49</w:t>
                  </w:r>
                </w:p>
              </w:tc>
              <w:tc>
                <w:tcPr>
                  <w:tcW w:w="4487" w:type="dxa"/>
                  <w:tcBorders>
                    <w:tl2br w:val="nil"/>
                    <w:tr2bl w:val="nil"/>
                  </w:tcBorders>
                  <w:shd w:val="clear" w:color="auto" w:fill="auto"/>
                  <w:vAlign w:val="top"/>
                </w:tcPr>
                <w:p w14:paraId="3C9EB624">
                  <w:pPr>
                    <w:spacing w:line="24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含有或沾染毒性、感染性危险废物的废弃包装物、容器、过滤吸附介质</w:t>
                  </w:r>
                  <w:r>
                    <w:rPr>
                      <w:rFonts w:hint="eastAsia" w:ascii="宋体" w:hAnsi="宋体" w:cs="宋体"/>
                      <w:i w:val="0"/>
                      <w:iCs w:val="0"/>
                      <w:color w:val="auto"/>
                      <w:sz w:val="21"/>
                      <w:szCs w:val="21"/>
                      <w:highlight w:val="none"/>
                      <w:u w:val="none"/>
                      <w:lang w:val="en-US" w:eastAsia="zh-CN"/>
                    </w:rPr>
                    <w:t>。</w:t>
                  </w:r>
                </w:p>
              </w:tc>
              <w:tc>
                <w:tcPr>
                  <w:tcW w:w="1100" w:type="dxa"/>
                  <w:tcBorders>
                    <w:tl2br w:val="nil"/>
                    <w:tr2bl w:val="nil"/>
                  </w:tcBorders>
                  <w:shd w:val="clear" w:color="auto" w:fill="auto"/>
                  <w:vAlign w:val="center"/>
                </w:tcPr>
                <w:p w14:paraId="410B1849">
                  <w:pPr>
                    <w:spacing w:line="24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5000</w:t>
                  </w:r>
                </w:p>
              </w:tc>
            </w:tr>
          </w:tbl>
          <w:p w14:paraId="367AF1A9">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随着《生态环境部办公厅关于开展小微企业危险废物收集试点的通知》（环办固体函〔2022〕66号）、陕西省生态环境厅颁发的《关于进一步深化小微企业危险废物收集试点工作的通知》（陕环固体函〔2024〕78号）和《宝鸡市小微企业及社会源危险废物集中收集试点工作方案》等相关法规的陆续出台，小微企业危险废物收集试点工作已势在必行。</w:t>
            </w:r>
          </w:p>
          <w:p w14:paraId="3BD6CA95">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eastAsia="zh-CN"/>
              </w:rPr>
              <w:t>了满足宝鸡市及周边区域内企业单位产生的多种危险废物能够进行集中收集、贮存，促进企业的持续发展，更好地服务于宝鸡市及周边中小微企业，按照《宝鸡市小微企业及社会源危险废物集中收集试点工作方案》的相关要求，</w:t>
            </w:r>
            <w:r>
              <w:rPr>
                <w:rFonts w:hint="eastAsia" w:cs="Times New Roman"/>
                <w:color w:val="auto"/>
                <w:sz w:val="24"/>
                <w:szCs w:val="24"/>
                <w:highlight w:val="none"/>
                <w:lang w:eastAsia="zh-CN"/>
              </w:rPr>
              <w:t>建设单位</w:t>
            </w:r>
            <w:r>
              <w:rPr>
                <w:rFonts w:hint="default" w:ascii="Times New Roman" w:hAnsi="Times New Roman" w:cs="Times New Roman"/>
                <w:color w:val="auto"/>
                <w:sz w:val="24"/>
                <w:szCs w:val="24"/>
                <w:highlight w:val="none"/>
                <w:lang w:eastAsia="zh-CN"/>
              </w:rPr>
              <w:t>利用本项目优势，在原有</w:t>
            </w:r>
            <w:r>
              <w:rPr>
                <w:rFonts w:hint="default" w:ascii="Times New Roman" w:hAnsi="Times New Roman" w:cs="Times New Roman"/>
                <w:color w:val="auto"/>
                <w:sz w:val="24"/>
                <w:szCs w:val="24"/>
                <w:highlight w:val="none"/>
              </w:rPr>
              <w:t>基础上进行扩建</w:t>
            </w:r>
            <w:r>
              <w:rPr>
                <w:rFonts w:hint="eastAsia" w:cs="Times New Roman"/>
                <w:color w:val="auto"/>
                <w:sz w:val="24"/>
                <w:szCs w:val="24"/>
                <w:highlight w:val="none"/>
                <w:lang w:eastAsia="zh-CN"/>
              </w:rPr>
              <w:t>，拟建设</w:t>
            </w:r>
            <w:r>
              <w:rPr>
                <w:rFonts w:hint="default" w:ascii="Times New Roman" w:hAnsi="Times New Roman" w:cs="Times New Roman"/>
                <w:color w:val="auto"/>
                <w:sz w:val="24"/>
                <w:szCs w:val="24"/>
                <w:highlight w:val="none"/>
              </w:rPr>
              <w:t>危险废物收集、贮存建设项目</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对</w:t>
            </w:r>
            <w:r>
              <w:rPr>
                <w:rFonts w:hint="eastAsia" w:cs="Times New Roman"/>
                <w:color w:val="auto"/>
                <w:sz w:val="24"/>
                <w:szCs w:val="24"/>
                <w:highlight w:val="none"/>
                <w:lang w:eastAsia="zh-CN"/>
              </w:rPr>
              <w:t>厂区内</w:t>
            </w:r>
            <w:r>
              <w:rPr>
                <w:rFonts w:hint="default" w:ascii="Times New Roman" w:hAnsi="Times New Roman" w:cs="Times New Roman"/>
                <w:color w:val="auto"/>
                <w:sz w:val="24"/>
                <w:szCs w:val="24"/>
                <w:highlight w:val="none"/>
                <w:lang w:eastAsia="zh-CN"/>
              </w:rPr>
              <w:t>进行改造</w:t>
            </w:r>
            <w:r>
              <w:rPr>
                <w:rFonts w:hint="eastAsia" w:cs="Times New Roman"/>
                <w:color w:val="auto"/>
                <w:sz w:val="24"/>
                <w:szCs w:val="24"/>
                <w:highlight w:val="none"/>
                <w:lang w:eastAsia="zh-CN"/>
              </w:rPr>
              <w:t>调整</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将</w:t>
            </w:r>
            <w:r>
              <w:rPr>
                <w:rFonts w:hint="default" w:ascii="Times New Roman" w:hAnsi="Times New Roman" w:cs="Times New Roman"/>
                <w:color w:val="auto"/>
                <w:sz w:val="24"/>
                <w:szCs w:val="24"/>
                <w:highlight w:val="none"/>
                <w:lang w:eastAsia="zh-CN"/>
              </w:rPr>
              <w:t>原固废堆放库进行提级改造，建设标准化危险废物贮存库房1座</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将原综合用房改造为标准化危险废物暂存库房(用于危险废物的收集、贮存)</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提升改造原厂区高压配电室，配套建设相关附属设施。新增</w:t>
            </w:r>
            <w:r>
              <w:rPr>
                <w:rFonts w:hint="eastAsia" w:cs="Times New Roman"/>
                <w:color w:val="auto"/>
                <w:sz w:val="24"/>
                <w:szCs w:val="24"/>
                <w:highlight w:val="none"/>
                <w:lang w:eastAsia="zh-CN"/>
              </w:rPr>
              <w:t>暂存危险废物种类主要为</w:t>
            </w:r>
            <w:r>
              <w:rPr>
                <w:rFonts w:hint="default" w:ascii="Times New Roman" w:hAnsi="Times New Roman" w:cs="Times New Roman"/>
                <w:color w:val="auto"/>
                <w:sz w:val="24"/>
                <w:szCs w:val="24"/>
                <w:highlight w:val="none"/>
                <w:lang w:eastAsia="zh-CN"/>
              </w:rPr>
              <w:t>：W2、W3、W4、W5、W7、W10、W12、HW13、W14、W15、HW16、HW17、W18、W19、W20、HW21、HW22、HW23、W24、W25、W26、W27、W28、HW29、W30、HW31、HW32、W33、HW36、W37、W38、HW39、W40、W45、HW46、W47、HW48、HW50，</w:t>
            </w:r>
            <w:r>
              <w:rPr>
                <w:rFonts w:hint="eastAsia" w:cs="Times New Roman"/>
                <w:color w:val="auto"/>
                <w:sz w:val="24"/>
                <w:szCs w:val="24"/>
                <w:highlight w:val="none"/>
                <w:lang w:val="en-US" w:eastAsia="zh-CN"/>
              </w:rPr>
              <w:t>40</w:t>
            </w:r>
            <w:r>
              <w:rPr>
                <w:rFonts w:hint="default" w:ascii="Times New Roman" w:hAnsi="Times New Roman" w:cs="Times New Roman"/>
                <w:color w:val="auto"/>
                <w:sz w:val="24"/>
                <w:szCs w:val="24"/>
                <w:highlight w:val="none"/>
                <w:lang w:eastAsia="zh-CN"/>
              </w:rPr>
              <w:t>类危险废物的收、贮、转运工作。</w:t>
            </w:r>
          </w:p>
          <w:p w14:paraId="1E2929C9">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根据《中华人民共和国环境影响评价法</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建设项目环境保护管理条例</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建设项目环境影响评价分类管理名录》（2021版）的有关规定，该项目应进行环境影响评价工作。</w:t>
            </w:r>
            <w:r>
              <w:rPr>
                <w:rFonts w:hint="default" w:ascii="Times New Roman" w:hAnsi="Times New Roman" w:cs="Times New Roman"/>
                <w:b/>
                <w:bCs/>
                <w:color w:val="auto"/>
                <w:sz w:val="24"/>
                <w:szCs w:val="24"/>
                <w:highlight w:val="none"/>
              </w:rPr>
              <w:t>本项目为危险废物集中收集贮存项目，不涉及危险废物的利用及处置，项目各类危险废物入库和转运出库的包装方式不变，所有危险废物均不分装、不倒罐。</w:t>
            </w: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eastAsia="zh-CN"/>
              </w:rPr>
              <w:t>生态环境部</w:t>
            </w:r>
            <w:r>
              <w:rPr>
                <w:rFonts w:hint="default" w:ascii="Times New Roman" w:hAnsi="Times New Roman" w:cs="Times New Roman"/>
                <w:color w:val="auto"/>
                <w:sz w:val="24"/>
                <w:szCs w:val="24"/>
                <w:highlight w:val="none"/>
              </w:rPr>
              <w:t>《建设项目环境影响评价分类管理名录》，本项目需编制环境影响报告表，具体分类情况见表。</w:t>
            </w:r>
          </w:p>
          <w:p w14:paraId="5C98DFA8">
            <w:pPr>
              <w:pStyle w:val="34"/>
              <w:spacing w:after="0"/>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表2-1建设项目环境影响评价分类管理名录</w:t>
            </w:r>
          </w:p>
          <w:tbl>
            <w:tblPr>
              <w:tblStyle w:val="189"/>
              <w:tblW w:w="79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755"/>
              <w:gridCol w:w="3073"/>
              <w:gridCol w:w="1095"/>
              <w:gridCol w:w="1055"/>
            </w:tblGrid>
            <w:tr w14:paraId="2017C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2755" w:type="dxa"/>
                  <w:tcBorders>
                    <w:tl2br w:val="nil"/>
                    <w:tr2bl w:val="nil"/>
                  </w:tcBorders>
                  <w:vAlign w:val="top"/>
                  <mc:AlternateContent>
                    <mc:Choice Requires="wpsCustomData">
                      <wpsCustomData:diagonals>
                        <wpsCustomData:diagonal from="10000" to="30000">
                          <wpsCustomData:border w:val="single" w:color="000000" w:sz="12" w:space="0"/>
                        </wpsCustomData:diagonal>
                      </wpsCustomData:diagonals>
                    </mc:Choice>
                  </mc:AlternateContent>
                </w:tcPr>
                <w:p w14:paraId="6B5D064D">
                  <w:pPr>
                    <w:pStyle w:val="195"/>
                    <w:snapToGrid w:val="0"/>
                    <w:spacing w:before="64" w:line="240" w:lineRule="auto"/>
                    <w:rPr>
                      <w:rFonts w:hint="default" w:ascii="Times New Roman" w:hAnsi="Times New Roman" w:cs="Times New Roman"/>
                      <w:b/>
                      <w:bCs/>
                      <w:color w:val="auto"/>
                      <w:sz w:val="21"/>
                      <w:szCs w:val="21"/>
                      <w:highlight w:val="none"/>
                      <w:lang w:eastAsia="zh-CN"/>
                    </w:rPr>
                  </w:pPr>
                </w:p>
                <w:p w14:paraId="4F0CA9BD">
                  <w:pPr>
                    <w:pStyle w:val="195"/>
                    <w:snapToGrid w:val="0"/>
                    <w:spacing w:before="64" w:line="240" w:lineRule="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项目类别</w:t>
                  </w:r>
                </w:p>
                <w:p w14:paraId="3B400D2B">
                  <w:pPr>
                    <w:pStyle w:val="195"/>
                    <w:spacing w:before="86" w:line="240" w:lineRule="auto"/>
                    <w:rPr>
                      <w:rFonts w:hint="default" w:ascii="Times New Roman" w:hAnsi="Times New Roman" w:cs="Times New Roman"/>
                      <w:b/>
                      <w:bCs/>
                      <w:color w:val="auto"/>
                      <w:spacing w:val="8"/>
                      <w:sz w:val="21"/>
                      <w:szCs w:val="21"/>
                      <w:highlight w:val="none"/>
                    </w:rPr>
                  </w:pPr>
                  <w:r>
                    <w:rPr>
                      <w:rFonts w:hint="default" w:ascii="Times New Roman" w:hAnsi="Times New Roman" w:cs="Times New Roman"/>
                      <w:b/>
                      <w:bCs/>
                      <w:color w:val="auto"/>
                      <w:spacing w:val="8"/>
                      <w:sz w:val="21"/>
                      <w:szCs w:val="21"/>
                      <w:highlight w:val="none"/>
                    </w:rPr>
                    <w:t>环评类别</w:t>
                  </w:r>
                </w:p>
              </w:tc>
              <w:tc>
                <w:tcPr>
                  <w:tcW w:w="3073" w:type="dxa"/>
                  <w:tcBorders>
                    <w:tl2br w:val="nil"/>
                    <w:tr2bl w:val="nil"/>
                  </w:tcBorders>
                  <w:vAlign w:val="center"/>
                </w:tcPr>
                <w:p w14:paraId="1DD97147">
                  <w:pPr>
                    <w:pStyle w:val="195"/>
                    <w:spacing w:before="65" w:line="240" w:lineRule="auto"/>
                    <w:ind w:left="170"/>
                    <w:jc w:val="center"/>
                    <w:rPr>
                      <w:rFonts w:hint="default" w:ascii="Times New Roman" w:hAnsi="Times New Roman" w:cs="Times New Roman"/>
                      <w:b/>
                      <w:bCs/>
                      <w:color w:val="auto"/>
                      <w:spacing w:val="5"/>
                      <w:sz w:val="21"/>
                      <w:szCs w:val="21"/>
                      <w:highlight w:val="none"/>
                    </w:rPr>
                  </w:pPr>
                  <w:r>
                    <w:rPr>
                      <w:rFonts w:hint="default" w:ascii="Times New Roman" w:hAnsi="Times New Roman" w:cs="Times New Roman"/>
                      <w:b/>
                      <w:bCs/>
                      <w:color w:val="auto"/>
                      <w:spacing w:val="5"/>
                      <w:sz w:val="21"/>
                      <w:szCs w:val="21"/>
                      <w:highlight w:val="none"/>
                    </w:rPr>
                    <w:t>报告书</w:t>
                  </w:r>
                </w:p>
              </w:tc>
              <w:tc>
                <w:tcPr>
                  <w:tcW w:w="1095" w:type="dxa"/>
                  <w:tcBorders>
                    <w:tl2br w:val="nil"/>
                    <w:tr2bl w:val="nil"/>
                  </w:tcBorders>
                  <w:vAlign w:val="center"/>
                </w:tcPr>
                <w:p w14:paraId="04800AC4">
                  <w:pPr>
                    <w:pStyle w:val="195"/>
                    <w:spacing w:before="65" w:line="240" w:lineRule="auto"/>
                    <w:ind w:left="170"/>
                    <w:jc w:val="center"/>
                    <w:rPr>
                      <w:rFonts w:hint="default" w:ascii="Times New Roman" w:hAnsi="Times New Roman" w:cs="Times New Roman"/>
                      <w:b/>
                      <w:bCs/>
                      <w:color w:val="auto"/>
                      <w:spacing w:val="5"/>
                      <w:sz w:val="21"/>
                      <w:szCs w:val="21"/>
                      <w:highlight w:val="none"/>
                    </w:rPr>
                  </w:pPr>
                  <w:r>
                    <w:rPr>
                      <w:rFonts w:hint="default" w:ascii="Times New Roman" w:hAnsi="Times New Roman" w:cs="Times New Roman"/>
                      <w:b/>
                      <w:bCs/>
                      <w:color w:val="auto"/>
                      <w:spacing w:val="5"/>
                      <w:sz w:val="21"/>
                      <w:szCs w:val="21"/>
                      <w:highlight w:val="none"/>
                    </w:rPr>
                    <w:t>报告表</w:t>
                  </w:r>
                </w:p>
              </w:tc>
              <w:tc>
                <w:tcPr>
                  <w:tcW w:w="1055" w:type="dxa"/>
                  <w:tcBorders>
                    <w:tl2br w:val="nil"/>
                    <w:tr2bl w:val="nil"/>
                  </w:tcBorders>
                  <w:vAlign w:val="center"/>
                </w:tcPr>
                <w:p w14:paraId="5CC129BF">
                  <w:pPr>
                    <w:pStyle w:val="195"/>
                    <w:spacing w:before="65" w:line="240" w:lineRule="auto"/>
                    <w:ind w:left="170"/>
                    <w:jc w:val="center"/>
                    <w:rPr>
                      <w:rFonts w:hint="default" w:ascii="Times New Roman" w:hAnsi="Times New Roman" w:cs="Times New Roman"/>
                      <w:b/>
                      <w:bCs/>
                      <w:color w:val="auto"/>
                      <w:spacing w:val="5"/>
                      <w:sz w:val="21"/>
                      <w:szCs w:val="21"/>
                      <w:highlight w:val="none"/>
                    </w:rPr>
                  </w:pPr>
                  <w:r>
                    <w:rPr>
                      <w:rFonts w:hint="default" w:ascii="Times New Roman" w:hAnsi="Times New Roman" w:cs="Times New Roman"/>
                      <w:b/>
                      <w:bCs/>
                      <w:color w:val="auto"/>
                      <w:spacing w:val="5"/>
                      <w:sz w:val="21"/>
                      <w:szCs w:val="21"/>
                      <w:highlight w:val="none"/>
                    </w:rPr>
                    <w:t>登记表</w:t>
                  </w:r>
                </w:p>
              </w:tc>
            </w:tr>
            <w:tr w14:paraId="2111E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7978" w:type="dxa"/>
                  <w:gridSpan w:val="4"/>
                  <w:tcBorders>
                    <w:tl2br w:val="nil"/>
                    <w:tr2bl w:val="nil"/>
                  </w:tcBorders>
                  <w:vAlign w:val="top"/>
                </w:tcPr>
                <w:p w14:paraId="219B8CE6">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四十七、生态保护和环境治理业</w:t>
                  </w:r>
                </w:p>
              </w:tc>
            </w:tr>
            <w:tr w14:paraId="5E6A4D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2755" w:type="dxa"/>
                  <w:tcBorders>
                    <w:tl2br w:val="nil"/>
                    <w:tr2bl w:val="nil"/>
                  </w:tcBorders>
                  <w:vAlign w:val="top"/>
                </w:tcPr>
                <w:p w14:paraId="494F5BB8">
                  <w:pPr>
                    <w:pStyle w:val="195"/>
                    <w:spacing w:before="209" w:line="240" w:lineRule="auto"/>
                    <w:ind w:left="661" w:right="157" w:hanging="482"/>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101</w:t>
                  </w:r>
                  <w:r>
                    <w:rPr>
                      <w:rFonts w:hint="default" w:ascii="Times New Roman" w:hAnsi="Times New Roman" w:cs="Times New Roman"/>
                      <w:color w:val="auto"/>
                      <w:spacing w:val="6"/>
                      <w:sz w:val="21"/>
                      <w:szCs w:val="21"/>
                      <w:highlight w:val="none"/>
                    </w:rPr>
                    <w:t>危险废物（不含医疗废</w:t>
                  </w:r>
                  <w:r>
                    <w:rPr>
                      <w:rFonts w:hint="default" w:ascii="Times New Roman" w:hAnsi="Times New Roman" w:cs="Times New Roman"/>
                      <w:color w:val="auto"/>
                      <w:spacing w:val="8"/>
                      <w:sz w:val="21"/>
                      <w:szCs w:val="21"/>
                      <w:highlight w:val="none"/>
                    </w:rPr>
                    <w:t>物）利用及处置</w:t>
                  </w:r>
                </w:p>
              </w:tc>
              <w:tc>
                <w:tcPr>
                  <w:tcW w:w="3073" w:type="dxa"/>
                  <w:tcBorders>
                    <w:tl2br w:val="nil"/>
                    <w:tr2bl w:val="nil"/>
                  </w:tcBorders>
                  <w:vAlign w:val="top"/>
                </w:tcPr>
                <w:p w14:paraId="73839A48">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危险废物利用及处置（产生单位内部回收再利用的除外；单纯收集、贮存的除外）</w:t>
                  </w:r>
                </w:p>
              </w:tc>
              <w:tc>
                <w:tcPr>
                  <w:tcW w:w="1095" w:type="dxa"/>
                  <w:tcBorders>
                    <w:tl2br w:val="nil"/>
                    <w:tr2bl w:val="nil"/>
                  </w:tcBorders>
                  <w:vAlign w:val="top"/>
                </w:tcPr>
                <w:p w14:paraId="1839B059">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其他</w:t>
                  </w:r>
                </w:p>
              </w:tc>
              <w:tc>
                <w:tcPr>
                  <w:tcW w:w="1055" w:type="dxa"/>
                  <w:tcBorders>
                    <w:tl2br w:val="nil"/>
                    <w:tr2bl w:val="nil"/>
                  </w:tcBorders>
                  <w:vAlign w:val="top"/>
                </w:tcPr>
                <w:p w14:paraId="3CA8ECF7">
                  <w:pPr>
                    <w:pStyle w:val="195"/>
                    <w:spacing w:before="65" w:line="240" w:lineRule="auto"/>
                    <w:ind w:left="170"/>
                    <w:rPr>
                      <w:rFonts w:hint="default" w:ascii="Times New Roman" w:hAnsi="Times New Roman" w:cs="Times New Roman"/>
                      <w:color w:val="auto"/>
                      <w:spacing w:val="5"/>
                      <w:sz w:val="21"/>
                      <w:szCs w:val="21"/>
                      <w:highlight w:val="none"/>
                    </w:rPr>
                  </w:pPr>
                  <w:r>
                    <w:rPr>
                      <w:rFonts w:hint="default" w:ascii="Times New Roman" w:hAnsi="Times New Roman" w:cs="Times New Roman"/>
                      <w:color w:val="auto"/>
                      <w:spacing w:val="5"/>
                      <w:sz w:val="21"/>
                      <w:szCs w:val="21"/>
                      <w:highlight w:val="none"/>
                    </w:rPr>
                    <w:t>/</w:t>
                  </w:r>
                </w:p>
              </w:tc>
            </w:tr>
            <w:tr w14:paraId="2301C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978" w:type="dxa"/>
                  <w:gridSpan w:val="4"/>
                  <w:tcBorders>
                    <w:tl2br w:val="nil"/>
                    <w:tr2bl w:val="nil"/>
                  </w:tcBorders>
                  <w:vAlign w:val="top"/>
                </w:tcPr>
                <w:p w14:paraId="5B1B4854">
                  <w:pPr>
                    <w:pStyle w:val="195"/>
                    <w:spacing w:before="57" w:line="240" w:lineRule="auto"/>
                    <w:ind w:left="117"/>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备注：本项目为危险废物仓储贮存，不涉及医疗废物。</w:t>
                  </w:r>
                </w:p>
              </w:tc>
            </w:tr>
          </w:tbl>
          <w:p w14:paraId="50FFE7FA">
            <w:pPr>
              <w:widowControl/>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项目概况</w:t>
            </w:r>
          </w:p>
          <w:p w14:paraId="1ADE7029">
            <w:pPr>
              <w:wordWrap w:val="0"/>
              <w:spacing w:line="360" w:lineRule="auto"/>
              <w:ind w:firstLine="468" w:firstLineChars="200"/>
              <w:rPr>
                <w:rFonts w:hint="default" w:ascii="Times New Roman" w:hAnsi="Times New Roman" w:cs="Times New Roman"/>
                <w:color w:val="auto"/>
                <w:spacing w:val="-3"/>
                <w:sz w:val="24"/>
                <w:szCs w:val="24"/>
                <w:highlight w:val="none"/>
                <w:lang w:val="zh-CN" w:bidi="zh-CN"/>
              </w:rPr>
            </w:pPr>
            <w:r>
              <w:rPr>
                <w:rFonts w:hint="default" w:ascii="Times New Roman" w:hAnsi="Times New Roman" w:cs="Times New Roman"/>
                <w:color w:val="auto"/>
                <w:spacing w:val="-3"/>
                <w:sz w:val="24"/>
                <w:szCs w:val="24"/>
                <w:highlight w:val="none"/>
                <w:lang w:val="zh-CN" w:bidi="zh-CN"/>
              </w:rPr>
              <w:t>（</w:t>
            </w:r>
            <w:r>
              <w:rPr>
                <w:rFonts w:hint="default" w:ascii="Times New Roman" w:hAnsi="Times New Roman" w:cs="Times New Roman"/>
                <w:color w:val="auto"/>
                <w:spacing w:val="-3"/>
                <w:sz w:val="24"/>
                <w:szCs w:val="24"/>
                <w:highlight w:val="none"/>
                <w:lang w:bidi="zh-CN"/>
              </w:rPr>
              <w:t>1</w:t>
            </w:r>
            <w:r>
              <w:rPr>
                <w:rFonts w:hint="default" w:ascii="Times New Roman" w:hAnsi="Times New Roman" w:cs="Times New Roman"/>
                <w:color w:val="auto"/>
                <w:spacing w:val="-3"/>
                <w:sz w:val="24"/>
                <w:szCs w:val="24"/>
                <w:highlight w:val="none"/>
                <w:lang w:val="zh-CN" w:bidi="zh-CN"/>
              </w:rPr>
              <w:t>）项目名称：</w:t>
            </w:r>
            <w:r>
              <w:rPr>
                <w:rFonts w:hint="default" w:ascii="Times New Roman" w:hAnsi="Times New Roman" w:cs="Times New Roman"/>
                <w:color w:val="auto"/>
                <w:spacing w:val="-3"/>
                <w:sz w:val="24"/>
                <w:szCs w:val="24"/>
                <w:highlight w:val="none"/>
                <w:lang w:bidi="zh-CN"/>
              </w:rPr>
              <w:t>危险废物收集、贮存建设项目</w:t>
            </w:r>
          </w:p>
          <w:p w14:paraId="548374DA">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（2）建设单位：</w:t>
            </w:r>
            <w:r>
              <w:rPr>
                <w:rFonts w:hint="default" w:ascii="Times New Roman" w:hAnsi="Times New Roman" w:cs="Times New Roman"/>
                <w:color w:val="auto"/>
                <w:sz w:val="24"/>
                <w:szCs w:val="24"/>
                <w:highlight w:val="none"/>
                <w:lang w:eastAsia="zh-CN"/>
              </w:rPr>
              <w:t>陕西宝鸡恒兴石化科技有限公司</w:t>
            </w:r>
          </w:p>
          <w:p w14:paraId="45214D34">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（3）建设性质：</w:t>
            </w:r>
            <w:r>
              <w:rPr>
                <w:rFonts w:hint="default" w:ascii="Times New Roman" w:hAnsi="Times New Roman" w:cs="Times New Roman"/>
                <w:color w:val="auto"/>
                <w:sz w:val="24"/>
                <w:szCs w:val="24"/>
                <w:highlight w:val="none"/>
                <w:lang w:eastAsia="zh-CN"/>
              </w:rPr>
              <w:t>扩建</w:t>
            </w:r>
          </w:p>
          <w:p w14:paraId="59CD8702">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（4）建设地点：本项目位于</w:t>
            </w:r>
            <w:r>
              <w:rPr>
                <w:rFonts w:hint="default" w:ascii="Times New Roman" w:hAnsi="Times New Roman" w:cs="Times New Roman"/>
                <w:color w:val="auto"/>
                <w:sz w:val="24"/>
                <w:szCs w:val="24"/>
                <w:highlight w:val="none"/>
                <w:lang w:eastAsia="zh-CN"/>
              </w:rPr>
              <w:t>宝鸡市凤翔县高新区长青工业园内</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中心点地理坐标为</w:t>
            </w:r>
            <w:r>
              <w:rPr>
                <w:rFonts w:hint="eastAsia"/>
                <w:color w:val="auto"/>
                <w:sz w:val="24"/>
                <w:szCs w:val="24"/>
                <w:highlight w:val="none"/>
              </w:rPr>
              <w:t>N34°28'0.</w:t>
            </w:r>
            <w:r>
              <w:rPr>
                <w:rFonts w:hint="eastAsia"/>
                <w:color w:val="auto"/>
                <w:sz w:val="24"/>
                <w:szCs w:val="24"/>
                <w:highlight w:val="none"/>
                <w:lang w:val="en-US" w:eastAsia="zh-CN"/>
              </w:rPr>
              <w:t>537</w:t>
            </w:r>
            <w:r>
              <w:rPr>
                <w:rFonts w:hint="eastAsia"/>
                <w:color w:val="auto"/>
                <w:sz w:val="24"/>
                <w:szCs w:val="24"/>
                <w:highlight w:val="none"/>
              </w:rPr>
              <w:t>"，E107°16'</w:t>
            </w:r>
            <w:r>
              <w:rPr>
                <w:rFonts w:hint="eastAsia"/>
                <w:color w:val="auto"/>
                <w:sz w:val="24"/>
                <w:szCs w:val="24"/>
                <w:highlight w:val="none"/>
                <w:lang w:val="en-US" w:eastAsia="zh-CN"/>
              </w:rPr>
              <w:t>3.695</w:t>
            </w:r>
            <w:r>
              <w:rPr>
                <w:rFonts w:hint="eastAsia"/>
                <w:color w:val="auto"/>
                <w:sz w:val="24"/>
                <w:szCs w:val="24"/>
                <w:highlight w:val="none"/>
              </w:rPr>
              <w:t>"，</w:t>
            </w:r>
            <w:r>
              <w:rPr>
                <w:rFonts w:hint="default" w:ascii="Times New Roman" w:hAnsi="Times New Roman" w:cs="Times New Roman"/>
                <w:color w:val="auto"/>
                <w:sz w:val="24"/>
                <w:szCs w:val="24"/>
                <w:highlight w:val="none"/>
              </w:rPr>
              <w:t>地理位置详见附图1。</w:t>
            </w:r>
          </w:p>
          <w:p w14:paraId="480D3663">
            <w:pPr>
              <w:spacing w:line="360" w:lineRule="auto"/>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lang w:val="zh-TW"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zh-TW" w:eastAsia="zh-CN"/>
              </w:rPr>
              <w:t>）规模：</w:t>
            </w:r>
            <w:r>
              <w:rPr>
                <w:rFonts w:hint="default" w:ascii="Times New Roman" w:hAnsi="Times New Roman" w:cs="Times New Roman"/>
                <w:color w:val="auto"/>
                <w:sz w:val="24"/>
                <w:highlight w:val="none"/>
                <w:lang w:val="zh-TW" w:eastAsia="zh-CN"/>
              </w:rPr>
              <w:t>本项目扩建完成后</w:t>
            </w:r>
            <w:r>
              <w:rPr>
                <w:rFonts w:hint="eastAsia" w:cs="Times New Roman"/>
                <w:color w:val="auto"/>
                <w:sz w:val="24"/>
                <w:highlight w:val="none"/>
                <w:lang w:val="en-US" w:eastAsia="zh-CN"/>
              </w:rPr>
              <w:t>新增40</w:t>
            </w:r>
            <w:r>
              <w:rPr>
                <w:rFonts w:hint="default" w:ascii="Times New Roman" w:hAnsi="Times New Roman" w:cs="Times New Roman"/>
                <w:color w:val="auto"/>
                <w:sz w:val="24"/>
                <w:highlight w:val="none"/>
                <w:lang w:val="zh-TW" w:eastAsia="zh-CN"/>
              </w:rPr>
              <w:t>大类危险废物集中收集、贮存、转用，项目年</w:t>
            </w:r>
            <w:r>
              <w:rPr>
                <w:rFonts w:hint="eastAsia" w:cs="Times New Roman"/>
                <w:color w:val="auto"/>
                <w:sz w:val="24"/>
                <w:highlight w:val="none"/>
                <w:lang w:val="zh-TW" w:eastAsia="zh-CN"/>
              </w:rPr>
              <w:t>收集、贮存</w:t>
            </w:r>
            <w:r>
              <w:rPr>
                <w:rFonts w:hint="default" w:ascii="Times New Roman" w:hAnsi="Times New Roman" w:cs="Times New Roman"/>
                <w:color w:val="auto"/>
                <w:sz w:val="24"/>
                <w:highlight w:val="none"/>
                <w:lang w:val="zh-TW" w:eastAsia="zh-CN"/>
              </w:rPr>
              <w:t>中转危险废物量为</w:t>
            </w:r>
            <w:r>
              <w:rPr>
                <w:rFonts w:hint="eastAsia" w:cs="Times New Roman"/>
                <w:color w:val="auto"/>
                <w:sz w:val="24"/>
                <w:highlight w:val="none"/>
                <w:lang w:val="en-US" w:eastAsia="zh-CN"/>
              </w:rPr>
              <w:t>7700</w:t>
            </w:r>
            <w:r>
              <w:rPr>
                <w:rFonts w:hint="default" w:ascii="Times New Roman" w:hAnsi="Times New Roman" w:cs="Times New Roman"/>
                <w:color w:val="auto"/>
                <w:sz w:val="24"/>
                <w:highlight w:val="none"/>
                <w:lang w:val="zh-TW" w:eastAsia="zh-CN"/>
              </w:rPr>
              <w:t>吨，具体中转和暂存的危险废物类别以生态环境部门核发的危险废物收集经营许可证为准，危险废物运输不涉及跨省转移情形。</w:t>
            </w:r>
          </w:p>
          <w:p w14:paraId="207A44C2">
            <w:pPr>
              <w:widowControl/>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建设工程内容及规模</w:t>
            </w:r>
          </w:p>
          <w:p w14:paraId="1686ED7F">
            <w:pPr>
              <w:pStyle w:val="128"/>
              <w:spacing w:line="360" w:lineRule="auto"/>
              <w:ind w:firstLine="480"/>
              <w:jc w:val="both"/>
              <w:rPr>
                <w:rFonts w:hint="default" w:ascii="Times New Roman" w:hAnsi="Times New Roman" w:cs="Times New Roman"/>
                <w:bCs/>
                <w:color w:val="auto"/>
                <w:sz w:val="24"/>
                <w:szCs w:val="24"/>
                <w:highlight w:val="none"/>
                <w:lang w:eastAsia="zh-CN"/>
              </w:rPr>
            </w:pPr>
            <w:r>
              <w:rPr>
                <w:rFonts w:hint="default" w:ascii="Times New Roman" w:hAnsi="Times New Roman" w:cs="Times New Roman"/>
                <w:b w:val="0"/>
                <w:bCs w:val="0"/>
                <w:color w:val="auto"/>
                <w:spacing w:val="-1"/>
                <w:kern w:val="0"/>
                <w:sz w:val="24"/>
                <w:szCs w:val="24"/>
                <w:highlight w:val="none"/>
                <w:lang w:eastAsia="zh-CN"/>
              </w:rPr>
              <w:t>本项目在原有厂区内进行扩建，不新增</w:t>
            </w:r>
            <w:r>
              <w:rPr>
                <w:rFonts w:hint="eastAsia" w:ascii="Times New Roman" w:hAnsi="Times New Roman" w:cs="Times New Roman"/>
                <w:b w:val="0"/>
                <w:bCs w:val="0"/>
                <w:color w:val="auto"/>
                <w:spacing w:val="-1"/>
                <w:kern w:val="0"/>
                <w:sz w:val="24"/>
                <w:szCs w:val="24"/>
                <w:highlight w:val="none"/>
                <w:lang w:eastAsia="zh-CN"/>
              </w:rPr>
              <w:t>厂区</w:t>
            </w:r>
            <w:r>
              <w:rPr>
                <w:rFonts w:hint="default" w:ascii="Times New Roman" w:hAnsi="Times New Roman" w:cs="Times New Roman"/>
                <w:b w:val="0"/>
                <w:bCs w:val="0"/>
                <w:color w:val="auto"/>
                <w:spacing w:val="-1"/>
                <w:kern w:val="0"/>
                <w:sz w:val="24"/>
                <w:szCs w:val="24"/>
                <w:highlight w:val="none"/>
                <w:lang w:eastAsia="zh-CN"/>
              </w:rPr>
              <w:t>占地面积</w:t>
            </w:r>
            <w:r>
              <w:rPr>
                <w:rFonts w:hint="eastAsia" w:ascii="Times New Roman" w:hAnsi="Times New Roman" w:cs="Times New Roman"/>
                <w:b w:val="0"/>
                <w:bCs w:val="0"/>
                <w:color w:val="auto"/>
                <w:spacing w:val="-1"/>
                <w:kern w:val="0"/>
                <w:sz w:val="24"/>
                <w:szCs w:val="24"/>
                <w:highlight w:val="none"/>
                <w:lang w:eastAsia="zh-CN"/>
              </w:rPr>
              <w:t>。</w:t>
            </w:r>
            <w:r>
              <w:rPr>
                <w:rFonts w:hint="default" w:ascii="Times New Roman" w:hAnsi="Times New Roman" w:eastAsia="宋体" w:cs="Times New Roman"/>
                <w:b w:val="0"/>
                <w:bCs w:val="0"/>
                <w:color w:val="auto"/>
                <w:spacing w:val="-1"/>
                <w:kern w:val="0"/>
                <w:sz w:val="24"/>
                <w:szCs w:val="24"/>
                <w:highlight w:val="none"/>
              </w:rPr>
              <w:t>本</w:t>
            </w:r>
            <w:r>
              <w:rPr>
                <w:rFonts w:hint="default" w:ascii="Times New Roman" w:hAnsi="Times New Roman" w:cs="Times New Roman"/>
                <w:b w:val="0"/>
                <w:bCs w:val="0"/>
                <w:color w:val="auto"/>
                <w:spacing w:val="-1"/>
                <w:kern w:val="0"/>
                <w:sz w:val="24"/>
                <w:szCs w:val="24"/>
                <w:highlight w:val="none"/>
                <w:lang w:eastAsia="zh-CN"/>
              </w:rPr>
              <w:t>次</w:t>
            </w:r>
            <w:r>
              <w:rPr>
                <w:rFonts w:hint="default" w:ascii="Times New Roman" w:hAnsi="Times New Roman" w:eastAsia="宋体" w:cs="Times New Roman"/>
                <w:b w:val="0"/>
                <w:bCs w:val="0"/>
                <w:color w:val="auto"/>
                <w:spacing w:val="-1"/>
                <w:kern w:val="0"/>
                <w:sz w:val="24"/>
                <w:szCs w:val="24"/>
                <w:highlight w:val="none"/>
              </w:rPr>
              <w:t>扩建</w:t>
            </w:r>
            <w:r>
              <w:rPr>
                <w:rFonts w:hint="eastAsia" w:ascii="Times New Roman" w:hAnsi="Times New Roman" w:cs="Times New Roman"/>
                <w:b w:val="0"/>
                <w:bCs w:val="0"/>
                <w:color w:val="auto"/>
                <w:spacing w:val="-1"/>
                <w:kern w:val="0"/>
                <w:sz w:val="24"/>
                <w:szCs w:val="24"/>
                <w:highlight w:val="none"/>
                <w:lang w:eastAsia="zh-CN"/>
              </w:rPr>
              <w:t>将厂区</w:t>
            </w:r>
            <w:r>
              <w:rPr>
                <w:rFonts w:hint="default" w:ascii="Times New Roman" w:hAnsi="Times New Roman" w:cs="Times New Roman"/>
                <w:b w:val="0"/>
                <w:bCs w:val="0"/>
                <w:color w:val="auto"/>
                <w:spacing w:val="-1"/>
                <w:kern w:val="0"/>
                <w:sz w:val="24"/>
                <w:szCs w:val="24"/>
                <w:highlight w:val="none"/>
                <w:lang w:eastAsia="zh-CN"/>
              </w:rPr>
              <w:t>入口处东侧</w:t>
            </w:r>
            <w:r>
              <w:rPr>
                <w:rFonts w:hint="eastAsia" w:ascii="Times New Roman" w:hAnsi="Times New Roman" w:cs="Times New Roman"/>
                <w:b w:val="0"/>
                <w:bCs w:val="0"/>
                <w:color w:val="auto"/>
                <w:spacing w:val="-1"/>
                <w:kern w:val="0"/>
                <w:sz w:val="24"/>
                <w:szCs w:val="24"/>
                <w:highlight w:val="none"/>
                <w:lang w:eastAsia="zh-CN"/>
              </w:rPr>
              <w:t>原固废堆放库进行提级改造，改造为标准化危险废物暂存库房1座，重新建设高压配电室</w:t>
            </w:r>
            <w:r>
              <w:rPr>
                <w:rFonts w:hint="eastAsia" w:ascii="Times New Roman" w:hAnsi="Times New Roman" w:cs="Times New Roman"/>
                <w:b w:val="0"/>
                <w:bCs w:val="0"/>
                <w:color w:val="auto"/>
                <w:spacing w:val="-1"/>
                <w:kern w:val="0"/>
                <w:sz w:val="24"/>
                <w:szCs w:val="24"/>
                <w:highlight w:val="none"/>
                <w:lang w:val="en-US" w:eastAsia="zh-CN"/>
              </w:rPr>
              <w:t>1间</w:t>
            </w:r>
            <w:r>
              <w:rPr>
                <w:rFonts w:hint="eastAsia" w:ascii="Times New Roman" w:hAnsi="Times New Roman" w:cs="Times New Roman"/>
                <w:b w:val="0"/>
                <w:bCs w:val="0"/>
                <w:color w:val="auto"/>
                <w:spacing w:val="-1"/>
                <w:kern w:val="0"/>
                <w:sz w:val="24"/>
                <w:szCs w:val="24"/>
                <w:highlight w:val="none"/>
                <w:lang w:eastAsia="zh-CN"/>
              </w:rPr>
              <w:t>，其中危废贮存库为</w:t>
            </w:r>
            <w:r>
              <w:rPr>
                <w:rFonts w:hint="eastAsia" w:ascii="Times New Roman" w:hAnsi="Times New Roman" w:cs="Times New Roman"/>
                <w:b w:val="0"/>
                <w:bCs w:val="0"/>
                <w:color w:val="auto"/>
                <w:spacing w:val="-1"/>
                <w:kern w:val="0"/>
                <w:sz w:val="24"/>
                <w:szCs w:val="24"/>
                <w:highlight w:val="none"/>
                <w:lang w:val="en-US" w:eastAsia="zh-CN"/>
              </w:rPr>
              <w:t>2层钢结构建筑，1层内部依次由东向西</w:t>
            </w:r>
            <w:r>
              <w:rPr>
                <w:rFonts w:hint="eastAsia" w:ascii="Times New Roman" w:hAnsi="Times New Roman" w:cs="Times New Roman"/>
                <w:b w:val="0"/>
                <w:bCs w:val="0"/>
                <w:color w:val="auto"/>
                <w:spacing w:val="-1"/>
                <w:kern w:val="0"/>
                <w:sz w:val="24"/>
                <w:szCs w:val="24"/>
                <w:highlight w:val="none"/>
                <w:lang w:eastAsia="zh-CN"/>
              </w:rPr>
              <w:t>设置独立封闭贮存间，贮存不同类别的危险废物，并配套建设相应的环保设施，</w:t>
            </w:r>
            <w:r>
              <w:rPr>
                <w:rFonts w:hint="eastAsia" w:ascii="Times New Roman" w:hAnsi="Times New Roman" w:cs="Times New Roman"/>
                <w:b w:val="0"/>
                <w:bCs w:val="0"/>
                <w:color w:val="auto"/>
                <w:spacing w:val="-1"/>
                <w:kern w:val="0"/>
                <w:sz w:val="24"/>
                <w:szCs w:val="24"/>
                <w:highlight w:val="none"/>
                <w:lang w:val="en-US" w:eastAsia="zh-CN"/>
              </w:rPr>
              <w:t>2层主要为包装材料存放库</w:t>
            </w:r>
            <w:r>
              <w:rPr>
                <w:rFonts w:hint="eastAsia" w:ascii="Times New Roman" w:hAnsi="Times New Roman" w:cs="Times New Roman"/>
                <w:b w:val="0"/>
                <w:bCs w:val="0"/>
                <w:color w:val="auto"/>
                <w:spacing w:val="-1"/>
                <w:kern w:val="0"/>
                <w:sz w:val="24"/>
                <w:szCs w:val="24"/>
                <w:highlight w:val="none"/>
                <w:lang w:eastAsia="zh-CN"/>
              </w:rPr>
              <w:t>。总建筑</w:t>
            </w:r>
            <w:r>
              <w:rPr>
                <w:rFonts w:hint="default" w:ascii="Times New Roman" w:hAnsi="Times New Roman" w:cs="Times New Roman"/>
                <w:b w:val="0"/>
                <w:bCs w:val="0"/>
                <w:color w:val="auto"/>
                <w:spacing w:val="-1"/>
                <w:kern w:val="0"/>
                <w:sz w:val="24"/>
                <w:szCs w:val="24"/>
                <w:highlight w:val="none"/>
                <w:lang w:eastAsia="zh-CN"/>
              </w:rPr>
              <w:t>面积</w:t>
            </w:r>
            <w:r>
              <w:rPr>
                <w:rFonts w:hint="default" w:ascii="Times New Roman" w:hAnsi="Times New Roman" w:eastAsia="宋体" w:cs="Times New Roman"/>
                <w:b w:val="0"/>
                <w:bCs w:val="0"/>
                <w:color w:val="auto"/>
                <w:spacing w:val="-1"/>
                <w:kern w:val="0"/>
                <w:sz w:val="24"/>
                <w:szCs w:val="24"/>
                <w:highlight w:val="none"/>
              </w:rPr>
              <w:t>约</w:t>
            </w:r>
            <w:r>
              <w:rPr>
                <w:rFonts w:hint="eastAsia" w:ascii="Times New Roman" w:hAnsi="Times New Roman" w:cs="Times New Roman"/>
                <w:b w:val="0"/>
                <w:bCs w:val="0"/>
                <w:color w:val="auto"/>
                <w:spacing w:val="-1"/>
                <w:kern w:val="0"/>
                <w:sz w:val="24"/>
                <w:szCs w:val="24"/>
                <w:highlight w:val="none"/>
                <w:lang w:val="en-US" w:eastAsia="zh-CN"/>
              </w:rPr>
              <w:t>1668.26</w:t>
            </w:r>
            <w:r>
              <w:rPr>
                <w:rFonts w:hint="default" w:ascii="Times New Roman" w:hAnsi="Times New Roman" w:eastAsia="宋体" w:cs="Times New Roman"/>
                <w:b w:val="0"/>
                <w:bCs w:val="0"/>
                <w:color w:val="auto"/>
                <w:spacing w:val="-1"/>
                <w:kern w:val="0"/>
                <w:sz w:val="24"/>
                <w:szCs w:val="24"/>
                <w:highlight w:val="none"/>
              </w:rPr>
              <w:t>m</w:t>
            </w:r>
            <w:r>
              <w:rPr>
                <w:rFonts w:hint="default" w:ascii="Times New Roman" w:hAnsi="Times New Roman" w:eastAsia="宋体" w:cs="Times New Roman"/>
                <w:b w:val="0"/>
                <w:bCs w:val="0"/>
                <w:color w:val="auto"/>
                <w:spacing w:val="-1"/>
                <w:kern w:val="0"/>
                <w:sz w:val="24"/>
                <w:szCs w:val="24"/>
                <w:highlight w:val="none"/>
                <w:vertAlign w:val="superscript"/>
              </w:rPr>
              <w:t>2</w:t>
            </w:r>
            <w:r>
              <w:rPr>
                <w:rFonts w:hint="default" w:ascii="Times New Roman" w:hAnsi="Times New Roman" w:cs="Times New Roman"/>
                <w:b w:val="0"/>
                <w:bCs w:val="0"/>
                <w:color w:val="auto"/>
                <w:spacing w:val="-1"/>
                <w:kern w:val="0"/>
                <w:sz w:val="24"/>
                <w:szCs w:val="24"/>
                <w:highlight w:val="none"/>
                <w:vertAlign w:val="baseline"/>
                <w:lang w:eastAsia="zh-CN"/>
              </w:rPr>
              <w:t>，</w:t>
            </w:r>
            <w:r>
              <w:rPr>
                <w:rFonts w:hint="default" w:ascii="Times New Roman" w:hAnsi="Times New Roman" w:eastAsia="宋体" w:cs="Times New Roman"/>
                <w:b w:val="0"/>
                <w:bCs w:val="0"/>
                <w:color w:val="auto"/>
                <w:spacing w:val="-1"/>
                <w:kern w:val="0"/>
                <w:sz w:val="24"/>
                <w:szCs w:val="24"/>
                <w:highlight w:val="none"/>
              </w:rPr>
              <w:t>扩建后的运输工程、辅助工程均依托</w:t>
            </w:r>
            <w:r>
              <w:rPr>
                <w:rFonts w:hint="default" w:ascii="Times New Roman" w:hAnsi="Times New Roman" w:cs="Times New Roman"/>
                <w:b w:val="0"/>
                <w:bCs w:val="0"/>
                <w:color w:val="auto"/>
                <w:spacing w:val="-1"/>
                <w:kern w:val="0"/>
                <w:sz w:val="24"/>
                <w:szCs w:val="24"/>
                <w:highlight w:val="none"/>
                <w:lang w:eastAsia="zh-CN"/>
              </w:rPr>
              <w:t>原有</w:t>
            </w:r>
            <w:r>
              <w:rPr>
                <w:rFonts w:hint="default" w:ascii="Times New Roman" w:hAnsi="Times New Roman" w:eastAsia="宋体" w:cs="Times New Roman"/>
                <w:b w:val="0"/>
                <w:bCs w:val="0"/>
                <w:color w:val="auto"/>
                <w:spacing w:val="-1"/>
                <w:kern w:val="0"/>
                <w:sz w:val="24"/>
                <w:szCs w:val="24"/>
                <w:highlight w:val="none"/>
              </w:rPr>
              <w:t>项目。</w:t>
            </w:r>
            <w:r>
              <w:rPr>
                <w:rFonts w:hint="default" w:ascii="Times New Roman" w:hAnsi="Times New Roman" w:cs="Times New Roman"/>
                <w:color w:val="auto"/>
                <w:spacing w:val="-1"/>
                <w:sz w:val="24"/>
                <w:szCs w:val="24"/>
                <w:highlight w:val="none"/>
                <w:lang w:eastAsia="zh-CN"/>
              </w:rPr>
              <w:t>项目主要建设内容见表2-2。</w:t>
            </w:r>
          </w:p>
          <w:p w14:paraId="49EF3F3E">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表2-2项目组成一览表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405"/>
              <w:gridCol w:w="1117"/>
              <w:gridCol w:w="5017"/>
              <w:gridCol w:w="837"/>
            </w:tblGrid>
            <w:tr w14:paraId="584B4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Align w:val="center"/>
                </w:tcPr>
                <w:p w14:paraId="4592597E">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工程类别</w:t>
                  </w:r>
                </w:p>
              </w:tc>
              <w:tc>
                <w:tcPr>
                  <w:tcW w:w="941" w:type="pct"/>
                  <w:gridSpan w:val="2"/>
                  <w:vAlign w:val="center"/>
                </w:tcPr>
                <w:p w14:paraId="23330974">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工程名称</w:t>
                  </w:r>
                </w:p>
              </w:tc>
              <w:tc>
                <w:tcPr>
                  <w:tcW w:w="3102" w:type="pct"/>
                  <w:vAlign w:val="center"/>
                </w:tcPr>
                <w:p w14:paraId="2EEA61FE">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主要建设内容</w:t>
                  </w:r>
                </w:p>
              </w:tc>
              <w:tc>
                <w:tcPr>
                  <w:tcW w:w="517" w:type="pct"/>
                  <w:vAlign w:val="center"/>
                </w:tcPr>
                <w:p w14:paraId="1933D4DB">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备注</w:t>
                  </w:r>
                </w:p>
              </w:tc>
            </w:tr>
            <w:tr w14:paraId="5FDD0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restart"/>
                  <w:vAlign w:val="center"/>
                </w:tcPr>
                <w:p w14:paraId="6077CF9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w:t>
                  </w:r>
                </w:p>
                <w:p w14:paraId="03225CB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4043" w:type="pct"/>
                  <w:gridSpan w:val="3"/>
                  <w:vAlign w:val="center"/>
                </w:tcPr>
                <w:p w14:paraId="1610DBBE">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新建</w:t>
                  </w:r>
                  <w:r>
                    <w:rPr>
                      <w:rFonts w:hint="eastAsia" w:cs="Times New Roman"/>
                      <w:color w:val="auto"/>
                      <w:highlight w:val="none"/>
                      <w:lang w:val="en-US" w:eastAsia="zh-CN"/>
                    </w:rPr>
                    <w:t>2层</w:t>
                  </w:r>
                  <w:r>
                    <w:rPr>
                      <w:rFonts w:hint="eastAsia" w:cs="Times New Roman"/>
                      <w:color w:val="auto"/>
                      <w:highlight w:val="none"/>
                      <w:lang w:eastAsia="zh-CN"/>
                    </w:rPr>
                    <w:t>危废贮存库，钢结构库房（一座）</w:t>
                  </w:r>
                  <w:r>
                    <w:rPr>
                      <w:rFonts w:hint="default" w:ascii="Times New Roman" w:hAnsi="Times New Roman" w:eastAsia="宋体" w:cs="Times New Roman"/>
                      <w:color w:val="auto"/>
                      <w:highlight w:val="none"/>
                      <w:lang w:val="en-US" w:eastAsia="zh-CN"/>
                    </w:rPr>
                    <w:t>，丙类建筑，耐火等级为二级；占地面积</w:t>
                  </w:r>
                  <w:r>
                    <w:rPr>
                      <w:rFonts w:hint="eastAsia" w:cs="Times New Roman"/>
                      <w:b w:val="0"/>
                      <w:bCs w:val="0"/>
                      <w:color w:val="auto"/>
                      <w:spacing w:val="-1"/>
                      <w:kern w:val="0"/>
                      <w:sz w:val="24"/>
                      <w:szCs w:val="24"/>
                      <w:highlight w:val="none"/>
                      <w:lang w:val="en-US" w:eastAsia="zh-CN"/>
                    </w:rPr>
                    <w:t>834.13</w:t>
                  </w:r>
                  <w:r>
                    <w:rPr>
                      <w:rFonts w:hint="default" w:ascii="Times New Roman" w:hAnsi="Times New Roman" w:eastAsia="宋体" w:cs="Times New Roman"/>
                      <w:b w:val="0"/>
                      <w:bCs w:val="0"/>
                      <w:color w:val="auto"/>
                      <w:spacing w:val="-1"/>
                      <w:kern w:val="0"/>
                      <w:sz w:val="24"/>
                      <w:szCs w:val="24"/>
                      <w:highlight w:val="none"/>
                    </w:rPr>
                    <w:t>m</w:t>
                  </w:r>
                  <w:r>
                    <w:rPr>
                      <w:rFonts w:hint="default" w:ascii="Times New Roman" w:hAnsi="Times New Roman" w:eastAsia="宋体" w:cs="Times New Roman"/>
                      <w:b w:val="0"/>
                      <w:bCs w:val="0"/>
                      <w:color w:val="auto"/>
                      <w:spacing w:val="-1"/>
                      <w:kern w:val="0"/>
                      <w:sz w:val="24"/>
                      <w:szCs w:val="24"/>
                      <w:highlight w:val="none"/>
                      <w:vertAlign w:val="superscript"/>
                    </w:rPr>
                    <w:t>2</w:t>
                  </w:r>
                  <w:r>
                    <w:rPr>
                      <w:rFonts w:hint="default" w:ascii="Times New Roman" w:hAnsi="Times New Roman" w:cs="Times New Roman"/>
                      <w:b w:val="0"/>
                      <w:bCs w:val="0"/>
                      <w:color w:val="auto"/>
                      <w:spacing w:val="-1"/>
                      <w:kern w:val="0"/>
                      <w:sz w:val="24"/>
                      <w:szCs w:val="24"/>
                      <w:highlight w:val="none"/>
                      <w:vertAlign w:val="baseline"/>
                      <w:lang w:eastAsia="zh-CN"/>
                    </w:rPr>
                    <w:t>，</w:t>
                  </w:r>
                  <w:r>
                    <w:rPr>
                      <w:rFonts w:hint="eastAsia" w:cs="Times New Roman"/>
                      <w:color w:val="auto"/>
                      <w:highlight w:val="none"/>
                      <w:lang w:eastAsia="zh-CN"/>
                    </w:rPr>
                    <w:t>建筑面积</w:t>
                  </w:r>
                  <w:r>
                    <w:rPr>
                      <w:rFonts w:hint="eastAsia" w:cs="Times New Roman"/>
                      <w:color w:val="auto"/>
                      <w:highlight w:val="none"/>
                      <w:lang w:val="en-US" w:eastAsia="zh-CN"/>
                    </w:rPr>
                    <w:t>1668.26</w:t>
                  </w:r>
                  <w:r>
                    <w:rPr>
                      <w:rFonts w:hint="default" w:cs="Times New Roman"/>
                      <w:color w:val="auto"/>
                      <w:highlight w:val="none"/>
                      <w:lang w:eastAsia="zh-CN"/>
                    </w:rPr>
                    <w:t>m</w:t>
                  </w:r>
                  <w:r>
                    <w:rPr>
                      <w:rFonts w:hint="default" w:cs="Times New Roman"/>
                      <w:color w:val="auto"/>
                      <w:highlight w:val="none"/>
                      <w:vertAlign w:val="superscript"/>
                      <w:lang w:eastAsia="zh-CN"/>
                    </w:rPr>
                    <w:t>2</w:t>
                  </w:r>
                  <w:r>
                    <w:rPr>
                      <w:rFonts w:hint="default" w:cs="Times New Roman"/>
                      <w:color w:val="auto"/>
                      <w:highlight w:val="none"/>
                      <w:lang w:eastAsia="zh-CN"/>
                    </w:rPr>
                    <w:t>，</w:t>
                  </w:r>
                  <w:r>
                    <w:rPr>
                      <w:rFonts w:hint="default" w:cs="Times New Roman"/>
                      <w:color w:val="auto"/>
                      <w:highlight w:val="none"/>
                      <w:lang w:val="en-US" w:eastAsia="zh-CN"/>
                    </w:rPr>
                    <w:t>库房整体为</w:t>
                  </w:r>
                  <w:r>
                    <w:rPr>
                      <w:rFonts w:hint="eastAsia" w:cs="Times New Roman"/>
                      <w:color w:val="auto"/>
                      <w:highlight w:val="none"/>
                      <w:lang w:val="en-US" w:eastAsia="zh-CN"/>
                    </w:rPr>
                    <w:t>全封闭</w:t>
                  </w:r>
                  <w:r>
                    <w:rPr>
                      <w:rFonts w:hint="default" w:cs="Times New Roman"/>
                      <w:color w:val="auto"/>
                      <w:highlight w:val="none"/>
                      <w:lang w:val="en-US" w:eastAsia="zh-CN"/>
                    </w:rPr>
                    <w:t>库房</w:t>
                  </w:r>
                  <w:r>
                    <w:rPr>
                      <w:rFonts w:hint="eastAsia" w:cs="Times New Roman"/>
                      <w:color w:val="auto"/>
                      <w:highlight w:val="none"/>
                      <w:lang w:val="en-US" w:eastAsia="zh-CN"/>
                    </w:rPr>
                    <w:t>，库房内一层</w:t>
                  </w:r>
                  <w:r>
                    <w:rPr>
                      <w:rFonts w:hint="default" w:cs="Times New Roman"/>
                      <w:color w:val="auto"/>
                      <w:highlight w:val="none"/>
                      <w:lang w:eastAsia="zh-CN"/>
                    </w:rPr>
                    <w:t>根据危废</w:t>
                  </w:r>
                  <w:r>
                    <w:rPr>
                      <w:rFonts w:hint="eastAsia" w:cs="Times New Roman"/>
                      <w:color w:val="auto"/>
                      <w:highlight w:val="none"/>
                      <w:lang w:eastAsia="zh-CN"/>
                    </w:rPr>
                    <w:t>类别</w:t>
                  </w:r>
                  <w:r>
                    <w:rPr>
                      <w:rFonts w:hint="default" w:cs="Times New Roman"/>
                      <w:color w:val="auto"/>
                      <w:highlight w:val="none"/>
                      <w:lang w:eastAsia="zh-CN"/>
                    </w:rPr>
                    <w:t>和数量</w:t>
                  </w:r>
                  <w:r>
                    <w:rPr>
                      <w:rFonts w:hint="eastAsia" w:cs="Times New Roman"/>
                      <w:color w:val="auto"/>
                      <w:highlight w:val="none"/>
                      <w:lang w:eastAsia="zh-CN"/>
                    </w:rPr>
                    <w:t>将封闭库房划分为</w:t>
                  </w:r>
                  <w:r>
                    <w:rPr>
                      <w:rFonts w:hint="eastAsia" w:cs="Times New Roman"/>
                      <w:color w:val="auto"/>
                      <w:highlight w:val="none"/>
                      <w:lang w:val="en-US" w:eastAsia="zh-CN"/>
                    </w:rPr>
                    <w:t>不同封闭贮存单元，每个单元的</w:t>
                  </w:r>
                  <w:r>
                    <w:rPr>
                      <w:rFonts w:hint="default" w:cs="Times New Roman"/>
                      <w:color w:val="auto"/>
                      <w:highlight w:val="none"/>
                      <w:lang w:eastAsia="zh-CN"/>
                    </w:rPr>
                    <w:t>库房</w:t>
                  </w:r>
                  <w:r>
                    <w:rPr>
                      <w:rFonts w:hint="eastAsia" w:cs="Times New Roman"/>
                      <w:color w:val="auto"/>
                      <w:highlight w:val="none"/>
                      <w:lang w:eastAsia="zh-CN"/>
                    </w:rPr>
                    <w:t>内部</w:t>
                  </w:r>
                  <w:r>
                    <w:rPr>
                      <w:rFonts w:hint="default" w:cs="Times New Roman"/>
                      <w:color w:val="auto"/>
                      <w:highlight w:val="none"/>
                      <w:lang w:eastAsia="zh-CN"/>
                    </w:rPr>
                    <w:t>根据危险废物的特性划分为</w:t>
                  </w:r>
                  <w:r>
                    <w:rPr>
                      <w:rFonts w:hint="eastAsia" w:cs="Times New Roman"/>
                      <w:color w:val="auto"/>
                      <w:highlight w:val="none"/>
                      <w:lang w:eastAsia="zh-CN"/>
                    </w:rPr>
                    <w:t>独立</w:t>
                  </w:r>
                  <w:r>
                    <w:rPr>
                      <w:rFonts w:hint="default" w:cs="Times New Roman"/>
                      <w:color w:val="auto"/>
                      <w:highlight w:val="none"/>
                      <w:lang w:eastAsia="zh-CN"/>
                    </w:rPr>
                    <w:t>贮存间，</w:t>
                  </w:r>
                  <w:r>
                    <w:rPr>
                      <w:rFonts w:hint="eastAsia" w:cs="Times New Roman"/>
                      <w:color w:val="auto"/>
                      <w:highlight w:val="none"/>
                      <w:lang w:eastAsia="zh-CN"/>
                    </w:rPr>
                    <w:t>并</w:t>
                  </w:r>
                  <w:r>
                    <w:rPr>
                      <w:rFonts w:hint="default" w:cs="Times New Roman"/>
                      <w:color w:val="auto"/>
                      <w:highlight w:val="none"/>
                      <w:lang w:eastAsia="zh-CN"/>
                    </w:rPr>
                    <w:t>对每个贮存</w:t>
                  </w:r>
                  <w:r>
                    <w:rPr>
                      <w:rFonts w:hint="eastAsia" w:cs="Times New Roman"/>
                      <w:color w:val="auto"/>
                      <w:highlight w:val="none"/>
                      <w:lang w:eastAsia="zh-CN"/>
                    </w:rPr>
                    <w:t>间内</w:t>
                  </w:r>
                  <w:r>
                    <w:rPr>
                      <w:rFonts w:hint="default" w:cs="Times New Roman"/>
                      <w:color w:val="auto"/>
                      <w:highlight w:val="none"/>
                      <w:lang w:eastAsia="zh-CN"/>
                    </w:rPr>
                    <w:t>进行细化，分类、隔离暂存，包装</w:t>
                  </w:r>
                  <w:r>
                    <w:rPr>
                      <w:rFonts w:hint="default" w:ascii="Times New Roman" w:hAnsi="Times New Roman" w:eastAsia="宋体" w:cs="Times New Roman"/>
                      <w:color w:val="auto"/>
                      <w:highlight w:val="none"/>
                    </w:rPr>
                    <w:t>容器全面密封（及时盖盖、扎口），互不相容的危险废物不设置于同一处</w:t>
                  </w:r>
                  <w:r>
                    <w:rPr>
                      <w:rFonts w:hint="default" w:ascii="Times New Roman" w:hAnsi="Times New Roman" w:eastAsia="宋体" w:cs="Times New Roman"/>
                      <w:color w:val="auto"/>
                      <w:highlight w:val="none"/>
                      <w:lang w:eastAsia="zh-CN"/>
                    </w:rPr>
                    <w:t>，对产生废气的危险废物设置</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库房二层为托盘、包装物等辅助材料、工具的存放。</w:t>
                  </w:r>
                </w:p>
              </w:tc>
              <w:tc>
                <w:tcPr>
                  <w:tcW w:w="517" w:type="pct"/>
                  <w:vMerge w:val="restart"/>
                  <w:vAlign w:val="center"/>
                </w:tcPr>
                <w:p w14:paraId="56FCB05E">
                  <w:pPr>
                    <w:jc w:val="center"/>
                    <w:rPr>
                      <w:rFonts w:hint="eastAsia" w:cs="Times New Roman"/>
                      <w:color w:val="auto"/>
                      <w:highlight w:val="none"/>
                      <w:lang w:eastAsia="zh-CN"/>
                    </w:rPr>
                  </w:pPr>
                  <w:r>
                    <w:rPr>
                      <w:rFonts w:hint="eastAsia" w:cs="Times New Roman"/>
                      <w:color w:val="auto"/>
                      <w:highlight w:val="none"/>
                      <w:lang w:eastAsia="zh-CN"/>
                    </w:rPr>
                    <w:t>新建</w:t>
                  </w:r>
                </w:p>
                <w:p w14:paraId="5B43C18C">
                  <w:pPr>
                    <w:pStyle w:val="15"/>
                    <w:jc w:val="center"/>
                    <w:rPr>
                      <w:rFonts w:hint="eastAsia"/>
                      <w:color w:val="auto"/>
                      <w:highlight w:val="none"/>
                      <w:lang w:eastAsia="zh-CN"/>
                    </w:rPr>
                  </w:pPr>
                </w:p>
                <w:p w14:paraId="1E4F6A3A">
                  <w:pPr>
                    <w:pStyle w:val="15"/>
                    <w:jc w:val="center"/>
                    <w:rPr>
                      <w:rFonts w:hint="default"/>
                      <w:color w:val="auto"/>
                      <w:highlight w:val="none"/>
                      <w:lang w:eastAsia="zh-CN"/>
                    </w:rPr>
                  </w:pPr>
                </w:p>
              </w:tc>
            </w:tr>
            <w:tr w14:paraId="0DC45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5B943151">
                  <w:pPr>
                    <w:jc w:val="center"/>
                    <w:rPr>
                      <w:rFonts w:hint="default" w:ascii="Times New Roman" w:hAnsi="Times New Roman" w:cs="Times New Roman"/>
                      <w:color w:val="auto"/>
                      <w:highlight w:val="none"/>
                    </w:rPr>
                  </w:pPr>
                </w:p>
              </w:tc>
              <w:tc>
                <w:tcPr>
                  <w:tcW w:w="250" w:type="pct"/>
                  <w:vMerge w:val="restart"/>
                  <w:vAlign w:val="center"/>
                </w:tcPr>
                <w:p w14:paraId="696FD969">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1楼</w:t>
                  </w:r>
                  <w:r>
                    <w:rPr>
                      <w:rFonts w:hint="eastAsia" w:cs="Times New Roman"/>
                      <w:color w:val="auto"/>
                      <w:highlight w:val="none"/>
                      <w:lang w:eastAsia="zh-CN"/>
                    </w:rPr>
                    <w:t>危废贮存库</w:t>
                  </w:r>
                  <w:r>
                    <w:rPr>
                      <w:rFonts w:hint="eastAsia" w:cs="Times New Roman"/>
                      <w:color w:val="auto"/>
                      <w:highlight w:val="none"/>
                      <w:lang w:val="en-US" w:eastAsia="zh-CN"/>
                    </w:rPr>
                    <w:t>房</w:t>
                  </w:r>
                </w:p>
              </w:tc>
              <w:tc>
                <w:tcPr>
                  <w:tcW w:w="690" w:type="pct"/>
                  <w:vAlign w:val="center"/>
                </w:tcPr>
                <w:p w14:paraId="19C8FC00">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HW2贮存间</w:t>
                  </w:r>
                </w:p>
              </w:tc>
              <w:tc>
                <w:tcPr>
                  <w:tcW w:w="3102" w:type="pct"/>
                  <w:vAlign w:val="center"/>
                </w:tcPr>
                <w:p w14:paraId="14F714EE">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HW02 医药废物(全子项)</w:t>
                  </w:r>
                </w:p>
              </w:tc>
              <w:tc>
                <w:tcPr>
                  <w:tcW w:w="517" w:type="pct"/>
                  <w:vMerge w:val="continue"/>
                  <w:vAlign w:val="center"/>
                </w:tcPr>
                <w:p w14:paraId="6E439E03">
                  <w:pPr>
                    <w:jc w:val="center"/>
                    <w:rPr>
                      <w:rFonts w:hint="default" w:ascii="Times New Roman" w:hAnsi="Times New Roman" w:eastAsia="宋体" w:cs="Times New Roman"/>
                      <w:color w:val="auto"/>
                      <w:highlight w:val="none"/>
                    </w:rPr>
                  </w:pPr>
                </w:p>
              </w:tc>
            </w:tr>
            <w:tr w14:paraId="589DA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6ADEC51B">
                  <w:pPr>
                    <w:jc w:val="center"/>
                    <w:rPr>
                      <w:rFonts w:hint="default" w:ascii="Times New Roman" w:hAnsi="Times New Roman" w:cs="Times New Roman"/>
                      <w:color w:val="auto"/>
                      <w:highlight w:val="none"/>
                    </w:rPr>
                  </w:pPr>
                </w:p>
              </w:tc>
              <w:tc>
                <w:tcPr>
                  <w:tcW w:w="250" w:type="pct"/>
                  <w:vMerge w:val="continue"/>
                  <w:vAlign w:val="center"/>
                </w:tcPr>
                <w:p w14:paraId="6269D4CF">
                  <w:pPr>
                    <w:jc w:val="center"/>
                    <w:rPr>
                      <w:rFonts w:hint="default" w:ascii="Times New Roman" w:hAnsi="Times New Roman" w:eastAsia="宋体" w:cs="Times New Roman"/>
                      <w:color w:val="auto"/>
                      <w:highlight w:val="none"/>
                    </w:rPr>
                  </w:pPr>
                </w:p>
              </w:tc>
              <w:tc>
                <w:tcPr>
                  <w:tcW w:w="690" w:type="pct"/>
                  <w:vAlign w:val="center"/>
                </w:tcPr>
                <w:p w14:paraId="2ECE165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贮存间</w:t>
                  </w:r>
                </w:p>
              </w:tc>
              <w:tc>
                <w:tcPr>
                  <w:tcW w:w="3102" w:type="pct"/>
                  <w:vAlign w:val="center"/>
                </w:tcPr>
                <w:p w14:paraId="02AF7A9A">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HW03废药物、药品(全子项)</w:t>
                  </w:r>
                </w:p>
              </w:tc>
              <w:tc>
                <w:tcPr>
                  <w:tcW w:w="517" w:type="pct"/>
                  <w:vMerge w:val="continue"/>
                  <w:vAlign w:val="center"/>
                </w:tcPr>
                <w:p w14:paraId="425C844B">
                  <w:pPr>
                    <w:jc w:val="center"/>
                    <w:rPr>
                      <w:rFonts w:hint="default" w:ascii="Times New Roman" w:hAnsi="Times New Roman" w:eastAsia="宋体" w:cs="Times New Roman"/>
                      <w:color w:val="auto"/>
                      <w:highlight w:val="none"/>
                    </w:rPr>
                  </w:pPr>
                </w:p>
              </w:tc>
            </w:tr>
            <w:tr w14:paraId="266F5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639016A7">
                  <w:pPr>
                    <w:jc w:val="center"/>
                    <w:rPr>
                      <w:color w:val="auto"/>
                      <w:highlight w:val="none"/>
                    </w:rPr>
                  </w:pPr>
                </w:p>
              </w:tc>
              <w:tc>
                <w:tcPr>
                  <w:tcW w:w="250" w:type="pct"/>
                  <w:vMerge w:val="continue"/>
                  <w:vAlign w:val="center"/>
                </w:tcPr>
                <w:p w14:paraId="7EC100A1">
                  <w:pPr>
                    <w:jc w:val="center"/>
                    <w:rPr>
                      <w:color w:val="auto"/>
                      <w:highlight w:val="none"/>
                    </w:rPr>
                  </w:pPr>
                </w:p>
              </w:tc>
              <w:tc>
                <w:tcPr>
                  <w:tcW w:w="690" w:type="pct"/>
                  <w:vAlign w:val="center"/>
                </w:tcPr>
                <w:p w14:paraId="2384F05F">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贮存间</w:t>
                  </w:r>
                </w:p>
              </w:tc>
              <w:tc>
                <w:tcPr>
                  <w:tcW w:w="3102" w:type="pct"/>
                  <w:vAlign w:val="center"/>
                </w:tcPr>
                <w:p w14:paraId="2D30C191">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HW04农药废物(全子项)</w:t>
                  </w:r>
                </w:p>
              </w:tc>
              <w:tc>
                <w:tcPr>
                  <w:tcW w:w="517" w:type="pct"/>
                  <w:vMerge w:val="continue"/>
                  <w:vAlign w:val="center"/>
                </w:tcPr>
                <w:p w14:paraId="3F62415A">
                  <w:pPr>
                    <w:jc w:val="center"/>
                    <w:rPr>
                      <w:rFonts w:hint="default" w:ascii="Times New Roman" w:hAnsi="Times New Roman" w:eastAsia="宋体" w:cs="Times New Roman"/>
                      <w:color w:val="auto"/>
                      <w:highlight w:val="none"/>
                      <w:lang w:eastAsia="zh-CN"/>
                    </w:rPr>
                  </w:pPr>
                </w:p>
              </w:tc>
            </w:tr>
            <w:tr w14:paraId="2ECAD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44941CF9">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5ABDE18C">
                  <w:pPr>
                    <w:jc w:val="center"/>
                    <w:rPr>
                      <w:rFonts w:hint="default" w:ascii="Times New Roman" w:hAnsi="Times New Roman" w:eastAsia="宋体" w:cs="Times New Roman"/>
                      <w:color w:val="auto"/>
                      <w:highlight w:val="none"/>
                      <w:lang w:eastAsia="zh-CN"/>
                    </w:rPr>
                  </w:pPr>
                </w:p>
              </w:tc>
              <w:tc>
                <w:tcPr>
                  <w:tcW w:w="690" w:type="pct"/>
                  <w:vAlign w:val="center"/>
                </w:tcPr>
                <w:p w14:paraId="2FB18BE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贮存间</w:t>
                  </w:r>
                </w:p>
              </w:tc>
              <w:tc>
                <w:tcPr>
                  <w:tcW w:w="3102" w:type="pct"/>
                  <w:vAlign w:val="center"/>
                </w:tcPr>
                <w:p w14:paraId="20CA7057">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HW05木材防腐剂废物(全子项)</w:t>
                  </w:r>
                </w:p>
              </w:tc>
              <w:tc>
                <w:tcPr>
                  <w:tcW w:w="517" w:type="pct"/>
                  <w:vMerge w:val="continue"/>
                  <w:vAlign w:val="center"/>
                </w:tcPr>
                <w:p w14:paraId="3A6A5A72">
                  <w:pPr>
                    <w:jc w:val="center"/>
                    <w:rPr>
                      <w:rFonts w:hint="default" w:ascii="Times New Roman" w:hAnsi="Times New Roman" w:eastAsia="宋体" w:cs="Times New Roman"/>
                      <w:color w:val="auto"/>
                      <w:highlight w:val="none"/>
                      <w:lang w:eastAsia="zh-CN"/>
                    </w:rPr>
                  </w:pPr>
                </w:p>
              </w:tc>
            </w:tr>
            <w:tr w14:paraId="10DEE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7D44E821">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6EABD1A0">
                  <w:pPr>
                    <w:jc w:val="center"/>
                    <w:rPr>
                      <w:rFonts w:hint="default" w:ascii="Times New Roman" w:hAnsi="Times New Roman" w:eastAsia="宋体" w:cs="Times New Roman"/>
                      <w:color w:val="auto"/>
                      <w:highlight w:val="none"/>
                      <w:lang w:eastAsia="zh-CN"/>
                    </w:rPr>
                  </w:pPr>
                </w:p>
              </w:tc>
              <w:tc>
                <w:tcPr>
                  <w:tcW w:w="690" w:type="pct"/>
                  <w:vAlign w:val="center"/>
                </w:tcPr>
                <w:p w14:paraId="65712E0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贮存间</w:t>
                  </w:r>
                </w:p>
              </w:tc>
              <w:tc>
                <w:tcPr>
                  <w:tcW w:w="3102" w:type="pct"/>
                  <w:vAlign w:val="center"/>
                </w:tcPr>
                <w:p w14:paraId="77592567">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HW07 热处理含氰废物(全子项)</w:t>
                  </w:r>
                </w:p>
              </w:tc>
              <w:tc>
                <w:tcPr>
                  <w:tcW w:w="517" w:type="pct"/>
                  <w:vMerge w:val="continue"/>
                  <w:vAlign w:val="center"/>
                </w:tcPr>
                <w:p w14:paraId="7C08701E">
                  <w:pPr>
                    <w:jc w:val="center"/>
                    <w:rPr>
                      <w:rFonts w:hint="default" w:ascii="Times New Roman" w:hAnsi="Times New Roman" w:eastAsia="宋体" w:cs="Times New Roman"/>
                      <w:color w:val="auto"/>
                      <w:highlight w:val="none"/>
                      <w:lang w:eastAsia="zh-CN"/>
                    </w:rPr>
                  </w:pPr>
                </w:p>
              </w:tc>
            </w:tr>
            <w:tr w14:paraId="48F6C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439" w:type="pct"/>
                  <w:vMerge w:val="continue"/>
                  <w:vAlign w:val="center"/>
                </w:tcPr>
                <w:p w14:paraId="7D9E8A8B">
                  <w:pPr>
                    <w:jc w:val="center"/>
                    <w:rPr>
                      <w:color w:val="auto"/>
                      <w:highlight w:val="none"/>
                    </w:rPr>
                  </w:pPr>
                </w:p>
              </w:tc>
              <w:tc>
                <w:tcPr>
                  <w:tcW w:w="250" w:type="pct"/>
                  <w:vMerge w:val="continue"/>
                  <w:vAlign w:val="center"/>
                </w:tcPr>
                <w:p w14:paraId="4B732379">
                  <w:pPr>
                    <w:jc w:val="center"/>
                    <w:rPr>
                      <w:color w:val="auto"/>
                      <w:highlight w:val="none"/>
                    </w:rPr>
                  </w:pPr>
                </w:p>
              </w:tc>
              <w:tc>
                <w:tcPr>
                  <w:tcW w:w="690" w:type="pct"/>
                  <w:vAlign w:val="center"/>
                </w:tcPr>
                <w:p w14:paraId="30C8E02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10</w:t>
                  </w:r>
                  <w:r>
                    <w:rPr>
                      <w:rFonts w:hint="default" w:ascii="Times New Roman" w:hAnsi="Times New Roman" w:eastAsia="宋体" w:cs="Times New Roman"/>
                      <w:color w:val="auto"/>
                      <w:highlight w:val="none"/>
                      <w:lang w:eastAsia="zh-CN"/>
                    </w:rPr>
                    <w:t>贮存间</w:t>
                  </w:r>
                </w:p>
              </w:tc>
              <w:tc>
                <w:tcPr>
                  <w:tcW w:w="3102" w:type="pct"/>
                  <w:vAlign w:val="center"/>
                </w:tcPr>
                <w:p w14:paraId="10CA6F47">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pacing w:val="5"/>
                      <w:sz w:val="21"/>
                      <w:szCs w:val="21"/>
                      <w:highlight w:val="none"/>
                      <w:lang w:eastAsia="zh-CN"/>
                    </w:rPr>
                    <w:t>主要贮存</w:t>
                  </w:r>
                  <w:r>
                    <w:rPr>
                      <w:rFonts w:hint="eastAsia"/>
                      <w:color w:val="auto"/>
                      <w:highlight w:val="none"/>
                    </w:rPr>
                    <w:t>HW10多氯(溴)联苯类废物(全子项)</w:t>
                  </w:r>
                </w:p>
              </w:tc>
              <w:tc>
                <w:tcPr>
                  <w:tcW w:w="517" w:type="pct"/>
                  <w:vMerge w:val="continue"/>
                  <w:vAlign w:val="center"/>
                </w:tcPr>
                <w:p w14:paraId="6B72627E">
                  <w:pPr>
                    <w:jc w:val="center"/>
                    <w:rPr>
                      <w:rFonts w:hint="default" w:ascii="Times New Roman" w:hAnsi="Times New Roman" w:eastAsia="宋体" w:cs="Times New Roman"/>
                      <w:color w:val="auto"/>
                      <w:highlight w:val="none"/>
                      <w:lang w:eastAsia="zh-CN"/>
                    </w:rPr>
                  </w:pPr>
                </w:p>
              </w:tc>
            </w:tr>
            <w:tr w14:paraId="14C4B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56980E6B">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37287D33">
                  <w:pPr>
                    <w:jc w:val="center"/>
                    <w:rPr>
                      <w:rFonts w:hint="default" w:ascii="Times New Roman" w:hAnsi="Times New Roman" w:eastAsia="宋体" w:cs="Times New Roman"/>
                      <w:color w:val="auto"/>
                      <w:highlight w:val="none"/>
                      <w:lang w:eastAsia="zh-CN"/>
                    </w:rPr>
                  </w:pPr>
                </w:p>
              </w:tc>
              <w:tc>
                <w:tcPr>
                  <w:tcW w:w="690" w:type="pct"/>
                  <w:vAlign w:val="center"/>
                </w:tcPr>
                <w:p w14:paraId="4B6A6971">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HW12贮存间</w:t>
                  </w:r>
                </w:p>
              </w:tc>
              <w:tc>
                <w:tcPr>
                  <w:tcW w:w="3102" w:type="pct"/>
                  <w:vAlign w:val="center"/>
                </w:tcPr>
                <w:p w14:paraId="618BF579">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20m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HW12染料、涂料废物</w:t>
                  </w:r>
                  <w:r>
                    <w:rPr>
                      <w:rFonts w:hint="eastAsia" w:eastAsia="宋体" w:cs="Times New Roman"/>
                      <w:color w:val="auto"/>
                      <w:highlight w:val="none"/>
                      <w:lang w:eastAsia="zh-CN"/>
                    </w:rPr>
                    <w:t>(全子项)</w:t>
                  </w:r>
                </w:p>
              </w:tc>
              <w:tc>
                <w:tcPr>
                  <w:tcW w:w="517" w:type="pct"/>
                  <w:vMerge w:val="continue"/>
                  <w:vAlign w:val="center"/>
                </w:tcPr>
                <w:p w14:paraId="075F197D">
                  <w:pPr>
                    <w:jc w:val="center"/>
                    <w:rPr>
                      <w:rFonts w:hint="default" w:ascii="Times New Roman" w:hAnsi="Times New Roman" w:eastAsia="宋体" w:cs="Times New Roman"/>
                      <w:color w:val="auto"/>
                      <w:highlight w:val="none"/>
                      <w:lang w:eastAsia="zh-CN"/>
                    </w:rPr>
                  </w:pPr>
                </w:p>
              </w:tc>
            </w:tr>
            <w:tr w14:paraId="3478A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439" w:type="pct"/>
                  <w:vMerge w:val="continue"/>
                  <w:vAlign w:val="center"/>
                </w:tcPr>
                <w:p w14:paraId="25B7BD97">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65552BDC">
                  <w:pPr>
                    <w:jc w:val="center"/>
                    <w:rPr>
                      <w:rFonts w:hint="default" w:ascii="Times New Roman" w:hAnsi="Times New Roman" w:eastAsia="宋体" w:cs="Times New Roman"/>
                      <w:color w:val="auto"/>
                      <w:highlight w:val="none"/>
                      <w:lang w:eastAsia="zh-CN"/>
                    </w:rPr>
                  </w:pPr>
                </w:p>
              </w:tc>
              <w:tc>
                <w:tcPr>
                  <w:tcW w:w="690" w:type="pct"/>
                  <w:vAlign w:val="center"/>
                </w:tcPr>
                <w:p w14:paraId="07F44FDE">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HW1</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贮存间</w:t>
                  </w:r>
                </w:p>
              </w:tc>
              <w:tc>
                <w:tcPr>
                  <w:tcW w:w="3102" w:type="pct"/>
                  <w:vAlign w:val="center"/>
                </w:tcPr>
                <w:p w14:paraId="5102AC37">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HW13有机树脂类废物</w:t>
                  </w:r>
                  <w:r>
                    <w:rPr>
                      <w:rFonts w:hint="eastAsia" w:cs="Times New Roman"/>
                      <w:color w:val="auto"/>
                      <w:highlight w:val="none"/>
                      <w:lang w:eastAsia="zh-CN"/>
                    </w:rPr>
                    <w:t>(全子项)</w:t>
                  </w:r>
                </w:p>
              </w:tc>
              <w:tc>
                <w:tcPr>
                  <w:tcW w:w="517" w:type="pct"/>
                  <w:vMerge w:val="continue"/>
                  <w:vAlign w:val="center"/>
                </w:tcPr>
                <w:p w14:paraId="2D664AD3">
                  <w:pPr>
                    <w:jc w:val="center"/>
                    <w:rPr>
                      <w:rFonts w:hint="default" w:ascii="Times New Roman" w:hAnsi="Times New Roman" w:eastAsia="宋体" w:cs="Times New Roman"/>
                      <w:color w:val="auto"/>
                      <w:highlight w:val="none"/>
                      <w:lang w:eastAsia="zh-CN"/>
                    </w:rPr>
                  </w:pPr>
                </w:p>
              </w:tc>
            </w:tr>
            <w:tr w14:paraId="599D7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696FBEF">
                  <w:pPr>
                    <w:jc w:val="center"/>
                    <w:rPr>
                      <w:rFonts w:hint="default" w:ascii="Times New Roman" w:hAnsi="Times New Roman" w:eastAsia="宋体" w:cs="Times New Roman"/>
                      <w:color w:val="auto"/>
                      <w:highlight w:val="none"/>
                    </w:rPr>
                  </w:pPr>
                </w:p>
              </w:tc>
              <w:tc>
                <w:tcPr>
                  <w:tcW w:w="250" w:type="pct"/>
                  <w:vMerge w:val="continue"/>
                  <w:vAlign w:val="center"/>
                </w:tcPr>
                <w:p w14:paraId="6B837630">
                  <w:pPr>
                    <w:jc w:val="center"/>
                    <w:rPr>
                      <w:rFonts w:hint="default" w:ascii="Times New Roman" w:hAnsi="Times New Roman" w:eastAsia="宋体" w:cs="Times New Roman"/>
                      <w:color w:val="auto"/>
                      <w:highlight w:val="none"/>
                    </w:rPr>
                  </w:pPr>
                </w:p>
              </w:tc>
              <w:tc>
                <w:tcPr>
                  <w:tcW w:w="690" w:type="pct"/>
                  <w:vAlign w:val="center"/>
                </w:tcPr>
                <w:p w14:paraId="14D4FE2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HW1</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贮存间</w:t>
                  </w:r>
                </w:p>
              </w:tc>
              <w:tc>
                <w:tcPr>
                  <w:tcW w:w="3102" w:type="pct"/>
                  <w:vAlign w:val="center"/>
                </w:tcPr>
                <w:p w14:paraId="35624ED7">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HW16感光材料废物</w:t>
                  </w:r>
                  <w:r>
                    <w:rPr>
                      <w:rFonts w:hint="eastAsia" w:cs="Times New Roman"/>
                      <w:color w:val="auto"/>
                      <w:highlight w:val="none"/>
                      <w:lang w:val="en-US" w:eastAsia="zh-CN"/>
                    </w:rPr>
                    <w:t>(全子项)</w:t>
                  </w:r>
                </w:p>
              </w:tc>
              <w:tc>
                <w:tcPr>
                  <w:tcW w:w="517" w:type="pct"/>
                  <w:vMerge w:val="continue"/>
                  <w:vAlign w:val="center"/>
                </w:tcPr>
                <w:p w14:paraId="44EBE1DE">
                  <w:pPr>
                    <w:jc w:val="center"/>
                    <w:rPr>
                      <w:rFonts w:hint="default" w:ascii="Times New Roman" w:hAnsi="Times New Roman" w:eastAsia="宋体" w:cs="Times New Roman"/>
                      <w:color w:val="auto"/>
                      <w:highlight w:val="none"/>
                    </w:rPr>
                  </w:pPr>
                </w:p>
              </w:tc>
            </w:tr>
            <w:tr w14:paraId="19968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44" w:hRule="atLeast"/>
                <w:jc w:val="center"/>
              </w:trPr>
              <w:tc>
                <w:tcPr>
                  <w:tcW w:w="439" w:type="pct"/>
                  <w:vMerge w:val="continue"/>
                  <w:vAlign w:val="center"/>
                </w:tcPr>
                <w:p w14:paraId="0F325618">
                  <w:pPr>
                    <w:jc w:val="center"/>
                    <w:rPr>
                      <w:rFonts w:hint="default" w:ascii="Times New Roman" w:hAnsi="Times New Roman" w:eastAsia="宋体" w:cs="Times New Roman"/>
                      <w:color w:val="auto"/>
                      <w:highlight w:val="none"/>
                    </w:rPr>
                  </w:pPr>
                </w:p>
              </w:tc>
              <w:tc>
                <w:tcPr>
                  <w:tcW w:w="250" w:type="pct"/>
                  <w:vMerge w:val="continue"/>
                  <w:vAlign w:val="center"/>
                </w:tcPr>
                <w:p w14:paraId="1CB31BED">
                  <w:pPr>
                    <w:jc w:val="center"/>
                    <w:rPr>
                      <w:rFonts w:hint="default" w:ascii="Times New Roman" w:hAnsi="Times New Roman" w:eastAsia="宋体" w:cs="Times New Roman"/>
                      <w:color w:val="auto"/>
                      <w:highlight w:val="none"/>
                    </w:rPr>
                  </w:pPr>
                </w:p>
              </w:tc>
              <w:tc>
                <w:tcPr>
                  <w:tcW w:w="690" w:type="pct"/>
                  <w:vAlign w:val="center"/>
                </w:tcPr>
                <w:p w14:paraId="7774E30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17</w:t>
                  </w:r>
                  <w:r>
                    <w:rPr>
                      <w:rFonts w:hint="default" w:ascii="Times New Roman" w:hAnsi="Times New Roman" w:eastAsia="宋体" w:cs="Times New Roman"/>
                      <w:color w:val="auto"/>
                      <w:highlight w:val="none"/>
                      <w:lang w:eastAsia="zh-CN"/>
                    </w:rPr>
                    <w:t>贮存间</w:t>
                  </w:r>
                </w:p>
              </w:tc>
              <w:tc>
                <w:tcPr>
                  <w:tcW w:w="3102" w:type="pct"/>
                  <w:vAlign w:val="center"/>
                </w:tcPr>
                <w:p w14:paraId="5027DABD">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HW17表面处理废物</w:t>
                  </w:r>
                  <w:r>
                    <w:rPr>
                      <w:rFonts w:hint="eastAsia"/>
                      <w:color w:val="auto"/>
                      <w:highlight w:val="none"/>
                    </w:rPr>
                    <w:t>(全子项)</w:t>
                  </w:r>
                </w:p>
              </w:tc>
              <w:tc>
                <w:tcPr>
                  <w:tcW w:w="517" w:type="pct"/>
                  <w:vMerge w:val="continue"/>
                  <w:vAlign w:val="center"/>
                </w:tcPr>
                <w:p w14:paraId="479D6541">
                  <w:pPr>
                    <w:jc w:val="center"/>
                    <w:rPr>
                      <w:rFonts w:hint="default" w:ascii="Times New Roman" w:hAnsi="Times New Roman" w:eastAsia="宋体" w:cs="Times New Roman"/>
                      <w:color w:val="auto"/>
                      <w:highlight w:val="none"/>
                    </w:rPr>
                  </w:pPr>
                </w:p>
              </w:tc>
            </w:tr>
            <w:tr w14:paraId="7BD49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75334843">
                  <w:pPr>
                    <w:jc w:val="center"/>
                    <w:rPr>
                      <w:rFonts w:hint="default" w:ascii="Times New Roman" w:hAnsi="Times New Roman" w:eastAsia="宋体" w:cs="Times New Roman"/>
                      <w:color w:val="auto"/>
                      <w:highlight w:val="none"/>
                    </w:rPr>
                  </w:pPr>
                </w:p>
              </w:tc>
              <w:tc>
                <w:tcPr>
                  <w:tcW w:w="250" w:type="pct"/>
                  <w:vMerge w:val="continue"/>
                  <w:vAlign w:val="center"/>
                </w:tcPr>
                <w:p w14:paraId="32E7D107">
                  <w:pPr>
                    <w:jc w:val="center"/>
                    <w:rPr>
                      <w:rFonts w:hint="default" w:ascii="Times New Roman" w:hAnsi="Times New Roman" w:eastAsia="宋体" w:cs="Times New Roman"/>
                      <w:color w:val="auto"/>
                      <w:highlight w:val="none"/>
                    </w:rPr>
                  </w:pPr>
                </w:p>
              </w:tc>
              <w:tc>
                <w:tcPr>
                  <w:tcW w:w="690" w:type="pct"/>
                  <w:vAlign w:val="center"/>
                </w:tcPr>
                <w:p w14:paraId="6E774675">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18</w:t>
                  </w:r>
                  <w:r>
                    <w:rPr>
                      <w:rFonts w:hint="default" w:ascii="Times New Roman" w:hAnsi="Times New Roman" w:eastAsia="宋体" w:cs="Times New Roman"/>
                      <w:color w:val="auto"/>
                      <w:highlight w:val="none"/>
                      <w:lang w:eastAsia="zh-CN"/>
                    </w:rPr>
                    <w:t>贮存间</w:t>
                  </w:r>
                </w:p>
              </w:tc>
              <w:tc>
                <w:tcPr>
                  <w:tcW w:w="3102" w:type="pct"/>
                  <w:vAlign w:val="center"/>
                </w:tcPr>
                <w:p w14:paraId="7947CCAA">
                  <w:pPr>
                    <w:jc w:val="center"/>
                    <w:rPr>
                      <w:rFonts w:hint="eastAsia"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HW18焚烧处置残渣(全子项)</w:t>
                  </w:r>
                </w:p>
              </w:tc>
              <w:tc>
                <w:tcPr>
                  <w:tcW w:w="517" w:type="pct"/>
                  <w:vMerge w:val="continue"/>
                  <w:vAlign w:val="center"/>
                </w:tcPr>
                <w:p w14:paraId="7420B7E0">
                  <w:pPr>
                    <w:jc w:val="center"/>
                    <w:rPr>
                      <w:rFonts w:hint="default" w:ascii="Times New Roman" w:hAnsi="Times New Roman" w:eastAsia="宋体" w:cs="Times New Roman"/>
                      <w:color w:val="auto"/>
                      <w:highlight w:val="none"/>
                    </w:rPr>
                  </w:pPr>
                </w:p>
              </w:tc>
            </w:tr>
            <w:tr w14:paraId="7107A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0ABD7CB">
                  <w:pPr>
                    <w:jc w:val="center"/>
                    <w:rPr>
                      <w:rFonts w:hint="default" w:ascii="Times New Roman" w:hAnsi="Times New Roman" w:eastAsia="宋体" w:cs="Times New Roman"/>
                      <w:color w:val="auto"/>
                      <w:highlight w:val="none"/>
                    </w:rPr>
                  </w:pPr>
                </w:p>
              </w:tc>
              <w:tc>
                <w:tcPr>
                  <w:tcW w:w="250" w:type="pct"/>
                  <w:vMerge w:val="continue"/>
                  <w:vAlign w:val="center"/>
                </w:tcPr>
                <w:p w14:paraId="3691B6F7">
                  <w:pPr>
                    <w:jc w:val="center"/>
                    <w:rPr>
                      <w:rFonts w:hint="default" w:ascii="Times New Roman" w:hAnsi="Times New Roman" w:eastAsia="宋体" w:cs="Times New Roman"/>
                      <w:color w:val="auto"/>
                      <w:highlight w:val="none"/>
                    </w:rPr>
                  </w:pPr>
                </w:p>
              </w:tc>
              <w:tc>
                <w:tcPr>
                  <w:tcW w:w="690" w:type="pct"/>
                  <w:vAlign w:val="center"/>
                </w:tcPr>
                <w:p w14:paraId="46AA06C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1</w:t>
                  </w:r>
                  <w:r>
                    <w:rPr>
                      <w:rFonts w:hint="eastAsia" w:eastAsia="宋体" w:cs="Times New Roman"/>
                      <w:color w:val="auto"/>
                      <w:highlight w:val="none"/>
                      <w:lang w:val="en-US" w:eastAsia="zh-CN"/>
                    </w:rPr>
                    <w:t>9</w:t>
                  </w:r>
                  <w:r>
                    <w:rPr>
                      <w:rFonts w:hint="default" w:ascii="Times New Roman" w:hAnsi="Times New Roman" w:eastAsia="宋体" w:cs="Times New Roman"/>
                      <w:color w:val="auto"/>
                      <w:highlight w:val="none"/>
                      <w:lang w:eastAsia="zh-CN"/>
                    </w:rPr>
                    <w:t>贮存间</w:t>
                  </w:r>
                </w:p>
              </w:tc>
              <w:tc>
                <w:tcPr>
                  <w:tcW w:w="3102" w:type="pct"/>
                  <w:vAlign w:val="center"/>
                </w:tcPr>
                <w:p w14:paraId="2968CC28">
                  <w:pPr>
                    <w:jc w:val="center"/>
                    <w:rPr>
                      <w:rFonts w:hint="default" w:ascii="Times New Roman" w:hAnsi="Times New Roman"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HW19金属羰基化合物废物(全子项)</w:t>
                  </w:r>
                </w:p>
              </w:tc>
              <w:tc>
                <w:tcPr>
                  <w:tcW w:w="517" w:type="pct"/>
                  <w:vMerge w:val="continue"/>
                  <w:vAlign w:val="center"/>
                </w:tcPr>
                <w:p w14:paraId="1230EE5C">
                  <w:pPr>
                    <w:jc w:val="center"/>
                    <w:rPr>
                      <w:rFonts w:hint="default" w:ascii="Times New Roman" w:hAnsi="Times New Roman" w:eastAsia="宋体" w:cs="Times New Roman"/>
                      <w:color w:val="auto"/>
                      <w:highlight w:val="none"/>
                    </w:rPr>
                  </w:pPr>
                </w:p>
              </w:tc>
            </w:tr>
            <w:tr w14:paraId="57E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16529D61">
                  <w:pPr>
                    <w:jc w:val="center"/>
                    <w:rPr>
                      <w:rFonts w:hint="default" w:ascii="Times New Roman" w:hAnsi="Times New Roman" w:eastAsia="宋体" w:cs="Times New Roman"/>
                      <w:color w:val="auto"/>
                      <w:highlight w:val="none"/>
                    </w:rPr>
                  </w:pPr>
                </w:p>
              </w:tc>
              <w:tc>
                <w:tcPr>
                  <w:tcW w:w="250" w:type="pct"/>
                  <w:vMerge w:val="continue"/>
                  <w:vAlign w:val="center"/>
                </w:tcPr>
                <w:p w14:paraId="449C9EC4">
                  <w:pPr>
                    <w:jc w:val="center"/>
                    <w:rPr>
                      <w:rFonts w:hint="default" w:ascii="Times New Roman" w:hAnsi="Times New Roman" w:eastAsia="宋体" w:cs="Times New Roman"/>
                      <w:color w:val="auto"/>
                      <w:highlight w:val="none"/>
                    </w:rPr>
                  </w:pPr>
                </w:p>
              </w:tc>
              <w:tc>
                <w:tcPr>
                  <w:tcW w:w="690" w:type="pct"/>
                  <w:vAlign w:val="center"/>
                </w:tcPr>
                <w:p w14:paraId="6670A1AC">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20</w:t>
                  </w:r>
                  <w:r>
                    <w:rPr>
                      <w:rFonts w:hint="default" w:ascii="Times New Roman" w:hAnsi="Times New Roman" w:eastAsia="宋体" w:cs="Times New Roman"/>
                      <w:color w:val="auto"/>
                      <w:highlight w:val="none"/>
                      <w:lang w:eastAsia="zh-CN"/>
                    </w:rPr>
                    <w:t>贮存间</w:t>
                  </w:r>
                </w:p>
              </w:tc>
              <w:tc>
                <w:tcPr>
                  <w:tcW w:w="3102" w:type="pct"/>
                  <w:vAlign w:val="center"/>
                </w:tcPr>
                <w:p w14:paraId="34B81E8B">
                  <w:pPr>
                    <w:jc w:val="center"/>
                    <w:rPr>
                      <w:rFonts w:hint="default" w:ascii="Times New Roman" w:hAnsi="Times New Roman" w:cs="Times New Roman"/>
                      <w:color w:val="auto"/>
                      <w:highlight w:val="none"/>
                      <w:lang w:val="en-US"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HW20含铍废物(全子项)</w:t>
                  </w:r>
                </w:p>
              </w:tc>
              <w:tc>
                <w:tcPr>
                  <w:tcW w:w="517" w:type="pct"/>
                  <w:vMerge w:val="continue"/>
                  <w:vAlign w:val="center"/>
                </w:tcPr>
                <w:p w14:paraId="68268823">
                  <w:pPr>
                    <w:jc w:val="center"/>
                    <w:rPr>
                      <w:rFonts w:hint="default" w:ascii="Times New Roman" w:hAnsi="Times New Roman" w:eastAsia="宋体" w:cs="Times New Roman"/>
                      <w:color w:val="auto"/>
                      <w:highlight w:val="none"/>
                    </w:rPr>
                  </w:pPr>
                </w:p>
              </w:tc>
            </w:tr>
            <w:tr w14:paraId="7A8E8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6A1EC898">
                  <w:pPr>
                    <w:jc w:val="center"/>
                    <w:rPr>
                      <w:rFonts w:hint="default" w:ascii="Times New Roman" w:hAnsi="Times New Roman" w:eastAsia="宋体" w:cs="Times New Roman"/>
                      <w:color w:val="auto"/>
                      <w:highlight w:val="none"/>
                    </w:rPr>
                  </w:pPr>
                </w:p>
              </w:tc>
              <w:tc>
                <w:tcPr>
                  <w:tcW w:w="250" w:type="pct"/>
                  <w:vMerge w:val="continue"/>
                  <w:vAlign w:val="center"/>
                </w:tcPr>
                <w:p w14:paraId="370E1763">
                  <w:pPr>
                    <w:jc w:val="center"/>
                    <w:rPr>
                      <w:rFonts w:hint="eastAsia"/>
                      <w:color w:val="auto"/>
                      <w:highlight w:val="none"/>
                    </w:rPr>
                  </w:pPr>
                </w:p>
              </w:tc>
              <w:tc>
                <w:tcPr>
                  <w:tcW w:w="690" w:type="pct"/>
                  <w:vAlign w:val="center"/>
                </w:tcPr>
                <w:p w14:paraId="70DF680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lang w:eastAsia="zh-CN"/>
                    </w:rPr>
                    <w:t>贮存间</w:t>
                  </w:r>
                </w:p>
              </w:tc>
              <w:tc>
                <w:tcPr>
                  <w:tcW w:w="3102" w:type="pct"/>
                  <w:vAlign w:val="center"/>
                </w:tcPr>
                <w:p w14:paraId="1A114F83">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20m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HW21含铬废物</w:t>
                  </w:r>
                  <w:r>
                    <w:rPr>
                      <w:rFonts w:hint="eastAsia" w:cs="Times New Roman"/>
                      <w:color w:val="auto"/>
                      <w:highlight w:val="none"/>
                      <w:lang w:val="en-US" w:eastAsia="zh-CN"/>
                    </w:rPr>
                    <w:t>(全子项)</w:t>
                  </w:r>
                </w:p>
              </w:tc>
              <w:tc>
                <w:tcPr>
                  <w:tcW w:w="517" w:type="pct"/>
                  <w:vMerge w:val="continue"/>
                  <w:vAlign w:val="center"/>
                </w:tcPr>
                <w:p w14:paraId="440ABD24">
                  <w:pPr>
                    <w:jc w:val="center"/>
                    <w:rPr>
                      <w:rFonts w:hint="default" w:ascii="Times New Roman" w:hAnsi="Times New Roman" w:eastAsia="宋体" w:cs="Times New Roman"/>
                      <w:color w:val="auto"/>
                      <w:highlight w:val="none"/>
                    </w:rPr>
                  </w:pPr>
                </w:p>
              </w:tc>
            </w:tr>
            <w:tr w14:paraId="579D2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879572E">
                  <w:pPr>
                    <w:jc w:val="center"/>
                    <w:rPr>
                      <w:rFonts w:hint="default" w:ascii="Times New Roman" w:hAnsi="Times New Roman" w:eastAsia="宋体" w:cs="Times New Roman"/>
                      <w:color w:val="auto"/>
                      <w:highlight w:val="none"/>
                    </w:rPr>
                  </w:pPr>
                </w:p>
              </w:tc>
              <w:tc>
                <w:tcPr>
                  <w:tcW w:w="250" w:type="pct"/>
                  <w:vMerge w:val="continue"/>
                  <w:vAlign w:val="center"/>
                </w:tcPr>
                <w:p w14:paraId="63814104">
                  <w:pPr>
                    <w:jc w:val="center"/>
                    <w:rPr>
                      <w:rFonts w:hint="default" w:ascii="Times New Roman" w:hAnsi="Times New Roman" w:eastAsia="宋体" w:cs="Times New Roman"/>
                      <w:color w:val="auto"/>
                      <w:highlight w:val="none"/>
                    </w:rPr>
                  </w:pPr>
                </w:p>
              </w:tc>
              <w:tc>
                <w:tcPr>
                  <w:tcW w:w="690" w:type="pct"/>
                  <w:vAlign w:val="center"/>
                </w:tcPr>
                <w:p w14:paraId="241CE23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22</w:t>
                  </w:r>
                  <w:r>
                    <w:rPr>
                      <w:rFonts w:hint="default" w:ascii="Times New Roman" w:hAnsi="Times New Roman" w:eastAsia="宋体" w:cs="Times New Roman"/>
                      <w:color w:val="auto"/>
                      <w:highlight w:val="none"/>
                      <w:lang w:eastAsia="zh-CN"/>
                    </w:rPr>
                    <w:t>贮存间</w:t>
                  </w:r>
                </w:p>
              </w:tc>
              <w:tc>
                <w:tcPr>
                  <w:tcW w:w="3102" w:type="pct"/>
                  <w:vAlign w:val="center"/>
                </w:tcPr>
                <w:p w14:paraId="57BA1FCE">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HW22含铜废物</w:t>
                  </w:r>
                  <w:r>
                    <w:rPr>
                      <w:rFonts w:hint="eastAsia" w:cs="Times New Roman"/>
                      <w:color w:val="auto"/>
                      <w:highlight w:val="none"/>
                      <w:lang w:val="en-US" w:eastAsia="zh-CN"/>
                    </w:rPr>
                    <w:t>(全子项)</w:t>
                  </w:r>
                </w:p>
              </w:tc>
              <w:tc>
                <w:tcPr>
                  <w:tcW w:w="517" w:type="pct"/>
                  <w:vMerge w:val="continue"/>
                  <w:vAlign w:val="center"/>
                </w:tcPr>
                <w:p w14:paraId="462609AB">
                  <w:pPr>
                    <w:jc w:val="center"/>
                    <w:rPr>
                      <w:rFonts w:hint="default" w:ascii="Times New Roman" w:hAnsi="Times New Roman" w:eastAsia="宋体" w:cs="Times New Roman"/>
                      <w:color w:val="auto"/>
                      <w:highlight w:val="none"/>
                    </w:rPr>
                  </w:pPr>
                </w:p>
              </w:tc>
            </w:tr>
            <w:tr w14:paraId="35EAE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737F9BFC">
                  <w:pPr>
                    <w:jc w:val="center"/>
                    <w:rPr>
                      <w:rFonts w:hint="default" w:ascii="Times New Roman" w:hAnsi="Times New Roman" w:eastAsia="宋体" w:cs="Times New Roman"/>
                      <w:color w:val="auto"/>
                      <w:highlight w:val="none"/>
                    </w:rPr>
                  </w:pPr>
                </w:p>
              </w:tc>
              <w:tc>
                <w:tcPr>
                  <w:tcW w:w="250" w:type="pct"/>
                  <w:vMerge w:val="continue"/>
                  <w:vAlign w:val="center"/>
                </w:tcPr>
                <w:p w14:paraId="45989432">
                  <w:pPr>
                    <w:jc w:val="center"/>
                    <w:rPr>
                      <w:rFonts w:hint="default" w:ascii="Times New Roman" w:hAnsi="Times New Roman" w:eastAsia="宋体" w:cs="Times New Roman"/>
                      <w:color w:val="auto"/>
                      <w:highlight w:val="none"/>
                    </w:rPr>
                  </w:pPr>
                </w:p>
              </w:tc>
              <w:tc>
                <w:tcPr>
                  <w:tcW w:w="690" w:type="pct"/>
                  <w:vAlign w:val="center"/>
                </w:tcPr>
                <w:p w14:paraId="70589F5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23</w:t>
                  </w:r>
                  <w:r>
                    <w:rPr>
                      <w:rFonts w:hint="default" w:ascii="Times New Roman" w:hAnsi="Times New Roman" w:eastAsia="宋体" w:cs="Times New Roman"/>
                      <w:color w:val="auto"/>
                      <w:highlight w:val="none"/>
                      <w:lang w:eastAsia="zh-CN"/>
                    </w:rPr>
                    <w:t>贮存间</w:t>
                  </w:r>
                </w:p>
              </w:tc>
              <w:tc>
                <w:tcPr>
                  <w:tcW w:w="3102" w:type="pct"/>
                  <w:vAlign w:val="center"/>
                </w:tcPr>
                <w:p w14:paraId="4165D531">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20m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HW23含锌废物</w:t>
                  </w:r>
                  <w:r>
                    <w:rPr>
                      <w:rFonts w:hint="eastAsia" w:cs="Times New Roman"/>
                      <w:color w:val="auto"/>
                      <w:highlight w:val="none"/>
                      <w:lang w:val="en-US" w:eastAsia="zh-CN"/>
                    </w:rPr>
                    <w:t>(全子项)</w:t>
                  </w:r>
                </w:p>
              </w:tc>
              <w:tc>
                <w:tcPr>
                  <w:tcW w:w="517" w:type="pct"/>
                  <w:vMerge w:val="continue"/>
                  <w:vAlign w:val="center"/>
                </w:tcPr>
                <w:p w14:paraId="2F80F744">
                  <w:pPr>
                    <w:jc w:val="center"/>
                    <w:rPr>
                      <w:rFonts w:hint="default" w:ascii="Times New Roman" w:hAnsi="Times New Roman" w:eastAsia="宋体" w:cs="Times New Roman"/>
                      <w:color w:val="auto"/>
                      <w:highlight w:val="none"/>
                    </w:rPr>
                  </w:pPr>
                </w:p>
              </w:tc>
            </w:tr>
            <w:tr w14:paraId="3408A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4753DE2E">
                  <w:pPr>
                    <w:jc w:val="center"/>
                    <w:rPr>
                      <w:rFonts w:hint="default" w:ascii="Times New Roman" w:hAnsi="Times New Roman" w:eastAsia="宋体" w:cs="Times New Roman"/>
                      <w:color w:val="auto"/>
                      <w:highlight w:val="none"/>
                    </w:rPr>
                  </w:pPr>
                </w:p>
              </w:tc>
              <w:tc>
                <w:tcPr>
                  <w:tcW w:w="250" w:type="pct"/>
                  <w:vMerge w:val="continue"/>
                  <w:vAlign w:val="center"/>
                </w:tcPr>
                <w:p w14:paraId="48C8BF5E">
                  <w:pPr>
                    <w:jc w:val="center"/>
                    <w:rPr>
                      <w:rFonts w:hint="default" w:ascii="Times New Roman" w:hAnsi="Times New Roman" w:eastAsia="宋体" w:cs="Times New Roman"/>
                      <w:color w:val="auto"/>
                      <w:highlight w:val="none"/>
                    </w:rPr>
                  </w:pPr>
                </w:p>
              </w:tc>
              <w:tc>
                <w:tcPr>
                  <w:tcW w:w="690" w:type="pct"/>
                  <w:vAlign w:val="center"/>
                </w:tcPr>
                <w:p w14:paraId="4825D46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24</w:t>
                  </w:r>
                  <w:r>
                    <w:rPr>
                      <w:rFonts w:hint="default" w:ascii="Times New Roman" w:hAnsi="Times New Roman" w:eastAsia="宋体" w:cs="Times New Roman"/>
                      <w:color w:val="auto"/>
                      <w:highlight w:val="none"/>
                      <w:lang w:eastAsia="zh-CN"/>
                    </w:rPr>
                    <w:t>贮存间</w:t>
                  </w:r>
                </w:p>
              </w:tc>
              <w:tc>
                <w:tcPr>
                  <w:tcW w:w="3102" w:type="pct"/>
                  <w:vAlign w:val="center"/>
                </w:tcPr>
                <w:p w14:paraId="4192A3F5">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HW24含砷废物(全子项)</w:t>
                  </w:r>
                </w:p>
              </w:tc>
              <w:tc>
                <w:tcPr>
                  <w:tcW w:w="517" w:type="pct"/>
                  <w:vMerge w:val="continue"/>
                  <w:vAlign w:val="center"/>
                </w:tcPr>
                <w:p w14:paraId="1E473C26">
                  <w:pPr>
                    <w:jc w:val="center"/>
                    <w:rPr>
                      <w:rFonts w:hint="default" w:ascii="Times New Roman" w:hAnsi="Times New Roman" w:eastAsia="宋体" w:cs="Times New Roman"/>
                      <w:color w:val="auto"/>
                      <w:highlight w:val="none"/>
                    </w:rPr>
                  </w:pPr>
                </w:p>
              </w:tc>
            </w:tr>
            <w:tr w14:paraId="39306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7B7F2EAC">
                  <w:pPr>
                    <w:jc w:val="center"/>
                    <w:rPr>
                      <w:color w:val="auto"/>
                      <w:highlight w:val="none"/>
                    </w:rPr>
                  </w:pPr>
                </w:p>
              </w:tc>
              <w:tc>
                <w:tcPr>
                  <w:tcW w:w="250" w:type="pct"/>
                  <w:vMerge w:val="continue"/>
                  <w:vAlign w:val="center"/>
                </w:tcPr>
                <w:p w14:paraId="256087B3">
                  <w:pPr>
                    <w:jc w:val="center"/>
                    <w:rPr>
                      <w:color w:val="auto"/>
                      <w:highlight w:val="none"/>
                    </w:rPr>
                  </w:pPr>
                </w:p>
              </w:tc>
              <w:tc>
                <w:tcPr>
                  <w:tcW w:w="690" w:type="pct"/>
                  <w:vAlign w:val="center"/>
                </w:tcPr>
                <w:p w14:paraId="3BF4CCB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贮存间</w:t>
                  </w:r>
                </w:p>
              </w:tc>
              <w:tc>
                <w:tcPr>
                  <w:tcW w:w="3102" w:type="pct"/>
                  <w:vAlign w:val="center"/>
                </w:tcPr>
                <w:p w14:paraId="5E39C88F">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HW25含硒废物(全子项)</w:t>
                  </w:r>
                </w:p>
              </w:tc>
              <w:tc>
                <w:tcPr>
                  <w:tcW w:w="517" w:type="pct"/>
                  <w:vMerge w:val="continue"/>
                  <w:vAlign w:val="center"/>
                </w:tcPr>
                <w:p w14:paraId="11620822">
                  <w:pPr>
                    <w:jc w:val="center"/>
                    <w:rPr>
                      <w:rFonts w:hint="default" w:ascii="Times New Roman" w:hAnsi="Times New Roman" w:eastAsia="宋体" w:cs="Times New Roman"/>
                      <w:color w:val="auto"/>
                      <w:highlight w:val="none"/>
                      <w:lang w:eastAsia="zh-CN"/>
                    </w:rPr>
                  </w:pPr>
                </w:p>
              </w:tc>
            </w:tr>
            <w:tr w14:paraId="76678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5413D433">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60E3574E">
                  <w:pPr>
                    <w:jc w:val="center"/>
                    <w:rPr>
                      <w:rFonts w:hint="default" w:ascii="Times New Roman" w:hAnsi="Times New Roman" w:eastAsia="宋体" w:cs="Times New Roman"/>
                      <w:color w:val="auto"/>
                      <w:highlight w:val="none"/>
                      <w:lang w:eastAsia="zh-CN"/>
                    </w:rPr>
                  </w:pPr>
                </w:p>
              </w:tc>
              <w:tc>
                <w:tcPr>
                  <w:tcW w:w="690" w:type="pct"/>
                  <w:vAlign w:val="center"/>
                </w:tcPr>
                <w:p w14:paraId="7495976B">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贮存间</w:t>
                  </w:r>
                </w:p>
              </w:tc>
              <w:tc>
                <w:tcPr>
                  <w:tcW w:w="3102" w:type="pct"/>
                  <w:vAlign w:val="center"/>
                </w:tcPr>
                <w:p w14:paraId="0841E558">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HW26含镉废物(全子项)</w:t>
                  </w:r>
                </w:p>
              </w:tc>
              <w:tc>
                <w:tcPr>
                  <w:tcW w:w="517" w:type="pct"/>
                  <w:vMerge w:val="continue"/>
                  <w:vAlign w:val="center"/>
                </w:tcPr>
                <w:p w14:paraId="5806573C">
                  <w:pPr>
                    <w:jc w:val="center"/>
                    <w:rPr>
                      <w:rFonts w:hint="default" w:ascii="Times New Roman" w:hAnsi="Times New Roman" w:eastAsia="宋体" w:cs="Times New Roman"/>
                      <w:color w:val="auto"/>
                      <w:highlight w:val="none"/>
                      <w:lang w:eastAsia="zh-CN"/>
                    </w:rPr>
                  </w:pPr>
                </w:p>
              </w:tc>
            </w:tr>
            <w:tr w14:paraId="1F2BC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324B1568">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4A45B140">
                  <w:pPr>
                    <w:jc w:val="center"/>
                    <w:rPr>
                      <w:rFonts w:hint="default" w:ascii="Times New Roman" w:hAnsi="Times New Roman" w:eastAsia="宋体" w:cs="Times New Roman"/>
                      <w:color w:val="auto"/>
                      <w:highlight w:val="none"/>
                      <w:lang w:eastAsia="zh-CN"/>
                    </w:rPr>
                  </w:pPr>
                </w:p>
              </w:tc>
              <w:tc>
                <w:tcPr>
                  <w:tcW w:w="690" w:type="pct"/>
                  <w:vAlign w:val="center"/>
                </w:tcPr>
                <w:p w14:paraId="16CB52A5">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贮存间</w:t>
                  </w:r>
                </w:p>
              </w:tc>
              <w:tc>
                <w:tcPr>
                  <w:tcW w:w="3102" w:type="pct"/>
                  <w:vAlign w:val="center"/>
                </w:tcPr>
                <w:p w14:paraId="5A91ED44">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HW27含锑废物(全子项)</w:t>
                  </w:r>
                </w:p>
              </w:tc>
              <w:tc>
                <w:tcPr>
                  <w:tcW w:w="517" w:type="pct"/>
                  <w:vMerge w:val="continue"/>
                  <w:vAlign w:val="center"/>
                </w:tcPr>
                <w:p w14:paraId="60664E73">
                  <w:pPr>
                    <w:jc w:val="center"/>
                    <w:rPr>
                      <w:rFonts w:hint="default" w:ascii="Times New Roman" w:hAnsi="Times New Roman" w:eastAsia="宋体" w:cs="Times New Roman"/>
                      <w:color w:val="auto"/>
                      <w:highlight w:val="none"/>
                      <w:lang w:eastAsia="zh-CN"/>
                    </w:rPr>
                  </w:pPr>
                </w:p>
              </w:tc>
            </w:tr>
            <w:tr w14:paraId="12774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439" w:type="pct"/>
                  <w:vMerge w:val="continue"/>
                  <w:vAlign w:val="center"/>
                </w:tcPr>
                <w:p w14:paraId="082E7097">
                  <w:pPr>
                    <w:jc w:val="center"/>
                    <w:rPr>
                      <w:rFonts w:hint="default" w:ascii="Times New Roman" w:hAnsi="Times New Roman" w:eastAsia="宋体" w:cs="Times New Roman"/>
                      <w:color w:val="auto"/>
                      <w:highlight w:val="none"/>
                      <w:lang w:eastAsia="zh-CN"/>
                    </w:rPr>
                  </w:pPr>
                </w:p>
              </w:tc>
              <w:tc>
                <w:tcPr>
                  <w:tcW w:w="250" w:type="pct"/>
                  <w:vMerge w:val="continue"/>
                  <w:vAlign w:val="center"/>
                </w:tcPr>
                <w:p w14:paraId="2E295EED">
                  <w:pPr>
                    <w:jc w:val="center"/>
                    <w:rPr>
                      <w:rFonts w:hint="default" w:ascii="Times New Roman" w:hAnsi="Times New Roman" w:eastAsia="宋体" w:cs="Times New Roman"/>
                      <w:color w:val="auto"/>
                      <w:highlight w:val="none"/>
                      <w:lang w:eastAsia="zh-CN"/>
                    </w:rPr>
                  </w:pPr>
                </w:p>
              </w:tc>
              <w:tc>
                <w:tcPr>
                  <w:tcW w:w="690" w:type="pct"/>
                  <w:vAlign w:val="center"/>
                </w:tcPr>
                <w:p w14:paraId="3376E40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w:t>
                  </w:r>
                  <w:r>
                    <w:rPr>
                      <w:rFonts w:hint="eastAsia" w:eastAsia="宋体" w:cs="Times New Roman"/>
                      <w:color w:val="auto"/>
                      <w:highlight w:val="none"/>
                      <w:lang w:val="en-US" w:eastAsia="zh-CN"/>
                    </w:rPr>
                    <w:t>8</w:t>
                  </w:r>
                  <w:r>
                    <w:rPr>
                      <w:rFonts w:hint="default" w:ascii="Times New Roman" w:hAnsi="Times New Roman" w:eastAsia="宋体" w:cs="Times New Roman"/>
                      <w:color w:val="auto"/>
                      <w:highlight w:val="none"/>
                      <w:lang w:eastAsia="zh-CN"/>
                    </w:rPr>
                    <w:t>贮存间</w:t>
                  </w:r>
                </w:p>
              </w:tc>
              <w:tc>
                <w:tcPr>
                  <w:tcW w:w="3102" w:type="pct"/>
                  <w:vAlign w:val="center"/>
                </w:tcPr>
                <w:p w14:paraId="75353DAC">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HW28含碲废物(全子项)</w:t>
                  </w:r>
                </w:p>
              </w:tc>
              <w:tc>
                <w:tcPr>
                  <w:tcW w:w="517" w:type="pct"/>
                  <w:vMerge w:val="continue"/>
                  <w:vAlign w:val="center"/>
                </w:tcPr>
                <w:p w14:paraId="54699DD3">
                  <w:pPr>
                    <w:jc w:val="center"/>
                    <w:rPr>
                      <w:rFonts w:hint="default" w:ascii="Times New Roman" w:hAnsi="Times New Roman" w:eastAsia="宋体" w:cs="Times New Roman"/>
                      <w:color w:val="auto"/>
                      <w:highlight w:val="none"/>
                      <w:lang w:eastAsia="zh-CN"/>
                    </w:rPr>
                  </w:pPr>
                </w:p>
              </w:tc>
            </w:tr>
            <w:tr w14:paraId="6EAE2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4BB50F5">
                  <w:pPr>
                    <w:jc w:val="center"/>
                    <w:rPr>
                      <w:rFonts w:hint="default" w:ascii="Times New Roman" w:hAnsi="Times New Roman" w:eastAsia="宋体" w:cs="Times New Roman"/>
                      <w:color w:val="auto"/>
                      <w:highlight w:val="none"/>
                    </w:rPr>
                  </w:pPr>
                </w:p>
              </w:tc>
              <w:tc>
                <w:tcPr>
                  <w:tcW w:w="250" w:type="pct"/>
                  <w:vMerge w:val="continue"/>
                  <w:vAlign w:val="center"/>
                </w:tcPr>
                <w:p w14:paraId="3BAAF8EC">
                  <w:pPr>
                    <w:jc w:val="center"/>
                    <w:rPr>
                      <w:rFonts w:hint="default" w:ascii="Times New Roman" w:hAnsi="Times New Roman" w:eastAsia="宋体" w:cs="Times New Roman"/>
                      <w:color w:val="auto"/>
                      <w:highlight w:val="none"/>
                    </w:rPr>
                  </w:pPr>
                </w:p>
              </w:tc>
              <w:tc>
                <w:tcPr>
                  <w:tcW w:w="690" w:type="pct"/>
                  <w:vAlign w:val="center"/>
                </w:tcPr>
                <w:p w14:paraId="0DB95B3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29</w:t>
                  </w:r>
                  <w:r>
                    <w:rPr>
                      <w:rFonts w:hint="default" w:ascii="Times New Roman" w:hAnsi="Times New Roman" w:eastAsia="宋体" w:cs="Times New Roman"/>
                      <w:color w:val="auto"/>
                      <w:highlight w:val="none"/>
                      <w:lang w:eastAsia="zh-CN"/>
                    </w:rPr>
                    <w:t>贮存间</w:t>
                  </w:r>
                </w:p>
              </w:tc>
              <w:tc>
                <w:tcPr>
                  <w:tcW w:w="3102" w:type="pct"/>
                  <w:vAlign w:val="center"/>
                </w:tcPr>
                <w:p w14:paraId="31F8E10F">
                  <w:pPr>
                    <w:jc w:val="center"/>
                    <w:rPr>
                      <w:rFonts w:hint="default" w:ascii="Times New Roman" w:hAnsi="Times New Roman" w:eastAsia="宋体" w:cs="Times New Roman"/>
                      <w:color w:val="auto"/>
                      <w:highlight w:val="none"/>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HW29含汞废物</w:t>
                  </w:r>
                  <w:r>
                    <w:rPr>
                      <w:rFonts w:hint="eastAsia" w:cs="Times New Roman"/>
                      <w:color w:val="auto"/>
                      <w:highlight w:val="none"/>
                      <w:lang w:val="en-US" w:eastAsia="zh-CN"/>
                    </w:rPr>
                    <w:t>(全子项)</w:t>
                  </w:r>
                </w:p>
              </w:tc>
              <w:tc>
                <w:tcPr>
                  <w:tcW w:w="517" w:type="pct"/>
                  <w:vMerge w:val="continue"/>
                  <w:vAlign w:val="center"/>
                </w:tcPr>
                <w:p w14:paraId="48665A16">
                  <w:pPr>
                    <w:jc w:val="center"/>
                    <w:rPr>
                      <w:rFonts w:hint="default" w:ascii="Times New Roman" w:hAnsi="Times New Roman" w:eastAsia="宋体" w:cs="Times New Roman"/>
                      <w:color w:val="auto"/>
                      <w:highlight w:val="none"/>
                    </w:rPr>
                  </w:pPr>
                </w:p>
              </w:tc>
            </w:tr>
            <w:tr w14:paraId="34D7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1D42B3F">
                  <w:pPr>
                    <w:jc w:val="center"/>
                    <w:rPr>
                      <w:rFonts w:hint="default" w:ascii="Times New Roman" w:hAnsi="Times New Roman" w:eastAsia="宋体" w:cs="Times New Roman"/>
                      <w:color w:val="auto"/>
                      <w:highlight w:val="none"/>
                    </w:rPr>
                  </w:pPr>
                </w:p>
              </w:tc>
              <w:tc>
                <w:tcPr>
                  <w:tcW w:w="250" w:type="pct"/>
                  <w:vMerge w:val="continue"/>
                  <w:vAlign w:val="center"/>
                </w:tcPr>
                <w:p w14:paraId="7537C907">
                  <w:pPr>
                    <w:jc w:val="center"/>
                    <w:rPr>
                      <w:rFonts w:hint="default" w:ascii="Times New Roman" w:hAnsi="Times New Roman" w:eastAsia="宋体" w:cs="Times New Roman"/>
                      <w:color w:val="auto"/>
                      <w:highlight w:val="none"/>
                    </w:rPr>
                  </w:pPr>
                </w:p>
              </w:tc>
              <w:tc>
                <w:tcPr>
                  <w:tcW w:w="690" w:type="pct"/>
                  <w:vAlign w:val="center"/>
                </w:tcPr>
                <w:p w14:paraId="1F0B2CCB">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31</w:t>
                  </w:r>
                  <w:r>
                    <w:rPr>
                      <w:rFonts w:hint="default" w:ascii="Times New Roman" w:hAnsi="Times New Roman" w:eastAsia="宋体" w:cs="Times New Roman"/>
                      <w:color w:val="auto"/>
                      <w:highlight w:val="none"/>
                      <w:lang w:eastAsia="zh-CN"/>
                    </w:rPr>
                    <w:t>贮存间</w:t>
                  </w:r>
                </w:p>
              </w:tc>
              <w:tc>
                <w:tcPr>
                  <w:tcW w:w="3102" w:type="pct"/>
                  <w:vAlign w:val="center"/>
                </w:tcPr>
                <w:p w14:paraId="257CAA31">
                  <w:pPr>
                    <w:jc w:val="center"/>
                    <w:rPr>
                      <w:rFonts w:hint="eastAsia" w:cs="Times New Roman"/>
                      <w:color w:val="auto"/>
                      <w:highlight w:val="none"/>
                      <w:lang w:eastAsia="zh-CN"/>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40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HW31含铅废物；</w:t>
                  </w:r>
                  <w:r>
                    <w:rPr>
                      <w:rFonts w:hint="eastAsia" w:cs="Times New Roman"/>
                      <w:color w:val="auto"/>
                      <w:highlight w:val="none"/>
                      <w:lang w:val="en-US" w:eastAsia="zh-CN"/>
                    </w:rPr>
                    <w:t>内部划分经隔断墙将贮存间划分为干式废物贮存区、湿式废物贮存区</w:t>
                  </w:r>
                </w:p>
              </w:tc>
              <w:tc>
                <w:tcPr>
                  <w:tcW w:w="517" w:type="pct"/>
                  <w:vMerge w:val="continue"/>
                  <w:vAlign w:val="center"/>
                </w:tcPr>
                <w:p w14:paraId="7ED3110B">
                  <w:pPr>
                    <w:jc w:val="center"/>
                    <w:rPr>
                      <w:rFonts w:hint="default" w:ascii="Times New Roman" w:hAnsi="Times New Roman" w:eastAsia="宋体" w:cs="Times New Roman"/>
                      <w:color w:val="auto"/>
                      <w:highlight w:val="none"/>
                    </w:rPr>
                  </w:pPr>
                </w:p>
              </w:tc>
            </w:tr>
            <w:tr w14:paraId="24061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02D5DD7">
                  <w:pPr>
                    <w:jc w:val="center"/>
                    <w:rPr>
                      <w:rFonts w:hint="default" w:ascii="Times New Roman" w:hAnsi="Times New Roman" w:eastAsia="宋体" w:cs="Times New Roman"/>
                      <w:color w:val="auto"/>
                      <w:highlight w:val="none"/>
                    </w:rPr>
                  </w:pPr>
                </w:p>
              </w:tc>
              <w:tc>
                <w:tcPr>
                  <w:tcW w:w="250" w:type="pct"/>
                  <w:vMerge w:val="continue"/>
                  <w:vAlign w:val="center"/>
                </w:tcPr>
                <w:p w14:paraId="46A11CAB">
                  <w:pPr>
                    <w:jc w:val="center"/>
                    <w:rPr>
                      <w:rFonts w:hint="default" w:ascii="Times New Roman" w:hAnsi="Times New Roman" w:eastAsia="宋体" w:cs="Times New Roman"/>
                      <w:color w:val="auto"/>
                      <w:highlight w:val="none"/>
                    </w:rPr>
                  </w:pPr>
                </w:p>
              </w:tc>
              <w:tc>
                <w:tcPr>
                  <w:tcW w:w="690" w:type="pct"/>
                  <w:vAlign w:val="center"/>
                </w:tcPr>
                <w:p w14:paraId="05E5F30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32</w:t>
                  </w:r>
                  <w:r>
                    <w:rPr>
                      <w:rFonts w:hint="default" w:ascii="Times New Roman" w:hAnsi="Times New Roman" w:eastAsia="宋体" w:cs="Times New Roman"/>
                      <w:color w:val="auto"/>
                      <w:highlight w:val="none"/>
                      <w:lang w:eastAsia="zh-CN"/>
                    </w:rPr>
                    <w:t>贮存间</w:t>
                  </w:r>
                </w:p>
              </w:tc>
              <w:tc>
                <w:tcPr>
                  <w:tcW w:w="3102" w:type="pct"/>
                  <w:vAlign w:val="center"/>
                </w:tcPr>
                <w:p w14:paraId="10AD13E2">
                  <w:pPr>
                    <w:jc w:val="center"/>
                    <w:rPr>
                      <w:rFonts w:hint="eastAsia" w:cs="Times New Roman"/>
                      <w:color w:val="auto"/>
                      <w:highlight w:val="none"/>
                      <w:lang w:eastAsia="zh-CN"/>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HW32无机氟化物废物</w:t>
                  </w:r>
                  <w:r>
                    <w:rPr>
                      <w:rFonts w:hint="eastAsia" w:cs="Times New Roman"/>
                      <w:color w:val="auto"/>
                      <w:highlight w:val="none"/>
                      <w:lang w:val="en-US" w:eastAsia="zh-CN"/>
                    </w:rPr>
                    <w:t>(全子项)</w:t>
                  </w:r>
                </w:p>
              </w:tc>
              <w:tc>
                <w:tcPr>
                  <w:tcW w:w="517" w:type="pct"/>
                  <w:vMerge w:val="continue"/>
                  <w:vAlign w:val="center"/>
                </w:tcPr>
                <w:p w14:paraId="6CD8AE14">
                  <w:pPr>
                    <w:jc w:val="center"/>
                    <w:rPr>
                      <w:rFonts w:hint="default" w:ascii="Times New Roman" w:hAnsi="Times New Roman" w:eastAsia="宋体" w:cs="Times New Roman"/>
                      <w:color w:val="auto"/>
                      <w:highlight w:val="none"/>
                    </w:rPr>
                  </w:pPr>
                </w:p>
              </w:tc>
            </w:tr>
            <w:tr w14:paraId="049F1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29085CBD">
                  <w:pPr>
                    <w:jc w:val="center"/>
                    <w:rPr>
                      <w:rFonts w:hint="default" w:ascii="Times New Roman" w:hAnsi="Times New Roman" w:eastAsia="宋体" w:cs="Times New Roman"/>
                      <w:color w:val="auto"/>
                      <w:highlight w:val="none"/>
                    </w:rPr>
                  </w:pPr>
                </w:p>
              </w:tc>
              <w:tc>
                <w:tcPr>
                  <w:tcW w:w="250" w:type="pct"/>
                  <w:vMerge w:val="continue"/>
                  <w:vAlign w:val="center"/>
                </w:tcPr>
                <w:p w14:paraId="5A0CDBFD">
                  <w:pPr>
                    <w:jc w:val="center"/>
                    <w:rPr>
                      <w:rFonts w:hint="default" w:ascii="Times New Roman" w:hAnsi="Times New Roman" w:eastAsia="宋体" w:cs="Times New Roman"/>
                      <w:color w:val="auto"/>
                      <w:highlight w:val="none"/>
                    </w:rPr>
                  </w:pPr>
                </w:p>
              </w:tc>
              <w:tc>
                <w:tcPr>
                  <w:tcW w:w="690" w:type="pct"/>
                  <w:vAlign w:val="center"/>
                </w:tcPr>
                <w:p w14:paraId="276939B8">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贮存间</w:t>
                  </w:r>
                </w:p>
              </w:tc>
              <w:tc>
                <w:tcPr>
                  <w:tcW w:w="3102" w:type="pct"/>
                  <w:vAlign w:val="center"/>
                </w:tcPr>
                <w:p w14:paraId="78CBEDF2">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无机</w:t>
                  </w:r>
                  <w:r>
                    <w:rPr>
                      <w:rFonts w:hint="eastAsia" w:eastAsia="宋体" w:cs="Times New Roman"/>
                      <w:color w:val="auto"/>
                      <w:highlight w:val="none"/>
                      <w:lang w:val="en-US" w:eastAsia="zh-CN"/>
                    </w:rPr>
                    <w:t>氰</w:t>
                  </w:r>
                  <w:r>
                    <w:rPr>
                      <w:rFonts w:hint="default" w:ascii="Times New Roman" w:hAnsi="Times New Roman" w:eastAsia="宋体" w:cs="Times New Roman"/>
                      <w:color w:val="auto"/>
                      <w:highlight w:val="none"/>
                      <w:lang w:val="en-US" w:eastAsia="zh-CN"/>
                    </w:rPr>
                    <w:t>化物废物</w:t>
                  </w:r>
                  <w:r>
                    <w:rPr>
                      <w:rFonts w:hint="eastAsia" w:cs="Times New Roman"/>
                      <w:color w:val="auto"/>
                      <w:highlight w:val="none"/>
                      <w:lang w:val="en-US" w:eastAsia="zh-CN"/>
                    </w:rPr>
                    <w:t>(全子项)</w:t>
                  </w:r>
                </w:p>
              </w:tc>
              <w:tc>
                <w:tcPr>
                  <w:tcW w:w="517" w:type="pct"/>
                  <w:vMerge w:val="continue"/>
                  <w:vAlign w:val="center"/>
                </w:tcPr>
                <w:p w14:paraId="2E6672EC">
                  <w:pPr>
                    <w:jc w:val="center"/>
                    <w:rPr>
                      <w:rFonts w:hint="default" w:ascii="Times New Roman" w:hAnsi="Times New Roman" w:eastAsia="宋体" w:cs="Times New Roman"/>
                      <w:color w:val="auto"/>
                      <w:highlight w:val="none"/>
                    </w:rPr>
                  </w:pPr>
                </w:p>
              </w:tc>
            </w:tr>
            <w:tr w14:paraId="30C46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E680420">
                  <w:pPr>
                    <w:jc w:val="center"/>
                    <w:rPr>
                      <w:rFonts w:hint="default" w:ascii="Times New Roman" w:hAnsi="Times New Roman" w:eastAsia="宋体" w:cs="Times New Roman"/>
                      <w:color w:val="auto"/>
                      <w:highlight w:val="none"/>
                    </w:rPr>
                  </w:pPr>
                </w:p>
              </w:tc>
              <w:tc>
                <w:tcPr>
                  <w:tcW w:w="250" w:type="pct"/>
                  <w:vMerge w:val="continue"/>
                  <w:vAlign w:val="center"/>
                </w:tcPr>
                <w:p w14:paraId="12F7BAF9">
                  <w:pPr>
                    <w:jc w:val="center"/>
                    <w:rPr>
                      <w:rFonts w:hint="default" w:ascii="Times New Roman" w:hAnsi="Times New Roman" w:eastAsia="宋体" w:cs="Times New Roman"/>
                      <w:color w:val="auto"/>
                      <w:highlight w:val="none"/>
                    </w:rPr>
                  </w:pPr>
                </w:p>
              </w:tc>
              <w:tc>
                <w:tcPr>
                  <w:tcW w:w="690" w:type="pct"/>
                  <w:vAlign w:val="center"/>
                </w:tcPr>
                <w:p w14:paraId="527C5E2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36</w:t>
                  </w:r>
                  <w:r>
                    <w:rPr>
                      <w:rFonts w:hint="default" w:ascii="Times New Roman" w:hAnsi="Times New Roman" w:eastAsia="宋体" w:cs="Times New Roman"/>
                      <w:color w:val="auto"/>
                      <w:highlight w:val="none"/>
                      <w:lang w:eastAsia="zh-CN"/>
                    </w:rPr>
                    <w:t>贮存间</w:t>
                  </w:r>
                </w:p>
              </w:tc>
              <w:tc>
                <w:tcPr>
                  <w:tcW w:w="3102" w:type="pct"/>
                  <w:vAlign w:val="center"/>
                </w:tcPr>
                <w:p w14:paraId="3AF2AF12">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HW36石棉废物</w:t>
                  </w:r>
                  <w:r>
                    <w:rPr>
                      <w:rFonts w:hint="eastAsia" w:cs="Times New Roman"/>
                      <w:color w:val="auto"/>
                      <w:highlight w:val="none"/>
                      <w:lang w:val="en-US" w:eastAsia="zh-CN"/>
                    </w:rPr>
                    <w:t>(全子项)</w:t>
                  </w:r>
                </w:p>
              </w:tc>
              <w:tc>
                <w:tcPr>
                  <w:tcW w:w="517" w:type="pct"/>
                  <w:vMerge w:val="continue"/>
                  <w:vAlign w:val="center"/>
                </w:tcPr>
                <w:p w14:paraId="70CBCF10">
                  <w:pPr>
                    <w:jc w:val="center"/>
                    <w:rPr>
                      <w:rFonts w:hint="default" w:ascii="Times New Roman" w:hAnsi="Times New Roman" w:eastAsia="宋体" w:cs="Times New Roman"/>
                      <w:color w:val="auto"/>
                      <w:highlight w:val="none"/>
                    </w:rPr>
                  </w:pPr>
                </w:p>
              </w:tc>
            </w:tr>
            <w:tr w14:paraId="668B1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7BEE52C">
                  <w:pPr>
                    <w:jc w:val="center"/>
                    <w:rPr>
                      <w:rFonts w:hint="default" w:ascii="Times New Roman" w:hAnsi="Times New Roman" w:eastAsia="宋体" w:cs="Times New Roman"/>
                      <w:color w:val="auto"/>
                      <w:highlight w:val="none"/>
                    </w:rPr>
                  </w:pPr>
                </w:p>
              </w:tc>
              <w:tc>
                <w:tcPr>
                  <w:tcW w:w="250" w:type="pct"/>
                  <w:vMerge w:val="continue"/>
                  <w:vAlign w:val="center"/>
                </w:tcPr>
                <w:p w14:paraId="6B5ECADA">
                  <w:pPr>
                    <w:jc w:val="center"/>
                    <w:rPr>
                      <w:rFonts w:hint="default" w:ascii="Times New Roman" w:hAnsi="Times New Roman" w:eastAsia="宋体" w:cs="Times New Roman"/>
                      <w:color w:val="auto"/>
                      <w:highlight w:val="none"/>
                    </w:rPr>
                  </w:pPr>
                </w:p>
              </w:tc>
              <w:tc>
                <w:tcPr>
                  <w:tcW w:w="690" w:type="pct"/>
                  <w:vAlign w:val="center"/>
                </w:tcPr>
                <w:p w14:paraId="474C6AB9">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39</w:t>
                  </w:r>
                  <w:r>
                    <w:rPr>
                      <w:rFonts w:hint="default" w:ascii="Times New Roman" w:hAnsi="Times New Roman" w:eastAsia="宋体" w:cs="Times New Roman"/>
                      <w:color w:val="auto"/>
                      <w:highlight w:val="none"/>
                      <w:lang w:eastAsia="zh-CN"/>
                    </w:rPr>
                    <w:t>贮存间</w:t>
                  </w:r>
                </w:p>
              </w:tc>
              <w:tc>
                <w:tcPr>
                  <w:tcW w:w="3102" w:type="pct"/>
                  <w:vAlign w:val="center"/>
                </w:tcPr>
                <w:p w14:paraId="19984E4C">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HW39含酚废物</w:t>
                  </w:r>
                  <w:r>
                    <w:rPr>
                      <w:rFonts w:hint="eastAsia" w:cs="Times New Roman"/>
                      <w:color w:val="auto"/>
                      <w:highlight w:val="none"/>
                      <w:lang w:val="en-US" w:eastAsia="zh-CN"/>
                    </w:rPr>
                    <w:t>(全子项)</w:t>
                  </w:r>
                </w:p>
              </w:tc>
              <w:tc>
                <w:tcPr>
                  <w:tcW w:w="517" w:type="pct"/>
                  <w:vMerge w:val="continue"/>
                  <w:vAlign w:val="center"/>
                </w:tcPr>
                <w:p w14:paraId="213C01D1">
                  <w:pPr>
                    <w:jc w:val="center"/>
                    <w:rPr>
                      <w:rFonts w:hint="default" w:ascii="Times New Roman" w:hAnsi="Times New Roman" w:eastAsia="宋体" w:cs="Times New Roman"/>
                      <w:color w:val="auto"/>
                      <w:highlight w:val="none"/>
                    </w:rPr>
                  </w:pPr>
                </w:p>
              </w:tc>
            </w:tr>
            <w:tr w14:paraId="16EF9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59B12E57">
                  <w:pPr>
                    <w:jc w:val="center"/>
                    <w:rPr>
                      <w:rFonts w:hint="default" w:ascii="Times New Roman" w:hAnsi="Times New Roman" w:eastAsia="宋体" w:cs="Times New Roman"/>
                      <w:color w:val="auto"/>
                      <w:highlight w:val="none"/>
                    </w:rPr>
                  </w:pPr>
                </w:p>
              </w:tc>
              <w:tc>
                <w:tcPr>
                  <w:tcW w:w="250" w:type="pct"/>
                  <w:vMerge w:val="continue"/>
                  <w:vAlign w:val="center"/>
                </w:tcPr>
                <w:p w14:paraId="1E298CA2">
                  <w:pPr>
                    <w:jc w:val="center"/>
                    <w:rPr>
                      <w:rFonts w:hint="default" w:ascii="Times New Roman" w:hAnsi="Times New Roman" w:eastAsia="宋体" w:cs="Times New Roman"/>
                      <w:color w:val="auto"/>
                      <w:highlight w:val="none"/>
                    </w:rPr>
                  </w:pPr>
                </w:p>
              </w:tc>
              <w:tc>
                <w:tcPr>
                  <w:tcW w:w="690" w:type="pct"/>
                  <w:vAlign w:val="center"/>
                </w:tcPr>
                <w:p w14:paraId="1A6C11A1">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40</w:t>
                  </w:r>
                  <w:r>
                    <w:rPr>
                      <w:rFonts w:hint="default" w:ascii="Times New Roman" w:hAnsi="Times New Roman" w:eastAsia="宋体" w:cs="Times New Roman"/>
                      <w:color w:val="auto"/>
                      <w:highlight w:val="none"/>
                      <w:lang w:eastAsia="zh-CN"/>
                    </w:rPr>
                    <w:t>贮存间</w:t>
                  </w:r>
                </w:p>
              </w:tc>
              <w:tc>
                <w:tcPr>
                  <w:tcW w:w="3102" w:type="pct"/>
                  <w:vAlign w:val="center"/>
                </w:tcPr>
                <w:p w14:paraId="2ADB2899">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eastAsia"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HW40含醚废物(全子项)</w:t>
                  </w:r>
                </w:p>
              </w:tc>
              <w:tc>
                <w:tcPr>
                  <w:tcW w:w="517" w:type="pct"/>
                  <w:vMerge w:val="continue"/>
                  <w:vAlign w:val="center"/>
                </w:tcPr>
                <w:p w14:paraId="782203C3">
                  <w:pPr>
                    <w:jc w:val="center"/>
                    <w:rPr>
                      <w:rFonts w:hint="default" w:ascii="Times New Roman" w:hAnsi="Times New Roman" w:eastAsia="宋体" w:cs="Times New Roman"/>
                      <w:color w:val="auto"/>
                      <w:highlight w:val="none"/>
                    </w:rPr>
                  </w:pPr>
                </w:p>
              </w:tc>
            </w:tr>
            <w:tr w14:paraId="6043B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6CD428CC">
                  <w:pPr>
                    <w:jc w:val="center"/>
                    <w:rPr>
                      <w:rFonts w:hint="default" w:ascii="Times New Roman" w:hAnsi="Times New Roman" w:eastAsia="宋体" w:cs="Times New Roman"/>
                      <w:color w:val="auto"/>
                      <w:highlight w:val="none"/>
                    </w:rPr>
                  </w:pPr>
                </w:p>
              </w:tc>
              <w:tc>
                <w:tcPr>
                  <w:tcW w:w="250" w:type="pct"/>
                  <w:vMerge w:val="continue"/>
                  <w:vAlign w:val="center"/>
                </w:tcPr>
                <w:p w14:paraId="54FE31D0">
                  <w:pPr>
                    <w:jc w:val="center"/>
                    <w:rPr>
                      <w:rFonts w:hint="default" w:ascii="Times New Roman" w:hAnsi="Times New Roman" w:eastAsia="宋体" w:cs="Times New Roman"/>
                      <w:color w:val="auto"/>
                      <w:highlight w:val="none"/>
                    </w:rPr>
                  </w:pPr>
                </w:p>
              </w:tc>
              <w:tc>
                <w:tcPr>
                  <w:tcW w:w="690" w:type="pct"/>
                  <w:vAlign w:val="center"/>
                </w:tcPr>
                <w:p w14:paraId="7007519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eastAsia" w:eastAsia="宋体" w:cs="Times New Roman"/>
                      <w:color w:val="auto"/>
                      <w:highlight w:val="none"/>
                      <w:lang w:val="en-US" w:eastAsia="zh-CN"/>
                    </w:rPr>
                    <w:t>45</w:t>
                  </w:r>
                  <w:r>
                    <w:rPr>
                      <w:rFonts w:hint="default" w:ascii="Times New Roman" w:hAnsi="Times New Roman" w:eastAsia="宋体" w:cs="Times New Roman"/>
                      <w:color w:val="auto"/>
                      <w:highlight w:val="none"/>
                      <w:lang w:eastAsia="zh-CN"/>
                    </w:rPr>
                    <w:t>贮存间</w:t>
                  </w:r>
                </w:p>
              </w:tc>
              <w:tc>
                <w:tcPr>
                  <w:tcW w:w="3102" w:type="pct"/>
                  <w:vAlign w:val="center"/>
                </w:tcPr>
                <w:p w14:paraId="335459DA">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eastAsia"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eastAsia"/>
                      <w:color w:val="auto"/>
                      <w:highlight w:val="none"/>
                    </w:rPr>
                    <w:t>HW45含有机卤化物废物(全子项)</w:t>
                  </w:r>
                </w:p>
              </w:tc>
              <w:tc>
                <w:tcPr>
                  <w:tcW w:w="517" w:type="pct"/>
                  <w:vMerge w:val="continue"/>
                  <w:vAlign w:val="center"/>
                </w:tcPr>
                <w:p w14:paraId="5CABC887">
                  <w:pPr>
                    <w:jc w:val="center"/>
                    <w:rPr>
                      <w:rFonts w:hint="default" w:ascii="Times New Roman" w:hAnsi="Times New Roman" w:eastAsia="宋体" w:cs="Times New Roman"/>
                      <w:color w:val="auto"/>
                      <w:highlight w:val="none"/>
                    </w:rPr>
                  </w:pPr>
                </w:p>
              </w:tc>
            </w:tr>
            <w:tr w14:paraId="65D5A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7D4DAE1">
                  <w:pPr>
                    <w:jc w:val="center"/>
                    <w:rPr>
                      <w:rFonts w:hint="default" w:ascii="Times New Roman" w:hAnsi="Times New Roman" w:eastAsia="宋体" w:cs="Times New Roman"/>
                      <w:color w:val="auto"/>
                      <w:highlight w:val="none"/>
                    </w:rPr>
                  </w:pPr>
                </w:p>
              </w:tc>
              <w:tc>
                <w:tcPr>
                  <w:tcW w:w="250" w:type="pct"/>
                  <w:vMerge w:val="continue"/>
                  <w:vAlign w:val="center"/>
                </w:tcPr>
                <w:p w14:paraId="0B049342">
                  <w:pPr>
                    <w:jc w:val="center"/>
                    <w:rPr>
                      <w:rFonts w:hint="default" w:ascii="Times New Roman" w:hAnsi="Times New Roman" w:eastAsia="宋体" w:cs="Times New Roman"/>
                      <w:color w:val="auto"/>
                      <w:highlight w:val="none"/>
                    </w:rPr>
                  </w:pPr>
                </w:p>
              </w:tc>
              <w:tc>
                <w:tcPr>
                  <w:tcW w:w="690" w:type="pct"/>
                  <w:vAlign w:val="center"/>
                </w:tcPr>
                <w:p w14:paraId="6829AEC6">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46</w:t>
                  </w:r>
                  <w:r>
                    <w:rPr>
                      <w:rFonts w:hint="default" w:ascii="Times New Roman" w:hAnsi="Times New Roman" w:eastAsia="宋体" w:cs="Times New Roman"/>
                      <w:color w:val="auto"/>
                      <w:highlight w:val="none"/>
                      <w:lang w:eastAsia="zh-CN"/>
                    </w:rPr>
                    <w:t>贮存间</w:t>
                  </w:r>
                </w:p>
              </w:tc>
              <w:tc>
                <w:tcPr>
                  <w:tcW w:w="3102" w:type="pct"/>
                  <w:vAlign w:val="center"/>
                </w:tcPr>
                <w:p w14:paraId="0315EED6">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HW46含镍废物</w:t>
                  </w:r>
                  <w:r>
                    <w:rPr>
                      <w:rFonts w:hint="eastAsia" w:cs="Times New Roman"/>
                      <w:color w:val="auto"/>
                      <w:highlight w:val="none"/>
                      <w:lang w:val="en-US" w:eastAsia="zh-CN"/>
                    </w:rPr>
                    <w:t>(全子项)</w:t>
                  </w:r>
                </w:p>
              </w:tc>
              <w:tc>
                <w:tcPr>
                  <w:tcW w:w="517" w:type="pct"/>
                  <w:vMerge w:val="continue"/>
                  <w:vAlign w:val="center"/>
                </w:tcPr>
                <w:p w14:paraId="2FBA8AA3">
                  <w:pPr>
                    <w:jc w:val="center"/>
                    <w:rPr>
                      <w:rFonts w:hint="default" w:ascii="Times New Roman" w:hAnsi="Times New Roman" w:eastAsia="宋体" w:cs="Times New Roman"/>
                      <w:color w:val="auto"/>
                      <w:highlight w:val="none"/>
                    </w:rPr>
                  </w:pPr>
                </w:p>
              </w:tc>
            </w:tr>
            <w:tr w14:paraId="51AC7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3B47CE35">
                  <w:pPr>
                    <w:jc w:val="center"/>
                    <w:rPr>
                      <w:rFonts w:hint="default" w:ascii="Times New Roman" w:hAnsi="Times New Roman" w:eastAsia="宋体" w:cs="Times New Roman"/>
                      <w:color w:val="auto"/>
                      <w:highlight w:val="none"/>
                    </w:rPr>
                  </w:pPr>
                </w:p>
              </w:tc>
              <w:tc>
                <w:tcPr>
                  <w:tcW w:w="250" w:type="pct"/>
                  <w:vMerge w:val="continue"/>
                  <w:vAlign w:val="center"/>
                </w:tcPr>
                <w:p w14:paraId="4C9417E4">
                  <w:pPr>
                    <w:jc w:val="center"/>
                    <w:rPr>
                      <w:rFonts w:hint="default" w:ascii="Times New Roman" w:hAnsi="Times New Roman" w:eastAsia="宋体" w:cs="Times New Roman"/>
                      <w:color w:val="auto"/>
                      <w:highlight w:val="none"/>
                    </w:rPr>
                  </w:pPr>
                </w:p>
              </w:tc>
              <w:tc>
                <w:tcPr>
                  <w:tcW w:w="690" w:type="pct"/>
                  <w:vAlign w:val="center"/>
                </w:tcPr>
                <w:p w14:paraId="0D95BDB4">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eastAsia="zh-CN"/>
                    </w:rPr>
                    <w:t>贮存间</w:t>
                  </w:r>
                </w:p>
              </w:tc>
              <w:tc>
                <w:tcPr>
                  <w:tcW w:w="3102" w:type="pct"/>
                  <w:vAlign w:val="center"/>
                </w:tcPr>
                <w:p w14:paraId="66B59399">
                  <w:pPr>
                    <w:jc w:val="center"/>
                    <w:rPr>
                      <w:rFonts w:hint="eastAsia"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HW4</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含</w:t>
                  </w:r>
                  <w:r>
                    <w:rPr>
                      <w:rFonts w:hint="eastAsia" w:eastAsia="宋体" w:cs="Times New Roman"/>
                      <w:color w:val="auto"/>
                      <w:highlight w:val="none"/>
                      <w:lang w:val="en-US" w:eastAsia="zh-CN"/>
                    </w:rPr>
                    <w:t>钡</w:t>
                  </w:r>
                  <w:r>
                    <w:rPr>
                      <w:rFonts w:hint="default" w:ascii="Times New Roman" w:hAnsi="Times New Roman" w:eastAsia="宋体" w:cs="Times New Roman"/>
                      <w:color w:val="auto"/>
                      <w:highlight w:val="none"/>
                      <w:lang w:val="en-US" w:eastAsia="zh-CN"/>
                    </w:rPr>
                    <w:t>废物</w:t>
                  </w:r>
                  <w:r>
                    <w:rPr>
                      <w:rFonts w:hint="eastAsia" w:cs="Times New Roman"/>
                      <w:color w:val="auto"/>
                      <w:highlight w:val="none"/>
                      <w:lang w:val="en-US" w:eastAsia="zh-CN"/>
                    </w:rPr>
                    <w:t>(全子项)</w:t>
                  </w:r>
                </w:p>
              </w:tc>
              <w:tc>
                <w:tcPr>
                  <w:tcW w:w="517" w:type="pct"/>
                  <w:vMerge w:val="continue"/>
                  <w:vAlign w:val="center"/>
                </w:tcPr>
                <w:p w14:paraId="08413302">
                  <w:pPr>
                    <w:jc w:val="center"/>
                    <w:rPr>
                      <w:rFonts w:hint="default" w:ascii="Times New Roman" w:hAnsi="Times New Roman" w:eastAsia="宋体" w:cs="Times New Roman"/>
                      <w:color w:val="auto"/>
                      <w:highlight w:val="none"/>
                    </w:rPr>
                  </w:pPr>
                </w:p>
              </w:tc>
            </w:tr>
            <w:tr w14:paraId="6778D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13F0D869">
                  <w:pPr>
                    <w:jc w:val="center"/>
                    <w:rPr>
                      <w:rFonts w:hint="default" w:ascii="Times New Roman" w:hAnsi="Times New Roman" w:eastAsia="宋体" w:cs="Times New Roman"/>
                      <w:color w:val="auto"/>
                      <w:highlight w:val="none"/>
                    </w:rPr>
                  </w:pPr>
                </w:p>
              </w:tc>
              <w:tc>
                <w:tcPr>
                  <w:tcW w:w="250" w:type="pct"/>
                  <w:vMerge w:val="continue"/>
                  <w:vAlign w:val="center"/>
                </w:tcPr>
                <w:p w14:paraId="61AF11BD">
                  <w:pPr>
                    <w:jc w:val="center"/>
                    <w:rPr>
                      <w:rFonts w:hint="default" w:ascii="Times New Roman" w:hAnsi="Times New Roman" w:eastAsia="宋体" w:cs="Times New Roman"/>
                      <w:color w:val="auto"/>
                      <w:highlight w:val="none"/>
                    </w:rPr>
                  </w:pPr>
                </w:p>
              </w:tc>
              <w:tc>
                <w:tcPr>
                  <w:tcW w:w="690" w:type="pct"/>
                  <w:vAlign w:val="center"/>
                </w:tcPr>
                <w:p w14:paraId="76D6D9D5">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48</w:t>
                  </w:r>
                  <w:r>
                    <w:rPr>
                      <w:rFonts w:hint="default" w:ascii="Times New Roman" w:hAnsi="Times New Roman" w:eastAsia="宋体" w:cs="Times New Roman"/>
                      <w:color w:val="auto"/>
                      <w:highlight w:val="none"/>
                      <w:lang w:eastAsia="zh-CN"/>
                    </w:rPr>
                    <w:t>贮存间</w:t>
                  </w:r>
                </w:p>
              </w:tc>
              <w:tc>
                <w:tcPr>
                  <w:tcW w:w="3102" w:type="pct"/>
                  <w:vAlign w:val="center"/>
                </w:tcPr>
                <w:p w14:paraId="3E41FFA3">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独立贮存间，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48有色金属采选和冶炼废物</w:t>
                  </w:r>
                  <w:r>
                    <w:rPr>
                      <w:rFonts w:hint="eastAsia" w:cs="Times New Roman"/>
                      <w:color w:val="auto"/>
                      <w:highlight w:val="none"/>
                      <w:lang w:val="en-US" w:eastAsia="zh-CN"/>
                    </w:rPr>
                    <w:t>(全子项)</w:t>
                  </w:r>
                </w:p>
              </w:tc>
              <w:tc>
                <w:tcPr>
                  <w:tcW w:w="517" w:type="pct"/>
                  <w:vMerge w:val="continue"/>
                  <w:vAlign w:val="center"/>
                </w:tcPr>
                <w:p w14:paraId="1BD524B2">
                  <w:pPr>
                    <w:jc w:val="center"/>
                    <w:rPr>
                      <w:rFonts w:hint="default" w:ascii="Times New Roman" w:hAnsi="Times New Roman" w:eastAsia="宋体" w:cs="Times New Roman"/>
                      <w:color w:val="auto"/>
                      <w:highlight w:val="none"/>
                    </w:rPr>
                  </w:pPr>
                </w:p>
              </w:tc>
            </w:tr>
            <w:tr w14:paraId="71DBA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4224DB2F">
                  <w:pPr>
                    <w:jc w:val="center"/>
                    <w:rPr>
                      <w:rFonts w:hint="default" w:ascii="Times New Roman" w:hAnsi="Times New Roman" w:eastAsia="宋体" w:cs="Times New Roman"/>
                      <w:color w:val="auto"/>
                      <w:highlight w:val="none"/>
                    </w:rPr>
                  </w:pPr>
                </w:p>
              </w:tc>
              <w:tc>
                <w:tcPr>
                  <w:tcW w:w="250" w:type="pct"/>
                  <w:vMerge w:val="continue"/>
                  <w:vAlign w:val="center"/>
                </w:tcPr>
                <w:p w14:paraId="5F73C608">
                  <w:pPr>
                    <w:jc w:val="center"/>
                    <w:rPr>
                      <w:rFonts w:hint="default" w:ascii="Times New Roman" w:hAnsi="Times New Roman" w:eastAsia="宋体" w:cs="Times New Roman"/>
                      <w:color w:val="auto"/>
                      <w:highlight w:val="none"/>
                    </w:rPr>
                  </w:pPr>
                </w:p>
              </w:tc>
              <w:tc>
                <w:tcPr>
                  <w:tcW w:w="690" w:type="pct"/>
                  <w:shd w:val="clear" w:color="auto" w:fill="auto"/>
                  <w:vAlign w:val="center"/>
                </w:tcPr>
                <w:p w14:paraId="38750BB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49</w:t>
                  </w:r>
                  <w:r>
                    <w:rPr>
                      <w:rFonts w:hint="default" w:ascii="Times New Roman" w:hAnsi="Times New Roman" w:eastAsia="宋体" w:cs="Times New Roman"/>
                      <w:color w:val="auto"/>
                      <w:highlight w:val="none"/>
                      <w:lang w:eastAsia="zh-CN"/>
                    </w:rPr>
                    <w:t>贮存间</w:t>
                  </w:r>
                </w:p>
              </w:tc>
              <w:tc>
                <w:tcPr>
                  <w:tcW w:w="3102" w:type="pct"/>
                  <w:shd w:val="clear" w:color="auto" w:fill="auto"/>
                  <w:vAlign w:val="center"/>
                </w:tcPr>
                <w:p w14:paraId="5FAE29A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eastAsia="宋体" w:cs="Times New Roman"/>
                      <w:color w:val="auto"/>
                      <w:highlight w:val="none"/>
                      <w:lang w:val="en-US" w:eastAsia="zh-CN"/>
                    </w:rPr>
                    <w:t>50m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val="en-US" w:eastAsia="zh-CN"/>
                    </w:rPr>
                    <w:t>HW49其他废物贮存；</w:t>
                  </w:r>
                  <w:r>
                    <w:rPr>
                      <w:rFonts w:hint="eastAsia" w:cs="Times New Roman"/>
                      <w:color w:val="auto"/>
                      <w:highlight w:val="none"/>
                      <w:lang w:val="en-US" w:eastAsia="zh-CN"/>
                    </w:rPr>
                    <w:t>贮存间内根据物理形态进行分隔，分为固体废物暂存区、液体危废暂存区，并对实验室废液中酸性、碱性废液分开独立贮存在贮存设施内。</w:t>
                  </w:r>
                </w:p>
              </w:tc>
              <w:tc>
                <w:tcPr>
                  <w:tcW w:w="517" w:type="pct"/>
                  <w:vMerge w:val="continue"/>
                  <w:vAlign w:val="center"/>
                </w:tcPr>
                <w:p w14:paraId="55956167">
                  <w:pPr>
                    <w:jc w:val="center"/>
                    <w:rPr>
                      <w:rFonts w:hint="default" w:ascii="Times New Roman" w:hAnsi="Times New Roman" w:eastAsia="宋体" w:cs="Times New Roman"/>
                      <w:color w:val="auto"/>
                      <w:highlight w:val="none"/>
                    </w:rPr>
                  </w:pPr>
                </w:p>
              </w:tc>
            </w:tr>
            <w:tr w14:paraId="64516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7F1DD3D8">
                  <w:pPr>
                    <w:jc w:val="center"/>
                    <w:rPr>
                      <w:rFonts w:hint="default" w:ascii="Times New Roman" w:hAnsi="Times New Roman" w:eastAsia="宋体" w:cs="Times New Roman"/>
                      <w:color w:val="auto"/>
                      <w:highlight w:val="none"/>
                    </w:rPr>
                  </w:pPr>
                </w:p>
              </w:tc>
              <w:tc>
                <w:tcPr>
                  <w:tcW w:w="250" w:type="pct"/>
                  <w:vMerge w:val="continue"/>
                  <w:vAlign w:val="center"/>
                </w:tcPr>
                <w:p w14:paraId="4ACC4BE3">
                  <w:pPr>
                    <w:jc w:val="center"/>
                    <w:rPr>
                      <w:rFonts w:hint="default" w:ascii="Times New Roman" w:hAnsi="Times New Roman" w:eastAsia="宋体" w:cs="Times New Roman"/>
                      <w:color w:val="auto"/>
                      <w:highlight w:val="none"/>
                    </w:rPr>
                  </w:pPr>
                </w:p>
              </w:tc>
              <w:tc>
                <w:tcPr>
                  <w:tcW w:w="690" w:type="pct"/>
                  <w:vAlign w:val="center"/>
                </w:tcPr>
                <w:p w14:paraId="5574172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50</w:t>
                  </w:r>
                  <w:r>
                    <w:rPr>
                      <w:rFonts w:hint="default" w:ascii="Times New Roman" w:hAnsi="Times New Roman" w:eastAsia="宋体" w:cs="Times New Roman"/>
                      <w:color w:val="auto"/>
                      <w:highlight w:val="none"/>
                      <w:lang w:eastAsia="zh-CN"/>
                    </w:rPr>
                    <w:t>贮存间</w:t>
                  </w:r>
                </w:p>
              </w:tc>
              <w:tc>
                <w:tcPr>
                  <w:tcW w:w="3102" w:type="pct"/>
                  <w:vAlign w:val="center"/>
                </w:tcPr>
                <w:p w14:paraId="17C2830E">
                  <w:pPr>
                    <w:jc w:val="center"/>
                    <w:rPr>
                      <w:rFonts w:hint="default" w:ascii="Times New Roman" w:hAnsi="Times New Roman" w:eastAsia="宋体" w:cs="Times New Roman"/>
                      <w:color w:val="auto"/>
                      <w:highlight w:val="none"/>
                    </w:rPr>
                  </w:pPr>
                  <w:r>
                    <w:rPr>
                      <w:rFonts w:hint="eastAsia" w:cs="Times New Roman"/>
                      <w:color w:val="auto"/>
                      <w:highlight w:val="none"/>
                      <w:lang w:val="en-US" w:eastAsia="zh-CN"/>
                    </w:rPr>
                    <w:t>独立封闭</w:t>
                  </w:r>
                  <w:r>
                    <w:rPr>
                      <w:rFonts w:hint="default" w:ascii="Times New Roman" w:hAnsi="Times New Roman" w:cs="Times New Roman"/>
                      <w:color w:val="auto"/>
                      <w:highlight w:val="none"/>
                      <w:lang w:eastAsia="zh-CN"/>
                    </w:rPr>
                    <w:t>微负压贮存间</w:t>
                  </w:r>
                  <w:r>
                    <w:rPr>
                      <w:rFonts w:hint="default" w:ascii="Times New Roman" w:hAnsi="Times New Roman" w:eastAsia="宋体" w:cs="Times New Roman"/>
                      <w:color w:val="auto"/>
                      <w:highlight w:val="none"/>
                      <w:lang w:eastAsia="zh-CN"/>
                    </w:rPr>
                    <w:t>；面积约</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主要贮存</w:t>
                  </w:r>
                  <w:r>
                    <w:rPr>
                      <w:rFonts w:hint="default" w:ascii="Times New Roman" w:hAnsi="Times New Roman" w:eastAsia="宋体" w:cs="Times New Roman"/>
                      <w:color w:val="auto"/>
                      <w:highlight w:val="none"/>
                      <w:lang w:eastAsia="zh-CN"/>
                    </w:rPr>
                    <w:t>HW</w:t>
                  </w:r>
                  <w:r>
                    <w:rPr>
                      <w:rFonts w:hint="default" w:ascii="Times New Roman" w:hAnsi="Times New Roman" w:eastAsia="宋体" w:cs="Times New Roman"/>
                      <w:color w:val="auto"/>
                      <w:highlight w:val="none"/>
                      <w:lang w:val="en-US" w:eastAsia="zh-CN"/>
                    </w:rPr>
                    <w:t>50废催化剂废物</w:t>
                  </w:r>
                  <w:r>
                    <w:rPr>
                      <w:rFonts w:hint="eastAsia" w:cs="Times New Roman"/>
                      <w:color w:val="auto"/>
                      <w:highlight w:val="none"/>
                      <w:lang w:val="en-US" w:eastAsia="zh-CN"/>
                    </w:rPr>
                    <w:t>(全子项)</w:t>
                  </w:r>
                </w:p>
              </w:tc>
              <w:tc>
                <w:tcPr>
                  <w:tcW w:w="517" w:type="pct"/>
                  <w:vMerge w:val="continue"/>
                  <w:vAlign w:val="center"/>
                </w:tcPr>
                <w:p w14:paraId="3B9BD1D4">
                  <w:pPr>
                    <w:jc w:val="center"/>
                    <w:rPr>
                      <w:rFonts w:hint="default" w:ascii="Times New Roman" w:hAnsi="Times New Roman" w:eastAsia="宋体" w:cs="Times New Roman"/>
                      <w:color w:val="auto"/>
                      <w:highlight w:val="none"/>
                    </w:rPr>
                  </w:pPr>
                </w:p>
              </w:tc>
            </w:tr>
            <w:tr w14:paraId="02282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439" w:type="pct"/>
                  <w:vMerge w:val="continue"/>
                  <w:vAlign w:val="center"/>
                </w:tcPr>
                <w:p w14:paraId="2F25604A">
                  <w:pPr>
                    <w:jc w:val="center"/>
                    <w:rPr>
                      <w:rFonts w:hint="default" w:ascii="Times New Roman" w:hAnsi="Times New Roman" w:eastAsia="宋体" w:cs="Times New Roman"/>
                      <w:color w:val="auto"/>
                      <w:highlight w:val="none"/>
                    </w:rPr>
                  </w:pPr>
                </w:p>
              </w:tc>
              <w:tc>
                <w:tcPr>
                  <w:tcW w:w="941" w:type="pct"/>
                  <w:gridSpan w:val="2"/>
                  <w:vAlign w:val="center"/>
                </w:tcPr>
                <w:p w14:paraId="5AB1903E">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2楼</w:t>
                  </w:r>
                  <w:r>
                    <w:rPr>
                      <w:rFonts w:hint="default" w:ascii="Times New Roman" w:hAnsi="Times New Roman" w:eastAsia="宋体" w:cs="Times New Roman"/>
                      <w:color w:val="auto"/>
                      <w:highlight w:val="none"/>
                      <w:lang w:eastAsia="zh-CN"/>
                    </w:rPr>
                    <w:t>工具</w:t>
                  </w:r>
                  <w:r>
                    <w:rPr>
                      <w:rFonts w:hint="eastAsia" w:cs="Times New Roman"/>
                      <w:color w:val="auto"/>
                      <w:highlight w:val="none"/>
                      <w:lang w:val="en-US" w:eastAsia="zh-CN"/>
                    </w:rPr>
                    <w:t>库房</w:t>
                  </w:r>
                </w:p>
              </w:tc>
              <w:tc>
                <w:tcPr>
                  <w:tcW w:w="3102" w:type="pct"/>
                  <w:vAlign w:val="center"/>
                </w:tcPr>
                <w:p w14:paraId="6B8ABC78">
                  <w:pPr>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2F，</w:t>
                  </w:r>
                  <w:r>
                    <w:rPr>
                      <w:rFonts w:hint="default" w:ascii="Times New Roman" w:hAnsi="Times New Roman" w:eastAsia="宋体" w:cs="Times New Roman"/>
                      <w:color w:val="auto"/>
                      <w:highlight w:val="none"/>
                      <w:lang w:val="en-US" w:eastAsia="zh-CN"/>
                    </w:rPr>
                    <w:t>用于</w:t>
                  </w:r>
                  <w:r>
                    <w:rPr>
                      <w:rFonts w:hint="default" w:ascii="Times New Roman" w:hAnsi="Times New Roman" w:eastAsia="宋体" w:cs="Times New Roman"/>
                      <w:color w:val="auto"/>
                      <w:highlight w:val="none"/>
                      <w:lang w:eastAsia="zh-CN"/>
                    </w:rPr>
                    <w:t>托盘、包装物等辅助材料、工具的存放</w:t>
                  </w:r>
                  <w:r>
                    <w:rPr>
                      <w:rFonts w:hint="default" w:ascii="Times New Roman" w:hAnsi="Times New Roman" w:eastAsia="宋体" w:cs="Times New Roman"/>
                      <w:color w:val="auto"/>
                      <w:highlight w:val="none"/>
                      <w:lang w:val="en-US" w:eastAsia="zh-CN"/>
                    </w:rPr>
                    <w:t>；</w:t>
                  </w:r>
                </w:p>
              </w:tc>
              <w:tc>
                <w:tcPr>
                  <w:tcW w:w="517" w:type="pct"/>
                  <w:vAlign w:val="center"/>
                </w:tcPr>
                <w:p w14:paraId="1998A866">
                  <w:pPr>
                    <w:jc w:val="center"/>
                    <w:rPr>
                      <w:rFonts w:hint="default" w:ascii="Times New Roman" w:hAnsi="Times New Roman" w:eastAsia="宋体" w:cs="Times New Roman"/>
                      <w:color w:val="auto"/>
                      <w:highlight w:val="none"/>
                    </w:rPr>
                  </w:pPr>
                </w:p>
              </w:tc>
            </w:tr>
            <w:tr w14:paraId="29EB1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restart"/>
                  <w:vAlign w:val="center"/>
                </w:tcPr>
                <w:p w14:paraId="54FF1CE0">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运输工程</w:t>
                  </w:r>
                </w:p>
              </w:tc>
              <w:tc>
                <w:tcPr>
                  <w:tcW w:w="941" w:type="pct"/>
                  <w:gridSpan w:val="2"/>
                  <w:vAlign w:val="center"/>
                </w:tcPr>
                <w:p w14:paraId="3C0C708F">
                  <w:pPr>
                    <w:pStyle w:val="195"/>
                    <w:spacing w:before="209"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内部转运</w:t>
                  </w:r>
                </w:p>
              </w:tc>
              <w:tc>
                <w:tcPr>
                  <w:tcW w:w="3102" w:type="pct"/>
                  <w:vAlign w:val="center"/>
                </w:tcPr>
                <w:p w14:paraId="771A7269">
                  <w:pPr>
                    <w:pStyle w:val="195"/>
                    <w:spacing w:before="53" w:line="258" w:lineRule="auto"/>
                    <w:ind w:right="101"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产废单位至本危废贮存库房由本公司</w:t>
                  </w:r>
                  <w:r>
                    <w:rPr>
                      <w:rFonts w:hint="eastAsia" w:ascii="Times New Roman" w:hAnsi="Times New Roman" w:cs="Times New Roman"/>
                      <w:color w:val="auto"/>
                      <w:kern w:val="2"/>
                      <w:sz w:val="21"/>
                      <w:szCs w:val="21"/>
                      <w:highlight w:val="none"/>
                      <w:lang w:val="en-US" w:eastAsia="zh-CN" w:bidi="ar-SA"/>
                    </w:rPr>
                    <w:t>委托专业危险废物运输公司采用</w:t>
                  </w:r>
                  <w:r>
                    <w:rPr>
                      <w:rFonts w:hint="default" w:ascii="Times New Roman" w:hAnsi="Times New Roman" w:eastAsia="宋体" w:cs="Times New Roman"/>
                      <w:color w:val="auto"/>
                      <w:kern w:val="2"/>
                      <w:sz w:val="21"/>
                      <w:szCs w:val="21"/>
                      <w:highlight w:val="none"/>
                      <w:lang w:val="en-US" w:eastAsia="zh-CN" w:bidi="ar-SA"/>
                    </w:rPr>
                    <w:t>专用危险废物</w:t>
                  </w:r>
                  <w:r>
                    <w:rPr>
                      <w:rFonts w:hint="eastAsia" w:ascii="Times New Roman" w:hAnsi="Times New Roman" w:cs="Times New Roman"/>
                      <w:color w:val="auto"/>
                      <w:kern w:val="2"/>
                      <w:sz w:val="21"/>
                      <w:szCs w:val="21"/>
                      <w:highlight w:val="none"/>
                      <w:lang w:val="en-US" w:eastAsia="zh-CN" w:bidi="ar-SA"/>
                    </w:rPr>
                    <w:t>厢式</w:t>
                  </w:r>
                  <w:r>
                    <w:rPr>
                      <w:rFonts w:hint="default" w:ascii="Times New Roman" w:hAnsi="Times New Roman" w:eastAsia="宋体" w:cs="Times New Roman"/>
                      <w:color w:val="auto"/>
                      <w:kern w:val="2"/>
                      <w:sz w:val="21"/>
                      <w:szCs w:val="21"/>
                      <w:highlight w:val="none"/>
                      <w:lang w:val="en-US" w:eastAsia="zh-CN" w:bidi="ar-SA"/>
                    </w:rPr>
                    <w:t>转运车进行；</w:t>
                  </w:r>
                </w:p>
              </w:tc>
              <w:tc>
                <w:tcPr>
                  <w:tcW w:w="517" w:type="pct"/>
                  <w:vAlign w:val="center"/>
                </w:tcPr>
                <w:p w14:paraId="3866F9F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依托原有</w:t>
                  </w:r>
                </w:p>
              </w:tc>
            </w:tr>
            <w:tr w14:paraId="5278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39" w:type="pct"/>
                  <w:vMerge w:val="continue"/>
                  <w:vAlign w:val="center"/>
                </w:tcPr>
                <w:p w14:paraId="30D1C59B">
                  <w:pPr>
                    <w:jc w:val="center"/>
                    <w:rPr>
                      <w:rFonts w:hint="default" w:ascii="Times New Roman" w:hAnsi="Times New Roman" w:cs="Times New Roman"/>
                      <w:color w:val="auto"/>
                      <w:highlight w:val="none"/>
                    </w:rPr>
                  </w:pPr>
                </w:p>
              </w:tc>
              <w:tc>
                <w:tcPr>
                  <w:tcW w:w="941" w:type="pct"/>
                  <w:gridSpan w:val="2"/>
                  <w:vAlign w:val="center"/>
                </w:tcPr>
                <w:p w14:paraId="6DD976A0">
                  <w:pPr>
                    <w:pStyle w:val="195"/>
                    <w:spacing w:before="208"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外部运输</w:t>
                  </w:r>
                </w:p>
              </w:tc>
              <w:tc>
                <w:tcPr>
                  <w:tcW w:w="3102" w:type="pct"/>
                  <w:vAlign w:val="center"/>
                </w:tcPr>
                <w:p w14:paraId="1BBDE926">
                  <w:pPr>
                    <w:pStyle w:val="195"/>
                    <w:spacing w:before="52" w:line="258" w:lineRule="auto"/>
                    <w:ind w:right="101"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本危废贮存库房至下游接收单位由本公司委托</w:t>
                  </w:r>
                  <w:r>
                    <w:rPr>
                      <w:rFonts w:hint="eastAsia" w:ascii="Times New Roman" w:hAnsi="Times New Roman"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val="en-US" w:eastAsia="zh-CN" w:bidi="ar-SA"/>
                    </w:rPr>
                    <w:t>专业危险废物运输公司进行；</w:t>
                  </w:r>
                </w:p>
              </w:tc>
              <w:tc>
                <w:tcPr>
                  <w:tcW w:w="517" w:type="pct"/>
                  <w:vAlign w:val="center"/>
                </w:tcPr>
                <w:p w14:paraId="5381B0F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依托原有</w:t>
                  </w:r>
                </w:p>
              </w:tc>
            </w:tr>
            <w:tr w14:paraId="2A49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restart"/>
                  <w:vAlign w:val="center"/>
                </w:tcPr>
                <w:p w14:paraId="25EEDFE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w:t>
                  </w:r>
                </w:p>
                <w:p w14:paraId="7106D1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41" w:type="pct"/>
                  <w:gridSpan w:val="2"/>
                  <w:vAlign w:val="center"/>
                </w:tcPr>
                <w:p w14:paraId="143217D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办公楼</w:t>
                  </w:r>
                </w:p>
              </w:tc>
              <w:tc>
                <w:tcPr>
                  <w:tcW w:w="3102" w:type="pct"/>
                  <w:vAlign w:val="center"/>
                </w:tcPr>
                <w:p w14:paraId="1B2329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位于厂区西南侧，建筑面积1230m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，用于办公</w:t>
                  </w:r>
                  <w:r>
                    <w:rPr>
                      <w:rFonts w:hint="default" w:ascii="Times New Roman" w:hAnsi="Times New Roman" w:eastAsia="宋体" w:cs="Times New Roman"/>
                      <w:color w:val="auto"/>
                      <w:highlight w:val="none"/>
                      <w:lang w:eastAsia="zh-CN"/>
                    </w:rPr>
                    <w:t>。</w:t>
                  </w:r>
                </w:p>
              </w:tc>
              <w:tc>
                <w:tcPr>
                  <w:tcW w:w="517" w:type="pct"/>
                  <w:vAlign w:val="center"/>
                </w:tcPr>
                <w:p w14:paraId="3E4C89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3597B9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7CA6E9E2">
                  <w:pPr>
                    <w:jc w:val="center"/>
                    <w:rPr>
                      <w:rFonts w:hint="default" w:ascii="Times New Roman" w:hAnsi="Times New Roman" w:eastAsia="宋体" w:cs="Times New Roman"/>
                      <w:color w:val="auto"/>
                      <w:highlight w:val="none"/>
                    </w:rPr>
                  </w:pPr>
                </w:p>
              </w:tc>
              <w:tc>
                <w:tcPr>
                  <w:tcW w:w="941" w:type="pct"/>
                  <w:gridSpan w:val="2"/>
                  <w:vAlign w:val="center"/>
                </w:tcPr>
                <w:p w14:paraId="3A54A7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化验楼</w:t>
                  </w:r>
                </w:p>
              </w:tc>
              <w:tc>
                <w:tcPr>
                  <w:tcW w:w="3102" w:type="pct"/>
                  <w:vAlign w:val="center"/>
                </w:tcPr>
                <w:p w14:paraId="71C4B4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钢结构厂房，建筑面积210m</w:t>
                  </w:r>
                  <w:r>
                    <w:rPr>
                      <w:rFonts w:hint="default" w:ascii="Times New Roman" w:hAnsi="Times New Roman" w:eastAsia="宋体" w:cs="Times New Roman"/>
                      <w:color w:val="auto"/>
                      <w:highlight w:val="none"/>
                      <w:vertAlign w:val="superscript"/>
                    </w:rPr>
                    <w:t>2</w:t>
                  </w:r>
                </w:p>
              </w:tc>
              <w:tc>
                <w:tcPr>
                  <w:tcW w:w="517" w:type="pct"/>
                  <w:vAlign w:val="center"/>
                </w:tcPr>
                <w:p w14:paraId="2374EA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33DC1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3C5EC2AF">
                  <w:pPr>
                    <w:jc w:val="center"/>
                    <w:rPr>
                      <w:rFonts w:hint="default" w:ascii="Times New Roman" w:hAnsi="Times New Roman" w:eastAsia="宋体" w:cs="Times New Roman"/>
                      <w:color w:val="auto"/>
                      <w:highlight w:val="none"/>
                    </w:rPr>
                  </w:pPr>
                </w:p>
              </w:tc>
              <w:tc>
                <w:tcPr>
                  <w:tcW w:w="941" w:type="pct"/>
                  <w:gridSpan w:val="2"/>
                  <w:vAlign w:val="center"/>
                </w:tcPr>
                <w:p w14:paraId="38F60A2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食堂</w:t>
                  </w:r>
                </w:p>
              </w:tc>
              <w:tc>
                <w:tcPr>
                  <w:tcW w:w="3102" w:type="pct"/>
                  <w:vAlign w:val="center"/>
                </w:tcPr>
                <w:p w14:paraId="57AC5C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位于生活区西北侧</w:t>
                  </w:r>
                </w:p>
              </w:tc>
              <w:tc>
                <w:tcPr>
                  <w:tcW w:w="517" w:type="pct"/>
                  <w:vAlign w:val="center"/>
                </w:tcPr>
                <w:p w14:paraId="3DF47D6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557DB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0333BBE4">
                  <w:pPr>
                    <w:jc w:val="center"/>
                    <w:rPr>
                      <w:rFonts w:hint="default" w:ascii="Times New Roman" w:hAnsi="Times New Roman" w:eastAsia="宋体" w:cs="Times New Roman"/>
                      <w:color w:val="auto"/>
                      <w:highlight w:val="none"/>
                    </w:rPr>
                  </w:pPr>
                </w:p>
              </w:tc>
              <w:tc>
                <w:tcPr>
                  <w:tcW w:w="941" w:type="pct"/>
                  <w:gridSpan w:val="2"/>
                  <w:vAlign w:val="center"/>
                </w:tcPr>
                <w:p w14:paraId="480C551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高低压配电室（机柜室）</w:t>
                  </w:r>
                </w:p>
              </w:tc>
              <w:tc>
                <w:tcPr>
                  <w:tcW w:w="3102" w:type="pct"/>
                  <w:vAlign w:val="center"/>
                </w:tcPr>
                <w:p w14:paraId="6C6C24F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建筑为单层框架结构，建筑面积50m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，高度3m</w:t>
                  </w:r>
                </w:p>
              </w:tc>
              <w:tc>
                <w:tcPr>
                  <w:tcW w:w="517" w:type="pct"/>
                  <w:vAlign w:val="center"/>
                </w:tcPr>
                <w:p w14:paraId="42AAD6F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0EF02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4C0604BA">
                  <w:pPr>
                    <w:jc w:val="center"/>
                    <w:rPr>
                      <w:rFonts w:hint="default" w:ascii="Times New Roman" w:hAnsi="Times New Roman" w:eastAsia="宋体" w:cs="Times New Roman"/>
                      <w:color w:val="auto"/>
                      <w:highlight w:val="none"/>
                    </w:rPr>
                  </w:pPr>
                </w:p>
              </w:tc>
              <w:tc>
                <w:tcPr>
                  <w:tcW w:w="941" w:type="pct"/>
                  <w:gridSpan w:val="2"/>
                  <w:vAlign w:val="center"/>
                </w:tcPr>
                <w:p w14:paraId="7F8BBD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中控室</w:t>
                  </w:r>
                </w:p>
              </w:tc>
              <w:tc>
                <w:tcPr>
                  <w:tcW w:w="3102" w:type="pct"/>
                  <w:vAlign w:val="center"/>
                </w:tcPr>
                <w:p w14:paraId="3738C26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办公楼一楼</w:t>
                  </w:r>
                </w:p>
              </w:tc>
              <w:tc>
                <w:tcPr>
                  <w:tcW w:w="517" w:type="pct"/>
                  <w:vAlign w:val="center"/>
                </w:tcPr>
                <w:p w14:paraId="21C1A8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依托原有</w:t>
                  </w:r>
                </w:p>
              </w:tc>
            </w:tr>
            <w:tr w14:paraId="24D4B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140BA0C5">
                  <w:pPr>
                    <w:jc w:val="center"/>
                    <w:rPr>
                      <w:rFonts w:hint="default" w:ascii="Times New Roman" w:hAnsi="Times New Roman" w:eastAsia="宋体" w:cs="Times New Roman"/>
                      <w:color w:val="auto"/>
                      <w:highlight w:val="none"/>
                    </w:rPr>
                  </w:pPr>
                </w:p>
              </w:tc>
              <w:tc>
                <w:tcPr>
                  <w:tcW w:w="941" w:type="pct"/>
                  <w:gridSpan w:val="2"/>
                  <w:vAlign w:val="center"/>
                </w:tcPr>
                <w:p w14:paraId="6D5161BC">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高压配电室</w:t>
                  </w:r>
                </w:p>
              </w:tc>
              <w:tc>
                <w:tcPr>
                  <w:tcW w:w="3102" w:type="pct"/>
                  <w:vAlign w:val="center"/>
                </w:tcPr>
                <w:p w14:paraId="7A3302D2">
                  <w:pPr>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位于厂区</w:t>
                  </w:r>
                  <w:r>
                    <w:rPr>
                      <w:rFonts w:hint="eastAsia" w:cs="Times New Roman"/>
                      <w:color w:val="auto"/>
                      <w:highlight w:val="none"/>
                      <w:lang w:eastAsia="zh-CN"/>
                    </w:rPr>
                    <w:t>东</w:t>
                  </w:r>
                  <w:r>
                    <w:rPr>
                      <w:rFonts w:hint="default" w:ascii="Times New Roman" w:hAnsi="Times New Roman" w:eastAsia="宋体" w:cs="Times New Roman"/>
                      <w:color w:val="auto"/>
                      <w:highlight w:val="none"/>
                    </w:rPr>
                    <w:t>南侧</w:t>
                  </w:r>
                  <w:r>
                    <w:rPr>
                      <w:rFonts w:hint="eastAsia" w:cs="Times New Roman"/>
                      <w:color w:val="auto"/>
                      <w:highlight w:val="none"/>
                      <w:lang w:eastAsia="zh-CN"/>
                    </w:rPr>
                    <w:t>，用于厂区内配电</w:t>
                  </w:r>
                </w:p>
              </w:tc>
              <w:tc>
                <w:tcPr>
                  <w:tcW w:w="517" w:type="pct"/>
                  <w:vAlign w:val="center"/>
                </w:tcPr>
                <w:p w14:paraId="04E280AE">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新建</w:t>
                  </w:r>
                </w:p>
              </w:tc>
            </w:tr>
            <w:tr w14:paraId="2494F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restart"/>
                  <w:vAlign w:val="center"/>
                </w:tcPr>
                <w:p w14:paraId="17BD0A7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公共工程</w:t>
                  </w:r>
                </w:p>
              </w:tc>
              <w:tc>
                <w:tcPr>
                  <w:tcW w:w="941" w:type="pct"/>
                  <w:gridSpan w:val="2"/>
                  <w:vAlign w:val="center"/>
                </w:tcPr>
                <w:p w14:paraId="3BEAAB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给水</w:t>
                  </w:r>
                </w:p>
              </w:tc>
              <w:tc>
                <w:tcPr>
                  <w:tcW w:w="3102" w:type="pct"/>
                  <w:vAlign w:val="center"/>
                </w:tcPr>
                <w:p w14:paraId="414310C1">
                  <w:pPr>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来自</w:t>
                  </w:r>
                  <w:r>
                    <w:rPr>
                      <w:rFonts w:hint="default" w:ascii="Times New Roman" w:hAnsi="Times New Roman" w:eastAsia="宋体" w:cs="Times New Roman"/>
                      <w:color w:val="auto"/>
                      <w:highlight w:val="none"/>
                      <w:lang w:val="en-US" w:eastAsia="zh-CN"/>
                    </w:rPr>
                    <w:t>长青工业园园区供水系统</w:t>
                  </w:r>
                </w:p>
              </w:tc>
              <w:tc>
                <w:tcPr>
                  <w:tcW w:w="517" w:type="pct"/>
                  <w:vAlign w:val="center"/>
                </w:tcPr>
                <w:p w14:paraId="2568496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7B9CE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25D1A645">
                  <w:pPr>
                    <w:jc w:val="center"/>
                    <w:rPr>
                      <w:rFonts w:hint="default" w:ascii="Times New Roman" w:hAnsi="Times New Roman" w:eastAsia="宋体" w:cs="Times New Roman"/>
                      <w:color w:val="auto"/>
                      <w:highlight w:val="none"/>
                    </w:rPr>
                  </w:pPr>
                </w:p>
              </w:tc>
              <w:tc>
                <w:tcPr>
                  <w:tcW w:w="941" w:type="pct"/>
                  <w:gridSpan w:val="2"/>
                  <w:vAlign w:val="center"/>
                </w:tcPr>
                <w:p w14:paraId="3EDECE6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3102" w:type="pct"/>
                  <w:vAlign w:val="center"/>
                </w:tcPr>
                <w:p w14:paraId="228CFA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由长青工业园区变电站供给</w:t>
                  </w:r>
                </w:p>
              </w:tc>
              <w:tc>
                <w:tcPr>
                  <w:tcW w:w="517" w:type="pct"/>
                  <w:vAlign w:val="center"/>
                </w:tcPr>
                <w:p w14:paraId="0AE68E2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0C66A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39" w:type="pct"/>
                  <w:vMerge w:val="continue"/>
                  <w:vAlign w:val="center"/>
                </w:tcPr>
                <w:p w14:paraId="39FEF1B3">
                  <w:pPr>
                    <w:jc w:val="center"/>
                    <w:rPr>
                      <w:rFonts w:hint="default" w:ascii="Times New Roman" w:hAnsi="Times New Roman" w:cs="Times New Roman"/>
                      <w:color w:val="auto"/>
                      <w:highlight w:val="none"/>
                    </w:rPr>
                  </w:pPr>
                </w:p>
              </w:tc>
              <w:tc>
                <w:tcPr>
                  <w:tcW w:w="941" w:type="pct"/>
                  <w:gridSpan w:val="2"/>
                  <w:vAlign w:val="center"/>
                </w:tcPr>
                <w:p w14:paraId="5C0B5B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排水</w:t>
                  </w:r>
                </w:p>
              </w:tc>
              <w:tc>
                <w:tcPr>
                  <w:tcW w:w="3102" w:type="pct"/>
                  <w:vAlign w:val="center"/>
                </w:tcPr>
                <w:p w14:paraId="06BDE91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雨污分流，与园区管网衔接；</w:t>
                  </w:r>
                </w:p>
              </w:tc>
              <w:tc>
                <w:tcPr>
                  <w:tcW w:w="517" w:type="pct"/>
                  <w:vAlign w:val="center"/>
                </w:tcPr>
                <w:p w14:paraId="5EEF95E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1AE51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242F5EEC">
                  <w:pPr>
                    <w:jc w:val="center"/>
                    <w:rPr>
                      <w:rFonts w:hint="default" w:ascii="Times New Roman" w:hAnsi="Times New Roman" w:cs="Times New Roman"/>
                      <w:color w:val="auto"/>
                      <w:highlight w:val="none"/>
                    </w:rPr>
                  </w:pPr>
                </w:p>
              </w:tc>
              <w:tc>
                <w:tcPr>
                  <w:tcW w:w="941" w:type="pct"/>
                  <w:gridSpan w:val="2"/>
                  <w:vAlign w:val="center"/>
                </w:tcPr>
                <w:p w14:paraId="0E962CC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供热</w:t>
                  </w:r>
                </w:p>
              </w:tc>
              <w:tc>
                <w:tcPr>
                  <w:tcW w:w="3102" w:type="pct"/>
                  <w:vAlign w:val="center"/>
                </w:tcPr>
                <w:p w14:paraId="004A8FA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生产车间不供热，办公区采用空调供热。</w:t>
                  </w:r>
                </w:p>
              </w:tc>
              <w:tc>
                <w:tcPr>
                  <w:tcW w:w="517" w:type="pct"/>
                  <w:vAlign w:val="center"/>
                </w:tcPr>
                <w:p w14:paraId="29418C0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111E8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0EC0D638">
                  <w:pPr>
                    <w:jc w:val="center"/>
                    <w:rPr>
                      <w:rFonts w:hint="default" w:ascii="Times New Roman" w:hAnsi="Times New Roman" w:cs="Times New Roman"/>
                      <w:color w:val="auto"/>
                      <w:highlight w:val="none"/>
                    </w:rPr>
                  </w:pPr>
                </w:p>
              </w:tc>
              <w:tc>
                <w:tcPr>
                  <w:tcW w:w="941" w:type="pct"/>
                  <w:gridSpan w:val="2"/>
                  <w:vAlign w:val="center"/>
                </w:tcPr>
                <w:p w14:paraId="418FF80A">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消防</w:t>
                  </w:r>
                </w:p>
              </w:tc>
              <w:tc>
                <w:tcPr>
                  <w:tcW w:w="3102" w:type="pct"/>
                  <w:vAlign w:val="center"/>
                </w:tcPr>
                <w:p w14:paraId="1ACBFE45">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eastAsia="zh-CN"/>
                    </w:rPr>
                    <w:t>灭火器、灭火栓、设有</w:t>
                  </w:r>
                  <w:r>
                    <w:rPr>
                      <w:rFonts w:hint="default" w:ascii="Times New Roman" w:hAnsi="Times New Roman" w:eastAsia="宋体" w:cs="Times New Roman"/>
                      <w:color w:val="auto"/>
                      <w:highlight w:val="none"/>
                      <w:vertAlign w:val="baseline"/>
                      <w:lang w:val="en-US" w:eastAsia="zh-CN"/>
                    </w:rPr>
                    <w:t>消防水罐</w:t>
                  </w:r>
                  <w:r>
                    <w:rPr>
                      <w:rFonts w:hint="default" w:ascii="Times New Roman" w:hAnsi="Times New Roman" w:eastAsia="宋体" w:cs="Times New Roman"/>
                      <w:color w:val="auto"/>
                      <w:highlight w:val="none"/>
                      <w:lang w:eastAsia="zh-CN"/>
                    </w:rPr>
                    <w:t>等消防设施</w:t>
                  </w:r>
                </w:p>
              </w:tc>
              <w:tc>
                <w:tcPr>
                  <w:tcW w:w="517" w:type="pct"/>
                  <w:vAlign w:val="center"/>
                </w:tcPr>
                <w:p w14:paraId="6F2850E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依托原有</w:t>
                  </w:r>
                </w:p>
              </w:tc>
            </w:tr>
            <w:tr w14:paraId="38CD5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6D839EED">
                  <w:pPr>
                    <w:jc w:val="center"/>
                    <w:rPr>
                      <w:rFonts w:hint="default" w:ascii="Times New Roman" w:hAnsi="Times New Roman" w:cs="Times New Roman"/>
                      <w:color w:val="auto"/>
                      <w:highlight w:val="none"/>
                    </w:rPr>
                  </w:pPr>
                </w:p>
              </w:tc>
              <w:tc>
                <w:tcPr>
                  <w:tcW w:w="941" w:type="pct"/>
                  <w:gridSpan w:val="2"/>
                  <w:vMerge w:val="restart"/>
                  <w:vAlign w:val="center"/>
                </w:tcPr>
                <w:p w14:paraId="70FAE1C2">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事故应急</w:t>
                  </w:r>
                </w:p>
              </w:tc>
              <w:tc>
                <w:tcPr>
                  <w:tcW w:w="3102" w:type="pct"/>
                  <w:vAlign w:val="center"/>
                </w:tcPr>
                <w:p w14:paraId="1450DDC9">
                  <w:pPr>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对每个贮存区各设置一个</w:t>
                  </w:r>
                  <w:r>
                    <w:rPr>
                      <w:rFonts w:hint="default" w:ascii="Times New Roman" w:hAnsi="Times New Roman" w:eastAsia="宋体" w:cs="Times New Roman"/>
                      <w:color w:val="auto"/>
                      <w:highlight w:val="none"/>
                      <w:lang w:val="en-US" w:eastAsia="zh-CN"/>
                    </w:rPr>
                    <w:t>0.6m*0.6m*0.6m</w:t>
                  </w:r>
                  <w:r>
                    <w:rPr>
                      <w:rFonts w:hint="default" w:ascii="Times New Roman" w:hAnsi="Times New Roman" w:eastAsia="宋体" w:cs="Times New Roman"/>
                      <w:color w:val="auto"/>
                      <w:highlight w:val="none"/>
                      <w:lang w:eastAsia="zh-CN"/>
                    </w:rPr>
                    <w:t>收集池，整体库房墙体内侧四周设宽</w:t>
                  </w:r>
                  <w:r>
                    <w:rPr>
                      <w:rFonts w:hint="default" w:ascii="Times New Roman" w:hAnsi="Times New Roman" w:eastAsia="宋体" w:cs="Times New Roman"/>
                      <w:color w:val="auto"/>
                      <w:highlight w:val="none"/>
                      <w:lang w:val="en-US" w:eastAsia="zh-CN"/>
                    </w:rPr>
                    <w:t>200mm的导流收集沟和一个1m*1m*1m的</w:t>
                  </w:r>
                  <w:r>
                    <w:rPr>
                      <w:rFonts w:hint="eastAsia" w:cs="Times New Roman"/>
                      <w:color w:val="auto"/>
                      <w:highlight w:val="none"/>
                      <w:lang w:val="en-US" w:eastAsia="zh-CN"/>
                    </w:rPr>
                    <w:t>应急</w:t>
                  </w:r>
                  <w:r>
                    <w:rPr>
                      <w:rFonts w:hint="default" w:ascii="Times New Roman" w:hAnsi="Times New Roman" w:eastAsia="宋体" w:cs="Times New Roman"/>
                      <w:color w:val="auto"/>
                      <w:highlight w:val="none"/>
                      <w:lang w:val="en-US" w:eastAsia="zh-CN"/>
                    </w:rPr>
                    <w:t>收集池并连接阀门、管道</w:t>
                  </w:r>
                  <w:r>
                    <w:rPr>
                      <w:rFonts w:hint="eastAsia" w:cs="Times New Roman"/>
                      <w:color w:val="auto"/>
                      <w:highlight w:val="none"/>
                      <w:lang w:val="en-US" w:eastAsia="zh-CN"/>
                    </w:rPr>
                    <w:t>。</w:t>
                  </w:r>
                </w:p>
              </w:tc>
              <w:tc>
                <w:tcPr>
                  <w:tcW w:w="517" w:type="pct"/>
                  <w:vAlign w:val="center"/>
                </w:tcPr>
                <w:p w14:paraId="4494A770">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新建</w:t>
                  </w:r>
                </w:p>
              </w:tc>
            </w:tr>
            <w:tr w14:paraId="5C796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39" w:type="pct"/>
                  <w:vMerge w:val="continue"/>
                  <w:vAlign w:val="center"/>
                </w:tcPr>
                <w:p w14:paraId="4C452DF1">
                  <w:pPr>
                    <w:jc w:val="center"/>
                    <w:rPr>
                      <w:rFonts w:hint="default" w:ascii="Times New Roman" w:hAnsi="Times New Roman" w:cs="Times New Roman"/>
                      <w:color w:val="auto"/>
                      <w:highlight w:val="none"/>
                    </w:rPr>
                  </w:pPr>
                </w:p>
              </w:tc>
              <w:tc>
                <w:tcPr>
                  <w:tcW w:w="941" w:type="pct"/>
                  <w:gridSpan w:val="2"/>
                  <w:vMerge w:val="continue"/>
                  <w:vAlign w:val="center"/>
                </w:tcPr>
                <w:p w14:paraId="05760E12">
                  <w:pPr>
                    <w:jc w:val="center"/>
                    <w:rPr>
                      <w:rFonts w:hint="default" w:ascii="Times New Roman" w:hAnsi="Times New Roman" w:eastAsia="宋体" w:cs="Times New Roman"/>
                      <w:color w:val="auto"/>
                      <w:highlight w:val="none"/>
                      <w:lang w:eastAsia="zh-CN"/>
                    </w:rPr>
                  </w:pPr>
                </w:p>
              </w:tc>
              <w:tc>
                <w:tcPr>
                  <w:tcW w:w="3102" w:type="pct"/>
                  <w:vAlign w:val="center"/>
                </w:tcPr>
                <w:p w14:paraId="3F7EEFAF">
                  <w:pPr>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lang w:eastAsia="zh-CN"/>
                    </w:rPr>
                    <w:t>现有</w:t>
                  </w:r>
                  <w:r>
                    <w:rPr>
                      <w:rFonts w:hint="default" w:ascii="Times New Roman" w:hAnsi="Times New Roman" w:eastAsia="宋体" w:cs="Times New Roman"/>
                      <w:color w:val="auto"/>
                      <w:highlight w:val="none"/>
                      <w:lang w:eastAsia="zh-CN"/>
                    </w:rPr>
                    <w:t>厂区设有一个容积</w:t>
                  </w:r>
                  <w:r>
                    <w:rPr>
                      <w:rFonts w:hint="default" w:ascii="Times New Roman" w:hAnsi="Times New Roman" w:eastAsia="宋体" w:cs="Times New Roman"/>
                      <w:color w:val="auto"/>
                      <w:highlight w:val="none"/>
                      <w:lang w:val="en-US" w:eastAsia="zh-CN"/>
                    </w:rPr>
                    <w:t>892m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vertAlign w:val="baseline"/>
                      <w:lang w:val="en-US" w:eastAsia="zh-CN"/>
                    </w:rPr>
                    <w:t>事故水池，并设有事故废水导排系统</w:t>
                  </w:r>
                  <w:r>
                    <w:rPr>
                      <w:rFonts w:hint="eastAsia" w:cs="Times New Roman"/>
                      <w:color w:val="auto"/>
                      <w:highlight w:val="none"/>
                      <w:vertAlign w:val="baseline"/>
                      <w:lang w:val="en-US" w:eastAsia="zh-CN"/>
                    </w:rPr>
                    <w:t>，本次事故池依托现有事故池</w:t>
                  </w:r>
                </w:p>
              </w:tc>
              <w:tc>
                <w:tcPr>
                  <w:tcW w:w="517" w:type="pct"/>
                  <w:vAlign w:val="center"/>
                </w:tcPr>
                <w:p w14:paraId="23EF5AF3">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依托原有</w:t>
                  </w:r>
                </w:p>
              </w:tc>
            </w:tr>
            <w:tr w14:paraId="14737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439" w:type="pct"/>
                  <w:vMerge w:val="restart"/>
                  <w:vAlign w:val="center"/>
                </w:tcPr>
                <w:p w14:paraId="2149D059">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环保工程</w:t>
                  </w:r>
                </w:p>
              </w:tc>
              <w:tc>
                <w:tcPr>
                  <w:tcW w:w="941" w:type="pct"/>
                  <w:gridSpan w:val="2"/>
                  <w:vMerge w:val="restart"/>
                  <w:vAlign w:val="center"/>
                </w:tcPr>
                <w:p w14:paraId="1FC35D2F">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3102" w:type="pct"/>
                  <w:vAlign w:val="center"/>
                </w:tcPr>
                <w:p w14:paraId="10F21183">
                  <w:pPr>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产生挥发性气体的危险废物贮存间集中布设，并对贮存间设置为负压收集系统，废气经二级活性炭处理后</w:t>
                  </w:r>
                  <w:r>
                    <w:rPr>
                      <w:rFonts w:hint="default" w:ascii="Times New Roman" w:hAnsi="Times New Roman" w:cs="Times New Roman"/>
                      <w:color w:val="auto"/>
                      <w:highlight w:val="none"/>
                    </w:rPr>
                    <w:t>由15m排气筒（DA001）排放。</w:t>
                  </w:r>
                </w:p>
              </w:tc>
              <w:tc>
                <w:tcPr>
                  <w:tcW w:w="517" w:type="pct"/>
                  <w:vMerge w:val="restart"/>
                  <w:vAlign w:val="center"/>
                </w:tcPr>
                <w:p w14:paraId="4AA8900C">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50CB6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439" w:type="pct"/>
                  <w:vMerge w:val="continue"/>
                  <w:vAlign w:val="center"/>
                </w:tcPr>
                <w:p w14:paraId="0BA61654">
                  <w:pPr>
                    <w:jc w:val="center"/>
                    <w:rPr>
                      <w:rFonts w:hint="default" w:ascii="Times New Roman" w:hAnsi="Times New Roman" w:cs="Times New Roman"/>
                      <w:color w:val="auto"/>
                      <w:highlight w:val="none"/>
                    </w:rPr>
                  </w:pPr>
                </w:p>
              </w:tc>
              <w:tc>
                <w:tcPr>
                  <w:tcW w:w="941" w:type="pct"/>
                  <w:gridSpan w:val="2"/>
                  <w:vMerge w:val="continue"/>
                  <w:vAlign w:val="center"/>
                </w:tcPr>
                <w:p w14:paraId="00717829">
                  <w:pPr>
                    <w:jc w:val="center"/>
                    <w:rPr>
                      <w:rFonts w:hint="default" w:ascii="Times New Roman" w:hAnsi="Times New Roman" w:cs="Times New Roman"/>
                      <w:color w:val="auto"/>
                      <w:highlight w:val="none"/>
                    </w:rPr>
                  </w:pPr>
                </w:p>
              </w:tc>
              <w:tc>
                <w:tcPr>
                  <w:tcW w:w="3102" w:type="pct"/>
                  <w:vAlign w:val="center"/>
                </w:tcPr>
                <w:p w14:paraId="68DF5FAA">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废铅蓄电池、含酸性废液、废渣收集区设置为微负压收集系统，废气经碱液喷淋</w:t>
                  </w:r>
                  <w:r>
                    <w:rPr>
                      <w:rFonts w:hint="default" w:ascii="Times New Roman" w:hAnsi="Times New Roman" w:cs="Times New Roman"/>
                      <w:color w:val="auto"/>
                      <w:highlight w:val="none"/>
                      <w:lang w:val="en-US" w:eastAsia="zh-CN"/>
                    </w:rPr>
                    <w:t>+干式过滤</w:t>
                  </w:r>
                  <w:r>
                    <w:rPr>
                      <w:rFonts w:hint="eastAsia" w:cs="Times New Roman"/>
                      <w:color w:val="auto"/>
                      <w:highlight w:val="none"/>
                      <w:lang w:val="en-US" w:eastAsia="zh-CN"/>
                    </w:rPr>
                    <w:t>+活性炭处理后</w:t>
                  </w:r>
                  <w:r>
                    <w:rPr>
                      <w:rFonts w:hint="default" w:ascii="Times New Roman" w:hAnsi="Times New Roman" w:cs="Times New Roman"/>
                      <w:color w:val="auto"/>
                      <w:highlight w:val="none"/>
                    </w:rPr>
                    <w:t>由15m排气筒（DA00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）排放。</w:t>
                  </w:r>
                </w:p>
              </w:tc>
              <w:tc>
                <w:tcPr>
                  <w:tcW w:w="517" w:type="pct"/>
                  <w:vMerge w:val="continue"/>
                  <w:vAlign w:val="center"/>
                </w:tcPr>
                <w:p w14:paraId="70552F04">
                  <w:pPr>
                    <w:jc w:val="center"/>
                    <w:rPr>
                      <w:rFonts w:hint="default" w:ascii="Times New Roman" w:hAnsi="Times New Roman" w:cs="Times New Roman"/>
                      <w:color w:val="auto"/>
                      <w:highlight w:val="none"/>
                      <w:lang w:eastAsia="zh-CN"/>
                    </w:rPr>
                  </w:pPr>
                </w:p>
              </w:tc>
            </w:tr>
            <w:tr w14:paraId="4E0E1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11E943EF">
                  <w:pPr>
                    <w:jc w:val="center"/>
                    <w:rPr>
                      <w:rFonts w:hint="default" w:ascii="Times New Roman" w:hAnsi="Times New Roman" w:cs="Times New Roman"/>
                      <w:color w:val="auto"/>
                      <w:highlight w:val="none"/>
                    </w:rPr>
                  </w:pPr>
                </w:p>
              </w:tc>
              <w:tc>
                <w:tcPr>
                  <w:tcW w:w="941" w:type="pct"/>
                  <w:gridSpan w:val="2"/>
                  <w:vMerge w:val="restart"/>
                  <w:vAlign w:val="center"/>
                </w:tcPr>
                <w:p w14:paraId="27A1793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3102" w:type="pct"/>
                  <w:vAlign w:val="center"/>
                </w:tcPr>
                <w:p w14:paraId="70F9518B">
                  <w:pPr>
                    <w:widowControl/>
                    <w:numPr>
                      <w:ilvl w:val="0"/>
                      <w:numId w:val="0"/>
                    </w:num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雨污分流制，雨水沿雨水渠排入雨水管网；</w:t>
                  </w:r>
                </w:p>
              </w:tc>
              <w:tc>
                <w:tcPr>
                  <w:tcW w:w="517" w:type="pct"/>
                  <w:vAlign w:val="center"/>
                </w:tcPr>
                <w:p w14:paraId="4D86AE36">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依托原有</w:t>
                  </w:r>
                </w:p>
              </w:tc>
            </w:tr>
            <w:tr w14:paraId="463C6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439" w:type="pct"/>
                  <w:vMerge w:val="continue"/>
                  <w:vAlign w:val="center"/>
                </w:tcPr>
                <w:p w14:paraId="114EF94A">
                  <w:pPr>
                    <w:widowControl/>
                    <w:jc w:val="center"/>
                    <w:rPr>
                      <w:rFonts w:hint="default" w:ascii="Times New Roman" w:hAnsi="Times New Roman" w:cs="Times New Roman"/>
                      <w:color w:val="auto"/>
                      <w:highlight w:val="none"/>
                    </w:rPr>
                  </w:pPr>
                </w:p>
              </w:tc>
              <w:tc>
                <w:tcPr>
                  <w:tcW w:w="941" w:type="pct"/>
                  <w:gridSpan w:val="2"/>
                  <w:vMerge w:val="continue"/>
                  <w:vAlign w:val="center"/>
                </w:tcPr>
                <w:p w14:paraId="04C5AAF3">
                  <w:pPr>
                    <w:widowControl/>
                    <w:jc w:val="center"/>
                    <w:rPr>
                      <w:rFonts w:hint="default" w:ascii="Times New Roman" w:hAnsi="Times New Roman" w:cs="Times New Roman"/>
                      <w:color w:val="auto"/>
                      <w:highlight w:val="none"/>
                    </w:rPr>
                  </w:pPr>
                </w:p>
              </w:tc>
              <w:tc>
                <w:tcPr>
                  <w:tcW w:w="3102" w:type="pct"/>
                  <w:vAlign w:val="center"/>
                </w:tcPr>
                <w:p w14:paraId="1E35BFCD">
                  <w:pPr>
                    <w:widowControl/>
                    <w:numPr>
                      <w:ilvl w:val="0"/>
                      <w:numId w:val="0"/>
                    </w:num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项目员工依托厂区原有员工，不新增员工，故无新增生活污水产生</w:t>
                  </w:r>
                </w:p>
              </w:tc>
              <w:tc>
                <w:tcPr>
                  <w:tcW w:w="517" w:type="pct"/>
                  <w:vAlign w:val="center"/>
                </w:tcPr>
                <w:p w14:paraId="0A4D5380">
                  <w:pPr>
                    <w:widowControl/>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w:t>
                  </w:r>
                </w:p>
              </w:tc>
            </w:tr>
            <w:tr w14:paraId="2B3F4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439" w:type="pct"/>
                  <w:vMerge w:val="continue"/>
                  <w:vAlign w:val="center"/>
                </w:tcPr>
                <w:p w14:paraId="4CDCD394">
                  <w:pPr>
                    <w:widowControl/>
                    <w:jc w:val="center"/>
                    <w:rPr>
                      <w:rFonts w:hint="default" w:ascii="Times New Roman" w:hAnsi="Times New Roman" w:cs="Times New Roman"/>
                      <w:color w:val="auto"/>
                      <w:highlight w:val="none"/>
                    </w:rPr>
                  </w:pPr>
                </w:p>
              </w:tc>
              <w:tc>
                <w:tcPr>
                  <w:tcW w:w="941" w:type="pct"/>
                  <w:gridSpan w:val="2"/>
                  <w:vMerge w:val="continue"/>
                  <w:vAlign w:val="center"/>
                </w:tcPr>
                <w:p w14:paraId="53A6154B">
                  <w:pPr>
                    <w:widowControl/>
                    <w:jc w:val="center"/>
                    <w:rPr>
                      <w:rFonts w:hint="default" w:ascii="Times New Roman" w:hAnsi="Times New Roman" w:cs="Times New Roman"/>
                      <w:color w:val="auto"/>
                      <w:highlight w:val="none"/>
                    </w:rPr>
                  </w:pPr>
                </w:p>
              </w:tc>
              <w:tc>
                <w:tcPr>
                  <w:tcW w:w="3102" w:type="pct"/>
                  <w:vAlign w:val="center"/>
                </w:tcPr>
                <w:p w14:paraId="6F70E708">
                  <w:pPr>
                    <w:widowControl/>
                    <w:numPr>
                      <w:ilvl w:val="0"/>
                      <w:numId w:val="0"/>
                    </w:num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喷淋废水</w:t>
                  </w:r>
                  <w:r>
                    <w:rPr>
                      <w:rFonts w:hint="default" w:ascii="Times New Roman" w:hAnsi="Times New Roman" w:eastAsia="宋体" w:cs="Times New Roman"/>
                      <w:color w:val="auto"/>
                      <w:highlight w:val="none"/>
                      <w:lang w:eastAsia="zh-CN"/>
                    </w:rPr>
                    <w:t>作为危险废物采用专用容器收集后暂存本项目贮存库内，交由有资质的危险废物处置单位处置</w:t>
                  </w:r>
                  <w:r>
                    <w:rPr>
                      <w:rFonts w:hint="default" w:ascii="Times New Roman" w:hAnsi="Times New Roman" w:eastAsia="宋体" w:cs="Times New Roman"/>
                      <w:color w:val="auto"/>
                      <w:highlight w:val="none"/>
                    </w:rPr>
                    <w:t>，不外排。</w:t>
                  </w:r>
                </w:p>
              </w:tc>
              <w:tc>
                <w:tcPr>
                  <w:tcW w:w="517" w:type="pct"/>
                  <w:vAlign w:val="center"/>
                </w:tcPr>
                <w:p w14:paraId="76FBC3FC">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21B63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439" w:type="pct"/>
                  <w:vMerge w:val="continue"/>
                  <w:vAlign w:val="center"/>
                </w:tcPr>
                <w:p w14:paraId="5B01B407">
                  <w:pPr>
                    <w:jc w:val="center"/>
                    <w:rPr>
                      <w:rFonts w:hint="default" w:ascii="Times New Roman" w:hAnsi="Times New Roman" w:cs="Times New Roman"/>
                      <w:color w:val="auto"/>
                      <w:highlight w:val="none"/>
                    </w:rPr>
                  </w:pPr>
                </w:p>
              </w:tc>
              <w:tc>
                <w:tcPr>
                  <w:tcW w:w="941" w:type="pct"/>
                  <w:gridSpan w:val="2"/>
                  <w:vAlign w:val="center"/>
                </w:tcPr>
                <w:p w14:paraId="6CC2EC5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3102" w:type="pct"/>
                  <w:vAlign w:val="center"/>
                </w:tcPr>
                <w:p w14:paraId="0F45B83A">
                  <w:pPr>
                    <w:widowControl/>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本项目运营过程中产生的噪声主要来源于运输车辆，采取加强车辆管理、减速行驶、禁止鸣笛、加强维护保养等综合降噪措施</w:t>
                  </w:r>
                </w:p>
              </w:tc>
              <w:tc>
                <w:tcPr>
                  <w:tcW w:w="517" w:type="pct"/>
                  <w:vAlign w:val="center"/>
                </w:tcPr>
                <w:p w14:paraId="191FCB0E">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w:t>
                  </w:r>
                </w:p>
              </w:tc>
            </w:tr>
            <w:tr w14:paraId="0097E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51C1EC1B">
                  <w:pPr>
                    <w:jc w:val="center"/>
                    <w:rPr>
                      <w:rFonts w:hint="default" w:ascii="Times New Roman" w:hAnsi="Times New Roman" w:cs="Times New Roman"/>
                      <w:color w:val="auto"/>
                      <w:highlight w:val="none"/>
                    </w:rPr>
                  </w:pPr>
                </w:p>
              </w:tc>
              <w:tc>
                <w:tcPr>
                  <w:tcW w:w="250" w:type="pct"/>
                  <w:vMerge w:val="restart"/>
                  <w:tcBorders>
                    <w:right w:val="single" w:color="auto" w:sz="4" w:space="0"/>
                  </w:tcBorders>
                  <w:vAlign w:val="center"/>
                </w:tcPr>
                <w:p w14:paraId="675EF353">
                  <w:pPr>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固废</w:t>
                  </w:r>
                </w:p>
              </w:tc>
              <w:tc>
                <w:tcPr>
                  <w:tcW w:w="690" w:type="pct"/>
                  <w:vMerge w:val="restart"/>
                  <w:tcBorders>
                    <w:right w:val="single" w:color="auto" w:sz="4" w:space="0"/>
                  </w:tcBorders>
                  <w:vAlign w:val="center"/>
                </w:tcPr>
                <w:p w14:paraId="627D7A62">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危险固废</w:t>
                  </w:r>
                </w:p>
              </w:tc>
              <w:tc>
                <w:tcPr>
                  <w:tcW w:w="3102" w:type="pct"/>
                  <w:vMerge w:val="restart"/>
                  <w:tcBorders>
                    <w:left w:val="single" w:color="auto" w:sz="4" w:space="0"/>
                  </w:tcBorders>
                  <w:vAlign w:val="center"/>
                </w:tcPr>
                <w:p w14:paraId="240B2A6F">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贮存过程中，含危险废物的劳保用品、废抹布、废活性炭等危险废物集中收集暂存于本项目废物贮存区后，交由有资质的单位合理处置。</w:t>
                  </w:r>
                </w:p>
              </w:tc>
              <w:tc>
                <w:tcPr>
                  <w:tcW w:w="517" w:type="pct"/>
                  <w:tcBorders>
                    <w:bottom w:val="single" w:color="auto" w:sz="4" w:space="0"/>
                  </w:tcBorders>
                  <w:vAlign w:val="center"/>
                </w:tcPr>
                <w:p w14:paraId="0E621BC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79B49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011CE72D">
                  <w:pPr>
                    <w:jc w:val="center"/>
                    <w:rPr>
                      <w:rFonts w:hint="default" w:ascii="Times New Roman" w:hAnsi="Times New Roman" w:cs="Times New Roman"/>
                      <w:color w:val="auto"/>
                      <w:highlight w:val="none"/>
                    </w:rPr>
                  </w:pPr>
                </w:p>
              </w:tc>
              <w:tc>
                <w:tcPr>
                  <w:tcW w:w="250" w:type="pct"/>
                  <w:vMerge w:val="continue"/>
                  <w:tcBorders>
                    <w:right w:val="single" w:color="auto" w:sz="4" w:space="0"/>
                  </w:tcBorders>
                  <w:vAlign w:val="center"/>
                </w:tcPr>
                <w:p w14:paraId="6EA5D212">
                  <w:pPr>
                    <w:jc w:val="center"/>
                    <w:rPr>
                      <w:rFonts w:hint="default" w:ascii="Times New Roman" w:hAnsi="Times New Roman" w:cs="Times New Roman"/>
                      <w:bCs/>
                      <w:color w:val="auto"/>
                      <w:highlight w:val="none"/>
                    </w:rPr>
                  </w:pPr>
                </w:p>
              </w:tc>
              <w:tc>
                <w:tcPr>
                  <w:tcW w:w="690" w:type="pct"/>
                  <w:vMerge w:val="continue"/>
                  <w:tcBorders>
                    <w:right w:val="single" w:color="auto" w:sz="4" w:space="0"/>
                  </w:tcBorders>
                  <w:vAlign w:val="center"/>
                </w:tcPr>
                <w:p w14:paraId="0619DA1E">
                  <w:pPr>
                    <w:jc w:val="center"/>
                    <w:rPr>
                      <w:rFonts w:hint="default" w:ascii="Times New Roman" w:hAnsi="Times New Roman" w:cs="Times New Roman"/>
                      <w:color w:val="auto"/>
                      <w:highlight w:val="none"/>
                    </w:rPr>
                  </w:pPr>
                </w:p>
              </w:tc>
              <w:tc>
                <w:tcPr>
                  <w:tcW w:w="3102" w:type="pct"/>
                  <w:vMerge w:val="continue"/>
                  <w:tcBorders>
                    <w:left w:val="single" w:color="auto" w:sz="4" w:space="0"/>
                    <w:bottom w:val="single" w:color="auto" w:sz="4" w:space="0"/>
                  </w:tcBorders>
                  <w:vAlign w:val="center"/>
                </w:tcPr>
                <w:p w14:paraId="04B6E288">
                  <w:pPr>
                    <w:jc w:val="center"/>
                    <w:rPr>
                      <w:rFonts w:hint="default" w:ascii="Times New Roman" w:hAnsi="Times New Roman" w:eastAsia="宋体" w:cs="Times New Roman"/>
                      <w:color w:val="auto"/>
                      <w:highlight w:val="none"/>
                      <w:lang w:eastAsia="zh-CN"/>
                    </w:rPr>
                  </w:pPr>
                </w:p>
              </w:tc>
              <w:tc>
                <w:tcPr>
                  <w:tcW w:w="517" w:type="pct"/>
                  <w:tcBorders>
                    <w:bottom w:val="single" w:color="auto" w:sz="4" w:space="0"/>
                  </w:tcBorders>
                  <w:vAlign w:val="center"/>
                </w:tcPr>
                <w:p w14:paraId="021EAE7D">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70214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39" w:type="pct"/>
                  <w:vMerge w:val="continue"/>
                  <w:vAlign w:val="center"/>
                </w:tcPr>
                <w:p w14:paraId="2E1CDDD8">
                  <w:pPr>
                    <w:jc w:val="center"/>
                    <w:rPr>
                      <w:rFonts w:hint="default" w:ascii="Times New Roman" w:hAnsi="Times New Roman" w:cs="Times New Roman"/>
                      <w:color w:val="auto"/>
                      <w:highlight w:val="none"/>
                    </w:rPr>
                  </w:pPr>
                </w:p>
              </w:tc>
              <w:tc>
                <w:tcPr>
                  <w:tcW w:w="250" w:type="pct"/>
                  <w:vMerge w:val="continue"/>
                  <w:tcBorders>
                    <w:right w:val="single" w:color="auto" w:sz="4" w:space="0"/>
                  </w:tcBorders>
                  <w:vAlign w:val="center"/>
                </w:tcPr>
                <w:p w14:paraId="47384E05">
                  <w:pPr>
                    <w:jc w:val="center"/>
                    <w:rPr>
                      <w:rFonts w:hint="default" w:ascii="Times New Roman" w:hAnsi="Times New Roman" w:cs="Times New Roman"/>
                      <w:bCs/>
                      <w:color w:val="auto"/>
                      <w:highlight w:val="none"/>
                    </w:rPr>
                  </w:pPr>
                </w:p>
              </w:tc>
              <w:tc>
                <w:tcPr>
                  <w:tcW w:w="690" w:type="pct"/>
                  <w:tcBorders>
                    <w:right w:val="single" w:color="auto" w:sz="4" w:space="0"/>
                  </w:tcBorders>
                  <w:vAlign w:val="center"/>
                </w:tcPr>
                <w:p w14:paraId="085A8370">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生活垃圾</w:t>
                  </w:r>
                </w:p>
              </w:tc>
              <w:tc>
                <w:tcPr>
                  <w:tcW w:w="3102" w:type="pct"/>
                  <w:tcBorders>
                    <w:top w:val="single" w:color="auto" w:sz="4" w:space="0"/>
                    <w:left w:val="single" w:color="auto" w:sz="4" w:space="0"/>
                    <w:bottom w:val="single" w:color="auto" w:sz="4" w:space="0"/>
                  </w:tcBorders>
                  <w:vAlign w:val="center"/>
                </w:tcPr>
                <w:p w14:paraId="5B1B0534">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rPr>
                    <w:t>本项目不新增员工，无新增生活垃圾；</w:t>
                  </w:r>
                </w:p>
              </w:tc>
              <w:tc>
                <w:tcPr>
                  <w:tcW w:w="517" w:type="pct"/>
                  <w:tcBorders>
                    <w:top w:val="single" w:color="auto" w:sz="4" w:space="0"/>
                    <w:bottom w:val="single" w:color="auto" w:sz="4" w:space="0"/>
                  </w:tcBorders>
                  <w:vAlign w:val="center"/>
                </w:tcPr>
                <w:p w14:paraId="38D1DAF2">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val="en-US" w:eastAsia="zh-CN"/>
                    </w:rPr>
                    <w:t>/</w:t>
                  </w:r>
                </w:p>
              </w:tc>
            </w:tr>
            <w:tr w14:paraId="5FEAD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439" w:type="pct"/>
                  <w:vMerge w:val="continue"/>
                  <w:vAlign w:val="center"/>
                </w:tcPr>
                <w:p w14:paraId="47BD9CCB">
                  <w:pPr>
                    <w:jc w:val="center"/>
                    <w:rPr>
                      <w:rFonts w:hint="default" w:ascii="Times New Roman" w:hAnsi="Times New Roman" w:cs="Times New Roman"/>
                      <w:color w:val="auto"/>
                      <w:highlight w:val="none"/>
                    </w:rPr>
                  </w:pPr>
                </w:p>
              </w:tc>
              <w:tc>
                <w:tcPr>
                  <w:tcW w:w="941" w:type="pct"/>
                  <w:gridSpan w:val="2"/>
                  <w:tcBorders>
                    <w:right w:val="single" w:color="auto" w:sz="4" w:space="0"/>
                  </w:tcBorders>
                  <w:vAlign w:val="center"/>
                </w:tcPr>
                <w:p w14:paraId="577495C1">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eastAsia="zh-CN"/>
                    </w:rPr>
                    <w:t>地下水及土壤污染防治措施</w:t>
                  </w:r>
                </w:p>
              </w:tc>
              <w:tc>
                <w:tcPr>
                  <w:tcW w:w="3102" w:type="pct"/>
                  <w:tcBorders>
                    <w:top w:val="single" w:color="auto" w:sz="4" w:space="0"/>
                    <w:left w:val="single" w:color="auto" w:sz="4" w:space="0"/>
                    <w:bottom w:val="single" w:color="auto" w:sz="4" w:space="0"/>
                  </w:tcBorders>
                  <w:vAlign w:val="center"/>
                </w:tcPr>
                <w:p w14:paraId="1658F1B2">
                  <w:pPr>
                    <w:widowControl/>
                    <w:jc w:val="both"/>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lang w:eastAsia="zh-CN"/>
                    </w:rPr>
                    <w:t>按照</w:t>
                  </w:r>
                  <w:r>
                    <w:rPr>
                      <w:rFonts w:hint="default" w:ascii="Times New Roman" w:hAnsi="Times New Roman" w:eastAsia="宋体" w:cs="Times New Roman"/>
                      <w:color w:val="auto"/>
                      <w:kern w:val="0"/>
                      <w:highlight w:val="none"/>
                    </w:rPr>
                    <w:t>《危险废物贮存污染控制标准》</w:t>
                  </w:r>
                  <w:r>
                    <w:rPr>
                      <w:rFonts w:hint="eastAsia" w:ascii="Times New Roman" w:hAnsi="Times New Roman" w:cs="Times New Roman"/>
                      <w:color w:val="auto"/>
                      <w:kern w:val="0"/>
                      <w:highlight w:val="none"/>
                      <w:lang w:eastAsia="zh-CN"/>
                    </w:rPr>
                    <w:t>（</w:t>
                  </w:r>
                  <w:r>
                    <w:rPr>
                      <w:rFonts w:hint="default" w:ascii="Times New Roman" w:hAnsi="Times New Roman" w:eastAsia="宋体" w:cs="Times New Roman"/>
                      <w:color w:val="auto"/>
                      <w:kern w:val="0"/>
                      <w:highlight w:val="none"/>
                    </w:rPr>
                    <w:t>GB-18597-2023</w:t>
                  </w:r>
                  <w:r>
                    <w:rPr>
                      <w:rFonts w:hint="default" w:ascii="Times New Roman" w:hAnsi="Times New Roman" w:cs="Times New Roman"/>
                      <w:color w:val="auto"/>
                      <w:kern w:val="0"/>
                      <w:highlight w:val="none"/>
                      <w:lang w:eastAsia="zh-CN"/>
                    </w:rPr>
                    <w:t>）</w:t>
                  </w:r>
                  <w:r>
                    <w:rPr>
                      <w:rFonts w:hint="default" w:ascii="Times New Roman" w:hAnsi="Times New Roman" w:eastAsia="宋体" w:cs="Times New Roman"/>
                      <w:color w:val="auto"/>
                      <w:kern w:val="0"/>
                      <w:highlight w:val="none"/>
                      <w:lang w:eastAsia="zh-CN"/>
                    </w:rPr>
                    <w:t>中要求进行分区防渗，重点防渗区（包括整个危废贮存区</w:t>
                  </w:r>
                  <w:r>
                    <w:rPr>
                      <w:rFonts w:hint="default" w:ascii="Times New Roman" w:hAnsi="Times New Roman" w:eastAsia="宋体" w:cs="Times New Roman"/>
                      <w:color w:val="auto"/>
                      <w:kern w:val="0"/>
                      <w:highlight w:val="none"/>
                    </w:rPr>
                    <w:t>地面及墙裙</w:t>
                  </w:r>
                  <w:r>
                    <w:rPr>
                      <w:rFonts w:hint="default" w:ascii="Times New Roman" w:hAnsi="Times New Roman" w:eastAsia="宋体" w:cs="Times New Roman"/>
                      <w:color w:val="auto"/>
                      <w:kern w:val="0"/>
                      <w:highlight w:val="none"/>
                      <w:lang w:eastAsia="zh-CN"/>
                    </w:rPr>
                    <w:t>、渗漏收集池、收集沟）</w:t>
                  </w:r>
                  <w:r>
                    <w:rPr>
                      <w:rFonts w:hint="default" w:ascii="Times New Roman" w:hAnsi="Times New Roman" w:eastAsia="宋体" w:cs="Times New Roman"/>
                      <w:color w:val="auto"/>
                      <w:kern w:val="0"/>
                      <w:highlight w:val="none"/>
                    </w:rPr>
                    <w:t>地面采取混凝土+2.5mm厚的高密度聚乙烯进行防渗，墙裙（1m）及墙角采用环氧树脂涂料进行防渗防腐处理，使其等效黏土防渗层Mb≥6.0m、渗透系数K≤10</w:t>
                  </w:r>
                  <w:r>
                    <w:rPr>
                      <w:rFonts w:hint="default" w:ascii="Times New Roman" w:hAnsi="Times New Roman" w:cs="Times New Roman"/>
                      <w:color w:val="auto"/>
                      <w:kern w:val="0"/>
                      <w:highlight w:val="none"/>
                      <w:vertAlign w:val="superscript"/>
                      <w:lang w:eastAsia="zh-CN"/>
                    </w:rPr>
                    <w:t>—</w:t>
                  </w:r>
                  <w:r>
                    <w:rPr>
                      <w:rFonts w:hint="default" w:ascii="Times New Roman" w:hAnsi="Times New Roman" w:eastAsia="宋体" w:cs="Times New Roman"/>
                      <w:color w:val="auto"/>
                      <w:kern w:val="0"/>
                      <w:highlight w:val="none"/>
                      <w:vertAlign w:val="superscript"/>
                      <w:lang w:val="en-US" w:eastAsia="zh-CN"/>
                    </w:rPr>
                    <w:t>10</w:t>
                  </w:r>
                  <w:r>
                    <w:rPr>
                      <w:rFonts w:hint="default" w:ascii="Times New Roman" w:hAnsi="Times New Roman" w:eastAsia="宋体" w:cs="Times New Roman"/>
                      <w:color w:val="auto"/>
                      <w:kern w:val="0"/>
                      <w:highlight w:val="none"/>
                    </w:rPr>
                    <w:t>cm/s。其中混凝土强度等级不小于C30，抗渗等级不小于P8，混凝土厚度不小于150mm，环氧树脂漆厚度不小于2mm。</w:t>
                  </w:r>
                </w:p>
              </w:tc>
              <w:tc>
                <w:tcPr>
                  <w:tcW w:w="517" w:type="pct"/>
                  <w:tcBorders>
                    <w:top w:val="single" w:color="auto" w:sz="4" w:space="0"/>
                    <w:bottom w:val="single" w:color="auto" w:sz="4" w:space="0"/>
                  </w:tcBorders>
                  <w:vAlign w:val="center"/>
                </w:tcPr>
                <w:p w14:paraId="07D59E78">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highlight w:val="none"/>
                    </w:rPr>
                    <w:t>新建</w:t>
                  </w:r>
                </w:p>
              </w:tc>
            </w:tr>
            <w:tr w14:paraId="3F97D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324C9548">
                  <w:pPr>
                    <w:jc w:val="center"/>
                    <w:rPr>
                      <w:rFonts w:hint="default" w:ascii="Times New Roman" w:hAnsi="Times New Roman" w:cs="Times New Roman"/>
                      <w:color w:val="auto"/>
                      <w:highlight w:val="none"/>
                    </w:rPr>
                  </w:pPr>
                </w:p>
              </w:tc>
              <w:tc>
                <w:tcPr>
                  <w:tcW w:w="941" w:type="pct"/>
                  <w:gridSpan w:val="2"/>
                  <w:vMerge w:val="restart"/>
                  <w:tcBorders>
                    <w:right w:val="single" w:color="auto" w:sz="4" w:space="0"/>
                  </w:tcBorders>
                  <w:vAlign w:val="center"/>
                </w:tcPr>
                <w:p w14:paraId="627DF27D">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eastAsia="zh-CN"/>
                    </w:rPr>
                    <w:t>环境风险</w:t>
                  </w:r>
                </w:p>
              </w:tc>
              <w:tc>
                <w:tcPr>
                  <w:tcW w:w="3102" w:type="pct"/>
                  <w:tcBorders>
                    <w:top w:val="single" w:color="auto" w:sz="4" w:space="0"/>
                    <w:left w:val="single" w:color="auto" w:sz="4" w:space="0"/>
                  </w:tcBorders>
                  <w:vAlign w:val="center"/>
                </w:tcPr>
                <w:p w14:paraId="6A3E5776">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eastAsia="zh-CN"/>
                    </w:rPr>
                    <w:t>事故</w:t>
                  </w:r>
                  <w:r>
                    <w:rPr>
                      <w:rFonts w:hint="eastAsia" w:cs="Times New Roman"/>
                      <w:color w:val="auto"/>
                      <w:kern w:val="0"/>
                      <w:highlight w:val="none"/>
                      <w:lang w:eastAsia="zh-CN"/>
                    </w:rPr>
                    <w:t>水</w:t>
                  </w:r>
                  <w:r>
                    <w:rPr>
                      <w:rFonts w:hint="default" w:ascii="Times New Roman" w:hAnsi="Times New Roman" w:eastAsia="宋体" w:cs="Times New Roman"/>
                      <w:color w:val="auto"/>
                      <w:kern w:val="0"/>
                      <w:highlight w:val="none"/>
                      <w:lang w:eastAsia="zh-CN"/>
                    </w:rPr>
                    <w:t>池：厂内已建有一个容积892m</w:t>
                  </w:r>
                  <w:r>
                    <w:rPr>
                      <w:rFonts w:hint="default" w:ascii="Times New Roman" w:hAnsi="Times New Roman" w:eastAsia="宋体" w:cs="Times New Roman"/>
                      <w:color w:val="auto"/>
                      <w:kern w:val="0"/>
                      <w:highlight w:val="none"/>
                      <w:vertAlign w:val="superscript"/>
                      <w:lang w:eastAsia="zh-CN"/>
                    </w:rPr>
                    <w:t>3</w:t>
                  </w:r>
                  <w:r>
                    <w:rPr>
                      <w:rFonts w:hint="default" w:ascii="Times New Roman" w:hAnsi="Times New Roman" w:eastAsia="宋体" w:cs="Times New Roman"/>
                      <w:color w:val="auto"/>
                      <w:kern w:val="0"/>
                      <w:highlight w:val="none"/>
                      <w:lang w:eastAsia="zh-CN"/>
                    </w:rPr>
                    <w:t>事故水池</w:t>
                  </w:r>
                  <w:r>
                    <w:rPr>
                      <w:rFonts w:hint="default" w:ascii="Times New Roman" w:hAnsi="Times New Roman" w:cs="Times New Roman"/>
                      <w:color w:val="auto"/>
                      <w:kern w:val="0"/>
                      <w:highlight w:val="none"/>
                      <w:lang w:eastAsia="zh-CN"/>
                    </w:rPr>
                    <w:t>，</w:t>
                  </w:r>
                  <w:r>
                    <w:rPr>
                      <w:rFonts w:hint="default" w:ascii="Times New Roman" w:hAnsi="Times New Roman" w:eastAsia="宋体" w:cs="Times New Roman"/>
                      <w:color w:val="auto"/>
                      <w:kern w:val="0"/>
                      <w:highlight w:val="none"/>
                      <w:lang w:eastAsia="zh-CN"/>
                    </w:rPr>
                    <w:t>事故池位于本项目库房东北侧约</w:t>
                  </w:r>
                  <w:r>
                    <w:rPr>
                      <w:rFonts w:hint="default" w:ascii="Times New Roman" w:hAnsi="Times New Roman" w:eastAsia="宋体" w:cs="Times New Roman"/>
                      <w:color w:val="auto"/>
                      <w:kern w:val="0"/>
                      <w:highlight w:val="none"/>
                      <w:lang w:val="en-US" w:eastAsia="zh-CN"/>
                    </w:rPr>
                    <w:t>100m处</w:t>
                  </w:r>
                  <w:r>
                    <w:rPr>
                      <w:rFonts w:hint="eastAsia" w:cs="Times New Roman"/>
                      <w:color w:val="auto"/>
                      <w:kern w:val="0"/>
                      <w:highlight w:val="none"/>
                      <w:lang w:val="en-US" w:eastAsia="zh-CN"/>
                    </w:rPr>
                    <w:t>。</w:t>
                  </w:r>
                </w:p>
              </w:tc>
              <w:tc>
                <w:tcPr>
                  <w:tcW w:w="517" w:type="pct"/>
                  <w:tcBorders>
                    <w:top w:val="single" w:color="auto" w:sz="4" w:space="0"/>
                  </w:tcBorders>
                  <w:vAlign w:val="center"/>
                </w:tcPr>
                <w:p w14:paraId="245EB71A">
                  <w:pPr>
                    <w:widowControl/>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highlight w:val="none"/>
                    </w:rPr>
                    <w:t>依托原有</w:t>
                  </w:r>
                </w:p>
              </w:tc>
            </w:tr>
            <w:tr w14:paraId="11F57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25696CEF">
                  <w:pPr>
                    <w:jc w:val="center"/>
                    <w:rPr>
                      <w:rFonts w:hint="default" w:ascii="Times New Roman" w:hAnsi="Times New Roman" w:cs="Times New Roman"/>
                      <w:color w:val="auto"/>
                      <w:highlight w:val="none"/>
                    </w:rPr>
                  </w:pPr>
                </w:p>
              </w:tc>
              <w:tc>
                <w:tcPr>
                  <w:tcW w:w="941" w:type="pct"/>
                  <w:gridSpan w:val="2"/>
                  <w:vMerge w:val="continue"/>
                  <w:tcBorders>
                    <w:right w:val="single" w:color="auto" w:sz="4" w:space="0"/>
                  </w:tcBorders>
                  <w:vAlign w:val="center"/>
                </w:tcPr>
                <w:p w14:paraId="24C8ECF4">
                  <w:pPr>
                    <w:widowControl/>
                    <w:jc w:val="center"/>
                    <w:rPr>
                      <w:rFonts w:hint="default" w:ascii="Times New Roman" w:hAnsi="Times New Roman" w:eastAsia="宋体" w:cs="Times New Roman"/>
                      <w:color w:val="auto"/>
                      <w:kern w:val="0"/>
                      <w:highlight w:val="none"/>
                      <w:lang w:eastAsia="zh-CN"/>
                    </w:rPr>
                  </w:pPr>
                </w:p>
              </w:tc>
              <w:tc>
                <w:tcPr>
                  <w:tcW w:w="3102" w:type="pct"/>
                  <w:tcBorders>
                    <w:top w:val="single" w:color="auto" w:sz="4" w:space="0"/>
                    <w:left w:val="single" w:color="auto" w:sz="4" w:space="0"/>
                  </w:tcBorders>
                  <w:vAlign w:val="center"/>
                </w:tcPr>
                <w:p w14:paraId="087AE39C">
                  <w:pPr>
                    <w:widowControl/>
                    <w:jc w:val="center"/>
                    <w:rPr>
                      <w:rFonts w:hint="default" w:ascii="Times New Roman" w:hAnsi="Times New Roman" w:eastAsia="宋体" w:cs="Times New Roman"/>
                      <w:color w:val="auto"/>
                      <w:kern w:val="0"/>
                      <w:highlight w:val="none"/>
                      <w:lang w:eastAsia="zh-CN"/>
                    </w:rPr>
                  </w:pPr>
                  <w:r>
                    <w:rPr>
                      <w:rFonts w:hint="eastAsia" w:cs="Times New Roman"/>
                      <w:color w:val="auto"/>
                      <w:kern w:val="0"/>
                      <w:highlight w:val="none"/>
                      <w:lang w:eastAsia="zh-CN"/>
                    </w:rPr>
                    <w:t>应急收集池：整体库房墙体内侧四周设宽200mm的导流收集沟和一个1m*1m*1m的应急收集池。</w:t>
                  </w:r>
                </w:p>
              </w:tc>
              <w:tc>
                <w:tcPr>
                  <w:tcW w:w="517" w:type="pct"/>
                  <w:tcBorders>
                    <w:top w:val="single" w:color="auto" w:sz="4" w:space="0"/>
                  </w:tcBorders>
                  <w:vAlign w:val="center"/>
                </w:tcPr>
                <w:p w14:paraId="630ABFFC">
                  <w:pPr>
                    <w:widowControl/>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新建</w:t>
                  </w:r>
                </w:p>
              </w:tc>
            </w:tr>
            <w:tr w14:paraId="3DB4C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583C90C3">
                  <w:pPr>
                    <w:jc w:val="center"/>
                    <w:rPr>
                      <w:rFonts w:hint="default" w:ascii="Times New Roman" w:hAnsi="Times New Roman" w:cs="Times New Roman"/>
                      <w:color w:val="auto"/>
                      <w:highlight w:val="none"/>
                    </w:rPr>
                  </w:pPr>
                </w:p>
              </w:tc>
              <w:tc>
                <w:tcPr>
                  <w:tcW w:w="941" w:type="pct"/>
                  <w:gridSpan w:val="2"/>
                  <w:vMerge w:val="continue"/>
                  <w:tcBorders>
                    <w:right w:val="single" w:color="auto" w:sz="4" w:space="0"/>
                  </w:tcBorders>
                  <w:vAlign w:val="center"/>
                </w:tcPr>
                <w:p w14:paraId="5969BF67">
                  <w:pPr>
                    <w:widowControl/>
                    <w:jc w:val="center"/>
                    <w:rPr>
                      <w:rFonts w:hint="default" w:ascii="Times New Roman" w:hAnsi="Times New Roman" w:eastAsia="宋体" w:cs="Times New Roman"/>
                      <w:color w:val="auto"/>
                      <w:kern w:val="0"/>
                      <w:highlight w:val="none"/>
                      <w:lang w:eastAsia="zh-CN"/>
                    </w:rPr>
                  </w:pPr>
                </w:p>
              </w:tc>
              <w:tc>
                <w:tcPr>
                  <w:tcW w:w="3102" w:type="pct"/>
                  <w:tcBorders>
                    <w:top w:val="single" w:color="auto" w:sz="4" w:space="0"/>
                    <w:left w:val="single" w:color="auto" w:sz="4" w:space="0"/>
                  </w:tcBorders>
                  <w:vAlign w:val="center"/>
                </w:tcPr>
                <w:p w14:paraId="07C2B319">
                  <w:pPr>
                    <w:widowControl/>
                    <w:jc w:val="center"/>
                    <w:rPr>
                      <w:rFonts w:hint="eastAsia" w:cs="Times New Roman"/>
                      <w:color w:val="auto"/>
                      <w:kern w:val="0"/>
                      <w:highlight w:val="none"/>
                      <w:lang w:eastAsia="zh-CN"/>
                    </w:rPr>
                  </w:pPr>
                </w:p>
              </w:tc>
              <w:tc>
                <w:tcPr>
                  <w:tcW w:w="517" w:type="pct"/>
                  <w:tcBorders>
                    <w:top w:val="single" w:color="auto" w:sz="4" w:space="0"/>
                  </w:tcBorders>
                  <w:vAlign w:val="center"/>
                </w:tcPr>
                <w:p w14:paraId="78DD64D4">
                  <w:pPr>
                    <w:widowControl/>
                    <w:jc w:val="center"/>
                    <w:rPr>
                      <w:rFonts w:hint="eastAsia" w:cs="Times New Roman"/>
                      <w:color w:val="auto"/>
                      <w:highlight w:val="none"/>
                      <w:lang w:eastAsia="zh-CN"/>
                    </w:rPr>
                  </w:pPr>
                </w:p>
              </w:tc>
            </w:tr>
            <w:tr w14:paraId="33BAF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0634D8DE">
                  <w:pPr>
                    <w:widowControl/>
                    <w:jc w:val="center"/>
                    <w:rPr>
                      <w:rFonts w:hint="default" w:ascii="Times New Roman" w:hAnsi="Times New Roman" w:cs="Times New Roman"/>
                      <w:color w:val="auto"/>
                      <w:highlight w:val="none"/>
                    </w:rPr>
                  </w:pPr>
                </w:p>
              </w:tc>
              <w:tc>
                <w:tcPr>
                  <w:tcW w:w="941" w:type="pct"/>
                  <w:gridSpan w:val="2"/>
                  <w:vMerge w:val="continue"/>
                  <w:tcBorders>
                    <w:right w:val="single" w:color="auto" w:sz="4" w:space="0"/>
                  </w:tcBorders>
                  <w:vAlign w:val="center"/>
                </w:tcPr>
                <w:p w14:paraId="121DD3B4">
                  <w:pPr>
                    <w:widowControl/>
                    <w:jc w:val="center"/>
                    <w:rPr>
                      <w:rFonts w:hint="default" w:ascii="Times New Roman" w:hAnsi="Times New Roman" w:cs="Times New Roman"/>
                      <w:color w:val="auto"/>
                      <w:highlight w:val="none"/>
                    </w:rPr>
                  </w:pPr>
                </w:p>
              </w:tc>
              <w:tc>
                <w:tcPr>
                  <w:tcW w:w="3102" w:type="pct"/>
                  <w:tcBorders>
                    <w:top w:val="single" w:color="auto" w:sz="4" w:space="0"/>
                    <w:left w:val="single" w:color="auto" w:sz="4" w:space="0"/>
                  </w:tcBorders>
                  <w:vAlign w:val="center"/>
                </w:tcPr>
                <w:p w14:paraId="051324F1">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lang w:eastAsia="zh-CN"/>
                    </w:rPr>
                    <w:t>消防系统：整个库房消防等级按丙类库房建设。并配套灭火设施</w:t>
                  </w:r>
                  <w:r>
                    <w:rPr>
                      <w:rFonts w:hint="eastAsia" w:cs="Times New Roman"/>
                      <w:color w:val="auto"/>
                      <w:kern w:val="0"/>
                      <w:highlight w:val="none"/>
                      <w:lang w:eastAsia="zh-CN"/>
                    </w:rPr>
                    <w:t>。</w:t>
                  </w:r>
                </w:p>
              </w:tc>
              <w:tc>
                <w:tcPr>
                  <w:tcW w:w="517" w:type="pct"/>
                  <w:tcBorders>
                    <w:top w:val="single" w:color="auto" w:sz="4" w:space="0"/>
                  </w:tcBorders>
                  <w:vAlign w:val="center"/>
                </w:tcPr>
                <w:p w14:paraId="5C043065">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highlight w:val="none"/>
                    </w:rPr>
                    <w:t>新建</w:t>
                  </w:r>
                </w:p>
              </w:tc>
            </w:tr>
            <w:tr w14:paraId="04738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439" w:type="pct"/>
                  <w:vMerge w:val="continue"/>
                  <w:vAlign w:val="center"/>
                </w:tcPr>
                <w:p w14:paraId="5C050A55">
                  <w:pPr>
                    <w:widowControl/>
                    <w:jc w:val="center"/>
                    <w:rPr>
                      <w:rFonts w:hint="default" w:ascii="Times New Roman" w:hAnsi="Times New Roman" w:eastAsia="宋体" w:cs="Times New Roman"/>
                      <w:color w:val="auto"/>
                      <w:kern w:val="0"/>
                      <w:highlight w:val="none"/>
                      <w:lang w:eastAsia="zh-CN"/>
                    </w:rPr>
                  </w:pPr>
                </w:p>
              </w:tc>
              <w:tc>
                <w:tcPr>
                  <w:tcW w:w="941" w:type="pct"/>
                  <w:gridSpan w:val="2"/>
                  <w:vMerge w:val="continue"/>
                  <w:tcBorders>
                    <w:right w:val="single" w:color="auto" w:sz="4" w:space="0"/>
                  </w:tcBorders>
                  <w:vAlign w:val="center"/>
                </w:tcPr>
                <w:p w14:paraId="58AFBCE7">
                  <w:pPr>
                    <w:widowControl/>
                    <w:jc w:val="center"/>
                    <w:rPr>
                      <w:rFonts w:hint="default" w:ascii="Times New Roman" w:hAnsi="Times New Roman" w:eastAsia="宋体" w:cs="Times New Roman"/>
                      <w:color w:val="auto"/>
                      <w:kern w:val="0"/>
                      <w:highlight w:val="none"/>
                      <w:lang w:eastAsia="zh-CN"/>
                    </w:rPr>
                  </w:pPr>
                </w:p>
              </w:tc>
              <w:tc>
                <w:tcPr>
                  <w:tcW w:w="3102" w:type="pct"/>
                  <w:tcBorders>
                    <w:top w:val="single" w:color="auto" w:sz="4" w:space="0"/>
                    <w:left w:val="single" w:color="auto" w:sz="4" w:space="0"/>
                    <w:bottom w:val="single" w:color="auto" w:sz="4" w:space="0"/>
                  </w:tcBorders>
                  <w:vAlign w:val="center"/>
                </w:tcPr>
                <w:p w14:paraId="20899AFD">
                  <w:pPr>
                    <w:widowControl/>
                    <w:jc w:val="center"/>
                    <w:rPr>
                      <w:rFonts w:hint="default" w:ascii="Times New Roman" w:hAnsi="Times New Roman" w:eastAsia="宋体" w:cs="Times New Roman"/>
                      <w:color w:val="auto"/>
                      <w:kern w:val="0"/>
                      <w:highlight w:val="none"/>
                      <w:lang w:eastAsia="zh-CN"/>
                    </w:rPr>
                  </w:pPr>
                  <w:r>
                    <w:rPr>
                      <w:rFonts w:hint="eastAsia" w:cs="Times New Roman"/>
                      <w:color w:val="auto"/>
                      <w:kern w:val="0"/>
                      <w:highlight w:val="none"/>
                      <w:lang w:eastAsia="zh-CN"/>
                    </w:rPr>
                    <w:t>新建危废贮存库内</w:t>
                  </w:r>
                  <w:r>
                    <w:rPr>
                      <w:rFonts w:hint="default" w:ascii="Times New Roman" w:hAnsi="Times New Roman" w:eastAsia="宋体" w:cs="Times New Roman"/>
                      <w:color w:val="auto"/>
                      <w:kern w:val="0"/>
                      <w:highlight w:val="none"/>
                      <w:lang w:eastAsia="zh-CN"/>
                    </w:rPr>
                    <w:t>围堰及导流槽：贮存区按要求对不同的危险废物采取隔离措施，液体和半固体的危险废物贮存设施下设置托盘，托盘边缘不低于10cm，液态危险废物贮存区周边均设置有15cm高的围堰且围堰内的地面坡向排水设施，坡度≥3‰。设有导流槽按照要求进行防腐、防渗</w:t>
                  </w:r>
                  <w:r>
                    <w:rPr>
                      <w:rFonts w:hint="eastAsia" w:cs="Times New Roman"/>
                      <w:color w:val="auto"/>
                      <w:kern w:val="0"/>
                      <w:highlight w:val="none"/>
                      <w:lang w:eastAsia="zh-CN"/>
                    </w:rPr>
                    <w:t>，危废贮存库内设置收集池</w:t>
                  </w:r>
                  <w:r>
                    <w:rPr>
                      <w:rFonts w:hint="default" w:ascii="Times New Roman" w:hAnsi="Times New Roman" w:eastAsia="宋体" w:cs="Times New Roman"/>
                      <w:color w:val="auto"/>
                      <w:kern w:val="0"/>
                      <w:highlight w:val="none"/>
                      <w:lang w:eastAsia="zh-CN"/>
                    </w:rPr>
                    <w:t>。</w:t>
                  </w:r>
                </w:p>
              </w:tc>
              <w:tc>
                <w:tcPr>
                  <w:tcW w:w="517" w:type="pct"/>
                  <w:tcBorders>
                    <w:top w:val="single" w:color="auto" w:sz="4" w:space="0"/>
                    <w:bottom w:val="single" w:color="auto" w:sz="4" w:space="0"/>
                  </w:tcBorders>
                  <w:vAlign w:val="center"/>
                </w:tcPr>
                <w:p w14:paraId="61BD2E33">
                  <w:pPr>
                    <w:widowControl/>
                    <w:jc w:val="center"/>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highlight w:val="none"/>
                    </w:rPr>
                    <w:t>新建</w:t>
                  </w:r>
                </w:p>
              </w:tc>
            </w:tr>
          </w:tbl>
          <w:p w14:paraId="3A77D9D8">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cs="Times New Roman"/>
                <w:b/>
                <w:bCs/>
                <w:color w:val="auto"/>
                <w:sz w:val="24"/>
                <w:szCs w:val="24"/>
                <w:highlight w:val="none"/>
                <w:lang w:val="en-US" w:eastAsia="zh-CN"/>
              </w:rPr>
              <w:t>项目收集、贮存方案</w:t>
            </w:r>
          </w:p>
          <w:p w14:paraId="48C792DE">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cs="Times New Roman"/>
                <w:b/>
                <w:bCs/>
                <w:color w:val="auto"/>
                <w:sz w:val="24"/>
                <w:szCs w:val="24"/>
                <w:highlight w:val="none"/>
                <w:lang w:val="en-US" w:eastAsia="zh-CN"/>
              </w:rPr>
              <w:t>危险废物收集范围</w:t>
            </w:r>
          </w:p>
          <w:p w14:paraId="414464D2">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根据《宝鸡市小微企业及社会源危险废物集中收集试点工作方案》，本目危险废物收集对象主要由两类：</w:t>
            </w:r>
          </w:p>
          <w:p w14:paraId="09EE12A4">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①小微企业危险废物：宝鸡市及周边县区产生的危险废物（不含医疗废物）年产生总量5吨以下的产废企业。</w:t>
            </w:r>
          </w:p>
          <w:p w14:paraId="127F8886">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社会源危险废物：各教育、科研、医疗、检测机构和机关、企事业单位产生的危险废物；汽修、电动自行车维修活动中产生的危险废物；生活垃圾暂存点产生的有害垃圾；禁止收集、贮存医疗废物及具有爆炸性、剧毒性、反应性、感染性的危险废物，无明确利用处置途径、成分不明和环境风险不可控的危险废物及有关行政管理部门认为不宜收集贮存的危险废物。</w:t>
            </w:r>
          </w:p>
          <w:p w14:paraId="4E31268A">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结合项目地周边生产生活现状，确定本项目危险废物主要来自工业领域，收集范围主要为宝鸡市市区、周边县区各个小微企业、机车维修行业、实验室、电子厂等可能产生危险废物的企业、单位、地点等。</w:t>
            </w:r>
          </w:p>
          <w:p w14:paraId="0CCA7E2D">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cs="Times New Roman"/>
                <w:b/>
                <w:bCs/>
                <w:color w:val="auto"/>
                <w:sz w:val="24"/>
                <w:szCs w:val="24"/>
                <w:highlight w:val="none"/>
                <w:lang w:val="en-US" w:eastAsia="zh-CN"/>
              </w:rPr>
              <w:t>收集贮存类别</w:t>
            </w:r>
          </w:p>
          <w:p w14:paraId="61B7506E">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原有项目</w:t>
            </w:r>
            <w:r>
              <w:rPr>
                <w:rFonts w:hint="eastAsia" w:cs="Times New Roman"/>
                <w:b w:val="0"/>
                <w:bCs w:val="0"/>
                <w:color w:val="auto"/>
                <w:sz w:val="24"/>
                <w:szCs w:val="24"/>
                <w:highlight w:val="none"/>
                <w:lang w:val="en-US" w:eastAsia="zh-CN"/>
              </w:rPr>
              <w:t>属于危险废物收集后再生利用，主要收集HW06废有机溶剂与含有机溶剂废物、HW08（废矿物油与含矿物油废物）、HW09（油/水、烃/水混合物或乳化液）、HW49（其他废物）进行加工处理后生产为渣油、基础油、燃料油、金属块产品，原有项目于2020年1月已取得宝鸡市行政审批局颁发的危险废物经营许</w:t>
            </w:r>
            <w:r>
              <w:rPr>
                <w:rFonts w:hint="eastAsia" w:cs="Times New Roman"/>
                <w:b w:val="0"/>
                <w:bCs w:val="0"/>
                <w:color w:val="auto"/>
                <w:sz w:val="24"/>
                <w:szCs w:val="24"/>
                <w:highlight w:val="none"/>
                <w:lang w:val="en-US" w:eastAsia="zh-CN"/>
              </w:rPr>
              <w:t>可证（HW6103220001）其中。</w:t>
            </w:r>
          </w:p>
          <w:p w14:paraId="4EF9FF43">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本次</w:t>
            </w:r>
            <w:r>
              <w:rPr>
                <w:rFonts w:hint="eastAsia" w:cs="Times New Roman"/>
                <w:b w:val="0"/>
                <w:bCs w:val="0"/>
                <w:color w:val="auto"/>
                <w:sz w:val="24"/>
                <w:szCs w:val="24"/>
                <w:highlight w:val="none"/>
                <w:lang w:val="en-US" w:eastAsia="zh-CN"/>
              </w:rPr>
              <w:t>扩建项目不涉及危险废物的再生利用工艺；仅进行危险废物的收储，拟收集的危险废物种类</w:t>
            </w:r>
            <w:r>
              <w:rPr>
                <w:rFonts w:hint="default" w:ascii="Times New Roman" w:hAnsi="Times New Roman" w:eastAsia="宋体" w:cs="Times New Roman"/>
                <w:b w:val="0"/>
                <w:bCs w:val="0"/>
                <w:color w:val="auto"/>
                <w:sz w:val="24"/>
                <w:szCs w:val="24"/>
                <w:highlight w:val="none"/>
                <w:lang w:val="en-US" w:eastAsia="zh-CN"/>
              </w:rPr>
              <w:t>主要有</w:t>
            </w:r>
            <w:r>
              <w:rPr>
                <w:rFonts w:hint="eastAsia" w:cs="Times New Roman"/>
                <w:b w:val="0"/>
                <w:bCs w:val="0"/>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W2、W3、W4、W5、W6、W7、W10、W11、W12、HW13、W14、W15、HW16、HW17、W18、W19、W20、HW21、HW22、HW23、W24、W25、W26、W27、W28、HW29、W30、HW31、HW32、W33、HW36、W37、W38、HW39、W40、W45、HW46、W47、HW48、HW50，共计划收集</w:t>
            </w:r>
            <w:r>
              <w:rPr>
                <w:rFonts w:hint="eastAsia" w:cs="Times New Roman"/>
                <w:b w:val="0"/>
                <w:bCs w:val="0"/>
                <w:color w:val="auto"/>
                <w:sz w:val="24"/>
                <w:szCs w:val="24"/>
                <w:highlight w:val="none"/>
                <w:lang w:val="en-US" w:eastAsia="zh-CN"/>
              </w:rPr>
              <w:t>40类</w:t>
            </w:r>
            <w:r>
              <w:rPr>
                <w:rFonts w:hint="default" w:ascii="Times New Roman" w:hAnsi="Times New Roman" w:cs="Times New Roman"/>
                <w:b w:val="0"/>
                <w:bCs w:val="0"/>
                <w:color w:val="auto"/>
                <w:sz w:val="24"/>
                <w:szCs w:val="24"/>
                <w:highlight w:val="none"/>
                <w:lang w:val="en-US" w:eastAsia="zh-CN"/>
              </w:rPr>
              <w:t>危险废物</w:t>
            </w:r>
            <w:r>
              <w:rPr>
                <w:rFonts w:hint="default" w:ascii="Times New Roman" w:hAnsi="Times New Roman" w:eastAsia="宋体" w:cs="Times New Roman"/>
                <w:b w:val="0"/>
                <w:bCs w:val="0"/>
                <w:color w:val="auto"/>
                <w:sz w:val="24"/>
                <w:szCs w:val="24"/>
                <w:highlight w:val="none"/>
                <w:lang w:val="en-US" w:eastAsia="zh-CN"/>
              </w:rPr>
              <w:t>，项目年中转危险废物量为</w:t>
            </w:r>
            <w:r>
              <w:rPr>
                <w:rFonts w:hint="eastAsia" w:cs="Times New Roman"/>
                <w:color w:val="auto"/>
                <w:sz w:val="24"/>
                <w:highlight w:val="none"/>
                <w:lang w:val="en-US" w:eastAsia="zh-CN"/>
              </w:rPr>
              <w:t>7700</w:t>
            </w:r>
            <w:r>
              <w:rPr>
                <w:rFonts w:hint="default" w:ascii="Times New Roman" w:hAnsi="Times New Roman" w:eastAsia="宋体" w:cs="Times New Roman"/>
                <w:b w:val="0"/>
                <w:bCs w:val="0"/>
                <w:color w:val="auto"/>
                <w:sz w:val="24"/>
                <w:szCs w:val="24"/>
                <w:highlight w:val="none"/>
                <w:lang w:val="en-US" w:eastAsia="zh-CN"/>
              </w:rPr>
              <w:t>吨，根据《国家危险废物名录（</w:t>
            </w:r>
            <w:r>
              <w:rPr>
                <w:rFonts w:hint="eastAsia" w:cs="Times New Roman"/>
                <w:b w:val="0"/>
                <w:bCs w:val="0"/>
                <w:color w:val="auto"/>
                <w:sz w:val="24"/>
                <w:szCs w:val="24"/>
                <w:highlight w:val="none"/>
                <w:lang w:val="en-US" w:eastAsia="zh-CN"/>
              </w:rPr>
              <w:t>2025年版</w:t>
            </w:r>
            <w:r>
              <w:rPr>
                <w:rFonts w:hint="default" w:ascii="Times New Roman" w:hAnsi="Times New Roman" w:eastAsia="宋体" w:cs="Times New Roman"/>
                <w:b w:val="0"/>
                <w:bCs w:val="0"/>
                <w:color w:val="auto"/>
                <w:sz w:val="24"/>
                <w:szCs w:val="24"/>
                <w:highlight w:val="none"/>
                <w:lang w:val="en-US" w:eastAsia="zh-CN"/>
              </w:rPr>
              <w:t>）》，本项目收集的危险废物特性为毒性（不包含剧毒性危险废物）（Toxicity,T）、腐蚀性（Corrosivity,C）、易燃性（Ignitability,I）、</w:t>
            </w:r>
            <w:r>
              <w:rPr>
                <w:rFonts w:hint="default" w:ascii="Times New Roman" w:hAnsi="Times New Roman" w:eastAsia="宋体" w:cs="Times New Roman"/>
                <w:b w:val="0"/>
                <w:bCs w:val="0"/>
                <w:color w:val="auto"/>
                <w:sz w:val="24"/>
                <w:szCs w:val="24"/>
                <w:highlight w:val="none"/>
                <w:lang w:val="en-US" w:eastAsia="zh-CN"/>
              </w:rPr>
              <w:t>不收集具有爆炸性、剧毒性、反应性（Reactivity,R）和感染性（Infectivity,In）的危险废物以及无明确利用处置途径的危险废物，贮存类别详见表2-3。</w:t>
            </w:r>
          </w:p>
          <w:p w14:paraId="1C0BAE4B">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3</w:t>
            </w:r>
            <w:r>
              <w:rPr>
                <w:rFonts w:hint="eastAsia" w:cs="Times New Roman"/>
                <w:b/>
                <w:color w:val="auto"/>
                <w:highlight w:val="none"/>
                <w:lang w:val="en-US" w:eastAsia="zh-CN"/>
              </w:rPr>
              <w:t xml:space="preserve">  本项目危险废物贮存规模一览表</w:t>
            </w:r>
          </w:p>
          <w:tbl>
            <w:tblPr>
              <w:tblStyle w:val="189"/>
              <w:tblW w:w="80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3"/>
              <w:gridCol w:w="703"/>
              <w:gridCol w:w="1095"/>
              <w:gridCol w:w="2802"/>
              <w:gridCol w:w="909"/>
              <w:gridCol w:w="726"/>
              <w:gridCol w:w="669"/>
            </w:tblGrid>
            <w:tr w14:paraId="7A745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44694619">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废物类别</w:t>
                  </w:r>
                </w:p>
              </w:tc>
              <w:tc>
                <w:tcPr>
                  <w:tcW w:w="703" w:type="dxa"/>
                  <w:tcBorders>
                    <w:tl2br w:val="nil"/>
                    <w:tr2bl w:val="nil"/>
                  </w:tcBorders>
                  <w:vAlign w:val="center"/>
                </w:tcPr>
                <w:p w14:paraId="27653A26">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行业来源</w:t>
                  </w:r>
                </w:p>
              </w:tc>
              <w:tc>
                <w:tcPr>
                  <w:tcW w:w="1095" w:type="dxa"/>
                  <w:tcBorders>
                    <w:tl2br w:val="nil"/>
                    <w:tr2bl w:val="nil"/>
                  </w:tcBorders>
                  <w:vAlign w:val="center"/>
                </w:tcPr>
                <w:p w14:paraId="0D52615E">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废物代码</w:t>
                  </w:r>
                </w:p>
              </w:tc>
              <w:tc>
                <w:tcPr>
                  <w:tcW w:w="2802" w:type="dxa"/>
                  <w:tcBorders>
                    <w:tl2br w:val="nil"/>
                    <w:tr2bl w:val="nil"/>
                  </w:tcBorders>
                  <w:vAlign w:val="center"/>
                </w:tcPr>
                <w:p w14:paraId="74ACA3DD">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w:t>
                  </w:r>
                </w:p>
              </w:tc>
              <w:tc>
                <w:tcPr>
                  <w:tcW w:w="909" w:type="dxa"/>
                  <w:tcBorders>
                    <w:tl2br w:val="nil"/>
                    <w:tr2bl w:val="nil"/>
                  </w:tcBorders>
                  <w:vAlign w:val="center"/>
                </w:tcPr>
                <w:p w14:paraId="6103180F">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危险特性</w:t>
                  </w:r>
                </w:p>
              </w:tc>
              <w:tc>
                <w:tcPr>
                  <w:tcW w:w="726" w:type="dxa"/>
                  <w:tcBorders>
                    <w:tl2br w:val="nil"/>
                    <w:tr2bl w:val="nil"/>
                  </w:tcBorders>
                  <w:vAlign w:val="center"/>
                </w:tcPr>
                <w:p w14:paraId="6C4CEA34">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年周转量</w:t>
                  </w:r>
                </w:p>
                <w:p w14:paraId="36E3F390">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t/a)</w:t>
                  </w:r>
                </w:p>
              </w:tc>
              <w:tc>
                <w:tcPr>
                  <w:tcW w:w="669" w:type="dxa"/>
                  <w:tcBorders>
                    <w:tl2br w:val="nil"/>
                    <w:tr2bl w:val="nil"/>
                  </w:tcBorders>
                  <w:vAlign w:val="center"/>
                </w:tcPr>
                <w:p w14:paraId="1FEF4175">
                  <w:pPr>
                    <w:bidi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贮存单元</w:t>
                  </w:r>
                </w:p>
              </w:tc>
            </w:tr>
            <w:tr w14:paraId="5A358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7AA2D73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HW02医药废物</w:t>
                  </w:r>
                </w:p>
              </w:tc>
              <w:tc>
                <w:tcPr>
                  <w:tcW w:w="703" w:type="dxa"/>
                  <w:tcBorders>
                    <w:tl2br w:val="nil"/>
                    <w:tr2bl w:val="nil"/>
                  </w:tcBorders>
                  <w:vAlign w:val="center"/>
                </w:tcPr>
                <w:p w14:paraId="36DCA4A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476079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4C25048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058531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74D3B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67D2F9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eastAsia="zh-CN"/>
                    </w:rPr>
                    <w:t>2贮存间</w:t>
                  </w:r>
                </w:p>
              </w:tc>
            </w:tr>
            <w:tr w14:paraId="4475C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0CAFDE4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03废药物、药品</w:t>
                  </w:r>
                </w:p>
              </w:tc>
              <w:tc>
                <w:tcPr>
                  <w:tcW w:w="703" w:type="dxa"/>
                  <w:tcBorders>
                    <w:tl2br w:val="nil"/>
                    <w:tr2bl w:val="nil"/>
                  </w:tcBorders>
                  <w:vAlign w:val="center"/>
                </w:tcPr>
                <w:p w14:paraId="54B30E0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7A5685E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A1945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2508A08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4426C4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2AC2E54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贮存间</w:t>
                  </w:r>
                </w:p>
              </w:tc>
            </w:tr>
            <w:tr w14:paraId="77364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57EBB36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04农药废物</w:t>
                  </w:r>
                </w:p>
              </w:tc>
              <w:tc>
                <w:tcPr>
                  <w:tcW w:w="703" w:type="dxa"/>
                  <w:tcBorders>
                    <w:tl2br w:val="nil"/>
                    <w:tr2bl w:val="nil"/>
                  </w:tcBorders>
                  <w:vAlign w:val="center"/>
                </w:tcPr>
                <w:p w14:paraId="0A3F2C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1F7CBE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67EC354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C2613F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7EB25F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37DDB02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贮存间</w:t>
                  </w:r>
                </w:p>
              </w:tc>
            </w:tr>
            <w:tr w14:paraId="6528F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011F3B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05木材防腐剂废物</w:t>
                  </w:r>
                </w:p>
              </w:tc>
              <w:tc>
                <w:tcPr>
                  <w:tcW w:w="703" w:type="dxa"/>
                  <w:tcBorders>
                    <w:tl2br w:val="nil"/>
                    <w:tr2bl w:val="nil"/>
                  </w:tcBorders>
                  <w:vAlign w:val="center"/>
                </w:tcPr>
                <w:p w14:paraId="2EBBDF5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71B1112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239702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6509B52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64C778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28F8ADA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贮存间</w:t>
                  </w:r>
                </w:p>
              </w:tc>
            </w:tr>
            <w:tr w14:paraId="47CE9B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3946880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07热处理含氰废物</w:t>
                  </w:r>
                </w:p>
              </w:tc>
              <w:tc>
                <w:tcPr>
                  <w:tcW w:w="703" w:type="dxa"/>
                  <w:tcBorders>
                    <w:tl2br w:val="nil"/>
                    <w:tr2bl w:val="nil"/>
                  </w:tcBorders>
                  <w:vAlign w:val="center"/>
                </w:tcPr>
                <w:p w14:paraId="0D172B3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BA4B14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4BF7DD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ED9562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60AB49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398288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贮存间</w:t>
                  </w:r>
                </w:p>
              </w:tc>
            </w:tr>
            <w:tr w14:paraId="21A19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3303BFC6">
                  <w:pPr>
                    <w:pStyle w:val="195"/>
                    <w:spacing w:before="55" w:line="212" w:lineRule="auto"/>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kern w:val="2"/>
                      <w:sz w:val="21"/>
                      <w:szCs w:val="21"/>
                      <w:highlight w:val="none"/>
                      <w:lang w:val="en-US" w:eastAsia="zh-CN" w:bidi="ar-SA"/>
                    </w:rPr>
                    <w:t>HW10多氯(溴)联苯类废物</w:t>
                  </w:r>
                </w:p>
              </w:tc>
              <w:tc>
                <w:tcPr>
                  <w:tcW w:w="703" w:type="dxa"/>
                  <w:tcBorders>
                    <w:tl2br w:val="nil"/>
                    <w:tr2bl w:val="nil"/>
                  </w:tcBorders>
                  <w:vAlign w:val="center"/>
                </w:tcPr>
                <w:p w14:paraId="446B1737">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4621015">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31A9E4">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5DA749C">
                  <w:pPr>
                    <w:adjustRightInd w:val="0"/>
                    <w:snapToGrid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Times New Roman" w:cs="Times New Roman"/>
                      <w:color w:val="auto"/>
                      <w:kern w:val="0"/>
                      <w:sz w:val="21"/>
                      <w:szCs w:val="21"/>
                      <w:highlight w:val="none"/>
                      <w:lang w:bidi="ar"/>
                    </w:rPr>
                    <w:t>T</w:t>
                  </w:r>
                </w:p>
              </w:tc>
              <w:tc>
                <w:tcPr>
                  <w:tcW w:w="726" w:type="dxa"/>
                  <w:tcBorders>
                    <w:tl2br w:val="nil"/>
                    <w:tr2bl w:val="nil"/>
                  </w:tcBorders>
                  <w:vAlign w:val="center"/>
                </w:tcPr>
                <w:p w14:paraId="46892E25">
                  <w:pPr>
                    <w:keepNext w:val="0"/>
                    <w:keepLines w:val="0"/>
                    <w:widowControl/>
                    <w:suppressLineNumbers w:val="0"/>
                    <w:jc w:val="center"/>
                    <w:textAlignment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6C10D3A0">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贮存间</w:t>
                  </w:r>
                </w:p>
              </w:tc>
            </w:tr>
            <w:tr w14:paraId="7C690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restart"/>
                  <w:tcBorders>
                    <w:tl2br w:val="nil"/>
                    <w:tr2bl w:val="nil"/>
                  </w:tcBorders>
                  <w:vAlign w:val="center"/>
                </w:tcPr>
                <w:p w14:paraId="5061FB3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HW12染料、涂料废物</w:t>
                  </w:r>
                </w:p>
              </w:tc>
              <w:tc>
                <w:tcPr>
                  <w:tcW w:w="703" w:type="dxa"/>
                  <w:vMerge w:val="restart"/>
                  <w:tcBorders>
                    <w:tl2br w:val="nil"/>
                    <w:tr2bl w:val="nil"/>
                  </w:tcBorders>
                  <w:vAlign w:val="center"/>
                </w:tcPr>
                <w:p w14:paraId="756466C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5388C93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900-250-12</w:t>
                  </w:r>
                </w:p>
              </w:tc>
              <w:tc>
                <w:tcPr>
                  <w:tcW w:w="2802" w:type="dxa"/>
                  <w:tcBorders>
                    <w:tl2br w:val="nil"/>
                    <w:tr2bl w:val="nil"/>
                  </w:tcBorders>
                  <w:vAlign w:val="center"/>
                </w:tcPr>
                <w:p w14:paraId="431D898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使用有机溶剂、光漆进行光漆涂布、喷漆工艺过程中产生的废物</w:t>
                  </w:r>
                </w:p>
              </w:tc>
              <w:tc>
                <w:tcPr>
                  <w:tcW w:w="909" w:type="dxa"/>
                  <w:tcBorders>
                    <w:tl2br w:val="nil"/>
                    <w:tr2bl w:val="nil"/>
                  </w:tcBorders>
                  <w:vAlign w:val="center"/>
                </w:tcPr>
                <w:p w14:paraId="7C82D43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T,I</w:t>
                  </w:r>
                </w:p>
              </w:tc>
              <w:tc>
                <w:tcPr>
                  <w:tcW w:w="726" w:type="dxa"/>
                  <w:vMerge w:val="restart"/>
                  <w:tcBorders>
                    <w:tl2br w:val="nil"/>
                    <w:tr2bl w:val="nil"/>
                  </w:tcBorders>
                  <w:vAlign w:val="center"/>
                </w:tcPr>
                <w:p w14:paraId="25366A4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vMerge w:val="restart"/>
                  <w:tcBorders>
                    <w:tl2br w:val="nil"/>
                    <w:tr2bl w:val="nil"/>
                  </w:tcBorders>
                  <w:vAlign w:val="center"/>
                </w:tcPr>
                <w:p w14:paraId="12548AB7">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HW12贮存间</w:t>
                  </w:r>
                </w:p>
              </w:tc>
            </w:tr>
            <w:tr w14:paraId="4C469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vMerge w:val="continue"/>
                  <w:tcBorders>
                    <w:tl2br w:val="nil"/>
                    <w:tr2bl w:val="nil"/>
                  </w:tcBorders>
                  <w:vAlign w:val="center"/>
                </w:tcPr>
                <w:p w14:paraId="504A4B5E">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4FCB8F95">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1FEEF9D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900-251-12</w:t>
                  </w:r>
                </w:p>
              </w:tc>
              <w:tc>
                <w:tcPr>
                  <w:tcW w:w="2802" w:type="dxa"/>
                  <w:tcBorders>
                    <w:tl2br w:val="nil"/>
                    <w:tr2bl w:val="nil"/>
                  </w:tcBorders>
                  <w:vAlign w:val="center"/>
                </w:tcPr>
                <w:p w14:paraId="7AB209D6">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使用油漆（不包括水性漆）、有机溶剂进行阻挡层涂敷过程中产生的废物</w:t>
                  </w:r>
                </w:p>
              </w:tc>
              <w:tc>
                <w:tcPr>
                  <w:tcW w:w="909" w:type="dxa"/>
                  <w:tcBorders>
                    <w:tl2br w:val="nil"/>
                    <w:tr2bl w:val="nil"/>
                  </w:tcBorders>
                  <w:vAlign w:val="center"/>
                </w:tcPr>
                <w:p w14:paraId="1D65EA4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2000BE73">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4334E10B">
                  <w:pPr>
                    <w:bidi w:val="0"/>
                    <w:jc w:val="center"/>
                    <w:rPr>
                      <w:rFonts w:hint="default" w:ascii="Times New Roman" w:hAnsi="Times New Roman" w:cs="Times New Roman"/>
                      <w:color w:val="auto"/>
                      <w:sz w:val="21"/>
                      <w:szCs w:val="21"/>
                      <w:highlight w:val="none"/>
                    </w:rPr>
                  </w:pPr>
                </w:p>
              </w:tc>
            </w:tr>
            <w:tr w14:paraId="2C059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7B785F0F">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577D28A4">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1DBCA21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900-252-12</w:t>
                  </w:r>
                </w:p>
              </w:tc>
              <w:tc>
                <w:tcPr>
                  <w:tcW w:w="2802" w:type="dxa"/>
                  <w:tcBorders>
                    <w:tl2br w:val="nil"/>
                    <w:tr2bl w:val="nil"/>
                  </w:tcBorders>
                  <w:vAlign w:val="center"/>
                </w:tcPr>
                <w:p w14:paraId="59920C50">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使用油漆（不包括水性漆）、有机溶剂进行喷漆、上漆过程中产生的废物</w:t>
                  </w:r>
                </w:p>
              </w:tc>
              <w:tc>
                <w:tcPr>
                  <w:tcW w:w="909" w:type="dxa"/>
                  <w:tcBorders>
                    <w:tl2br w:val="nil"/>
                    <w:tr2bl w:val="nil"/>
                  </w:tcBorders>
                  <w:vAlign w:val="center"/>
                </w:tcPr>
                <w:p w14:paraId="4949B6D7">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37501D95">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54CAA6AE">
                  <w:pPr>
                    <w:bidi w:val="0"/>
                    <w:jc w:val="center"/>
                    <w:rPr>
                      <w:rFonts w:hint="default" w:ascii="Times New Roman" w:hAnsi="Times New Roman" w:cs="Times New Roman"/>
                      <w:color w:val="auto"/>
                      <w:sz w:val="21"/>
                      <w:szCs w:val="21"/>
                      <w:highlight w:val="none"/>
                    </w:rPr>
                  </w:pPr>
                </w:p>
              </w:tc>
            </w:tr>
            <w:tr w14:paraId="708C9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5BE7C176">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6BA54E33">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3FAD67F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900-253-12</w:t>
                  </w:r>
                </w:p>
              </w:tc>
              <w:tc>
                <w:tcPr>
                  <w:tcW w:w="2802" w:type="dxa"/>
                  <w:tcBorders>
                    <w:tl2br w:val="nil"/>
                    <w:tr2bl w:val="nil"/>
                  </w:tcBorders>
                  <w:vAlign w:val="center"/>
                </w:tcPr>
                <w:p w14:paraId="7BC45EE5">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使用油墨和有机溶剂进行丝网印刷过程中产生的废物</w:t>
                  </w:r>
                </w:p>
              </w:tc>
              <w:tc>
                <w:tcPr>
                  <w:tcW w:w="909" w:type="dxa"/>
                  <w:tcBorders>
                    <w:tl2br w:val="nil"/>
                    <w:tr2bl w:val="nil"/>
                  </w:tcBorders>
                  <w:vAlign w:val="center"/>
                </w:tcPr>
                <w:p w14:paraId="237E425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19C86041">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46FD9F89">
                  <w:pPr>
                    <w:bidi w:val="0"/>
                    <w:jc w:val="center"/>
                    <w:rPr>
                      <w:rFonts w:hint="default" w:ascii="Times New Roman" w:hAnsi="Times New Roman" w:cs="Times New Roman"/>
                      <w:color w:val="auto"/>
                      <w:sz w:val="21"/>
                      <w:szCs w:val="21"/>
                      <w:highlight w:val="none"/>
                    </w:rPr>
                  </w:pPr>
                </w:p>
              </w:tc>
            </w:tr>
            <w:tr w14:paraId="1DDD5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242C66FE">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208FB5B6">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7E72865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900-254-12</w:t>
                  </w:r>
                </w:p>
              </w:tc>
              <w:tc>
                <w:tcPr>
                  <w:tcW w:w="2802" w:type="dxa"/>
                  <w:tcBorders>
                    <w:tl2br w:val="nil"/>
                    <w:tr2bl w:val="nil"/>
                  </w:tcBorders>
                  <w:vAlign w:val="center"/>
                </w:tcPr>
                <w:p w14:paraId="0A3193C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使用遮盖油、有机溶剂进行遮盖油的涂敷过程中产生的废物</w:t>
                  </w:r>
                </w:p>
              </w:tc>
              <w:tc>
                <w:tcPr>
                  <w:tcW w:w="909" w:type="dxa"/>
                  <w:tcBorders>
                    <w:tl2br w:val="nil"/>
                    <w:tr2bl w:val="nil"/>
                  </w:tcBorders>
                  <w:vAlign w:val="center"/>
                </w:tcPr>
                <w:p w14:paraId="68C9DA1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w:t>
                  </w:r>
                </w:p>
              </w:tc>
              <w:tc>
                <w:tcPr>
                  <w:tcW w:w="726" w:type="dxa"/>
                  <w:vMerge w:val="continue"/>
                  <w:tcBorders>
                    <w:tl2br w:val="nil"/>
                    <w:tr2bl w:val="nil"/>
                  </w:tcBorders>
                  <w:vAlign w:val="center"/>
                </w:tcPr>
                <w:p w14:paraId="4BC460D2">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2D798C51">
                  <w:pPr>
                    <w:bidi w:val="0"/>
                    <w:jc w:val="center"/>
                    <w:rPr>
                      <w:rFonts w:hint="default" w:ascii="Times New Roman" w:hAnsi="Times New Roman" w:cs="Times New Roman"/>
                      <w:color w:val="auto"/>
                      <w:sz w:val="21"/>
                      <w:szCs w:val="21"/>
                      <w:highlight w:val="none"/>
                    </w:rPr>
                  </w:pPr>
                </w:p>
              </w:tc>
            </w:tr>
            <w:tr w14:paraId="14024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D39482F">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113573D8">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6A6F3DF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900-255-12</w:t>
                  </w:r>
                </w:p>
              </w:tc>
              <w:tc>
                <w:tcPr>
                  <w:tcW w:w="2802" w:type="dxa"/>
                  <w:tcBorders>
                    <w:tl2br w:val="nil"/>
                    <w:tr2bl w:val="nil"/>
                  </w:tcBorders>
                  <w:vAlign w:val="center"/>
                </w:tcPr>
                <w:p w14:paraId="295B5093">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使用各种颜料进行着色过程中产生的废颜料</w:t>
                  </w:r>
                </w:p>
              </w:tc>
              <w:tc>
                <w:tcPr>
                  <w:tcW w:w="909" w:type="dxa"/>
                  <w:tcBorders>
                    <w:tl2br w:val="nil"/>
                    <w:tr2bl w:val="nil"/>
                  </w:tcBorders>
                  <w:vAlign w:val="center"/>
                </w:tcPr>
                <w:p w14:paraId="3B2EC83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w:t>
                  </w:r>
                </w:p>
              </w:tc>
              <w:tc>
                <w:tcPr>
                  <w:tcW w:w="726" w:type="dxa"/>
                  <w:vMerge w:val="continue"/>
                  <w:tcBorders>
                    <w:tl2br w:val="nil"/>
                    <w:tr2bl w:val="nil"/>
                  </w:tcBorders>
                  <w:vAlign w:val="center"/>
                </w:tcPr>
                <w:p w14:paraId="5C70B0F9">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6C289928">
                  <w:pPr>
                    <w:bidi w:val="0"/>
                    <w:jc w:val="center"/>
                    <w:rPr>
                      <w:rFonts w:hint="default" w:ascii="Times New Roman" w:hAnsi="Times New Roman" w:cs="Times New Roman"/>
                      <w:color w:val="auto"/>
                      <w:sz w:val="21"/>
                      <w:szCs w:val="21"/>
                      <w:highlight w:val="none"/>
                    </w:rPr>
                  </w:pPr>
                </w:p>
              </w:tc>
            </w:tr>
            <w:tr w14:paraId="7939E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vMerge w:val="continue"/>
                  <w:tcBorders>
                    <w:tl2br w:val="nil"/>
                    <w:tr2bl w:val="nil"/>
                  </w:tcBorders>
                  <w:vAlign w:val="center"/>
                </w:tcPr>
                <w:p w14:paraId="1A0C3D84">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6652118A">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42E9AD6D">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900-256-12</w:t>
                  </w:r>
                </w:p>
              </w:tc>
              <w:tc>
                <w:tcPr>
                  <w:tcW w:w="2802" w:type="dxa"/>
                  <w:tcBorders>
                    <w:tl2br w:val="nil"/>
                    <w:tr2bl w:val="nil"/>
                  </w:tcBorders>
                  <w:vAlign w:val="center"/>
                </w:tcPr>
                <w:p w14:paraId="6250A3FF">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使用酸、碱或有机溶剂清洗容器设备过程中剥离的废油漆、废染料、废塑料</w:t>
                  </w:r>
                </w:p>
              </w:tc>
              <w:tc>
                <w:tcPr>
                  <w:tcW w:w="909" w:type="dxa"/>
                  <w:tcBorders>
                    <w:tl2br w:val="nil"/>
                    <w:tr2bl w:val="nil"/>
                  </w:tcBorders>
                  <w:vAlign w:val="center"/>
                </w:tcPr>
                <w:p w14:paraId="14CB386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T,I,C</w:t>
                  </w:r>
                </w:p>
              </w:tc>
              <w:tc>
                <w:tcPr>
                  <w:tcW w:w="726" w:type="dxa"/>
                  <w:vMerge w:val="continue"/>
                  <w:tcBorders>
                    <w:tl2br w:val="nil"/>
                    <w:tr2bl w:val="nil"/>
                  </w:tcBorders>
                  <w:vAlign w:val="center"/>
                </w:tcPr>
                <w:p w14:paraId="479FA166">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2DDD8060">
                  <w:pPr>
                    <w:bidi w:val="0"/>
                    <w:jc w:val="center"/>
                    <w:rPr>
                      <w:rFonts w:hint="default" w:ascii="Times New Roman" w:hAnsi="Times New Roman" w:cs="Times New Roman"/>
                      <w:color w:val="auto"/>
                      <w:sz w:val="21"/>
                      <w:szCs w:val="21"/>
                      <w:highlight w:val="none"/>
                    </w:rPr>
                  </w:pPr>
                </w:p>
              </w:tc>
            </w:tr>
            <w:tr w14:paraId="7D1C4E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vMerge w:val="continue"/>
                  <w:tcBorders>
                    <w:tl2br w:val="nil"/>
                    <w:tr2bl w:val="nil"/>
                  </w:tcBorders>
                  <w:vAlign w:val="center"/>
                </w:tcPr>
                <w:p w14:paraId="16197728">
                  <w:pPr>
                    <w:bidi w:val="0"/>
                    <w:jc w:val="center"/>
                    <w:rPr>
                      <w:rFonts w:hint="default" w:ascii="Times New Roman" w:hAnsi="Times New Roman" w:cs="Times New Roman"/>
                      <w:color w:val="auto"/>
                      <w:sz w:val="21"/>
                      <w:szCs w:val="21"/>
                      <w:highlight w:val="none"/>
                    </w:rPr>
                  </w:pPr>
                </w:p>
              </w:tc>
              <w:tc>
                <w:tcPr>
                  <w:tcW w:w="703" w:type="dxa"/>
                  <w:vMerge w:val="continue"/>
                  <w:tcBorders>
                    <w:tl2br w:val="nil"/>
                    <w:tr2bl w:val="nil"/>
                  </w:tcBorders>
                  <w:vAlign w:val="center"/>
                </w:tcPr>
                <w:p w14:paraId="5C9338E4">
                  <w:pPr>
                    <w:bidi w:val="0"/>
                    <w:jc w:val="center"/>
                    <w:rPr>
                      <w:rFonts w:hint="default" w:ascii="Times New Roman" w:hAnsi="Times New Roman" w:cs="Times New Roman"/>
                      <w:color w:val="auto"/>
                      <w:sz w:val="21"/>
                      <w:szCs w:val="21"/>
                      <w:highlight w:val="none"/>
                    </w:rPr>
                  </w:pPr>
                </w:p>
              </w:tc>
              <w:tc>
                <w:tcPr>
                  <w:tcW w:w="1095" w:type="dxa"/>
                  <w:tcBorders>
                    <w:tl2br w:val="nil"/>
                    <w:tr2bl w:val="nil"/>
                  </w:tcBorders>
                  <w:vAlign w:val="center"/>
                </w:tcPr>
                <w:p w14:paraId="42F72C1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900-299-12</w:t>
                  </w:r>
                </w:p>
              </w:tc>
              <w:tc>
                <w:tcPr>
                  <w:tcW w:w="2802" w:type="dxa"/>
                  <w:tcBorders>
                    <w:tl2br w:val="nil"/>
                    <w:tr2bl w:val="nil"/>
                  </w:tcBorders>
                  <w:vAlign w:val="center"/>
                </w:tcPr>
                <w:p w14:paraId="3E66C83A">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生产、销售及使用过程中产生的失效、变质、不合格、淘汰、伪劣的油墨、染料、颜料、油漆（不包括水性漆）</w:t>
                  </w:r>
                </w:p>
              </w:tc>
              <w:tc>
                <w:tcPr>
                  <w:tcW w:w="909" w:type="dxa"/>
                  <w:tcBorders>
                    <w:tl2br w:val="nil"/>
                    <w:tr2bl w:val="nil"/>
                  </w:tcBorders>
                  <w:vAlign w:val="center"/>
                </w:tcPr>
                <w:p w14:paraId="47039041">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w:t>
                  </w:r>
                </w:p>
              </w:tc>
              <w:tc>
                <w:tcPr>
                  <w:tcW w:w="726" w:type="dxa"/>
                  <w:vMerge w:val="continue"/>
                  <w:tcBorders>
                    <w:tl2br w:val="nil"/>
                    <w:tr2bl w:val="nil"/>
                  </w:tcBorders>
                  <w:vAlign w:val="center"/>
                </w:tcPr>
                <w:p w14:paraId="02E82568">
                  <w:pPr>
                    <w:bidi w:val="0"/>
                    <w:jc w:val="center"/>
                    <w:rPr>
                      <w:rFonts w:hint="default" w:ascii="Times New Roman" w:hAnsi="Times New Roman" w:cs="Times New Roman"/>
                      <w:color w:val="auto"/>
                      <w:sz w:val="21"/>
                      <w:szCs w:val="21"/>
                      <w:highlight w:val="none"/>
                    </w:rPr>
                  </w:pPr>
                </w:p>
              </w:tc>
              <w:tc>
                <w:tcPr>
                  <w:tcW w:w="669" w:type="dxa"/>
                  <w:vMerge w:val="continue"/>
                  <w:tcBorders>
                    <w:tl2br w:val="nil"/>
                    <w:tr2bl w:val="nil"/>
                  </w:tcBorders>
                  <w:vAlign w:val="center"/>
                </w:tcPr>
                <w:p w14:paraId="61477973">
                  <w:pPr>
                    <w:bidi w:val="0"/>
                    <w:jc w:val="center"/>
                    <w:rPr>
                      <w:rFonts w:hint="default" w:ascii="Times New Roman" w:hAnsi="Times New Roman" w:cs="Times New Roman"/>
                      <w:color w:val="auto"/>
                      <w:sz w:val="21"/>
                      <w:szCs w:val="21"/>
                      <w:highlight w:val="none"/>
                    </w:rPr>
                  </w:pPr>
                </w:p>
              </w:tc>
            </w:tr>
            <w:tr w14:paraId="5AA823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restart"/>
                  <w:tcBorders>
                    <w:tl2br w:val="nil"/>
                    <w:tr2bl w:val="nil"/>
                  </w:tcBorders>
                  <w:vAlign w:val="center"/>
                </w:tcPr>
                <w:p w14:paraId="39363B6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HW13有机树脂类废物</w:t>
                  </w:r>
                </w:p>
              </w:tc>
              <w:tc>
                <w:tcPr>
                  <w:tcW w:w="703" w:type="dxa"/>
                  <w:vMerge w:val="restart"/>
                  <w:tcBorders>
                    <w:tl2br w:val="nil"/>
                    <w:tr2bl w:val="nil"/>
                  </w:tcBorders>
                  <w:vAlign w:val="center"/>
                </w:tcPr>
                <w:p w14:paraId="711BD4D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3164825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900-014-13</w:t>
                  </w:r>
                </w:p>
              </w:tc>
              <w:tc>
                <w:tcPr>
                  <w:tcW w:w="2802" w:type="dxa"/>
                  <w:tcBorders>
                    <w:tl2br w:val="nil"/>
                    <w:tr2bl w:val="nil"/>
                  </w:tcBorders>
                  <w:vAlign w:val="center"/>
                </w:tcPr>
                <w:p w14:paraId="398B570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废弃的粘合剂和密封剂</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不包括水基型和热熔型粘合剂和密封剂</w:t>
                  </w:r>
                  <w:r>
                    <w:rPr>
                      <w:rFonts w:hint="default" w:ascii="Times New Roman" w:hAnsi="Times New Roman" w:cs="Times New Roman"/>
                      <w:color w:val="auto"/>
                      <w:sz w:val="21"/>
                      <w:szCs w:val="21"/>
                      <w:highlight w:val="none"/>
                      <w:lang w:val="en-US" w:eastAsia="zh-CN"/>
                    </w:rPr>
                    <w:t>）</w:t>
                  </w:r>
                </w:p>
              </w:tc>
              <w:tc>
                <w:tcPr>
                  <w:tcW w:w="909" w:type="dxa"/>
                  <w:tcBorders>
                    <w:tl2br w:val="nil"/>
                    <w:tr2bl w:val="nil"/>
                  </w:tcBorders>
                  <w:vAlign w:val="center"/>
                </w:tcPr>
                <w:p w14:paraId="2295171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4742F5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vMerge w:val="restart"/>
                  <w:tcBorders>
                    <w:tl2br w:val="nil"/>
                    <w:tr2bl w:val="nil"/>
                  </w:tcBorders>
                  <w:vAlign w:val="center"/>
                </w:tcPr>
                <w:p w14:paraId="520867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HW1</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贮存间</w:t>
                  </w:r>
                </w:p>
              </w:tc>
            </w:tr>
            <w:tr w14:paraId="05090B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1113" w:type="dxa"/>
                  <w:vMerge w:val="continue"/>
                  <w:tcBorders>
                    <w:tl2br w:val="nil"/>
                    <w:tr2bl w:val="nil"/>
                  </w:tcBorders>
                  <w:vAlign w:val="center"/>
                </w:tcPr>
                <w:p w14:paraId="5CC3AF47">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53FA2A14">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694B841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900-015-13</w:t>
                  </w:r>
                </w:p>
              </w:tc>
              <w:tc>
                <w:tcPr>
                  <w:tcW w:w="2802" w:type="dxa"/>
                  <w:tcBorders>
                    <w:tl2br w:val="nil"/>
                    <w:tr2bl w:val="nil"/>
                  </w:tcBorders>
                  <w:vAlign w:val="center"/>
                </w:tcPr>
                <w:p w14:paraId="5FD27DC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湿法</w:t>
                  </w:r>
                  <w:r>
                    <w:rPr>
                      <w:rFonts w:hint="default" w:ascii="Times New Roman" w:hAnsi="Times New Roman" w:cs="Times New Roman"/>
                      <w:color w:val="auto"/>
                      <w:sz w:val="21"/>
                      <w:szCs w:val="21"/>
                      <w:highlight w:val="none"/>
                      <w:lang w:val="en-US" w:eastAsia="zh-CN"/>
                    </w:rPr>
                    <w:t>冶金</w:t>
                  </w:r>
                  <w:r>
                    <w:rPr>
                      <w:rFonts w:hint="default" w:ascii="Times New Roman" w:hAnsi="Times New Roman" w:eastAsia="宋体" w:cs="Times New Roman"/>
                      <w:color w:val="auto"/>
                      <w:sz w:val="21"/>
                      <w:szCs w:val="21"/>
                      <w:highlight w:val="none"/>
                      <w:lang w:val="en-US" w:eastAsia="zh-CN"/>
                    </w:rPr>
                    <w:t>、表面处理和制药行业重金属抗生素提取、分离过程产生的废弃离子交换树脂，以及工业废水处理过程产生的废弃离子交换树脂</w:t>
                  </w:r>
                </w:p>
              </w:tc>
              <w:tc>
                <w:tcPr>
                  <w:tcW w:w="909" w:type="dxa"/>
                  <w:tcBorders>
                    <w:tl2br w:val="nil"/>
                    <w:tr2bl w:val="nil"/>
                  </w:tcBorders>
                  <w:vAlign w:val="center"/>
                </w:tcPr>
                <w:p w14:paraId="22AEA4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4868A211">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38B81BA9">
                  <w:pPr>
                    <w:bidi w:val="0"/>
                    <w:jc w:val="center"/>
                    <w:rPr>
                      <w:rFonts w:hint="default" w:ascii="Times New Roman" w:hAnsi="Times New Roman" w:eastAsia="宋体" w:cs="Times New Roman"/>
                      <w:color w:val="auto"/>
                      <w:sz w:val="21"/>
                      <w:szCs w:val="21"/>
                      <w:highlight w:val="none"/>
                      <w:lang w:val="en-US" w:eastAsia="zh-CN"/>
                    </w:rPr>
                  </w:pPr>
                </w:p>
              </w:tc>
            </w:tr>
            <w:tr w14:paraId="77563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F101E1A">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2CB7E920">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204EB93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900-016-13</w:t>
                  </w:r>
                </w:p>
              </w:tc>
              <w:tc>
                <w:tcPr>
                  <w:tcW w:w="2802" w:type="dxa"/>
                  <w:tcBorders>
                    <w:tl2br w:val="nil"/>
                    <w:tr2bl w:val="nil"/>
                  </w:tcBorders>
                  <w:vAlign w:val="center"/>
                </w:tcPr>
                <w:p w14:paraId="302F797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使用酸、碱或有机溶剂清洗容器设备剥离下的树脂状、</w:t>
                  </w:r>
                  <w:r>
                    <w:rPr>
                      <w:rFonts w:hint="default" w:ascii="Times New Roman" w:hAnsi="Times New Roman" w:cs="Times New Roman"/>
                      <w:color w:val="auto"/>
                      <w:sz w:val="21"/>
                      <w:szCs w:val="21"/>
                      <w:highlight w:val="none"/>
                      <w:lang w:val="en-US" w:eastAsia="zh-CN"/>
                    </w:rPr>
                    <w:t>黏稠</w:t>
                  </w:r>
                  <w:r>
                    <w:rPr>
                      <w:rFonts w:hint="default" w:ascii="Times New Roman" w:hAnsi="Times New Roman" w:eastAsia="宋体" w:cs="Times New Roman"/>
                      <w:color w:val="auto"/>
                      <w:sz w:val="21"/>
                      <w:szCs w:val="21"/>
                      <w:highlight w:val="none"/>
                      <w:lang w:val="en-US" w:eastAsia="zh-CN"/>
                    </w:rPr>
                    <w:t>杂物</w:t>
                  </w:r>
                </w:p>
              </w:tc>
              <w:tc>
                <w:tcPr>
                  <w:tcW w:w="909" w:type="dxa"/>
                  <w:tcBorders>
                    <w:tl2br w:val="nil"/>
                    <w:tr2bl w:val="nil"/>
                  </w:tcBorders>
                  <w:vAlign w:val="center"/>
                </w:tcPr>
                <w:p w14:paraId="4653AC7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46E7CCF4">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305701DF">
                  <w:pPr>
                    <w:bidi w:val="0"/>
                    <w:jc w:val="center"/>
                    <w:rPr>
                      <w:rFonts w:hint="default" w:ascii="Times New Roman" w:hAnsi="Times New Roman" w:eastAsia="宋体" w:cs="Times New Roman"/>
                      <w:color w:val="auto"/>
                      <w:sz w:val="21"/>
                      <w:szCs w:val="21"/>
                      <w:highlight w:val="none"/>
                      <w:lang w:val="en-US" w:eastAsia="zh-CN"/>
                    </w:rPr>
                  </w:pPr>
                </w:p>
              </w:tc>
            </w:tr>
            <w:tr w14:paraId="16691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BC57E0A">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4BCA49FA">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116CAA5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900-451-13</w:t>
                  </w:r>
                </w:p>
              </w:tc>
              <w:tc>
                <w:tcPr>
                  <w:tcW w:w="2802" w:type="dxa"/>
                  <w:tcBorders>
                    <w:tl2br w:val="nil"/>
                    <w:tr2bl w:val="nil"/>
                  </w:tcBorders>
                  <w:vAlign w:val="center"/>
                </w:tcPr>
                <w:p w14:paraId="7A29021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废覆铜板、印刷线路板、电路板破碎分选回收金属后产生的废树脂粉</w:t>
                  </w:r>
                </w:p>
              </w:tc>
              <w:tc>
                <w:tcPr>
                  <w:tcW w:w="909" w:type="dxa"/>
                  <w:tcBorders>
                    <w:tl2br w:val="nil"/>
                    <w:tr2bl w:val="nil"/>
                  </w:tcBorders>
                  <w:vAlign w:val="center"/>
                </w:tcPr>
                <w:p w14:paraId="1E80262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3A56B7F8">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595CA98E">
                  <w:pPr>
                    <w:bidi w:val="0"/>
                    <w:jc w:val="center"/>
                    <w:rPr>
                      <w:rFonts w:hint="default" w:ascii="Times New Roman" w:hAnsi="Times New Roman" w:eastAsia="宋体" w:cs="Times New Roman"/>
                      <w:color w:val="auto"/>
                      <w:sz w:val="21"/>
                      <w:szCs w:val="21"/>
                      <w:highlight w:val="none"/>
                      <w:lang w:val="en-US" w:eastAsia="zh-CN"/>
                    </w:rPr>
                  </w:pPr>
                </w:p>
              </w:tc>
            </w:tr>
            <w:tr w14:paraId="63050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tcBorders>
                    <w:tl2br w:val="nil"/>
                    <w:tr2bl w:val="nil"/>
                  </w:tcBorders>
                  <w:vAlign w:val="center"/>
                </w:tcPr>
                <w:p w14:paraId="7A38698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14新化学物质废物</w:t>
                  </w:r>
                </w:p>
              </w:tc>
              <w:tc>
                <w:tcPr>
                  <w:tcW w:w="703" w:type="dxa"/>
                  <w:tcBorders>
                    <w:tl2br w:val="nil"/>
                    <w:tr2bl w:val="nil"/>
                  </w:tcBorders>
                  <w:vAlign w:val="center"/>
                </w:tcPr>
                <w:p w14:paraId="2BEA27F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D6E45C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0532E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EC6370B">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T/C/I/R</w:t>
                  </w:r>
                </w:p>
              </w:tc>
              <w:tc>
                <w:tcPr>
                  <w:tcW w:w="726" w:type="dxa"/>
                  <w:tcBorders>
                    <w:tl2br w:val="nil"/>
                    <w:tr2bl w:val="nil"/>
                  </w:tcBorders>
                  <w:vAlign w:val="center"/>
                </w:tcPr>
                <w:p w14:paraId="2EE358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69B1C54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贮存间</w:t>
                  </w:r>
                </w:p>
              </w:tc>
            </w:tr>
            <w:tr w14:paraId="1D3464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tcBorders>
                    <w:tl2br w:val="nil"/>
                    <w:tr2bl w:val="nil"/>
                  </w:tcBorders>
                  <w:vAlign w:val="center"/>
                </w:tcPr>
                <w:p w14:paraId="15F8B0C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15爆炸性废物</w:t>
                  </w:r>
                </w:p>
              </w:tc>
              <w:tc>
                <w:tcPr>
                  <w:tcW w:w="703" w:type="dxa"/>
                  <w:tcBorders>
                    <w:tl2br w:val="nil"/>
                    <w:tr2bl w:val="nil"/>
                  </w:tcBorders>
                  <w:vAlign w:val="center"/>
                </w:tcPr>
                <w:p w14:paraId="0696EA6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57F095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CC4561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F284106">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R，T</w:t>
                  </w:r>
                </w:p>
                <w:p w14:paraId="11C238D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726" w:type="dxa"/>
                  <w:tcBorders>
                    <w:tl2br w:val="nil"/>
                    <w:tr2bl w:val="nil"/>
                  </w:tcBorders>
                  <w:vAlign w:val="center"/>
                </w:tcPr>
                <w:p w14:paraId="47CA75B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156B550A">
                  <w:pPr>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15</w:t>
                  </w:r>
                  <w:r>
                    <w:rPr>
                      <w:rFonts w:hint="default" w:ascii="Times New Roman" w:hAnsi="Times New Roman" w:eastAsia="宋体" w:cs="Times New Roman"/>
                      <w:color w:val="auto"/>
                      <w:sz w:val="21"/>
                      <w:szCs w:val="21"/>
                      <w:highlight w:val="none"/>
                      <w:lang w:eastAsia="zh-CN"/>
                    </w:rPr>
                    <w:t>贮存间</w:t>
                  </w:r>
                </w:p>
              </w:tc>
            </w:tr>
            <w:tr w14:paraId="0CEEBE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6FFF2A9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HW16感光材料废物</w:t>
                  </w:r>
                </w:p>
              </w:tc>
              <w:tc>
                <w:tcPr>
                  <w:tcW w:w="703" w:type="dxa"/>
                  <w:tcBorders>
                    <w:tl2br w:val="nil"/>
                    <w:tr2bl w:val="nil"/>
                  </w:tcBorders>
                  <w:vAlign w:val="center"/>
                </w:tcPr>
                <w:p w14:paraId="10E4C3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622F0D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85F736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6FFF45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2DD872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1EEEFF1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HW1</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贮存间</w:t>
                  </w:r>
                </w:p>
              </w:tc>
            </w:tr>
            <w:tr w14:paraId="1A49E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698AB24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HW17表面处理废物</w:t>
                  </w:r>
                </w:p>
              </w:tc>
              <w:tc>
                <w:tcPr>
                  <w:tcW w:w="703" w:type="dxa"/>
                  <w:tcBorders>
                    <w:tl2br w:val="nil"/>
                    <w:tr2bl w:val="nil"/>
                  </w:tcBorders>
                  <w:vAlign w:val="center"/>
                </w:tcPr>
                <w:p w14:paraId="73A3000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145C437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16CE83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0F708E8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1A800FA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tcBorders>
                    <w:tl2br w:val="nil"/>
                    <w:tr2bl w:val="nil"/>
                  </w:tcBorders>
                  <w:vAlign w:val="center"/>
                </w:tcPr>
                <w:p w14:paraId="7F9409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eastAsia="zh-CN"/>
                    </w:rPr>
                    <w:t>贮存间</w:t>
                  </w:r>
                </w:p>
              </w:tc>
            </w:tr>
            <w:tr w14:paraId="1AED4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608282D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kern w:val="0"/>
                      <w:sz w:val="21"/>
                      <w:szCs w:val="21"/>
                      <w:highlight w:val="none"/>
                      <w:lang w:bidi="ar"/>
                    </w:rPr>
                    <w:t>HW18</w:t>
                  </w:r>
                  <w:r>
                    <w:rPr>
                      <w:rFonts w:hint="default" w:ascii="Times New Roman" w:hAnsi="Times New Roman" w:eastAsia="宋体" w:cs="Times New Roman"/>
                      <w:color w:val="auto"/>
                      <w:kern w:val="0"/>
                      <w:sz w:val="21"/>
                      <w:szCs w:val="21"/>
                      <w:highlight w:val="none"/>
                    </w:rPr>
                    <w:t>焚烧处置残渣</w:t>
                  </w:r>
                </w:p>
              </w:tc>
              <w:tc>
                <w:tcPr>
                  <w:tcW w:w="703" w:type="dxa"/>
                  <w:tcBorders>
                    <w:tl2br w:val="nil"/>
                    <w:tr2bl w:val="nil"/>
                  </w:tcBorders>
                  <w:vAlign w:val="center"/>
                </w:tcPr>
                <w:p w14:paraId="6EABF93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63523F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68D0EB6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37D58D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6E81EB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3E841221">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贮存间</w:t>
                  </w:r>
                </w:p>
              </w:tc>
            </w:tr>
            <w:tr w14:paraId="0300F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412E967E">
                  <w:pPr>
                    <w:bidi w:val="0"/>
                    <w:jc w:val="center"/>
                    <w:rPr>
                      <w:rFonts w:hint="default" w:ascii="Times New Roman" w:hAnsi="Times New Roman" w:eastAsia="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19金属羰基化合物废物</w:t>
                  </w:r>
                </w:p>
              </w:tc>
              <w:tc>
                <w:tcPr>
                  <w:tcW w:w="703" w:type="dxa"/>
                  <w:tcBorders>
                    <w:tl2br w:val="nil"/>
                    <w:tr2bl w:val="nil"/>
                  </w:tcBorders>
                  <w:vAlign w:val="center"/>
                </w:tcPr>
                <w:p w14:paraId="3E2B23F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DBF78A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503D60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D4EC6B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F5F4C1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34D840EF">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eastAsia="zh-CN"/>
                    </w:rPr>
                    <w:t>贮存间</w:t>
                  </w:r>
                </w:p>
              </w:tc>
            </w:tr>
            <w:tr w14:paraId="05D210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2095D2BE">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20含铍废物</w:t>
                  </w:r>
                </w:p>
              </w:tc>
              <w:tc>
                <w:tcPr>
                  <w:tcW w:w="703" w:type="dxa"/>
                  <w:tcBorders>
                    <w:tl2br w:val="nil"/>
                    <w:tr2bl w:val="nil"/>
                  </w:tcBorders>
                  <w:vAlign w:val="center"/>
                </w:tcPr>
                <w:p w14:paraId="1E81993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8F5A8A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539EBD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40CC2E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2AFE2A1">
                  <w:pPr>
                    <w:keepNext w:val="0"/>
                    <w:keepLines w:val="0"/>
                    <w:widowControl/>
                    <w:suppressLineNumbers w:val="0"/>
                    <w:jc w:val="center"/>
                    <w:textAlignment w:val="top"/>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18213A56">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eastAsia="zh-CN"/>
                    </w:rPr>
                    <w:t>贮存间</w:t>
                  </w:r>
                </w:p>
              </w:tc>
            </w:tr>
            <w:tr w14:paraId="0CEBFA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1CFE95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HW21含铬废物；</w:t>
                  </w:r>
                </w:p>
              </w:tc>
              <w:tc>
                <w:tcPr>
                  <w:tcW w:w="703" w:type="dxa"/>
                  <w:tcBorders>
                    <w:tl2br w:val="nil"/>
                    <w:tr2bl w:val="nil"/>
                  </w:tcBorders>
                  <w:vAlign w:val="center"/>
                </w:tcPr>
                <w:p w14:paraId="5CA300F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56763BC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67F5589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608B68F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D533DEA">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5DF5EC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eastAsia="zh-CN"/>
                    </w:rPr>
                    <w:t>贮存间</w:t>
                  </w:r>
                </w:p>
              </w:tc>
            </w:tr>
            <w:tr w14:paraId="56D3C6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5166DD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HW22含铜废物</w:t>
                  </w:r>
                </w:p>
              </w:tc>
              <w:tc>
                <w:tcPr>
                  <w:tcW w:w="703" w:type="dxa"/>
                  <w:tcBorders>
                    <w:tl2br w:val="nil"/>
                    <w:tr2bl w:val="nil"/>
                  </w:tcBorders>
                  <w:vAlign w:val="center"/>
                </w:tcPr>
                <w:p w14:paraId="1081E2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66913EB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2CEFE0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C4C680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2D79BCC">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4C9348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lang w:eastAsia="zh-CN"/>
                    </w:rPr>
                    <w:t>贮存间</w:t>
                  </w:r>
                </w:p>
              </w:tc>
            </w:tr>
            <w:tr w14:paraId="67602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9BCE4F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HW23含锌废物</w:t>
                  </w:r>
                </w:p>
              </w:tc>
              <w:tc>
                <w:tcPr>
                  <w:tcW w:w="703" w:type="dxa"/>
                  <w:tcBorders>
                    <w:tl2br w:val="nil"/>
                    <w:tr2bl w:val="nil"/>
                  </w:tcBorders>
                  <w:vAlign w:val="center"/>
                </w:tcPr>
                <w:p w14:paraId="5A3A190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2E2D8CA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32ED28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2C07F5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AE42FA3">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66737E8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贮存间</w:t>
                  </w:r>
                </w:p>
              </w:tc>
            </w:tr>
            <w:tr w14:paraId="4AA90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7B4F4C3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HW24含砷废物</w:t>
                  </w:r>
                </w:p>
              </w:tc>
              <w:tc>
                <w:tcPr>
                  <w:tcW w:w="703" w:type="dxa"/>
                  <w:tcBorders>
                    <w:tl2br w:val="nil"/>
                    <w:tr2bl w:val="nil"/>
                  </w:tcBorders>
                  <w:vAlign w:val="center"/>
                </w:tcPr>
                <w:p w14:paraId="0427A63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77C5F3F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FAC2DC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3540F0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419A0482">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52118A3A">
                  <w:pPr>
                    <w:jc w:val="center"/>
                    <w:rPr>
                      <w:rFonts w:hint="default" w:ascii="Times New Roman" w:hAnsi="Times New Roman" w:eastAsia="宋体" w:cs="Times New Roman"/>
                      <w:color w:val="auto"/>
                      <w:sz w:val="21"/>
                      <w:szCs w:val="21"/>
                      <w:highlight w:val="none"/>
                      <w:lang w:eastAsia="zh-CN"/>
                    </w:rPr>
                  </w:pPr>
                </w:p>
              </w:tc>
            </w:tr>
            <w:tr w14:paraId="39AD66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12DA8F7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HW25含硒废物</w:t>
                  </w:r>
                </w:p>
              </w:tc>
              <w:tc>
                <w:tcPr>
                  <w:tcW w:w="703" w:type="dxa"/>
                  <w:tcBorders>
                    <w:tl2br w:val="nil"/>
                    <w:tr2bl w:val="nil"/>
                  </w:tcBorders>
                  <w:vAlign w:val="center"/>
                </w:tcPr>
                <w:p w14:paraId="073B2E7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14EBDFE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AEC54C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CCD5D8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5E1A0D3">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4E9926C7">
                  <w:pPr>
                    <w:jc w:val="center"/>
                    <w:rPr>
                      <w:rFonts w:hint="default" w:ascii="Times New Roman" w:hAnsi="Times New Roman" w:eastAsia="宋体" w:cs="Times New Roman"/>
                      <w:color w:val="auto"/>
                      <w:sz w:val="21"/>
                      <w:szCs w:val="21"/>
                      <w:highlight w:val="none"/>
                      <w:lang w:val="en-US" w:eastAsia="zh-CN"/>
                    </w:rPr>
                  </w:pPr>
                </w:p>
              </w:tc>
            </w:tr>
            <w:tr w14:paraId="6638A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319009F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HW26含镉废物</w:t>
                  </w:r>
                </w:p>
              </w:tc>
              <w:tc>
                <w:tcPr>
                  <w:tcW w:w="703" w:type="dxa"/>
                  <w:tcBorders>
                    <w:tl2br w:val="nil"/>
                    <w:tr2bl w:val="nil"/>
                  </w:tcBorders>
                  <w:vAlign w:val="center"/>
                </w:tcPr>
                <w:p w14:paraId="0F3B7BD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6E8B87B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AD4914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AAD75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64B1ACD">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0FB391C2">
                  <w:pPr>
                    <w:jc w:val="center"/>
                    <w:rPr>
                      <w:rFonts w:hint="default" w:ascii="Times New Roman" w:hAnsi="Times New Roman" w:eastAsia="宋体" w:cs="Times New Roman"/>
                      <w:color w:val="auto"/>
                      <w:sz w:val="21"/>
                      <w:szCs w:val="21"/>
                      <w:highlight w:val="none"/>
                      <w:lang w:val="en-US" w:eastAsia="zh-CN"/>
                    </w:rPr>
                  </w:pPr>
                </w:p>
              </w:tc>
            </w:tr>
            <w:tr w14:paraId="6B257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2A4DAFD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HW27含锑废物</w:t>
                  </w:r>
                </w:p>
              </w:tc>
              <w:tc>
                <w:tcPr>
                  <w:tcW w:w="703" w:type="dxa"/>
                  <w:tcBorders>
                    <w:tl2br w:val="nil"/>
                    <w:tr2bl w:val="nil"/>
                  </w:tcBorders>
                  <w:vAlign w:val="center"/>
                </w:tcPr>
                <w:p w14:paraId="7FCE6DF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7D8174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64B51E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0F1D79A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21909BBC">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D5D242B">
                  <w:pPr>
                    <w:jc w:val="center"/>
                    <w:rPr>
                      <w:rFonts w:hint="default" w:ascii="Times New Roman" w:hAnsi="Times New Roman" w:eastAsia="宋体" w:cs="Times New Roman"/>
                      <w:color w:val="auto"/>
                      <w:sz w:val="21"/>
                      <w:szCs w:val="21"/>
                      <w:highlight w:val="none"/>
                      <w:lang w:val="en-US" w:eastAsia="zh-CN"/>
                    </w:rPr>
                  </w:pPr>
                </w:p>
              </w:tc>
            </w:tr>
            <w:tr w14:paraId="43CCF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1113" w:type="dxa"/>
                  <w:tcBorders>
                    <w:tl2br w:val="nil"/>
                    <w:tr2bl w:val="nil"/>
                  </w:tcBorders>
                  <w:vAlign w:val="center"/>
                </w:tcPr>
                <w:p w14:paraId="384B50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HW28含碲废物</w:t>
                  </w:r>
                </w:p>
              </w:tc>
              <w:tc>
                <w:tcPr>
                  <w:tcW w:w="703" w:type="dxa"/>
                  <w:tcBorders>
                    <w:tl2br w:val="nil"/>
                    <w:tr2bl w:val="nil"/>
                  </w:tcBorders>
                  <w:vAlign w:val="center"/>
                </w:tcPr>
                <w:p w14:paraId="2DD55C7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394BDE3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0D9E005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3E7716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255E27A">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397B992C">
                  <w:pPr>
                    <w:jc w:val="center"/>
                    <w:rPr>
                      <w:rFonts w:hint="default" w:ascii="Times New Roman" w:hAnsi="Times New Roman" w:eastAsia="宋体" w:cs="Times New Roman"/>
                      <w:color w:val="auto"/>
                      <w:sz w:val="21"/>
                      <w:szCs w:val="21"/>
                      <w:highlight w:val="none"/>
                      <w:lang w:val="en-US" w:eastAsia="zh-CN"/>
                    </w:rPr>
                  </w:pPr>
                </w:p>
              </w:tc>
            </w:tr>
            <w:tr w14:paraId="361AB6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vMerge w:val="restart"/>
                  <w:tcBorders>
                    <w:tl2br w:val="nil"/>
                    <w:tr2bl w:val="nil"/>
                  </w:tcBorders>
                  <w:vAlign w:val="center"/>
                </w:tcPr>
                <w:p w14:paraId="124CEAEA">
                  <w:pPr>
                    <w:bidi w:val="0"/>
                    <w:jc w:val="center"/>
                    <w:rPr>
                      <w:rFonts w:hint="default" w:ascii="Times New Roman" w:hAnsi="Times New Roman" w:eastAsia="宋体" w:cs="Times New Roman"/>
                      <w:color w:val="auto"/>
                      <w:sz w:val="21"/>
                      <w:szCs w:val="21"/>
                      <w:highlight w:val="none"/>
                      <w:lang w:val="en-US" w:eastAsia="zh-CN"/>
                    </w:rPr>
                  </w:pPr>
                </w:p>
                <w:p w14:paraId="2B2C64B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HW29含汞废物</w:t>
                  </w:r>
                </w:p>
              </w:tc>
              <w:tc>
                <w:tcPr>
                  <w:tcW w:w="703" w:type="dxa"/>
                  <w:vMerge w:val="restart"/>
                  <w:tcBorders>
                    <w:tl2br w:val="nil"/>
                    <w:tr2bl w:val="nil"/>
                  </w:tcBorders>
                  <w:vAlign w:val="center"/>
                </w:tcPr>
                <w:p w14:paraId="3823211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27DAF15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900-022-29</w:t>
                  </w:r>
                </w:p>
              </w:tc>
              <w:tc>
                <w:tcPr>
                  <w:tcW w:w="2802" w:type="dxa"/>
                  <w:tcBorders>
                    <w:tl2br w:val="nil"/>
                    <w:tr2bl w:val="nil"/>
                  </w:tcBorders>
                  <w:vAlign w:val="center"/>
                </w:tcPr>
                <w:p w14:paraId="7A6C064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废弃的含汞催化剂</w:t>
                  </w:r>
                </w:p>
              </w:tc>
              <w:tc>
                <w:tcPr>
                  <w:tcW w:w="909" w:type="dxa"/>
                  <w:tcBorders>
                    <w:tl2br w:val="nil"/>
                    <w:tr2bl w:val="nil"/>
                  </w:tcBorders>
                  <w:vAlign w:val="center"/>
                </w:tcPr>
                <w:p w14:paraId="15A4AA7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53BC418B">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vMerge w:val="restart"/>
                  <w:tcBorders>
                    <w:tl2br w:val="nil"/>
                    <w:tr2bl w:val="nil"/>
                  </w:tcBorders>
                  <w:vAlign w:val="center"/>
                </w:tcPr>
                <w:p w14:paraId="446211C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lang w:eastAsia="zh-CN"/>
                    </w:rPr>
                    <w:t>贮存间</w:t>
                  </w:r>
                </w:p>
              </w:tc>
            </w:tr>
            <w:tr w14:paraId="48FF6C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1113" w:type="dxa"/>
                  <w:vMerge w:val="continue"/>
                  <w:tcBorders>
                    <w:tl2br w:val="nil"/>
                    <w:tr2bl w:val="nil"/>
                  </w:tcBorders>
                  <w:vAlign w:val="center"/>
                </w:tcPr>
                <w:p w14:paraId="357CDC60">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7FBA8CA2">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55A8299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900-023-29</w:t>
                  </w:r>
                </w:p>
              </w:tc>
              <w:tc>
                <w:tcPr>
                  <w:tcW w:w="2802" w:type="dxa"/>
                  <w:tcBorders>
                    <w:tl2br w:val="nil"/>
                    <w:tr2bl w:val="nil"/>
                  </w:tcBorders>
                  <w:vAlign w:val="center"/>
                </w:tcPr>
                <w:p w14:paraId="2D92182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生产、销售及使用过程中产生的废含汞荧光灯管及其他废含汞电光源，及废弃含汞电光源处理处置过程中产生的废荧光粉、废活性炭和废水处理污泥</w:t>
                  </w:r>
                </w:p>
              </w:tc>
              <w:tc>
                <w:tcPr>
                  <w:tcW w:w="909" w:type="dxa"/>
                  <w:tcBorders>
                    <w:tl2br w:val="nil"/>
                    <w:tr2bl w:val="nil"/>
                  </w:tcBorders>
                  <w:vAlign w:val="center"/>
                </w:tcPr>
                <w:p w14:paraId="4AC201B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19FFB454">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30D9669B">
                  <w:pPr>
                    <w:bidi w:val="0"/>
                    <w:jc w:val="center"/>
                    <w:rPr>
                      <w:rFonts w:hint="default" w:ascii="Times New Roman" w:hAnsi="Times New Roman" w:eastAsia="宋体" w:cs="Times New Roman"/>
                      <w:color w:val="auto"/>
                      <w:sz w:val="21"/>
                      <w:szCs w:val="21"/>
                      <w:highlight w:val="none"/>
                      <w:lang w:val="en-US" w:eastAsia="zh-CN"/>
                    </w:rPr>
                  </w:pPr>
                </w:p>
              </w:tc>
            </w:tr>
            <w:tr w14:paraId="49542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3" w:hRule="atLeast"/>
                <w:jc w:val="center"/>
              </w:trPr>
              <w:tc>
                <w:tcPr>
                  <w:tcW w:w="1113" w:type="dxa"/>
                  <w:vMerge w:val="continue"/>
                  <w:tcBorders>
                    <w:tl2br w:val="nil"/>
                    <w:tr2bl w:val="nil"/>
                  </w:tcBorders>
                  <w:vAlign w:val="center"/>
                </w:tcPr>
                <w:p w14:paraId="65B100BA">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6B33E37C">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5E5FEB2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900-024-29</w:t>
                  </w:r>
                </w:p>
              </w:tc>
              <w:tc>
                <w:tcPr>
                  <w:tcW w:w="2802" w:type="dxa"/>
                  <w:tcBorders>
                    <w:tl2br w:val="nil"/>
                    <w:tr2bl w:val="nil"/>
                  </w:tcBorders>
                  <w:vAlign w:val="center"/>
                </w:tcPr>
                <w:p w14:paraId="42E93E8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生产、销售及使用过程中产生的废含汞温度计废含汞血压计、废含汞真空表、废含汞压力计废氧化汞电池和废汞开关</w:t>
                  </w:r>
                </w:p>
              </w:tc>
              <w:tc>
                <w:tcPr>
                  <w:tcW w:w="909" w:type="dxa"/>
                  <w:tcBorders>
                    <w:tl2br w:val="nil"/>
                    <w:tr2bl w:val="nil"/>
                  </w:tcBorders>
                  <w:vAlign w:val="center"/>
                </w:tcPr>
                <w:p w14:paraId="73E5728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585BB0BA">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4ABB29AC">
                  <w:pPr>
                    <w:bidi w:val="0"/>
                    <w:jc w:val="center"/>
                    <w:rPr>
                      <w:rFonts w:hint="default" w:ascii="Times New Roman" w:hAnsi="Times New Roman" w:eastAsia="宋体" w:cs="Times New Roman"/>
                      <w:color w:val="auto"/>
                      <w:sz w:val="21"/>
                      <w:szCs w:val="21"/>
                      <w:highlight w:val="none"/>
                      <w:lang w:val="en-US" w:eastAsia="zh-CN"/>
                    </w:rPr>
                  </w:pPr>
                </w:p>
              </w:tc>
            </w:tr>
            <w:tr w14:paraId="57161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vMerge w:val="continue"/>
                  <w:tcBorders>
                    <w:tl2br w:val="nil"/>
                    <w:tr2bl w:val="nil"/>
                  </w:tcBorders>
                  <w:vAlign w:val="center"/>
                </w:tcPr>
                <w:p w14:paraId="1623E56E">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67FDD1AD">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195C2E7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900-452-29</w:t>
                  </w:r>
                </w:p>
              </w:tc>
              <w:tc>
                <w:tcPr>
                  <w:tcW w:w="2802" w:type="dxa"/>
                  <w:tcBorders>
                    <w:tl2br w:val="nil"/>
                    <w:tr2bl w:val="nil"/>
                  </w:tcBorders>
                  <w:vAlign w:val="center"/>
                </w:tcPr>
                <w:p w14:paraId="06581E4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含汞废水处理过程中产生的废树脂、废活性炭和污泥</w:t>
                  </w:r>
                </w:p>
              </w:tc>
              <w:tc>
                <w:tcPr>
                  <w:tcW w:w="909" w:type="dxa"/>
                  <w:tcBorders>
                    <w:tl2br w:val="nil"/>
                    <w:tr2bl w:val="nil"/>
                  </w:tcBorders>
                  <w:vAlign w:val="center"/>
                </w:tcPr>
                <w:p w14:paraId="76B98E1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475F203B">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1AC919DD">
                  <w:pPr>
                    <w:bidi w:val="0"/>
                    <w:jc w:val="center"/>
                    <w:rPr>
                      <w:rFonts w:hint="default" w:ascii="Times New Roman" w:hAnsi="Times New Roman" w:eastAsia="宋体" w:cs="Times New Roman"/>
                      <w:color w:val="auto"/>
                      <w:sz w:val="21"/>
                      <w:szCs w:val="21"/>
                      <w:highlight w:val="none"/>
                      <w:lang w:val="en-US" w:eastAsia="zh-CN"/>
                    </w:rPr>
                  </w:pPr>
                </w:p>
              </w:tc>
            </w:tr>
            <w:tr w14:paraId="47ADA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113" w:type="dxa"/>
                  <w:tcBorders>
                    <w:tl2br w:val="nil"/>
                    <w:tr2bl w:val="nil"/>
                  </w:tcBorders>
                  <w:vAlign w:val="center"/>
                </w:tcPr>
                <w:p w14:paraId="5CF0DC0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30含铊废物</w:t>
                  </w:r>
                </w:p>
              </w:tc>
              <w:tc>
                <w:tcPr>
                  <w:tcW w:w="703" w:type="dxa"/>
                  <w:tcBorders>
                    <w:tl2br w:val="nil"/>
                    <w:tr2bl w:val="nil"/>
                  </w:tcBorders>
                  <w:vAlign w:val="center"/>
                </w:tcPr>
                <w:p w14:paraId="22C51A9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95" w:type="dxa"/>
                  <w:tcBorders>
                    <w:tl2br w:val="nil"/>
                    <w:tr2bl w:val="nil"/>
                  </w:tcBorders>
                  <w:vAlign w:val="center"/>
                </w:tcPr>
                <w:p w14:paraId="0DAE3C3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443AF78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B01081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53EA6B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0350FBE7">
                  <w:pPr>
                    <w:bidi w:val="0"/>
                    <w:jc w:val="center"/>
                    <w:rPr>
                      <w:rFonts w:hint="default" w:ascii="Times New Roman" w:hAnsi="Times New Roman" w:eastAsia="宋体" w:cs="Times New Roman"/>
                      <w:color w:val="auto"/>
                      <w:sz w:val="21"/>
                      <w:szCs w:val="21"/>
                      <w:highlight w:val="none"/>
                      <w:lang w:val="en-US" w:eastAsia="zh-CN"/>
                    </w:rPr>
                  </w:pPr>
                </w:p>
              </w:tc>
            </w:tr>
            <w:tr w14:paraId="15438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113" w:type="dxa"/>
                  <w:tcBorders>
                    <w:tl2br w:val="nil"/>
                    <w:tr2bl w:val="nil"/>
                  </w:tcBorders>
                  <w:vAlign w:val="center"/>
                </w:tcPr>
                <w:p w14:paraId="0813BED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HW31含铅废物</w:t>
                  </w:r>
                </w:p>
              </w:tc>
              <w:tc>
                <w:tcPr>
                  <w:tcW w:w="703" w:type="dxa"/>
                  <w:tcBorders>
                    <w:tl2br w:val="nil"/>
                    <w:tr2bl w:val="nil"/>
                  </w:tcBorders>
                  <w:vAlign w:val="center"/>
                </w:tcPr>
                <w:p w14:paraId="6900519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3467409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BC8B9A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0B1845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488CB62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669" w:type="dxa"/>
                  <w:tcBorders>
                    <w:tl2br w:val="nil"/>
                    <w:tr2bl w:val="nil"/>
                  </w:tcBorders>
                  <w:vAlign w:val="center"/>
                </w:tcPr>
                <w:p w14:paraId="2CC272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eastAsia="zh-CN"/>
                    </w:rPr>
                    <w:t>贮存间</w:t>
                  </w:r>
                </w:p>
              </w:tc>
            </w:tr>
            <w:tr w14:paraId="4BB3F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113" w:type="dxa"/>
                  <w:tcBorders>
                    <w:tl2br w:val="nil"/>
                    <w:tr2bl w:val="nil"/>
                  </w:tcBorders>
                  <w:vAlign w:val="center"/>
                </w:tcPr>
                <w:p w14:paraId="7390C20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HW32无机氟化物废物</w:t>
                  </w:r>
                </w:p>
              </w:tc>
              <w:tc>
                <w:tcPr>
                  <w:tcW w:w="703" w:type="dxa"/>
                  <w:tcBorders>
                    <w:tl2br w:val="nil"/>
                    <w:tr2bl w:val="nil"/>
                  </w:tcBorders>
                  <w:vAlign w:val="center"/>
                </w:tcPr>
                <w:p w14:paraId="243AE84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3975CCC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900-026-32</w:t>
                  </w:r>
                </w:p>
              </w:tc>
              <w:tc>
                <w:tcPr>
                  <w:tcW w:w="2802" w:type="dxa"/>
                  <w:tcBorders>
                    <w:tl2br w:val="nil"/>
                    <w:tr2bl w:val="nil"/>
                  </w:tcBorders>
                  <w:vAlign w:val="center"/>
                </w:tcPr>
                <w:p w14:paraId="11A977A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使用氢氟酸进行蚀刻产生的废蚀刻</w:t>
                  </w:r>
                </w:p>
              </w:tc>
              <w:tc>
                <w:tcPr>
                  <w:tcW w:w="909" w:type="dxa"/>
                  <w:tcBorders>
                    <w:tl2br w:val="nil"/>
                    <w:tr2bl w:val="nil"/>
                  </w:tcBorders>
                  <w:vAlign w:val="center"/>
                </w:tcPr>
                <w:p w14:paraId="1BAA1BF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033963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1D19788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lang w:eastAsia="zh-CN"/>
                    </w:rPr>
                    <w:t>贮存间</w:t>
                  </w:r>
                </w:p>
              </w:tc>
            </w:tr>
            <w:tr w14:paraId="2020BC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113" w:type="dxa"/>
                  <w:tcBorders>
                    <w:tl2br w:val="nil"/>
                    <w:tr2bl w:val="nil"/>
                  </w:tcBorders>
                  <w:vAlign w:val="center"/>
                </w:tcPr>
                <w:p w14:paraId="71AF882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2"/>
                      <w:sz w:val="21"/>
                      <w:szCs w:val="21"/>
                      <w:highlight w:val="none"/>
                    </w:rPr>
                    <w:t>33无机氰化物废物</w:t>
                  </w:r>
                </w:p>
              </w:tc>
              <w:tc>
                <w:tcPr>
                  <w:tcW w:w="703" w:type="dxa"/>
                  <w:tcBorders>
                    <w:tl2br w:val="nil"/>
                    <w:tr2bl w:val="nil"/>
                  </w:tcBorders>
                  <w:vAlign w:val="center"/>
                </w:tcPr>
                <w:p w14:paraId="4A1FE63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75B2AAB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4A6059C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5BAB227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w:t>
                  </w:r>
                </w:p>
              </w:tc>
              <w:tc>
                <w:tcPr>
                  <w:tcW w:w="726" w:type="dxa"/>
                  <w:tcBorders>
                    <w:tl2br w:val="nil"/>
                    <w:tr2bl w:val="nil"/>
                  </w:tcBorders>
                  <w:vAlign w:val="center"/>
                </w:tcPr>
                <w:p w14:paraId="761581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002333B2">
                  <w:pPr>
                    <w:jc w:val="center"/>
                    <w:rPr>
                      <w:rFonts w:hint="default" w:ascii="Times New Roman" w:hAnsi="Times New Roman" w:eastAsia="宋体" w:cs="Times New Roman"/>
                      <w:color w:val="auto"/>
                      <w:sz w:val="21"/>
                      <w:szCs w:val="21"/>
                      <w:highlight w:val="none"/>
                      <w:lang w:eastAsia="zh-CN"/>
                    </w:rPr>
                  </w:pPr>
                </w:p>
              </w:tc>
            </w:tr>
            <w:tr w14:paraId="5EA5AB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vMerge w:val="restart"/>
                  <w:tcBorders>
                    <w:tl2br w:val="nil"/>
                    <w:tr2bl w:val="nil"/>
                  </w:tcBorders>
                  <w:vAlign w:val="center"/>
                </w:tcPr>
                <w:p w14:paraId="00E2A7A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HW36石棉废物</w:t>
                  </w:r>
                </w:p>
              </w:tc>
              <w:tc>
                <w:tcPr>
                  <w:tcW w:w="703" w:type="dxa"/>
                  <w:vMerge w:val="restart"/>
                  <w:tcBorders>
                    <w:tl2br w:val="nil"/>
                    <w:tr2bl w:val="nil"/>
                  </w:tcBorders>
                  <w:vAlign w:val="center"/>
                </w:tcPr>
                <w:p w14:paraId="65B43DE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非特定行业</w:t>
                  </w:r>
                </w:p>
              </w:tc>
              <w:tc>
                <w:tcPr>
                  <w:tcW w:w="1095" w:type="dxa"/>
                  <w:tcBorders>
                    <w:tl2br w:val="nil"/>
                    <w:tr2bl w:val="nil"/>
                  </w:tcBorders>
                  <w:vAlign w:val="center"/>
                </w:tcPr>
                <w:p w14:paraId="55170E5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00-030-36</w:t>
                  </w:r>
                </w:p>
              </w:tc>
              <w:tc>
                <w:tcPr>
                  <w:tcW w:w="2802" w:type="dxa"/>
                  <w:tcBorders>
                    <w:tl2br w:val="nil"/>
                    <w:tr2bl w:val="nil"/>
                  </w:tcBorders>
                  <w:vAlign w:val="center"/>
                </w:tcPr>
                <w:p w14:paraId="12DD8A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其他生产过程中产生的石棉废物</w:t>
                  </w:r>
                </w:p>
              </w:tc>
              <w:tc>
                <w:tcPr>
                  <w:tcW w:w="909" w:type="dxa"/>
                  <w:tcBorders>
                    <w:tl2br w:val="nil"/>
                    <w:tr2bl w:val="nil"/>
                  </w:tcBorders>
                  <w:vAlign w:val="center"/>
                </w:tcPr>
                <w:p w14:paraId="3C56906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6A6EB2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vMerge w:val="restart"/>
                  <w:tcBorders>
                    <w:tl2br w:val="nil"/>
                    <w:tr2bl w:val="nil"/>
                  </w:tcBorders>
                  <w:vAlign w:val="center"/>
                </w:tcPr>
                <w:p w14:paraId="4CFBF78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eastAsia="zh-CN"/>
                    </w:rPr>
                    <w:t>贮存间</w:t>
                  </w:r>
                </w:p>
              </w:tc>
            </w:tr>
            <w:tr w14:paraId="3611F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vMerge w:val="continue"/>
                  <w:tcBorders>
                    <w:tl2br w:val="nil"/>
                    <w:tr2bl w:val="nil"/>
                  </w:tcBorders>
                  <w:vAlign w:val="center"/>
                </w:tcPr>
                <w:p w14:paraId="05722B21">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5026A60A">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28F2B8B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900-031-36</w:t>
                  </w:r>
                </w:p>
              </w:tc>
              <w:tc>
                <w:tcPr>
                  <w:tcW w:w="2802" w:type="dxa"/>
                  <w:tcBorders>
                    <w:tl2br w:val="nil"/>
                    <w:tr2bl w:val="nil"/>
                  </w:tcBorders>
                  <w:vAlign w:val="center"/>
                </w:tcPr>
                <w:p w14:paraId="54491EE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含有石棉的废绝缘材料、建筑废物</w:t>
                  </w:r>
                </w:p>
              </w:tc>
              <w:tc>
                <w:tcPr>
                  <w:tcW w:w="909" w:type="dxa"/>
                  <w:tcBorders>
                    <w:tl2br w:val="nil"/>
                    <w:tr2bl w:val="nil"/>
                  </w:tcBorders>
                  <w:vAlign w:val="center"/>
                </w:tcPr>
                <w:p w14:paraId="5B0A75B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73A64185">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1A2E11EF">
                  <w:pPr>
                    <w:bidi w:val="0"/>
                    <w:jc w:val="center"/>
                    <w:rPr>
                      <w:rFonts w:hint="default" w:ascii="Times New Roman" w:hAnsi="Times New Roman" w:eastAsia="宋体" w:cs="Times New Roman"/>
                      <w:color w:val="auto"/>
                      <w:sz w:val="21"/>
                      <w:szCs w:val="21"/>
                      <w:highlight w:val="none"/>
                      <w:lang w:val="en-US" w:eastAsia="zh-CN"/>
                    </w:rPr>
                  </w:pPr>
                </w:p>
              </w:tc>
            </w:tr>
            <w:tr w14:paraId="6CBA50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vMerge w:val="continue"/>
                  <w:tcBorders>
                    <w:tl2br w:val="nil"/>
                    <w:tr2bl w:val="nil"/>
                  </w:tcBorders>
                  <w:vAlign w:val="center"/>
                </w:tcPr>
                <w:p w14:paraId="3F4139A1">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7C8012B7">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37D973DC">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900-032-36</w:t>
                  </w:r>
                </w:p>
              </w:tc>
              <w:tc>
                <w:tcPr>
                  <w:tcW w:w="2802" w:type="dxa"/>
                  <w:tcBorders>
                    <w:tl2br w:val="nil"/>
                    <w:tr2bl w:val="nil"/>
                  </w:tcBorders>
                  <w:vAlign w:val="center"/>
                </w:tcPr>
                <w:p w14:paraId="23287D2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含有隔膜、热绝缘体等石棉材料的设施保养拆换及车辆制动器衬片的更换产生的石棉废物</w:t>
                  </w:r>
                </w:p>
              </w:tc>
              <w:tc>
                <w:tcPr>
                  <w:tcW w:w="909" w:type="dxa"/>
                  <w:tcBorders>
                    <w:tl2br w:val="nil"/>
                    <w:tr2bl w:val="nil"/>
                  </w:tcBorders>
                  <w:vAlign w:val="center"/>
                </w:tcPr>
                <w:p w14:paraId="21180F2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continue"/>
                  <w:tcBorders>
                    <w:tl2br w:val="nil"/>
                    <w:tr2bl w:val="nil"/>
                  </w:tcBorders>
                  <w:vAlign w:val="center"/>
                </w:tcPr>
                <w:p w14:paraId="546E50F2">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4630B9D2">
                  <w:pPr>
                    <w:bidi w:val="0"/>
                    <w:jc w:val="center"/>
                    <w:rPr>
                      <w:rFonts w:hint="default" w:ascii="Times New Roman" w:hAnsi="Times New Roman" w:eastAsia="宋体" w:cs="Times New Roman"/>
                      <w:color w:val="auto"/>
                      <w:sz w:val="21"/>
                      <w:szCs w:val="21"/>
                      <w:highlight w:val="none"/>
                      <w:lang w:val="en-US" w:eastAsia="zh-CN"/>
                    </w:rPr>
                  </w:pPr>
                </w:p>
              </w:tc>
            </w:tr>
            <w:tr w14:paraId="49C44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3C70392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HW37有机磷化合物废物</w:t>
                  </w:r>
                </w:p>
              </w:tc>
              <w:tc>
                <w:tcPr>
                  <w:tcW w:w="703" w:type="dxa"/>
                  <w:tcBorders>
                    <w:tl2br w:val="nil"/>
                    <w:tr2bl w:val="nil"/>
                  </w:tcBorders>
                  <w:vAlign w:val="center"/>
                </w:tcPr>
                <w:p w14:paraId="71DFF25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1F63254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EAFF0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8A3801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78EB13D1">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70A74F1F">
                  <w:pPr>
                    <w:bidi w:val="0"/>
                    <w:jc w:val="center"/>
                    <w:rPr>
                      <w:rFonts w:hint="default" w:ascii="Times New Roman" w:hAnsi="Times New Roman" w:eastAsia="宋体" w:cs="Times New Roman"/>
                      <w:color w:val="auto"/>
                      <w:sz w:val="21"/>
                      <w:szCs w:val="21"/>
                      <w:highlight w:val="none"/>
                      <w:lang w:val="en-US" w:eastAsia="zh-CN"/>
                    </w:rPr>
                  </w:pPr>
                </w:p>
              </w:tc>
            </w:tr>
            <w:tr w14:paraId="543CFB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5412142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HW38有机氰化物废物</w:t>
                  </w:r>
                </w:p>
              </w:tc>
              <w:tc>
                <w:tcPr>
                  <w:tcW w:w="703" w:type="dxa"/>
                  <w:tcBorders>
                    <w:tl2br w:val="nil"/>
                    <w:tr2bl w:val="nil"/>
                  </w:tcBorders>
                  <w:vAlign w:val="center"/>
                </w:tcPr>
                <w:p w14:paraId="7FDB2F7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4BE191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2BA96DC5">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20ED656A">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R，T</w:t>
                  </w:r>
                </w:p>
                <w:p w14:paraId="6E3C337D">
                  <w:pPr>
                    <w:bidi w:val="0"/>
                    <w:jc w:val="center"/>
                    <w:rPr>
                      <w:rFonts w:hint="default" w:ascii="Times New Roman" w:hAnsi="Times New Roman" w:eastAsia="宋体" w:cs="Times New Roman"/>
                      <w:color w:val="auto"/>
                      <w:sz w:val="21"/>
                      <w:szCs w:val="21"/>
                      <w:highlight w:val="none"/>
                      <w:lang w:val="en-US" w:eastAsia="zh-CN"/>
                    </w:rPr>
                  </w:pPr>
                </w:p>
              </w:tc>
              <w:tc>
                <w:tcPr>
                  <w:tcW w:w="726" w:type="dxa"/>
                  <w:tcBorders>
                    <w:tl2br w:val="nil"/>
                    <w:tr2bl w:val="nil"/>
                  </w:tcBorders>
                  <w:vAlign w:val="center"/>
                </w:tcPr>
                <w:p w14:paraId="4D8F043D">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69" w:type="dxa"/>
                  <w:tcBorders>
                    <w:tl2br w:val="nil"/>
                    <w:tr2bl w:val="nil"/>
                  </w:tcBorders>
                  <w:vAlign w:val="center"/>
                </w:tcPr>
                <w:p w14:paraId="73B39F02">
                  <w:pPr>
                    <w:bidi w:val="0"/>
                    <w:jc w:val="center"/>
                    <w:rPr>
                      <w:rFonts w:hint="default" w:ascii="Times New Roman" w:hAnsi="Times New Roman" w:eastAsia="宋体" w:cs="Times New Roman"/>
                      <w:color w:val="auto"/>
                      <w:sz w:val="21"/>
                      <w:szCs w:val="21"/>
                      <w:highlight w:val="none"/>
                      <w:lang w:val="en-US" w:eastAsia="zh-CN"/>
                    </w:rPr>
                  </w:pPr>
                </w:p>
              </w:tc>
            </w:tr>
            <w:tr w14:paraId="072AB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113" w:type="dxa"/>
                  <w:vMerge w:val="restart"/>
                  <w:tcBorders>
                    <w:tl2br w:val="nil"/>
                    <w:tr2bl w:val="nil"/>
                  </w:tcBorders>
                  <w:vAlign w:val="center"/>
                </w:tcPr>
                <w:p w14:paraId="1C6A671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HW39含酚废物</w:t>
                  </w:r>
                </w:p>
              </w:tc>
              <w:tc>
                <w:tcPr>
                  <w:tcW w:w="703" w:type="dxa"/>
                  <w:vMerge w:val="restart"/>
                  <w:tcBorders>
                    <w:tl2br w:val="nil"/>
                    <w:tr2bl w:val="nil"/>
                  </w:tcBorders>
                  <w:vAlign w:val="center"/>
                </w:tcPr>
                <w:p w14:paraId="33C54F5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基础化学原料制造</w:t>
                  </w:r>
                </w:p>
              </w:tc>
              <w:tc>
                <w:tcPr>
                  <w:tcW w:w="1095" w:type="dxa"/>
                  <w:tcBorders>
                    <w:tl2br w:val="nil"/>
                    <w:tr2bl w:val="nil"/>
                  </w:tcBorders>
                  <w:vAlign w:val="center"/>
                </w:tcPr>
                <w:p w14:paraId="4A8A229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61-070-39</w:t>
                  </w:r>
                </w:p>
              </w:tc>
              <w:tc>
                <w:tcPr>
                  <w:tcW w:w="2802" w:type="dxa"/>
                  <w:tcBorders>
                    <w:tl2br w:val="nil"/>
                    <w:tr2bl w:val="nil"/>
                  </w:tcBorders>
                  <w:vAlign w:val="center"/>
                </w:tcPr>
                <w:p w14:paraId="711F95D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酚及酚类化合物生产过程中产生的废母液和反应残余物</w:t>
                  </w:r>
                </w:p>
              </w:tc>
              <w:tc>
                <w:tcPr>
                  <w:tcW w:w="909" w:type="dxa"/>
                  <w:vMerge w:val="restart"/>
                  <w:tcBorders>
                    <w:tl2br w:val="nil"/>
                    <w:tr2bl w:val="nil"/>
                  </w:tcBorders>
                  <w:vAlign w:val="center"/>
                </w:tcPr>
                <w:p w14:paraId="6884330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vMerge w:val="restart"/>
                  <w:tcBorders>
                    <w:tl2br w:val="nil"/>
                    <w:tr2bl w:val="nil"/>
                  </w:tcBorders>
                  <w:vAlign w:val="center"/>
                </w:tcPr>
                <w:p w14:paraId="51BF91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vMerge w:val="restart"/>
                  <w:tcBorders>
                    <w:tl2br w:val="nil"/>
                    <w:tr2bl w:val="nil"/>
                  </w:tcBorders>
                  <w:vAlign w:val="center"/>
                </w:tcPr>
                <w:p w14:paraId="73EC2E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eastAsia="zh-CN"/>
                    </w:rPr>
                    <w:t>贮存间</w:t>
                  </w:r>
                </w:p>
              </w:tc>
            </w:tr>
            <w:tr w14:paraId="25BA5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vMerge w:val="continue"/>
                  <w:tcBorders>
                    <w:tl2br w:val="nil"/>
                    <w:tr2bl w:val="nil"/>
                  </w:tcBorders>
                  <w:vAlign w:val="center"/>
                </w:tcPr>
                <w:p w14:paraId="32DD02B3">
                  <w:pPr>
                    <w:bidi w:val="0"/>
                    <w:jc w:val="center"/>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vAlign w:val="center"/>
                </w:tcPr>
                <w:p w14:paraId="648B4551">
                  <w:pPr>
                    <w:bidi w:val="0"/>
                    <w:jc w:val="center"/>
                    <w:rPr>
                      <w:rFonts w:hint="default" w:ascii="Times New Roman" w:hAnsi="Times New Roman" w:eastAsia="宋体" w:cs="Times New Roman"/>
                      <w:color w:val="auto"/>
                      <w:sz w:val="21"/>
                      <w:szCs w:val="21"/>
                      <w:highlight w:val="none"/>
                      <w:lang w:val="en-US" w:eastAsia="zh-CN"/>
                    </w:rPr>
                  </w:pPr>
                </w:p>
              </w:tc>
              <w:tc>
                <w:tcPr>
                  <w:tcW w:w="1095" w:type="dxa"/>
                  <w:tcBorders>
                    <w:tl2br w:val="nil"/>
                    <w:tr2bl w:val="nil"/>
                  </w:tcBorders>
                  <w:vAlign w:val="center"/>
                </w:tcPr>
                <w:p w14:paraId="0B1A50B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261-071-39</w:t>
                  </w:r>
                </w:p>
              </w:tc>
              <w:tc>
                <w:tcPr>
                  <w:tcW w:w="2802" w:type="dxa"/>
                  <w:tcBorders>
                    <w:tl2br w:val="nil"/>
                    <w:tr2bl w:val="nil"/>
                  </w:tcBorders>
                  <w:vAlign w:val="center"/>
                </w:tcPr>
                <w:p w14:paraId="0096E9A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酚及酚类化合物生产过程中产生的废过滤吸附介质、废催化剂、精馏残余物</w:t>
                  </w:r>
                </w:p>
              </w:tc>
              <w:tc>
                <w:tcPr>
                  <w:tcW w:w="909" w:type="dxa"/>
                  <w:vMerge w:val="continue"/>
                  <w:tcBorders>
                    <w:tl2br w:val="nil"/>
                    <w:tr2bl w:val="nil"/>
                  </w:tcBorders>
                  <w:vAlign w:val="center"/>
                </w:tcPr>
                <w:p w14:paraId="49B6CC49">
                  <w:pPr>
                    <w:bidi w:val="0"/>
                    <w:jc w:val="center"/>
                    <w:rPr>
                      <w:rFonts w:hint="default" w:ascii="Times New Roman" w:hAnsi="Times New Roman" w:eastAsia="宋体" w:cs="Times New Roman"/>
                      <w:color w:val="auto"/>
                      <w:sz w:val="21"/>
                      <w:szCs w:val="21"/>
                      <w:highlight w:val="none"/>
                      <w:lang w:val="en-US" w:eastAsia="zh-CN"/>
                    </w:rPr>
                  </w:pPr>
                </w:p>
              </w:tc>
              <w:tc>
                <w:tcPr>
                  <w:tcW w:w="726" w:type="dxa"/>
                  <w:vMerge w:val="continue"/>
                  <w:tcBorders>
                    <w:tl2br w:val="nil"/>
                    <w:tr2bl w:val="nil"/>
                  </w:tcBorders>
                  <w:vAlign w:val="center"/>
                </w:tcPr>
                <w:p w14:paraId="0DCFEE34">
                  <w:pPr>
                    <w:bidi w:val="0"/>
                    <w:jc w:val="center"/>
                    <w:rPr>
                      <w:rFonts w:hint="default" w:ascii="Times New Roman" w:hAnsi="Times New Roman" w:eastAsia="宋体" w:cs="Times New Roman"/>
                      <w:color w:val="auto"/>
                      <w:sz w:val="21"/>
                      <w:szCs w:val="21"/>
                      <w:highlight w:val="none"/>
                      <w:lang w:val="en-US" w:eastAsia="zh-CN"/>
                    </w:rPr>
                  </w:pPr>
                </w:p>
              </w:tc>
              <w:tc>
                <w:tcPr>
                  <w:tcW w:w="669" w:type="dxa"/>
                  <w:vMerge w:val="continue"/>
                  <w:tcBorders>
                    <w:tl2br w:val="nil"/>
                    <w:tr2bl w:val="nil"/>
                  </w:tcBorders>
                  <w:vAlign w:val="center"/>
                </w:tcPr>
                <w:p w14:paraId="00C5BED0">
                  <w:pPr>
                    <w:bidi w:val="0"/>
                    <w:jc w:val="center"/>
                    <w:rPr>
                      <w:rFonts w:hint="default" w:ascii="Times New Roman" w:hAnsi="Times New Roman" w:eastAsia="宋体" w:cs="Times New Roman"/>
                      <w:color w:val="auto"/>
                      <w:sz w:val="21"/>
                      <w:szCs w:val="21"/>
                      <w:highlight w:val="none"/>
                      <w:lang w:val="en-US" w:eastAsia="zh-CN"/>
                    </w:rPr>
                  </w:pPr>
                </w:p>
              </w:tc>
            </w:tr>
            <w:tr w14:paraId="70B1D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tcBorders>
                    <w:tl2br w:val="nil"/>
                    <w:tr2bl w:val="nil"/>
                  </w:tcBorders>
                  <w:vAlign w:val="center"/>
                </w:tcPr>
                <w:p w14:paraId="631F7BC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HW40含醚废物</w:t>
                  </w:r>
                </w:p>
              </w:tc>
              <w:tc>
                <w:tcPr>
                  <w:tcW w:w="703" w:type="dxa"/>
                  <w:tcBorders>
                    <w:tl2br w:val="nil"/>
                    <w:tr2bl w:val="nil"/>
                  </w:tcBorders>
                  <w:vAlign w:val="center"/>
                </w:tcPr>
                <w:p w14:paraId="488EA9E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79E1258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C6D8B3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188849C1">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00B31568">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19833803">
                  <w:pPr>
                    <w:bidi w:val="0"/>
                    <w:jc w:val="center"/>
                    <w:rPr>
                      <w:rFonts w:hint="default" w:ascii="Times New Roman" w:hAnsi="Times New Roman" w:eastAsia="宋体" w:cs="Times New Roman"/>
                      <w:color w:val="auto"/>
                      <w:sz w:val="21"/>
                      <w:szCs w:val="21"/>
                      <w:highlight w:val="none"/>
                      <w:lang w:val="en-US" w:eastAsia="zh-CN"/>
                    </w:rPr>
                  </w:pPr>
                </w:p>
              </w:tc>
            </w:tr>
            <w:tr w14:paraId="48AE7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113" w:type="dxa"/>
                  <w:tcBorders>
                    <w:tl2br w:val="nil"/>
                    <w:tr2bl w:val="nil"/>
                  </w:tcBorders>
                  <w:vAlign w:val="center"/>
                </w:tcPr>
                <w:p w14:paraId="3E1BC3E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HW45含有机卤化物废物</w:t>
                  </w:r>
                </w:p>
              </w:tc>
              <w:tc>
                <w:tcPr>
                  <w:tcW w:w="703" w:type="dxa"/>
                  <w:tcBorders>
                    <w:tl2br w:val="nil"/>
                    <w:tr2bl w:val="nil"/>
                  </w:tcBorders>
                  <w:vAlign w:val="center"/>
                </w:tcPr>
                <w:p w14:paraId="15C3125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2395E77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595931E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9B0E8AA">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1158AA57">
                  <w:pPr>
                    <w:keepNext w:val="0"/>
                    <w:keepLines w:val="0"/>
                    <w:widowControl/>
                    <w:suppressLineNumbers w:val="0"/>
                    <w:jc w:val="center"/>
                    <w:textAlignment w:val="top"/>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7AF36560">
                  <w:pPr>
                    <w:bidi w:val="0"/>
                    <w:jc w:val="center"/>
                    <w:rPr>
                      <w:rFonts w:hint="default" w:ascii="Times New Roman" w:hAnsi="Times New Roman" w:eastAsia="宋体" w:cs="Times New Roman"/>
                      <w:color w:val="auto"/>
                      <w:sz w:val="21"/>
                      <w:szCs w:val="21"/>
                      <w:highlight w:val="none"/>
                      <w:lang w:val="en-US" w:eastAsia="zh-CN"/>
                    </w:rPr>
                  </w:pPr>
                </w:p>
              </w:tc>
            </w:tr>
            <w:tr w14:paraId="34EB4A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7A4508F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HW46含镍废物</w:t>
                  </w:r>
                </w:p>
              </w:tc>
              <w:tc>
                <w:tcPr>
                  <w:tcW w:w="703" w:type="dxa"/>
                  <w:tcBorders>
                    <w:tl2br w:val="nil"/>
                    <w:tr2bl w:val="nil"/>
                  </w:tcBorders>
                  <w:vAlign w:val="center"/>
                </w:tcPr>
                <w:p w14:paraId="6C27D25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1E70245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1D1C84A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8B7D06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I</w:t>
                  </w:r>
                </w:p>
              </w:tc>
              <w:tc>
                <w:tcPr>
                  <w:tcW w:w="726" w:type="dxa"/>
                  <w:tcBorders>
                    <w:tl2br w:val="nil"/>
                    <w:tr2bl w:val="nil"/>
                  </w:tcBorders>
                  <w:vAlign w:val="center"/>
                </w:tcPr>
                <w:p w14:paraId="4AAA6D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69" w:type="dxa"/>
                  <w:tcBorders>
                    <w:tl2br w:val="nil"/>
                    <w:tr2bl w:val="nil"/>
                  </w:tcBorders>
                  <w:vAlign w:val="center"/>
                </w:tcPr>
                <w:p w14:paraId="668929F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eastAsia="zh-CN"/>
                    </w:rPr>
                    <w:t>贮存间</w:t>
                  </w:r>
                </w:p>
              </w:tc>
            </w:tr>
            <w:tr w14:paraId="57854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113" w:type="dxa"/>
                  <w:tcBorders>
                    <w:tl2br w:val="nil"/>
                    <w:tr2bl w:val="nil"/>
                  </w:tcBorders>
                  <w:vAlign w:val="center"/>
                </w:tcPr>
                <w:p w14:paraId="01E1558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w:t>
                  </w:r>
                  <w:r>
                    <w:rPr>
                      <w:rFonts w:hint="default" w:ascii="Times New Roman" w:hAnsi="Times New Roman" w:cs="Times New Roman"/>
                      <w:color w:val="auto"/>
                      <w:spacing w:val="3"/>
                      <w:sz w:val="21"/>
                      <w:szCs w:val="21"/>
                      <w:highlight w:val="none"/>
                    </w:rPr>
                    <w:t>47含钡废物</w:t>
                  </w:r>
                </w:p>
              </w:tc>
              <w:tc>
                <w:tcPr>
                  <w:tcW w:w="703" w:type="dxa"/>
                  <w:tcBorders>
                    <w:tl2br w:val="nil"/>
                    <w:tr2bl w:val="nil"/>
                  </w:tcBorders>
                  <w:vAlign w:val="center"/>
                </w:tcPr>
                <w:p w14:paraId="74658C9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06B3357E">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3A30C366">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444E6070">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658ADBA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232DC047">
                  <w:pPr>
                    <w:jc w:val="center"/>
                    <w:rPr>
                      <w:rFonts w:hint="default" w:ascii="Times New Roman" w:hAnsi="Times New Roman" w:eastAsia="宋体" w:cs="Times New Roman"/>
                      <w:color w:val="auto"/>
                      <w:sz w:val="21"/>
                      <w:szCs w:val="21"/>
                      <w:highlight w:val="none"/>
                      <w:lang w:eastAsia="zh-CN"/>
                    </w:rPr>
                  </w:pPr>
                </w:p>
              </w:tc>
            </w:tr>
            <w:tr w14:paraId="16417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4" w:hRule="atLeast"/>
                <w:jc w:val="center"/>
              </w:trPr>
              <w:tc>
                <w:tcPr>
                  <w:tcW w:w="1113" w:type="dxa"/>
                  <w:tcBorders>
                    <w:tl2br w:val="nil"/>
                    <w:tr2bl w:val="nil"/>
                  </w:tcBorders>
                  <w:vAlign w:val="center"/>
                </w:tcPr>
                <w:p w14:paraId="55FCD1C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HW48有色金属采选和冶炼废物</w:t>
                  </w:r>
                </w:p>
              </w:tc>
              <w:tc>
                <w:tcPr>
                  <w:tcW w:w="703" w:type="dxa"/>
                  <w:tcBorders>
                    <w:tl2br w:val="nil"/>
                    <w:tr2bl w:val="nil"/>
                  </w:tcBorders>
                  <w:vAlign w:val="center"/>
                </w:tcPr>
                <w:p w14:paraId="0EC7E55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5E83060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2F27B3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7426D214">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R</w:t>
                  </w:r>
                </w:p>
              </w:tc>
              <w:tc>
                <w:tcPr>
                  <w:tcW w:w="726" w:type="dxa"/>
                  <w:tcBorders>
                    <w:tl2br w:val="nil"/>
                    <w:tr2bl w:val="nil"/>
                  </w:tcBorders>
                  <w:vAlign w:val="center"/>
                </w:tcPr>
                <w:p w14:paraId="046246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69" w:type="dxa"/>
                  <w:tcBorders>
                    <w:tl2br w:val="nil"/>
                    <w:tr2bl w:val="nil"/>
                  </w:tcBorders>
                  <w:vAlign w:val="center"/>
                </w:tcPr>
                <w:p w14:paraId="0A20D1E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lang w:eastAsia="zh-CN"/>
                    </w:rPr>
                    <w:t>贮存间</w:t>
                  </w:r>
                </w:p>
              </w:tc>
            </w:tr>
            <w:tr w14:paraId="41487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13" w:type="dxa"/>
                  <w:tcBorders>
                    <w:tl2br w:val="nil"/>
                    <w:tr2bl w:val="nil"/>
                  </w:tcBorders>
                  <w:vAlign w:val="center"/>
                </w:tcPr>
                <w:p w14:paraId="3C0738FB">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HW49其他废物</w:t>
                  </w:r>
                </w:p>
              </w:tc>
              <w:tc>
                <w:tcPr>
                  <w:tcW w:w="703" w:type="dxa"/>
                  <w:tcBorders>
                    <w:tl2br w:val="nil"/>
                    <w:tr2bl w:val="nil"/>
                  </w:tcBorders>
                  <w:vAlign w:val="center"/>
                </w:tcPr>
                <w:p w14:paraId="2D0724E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13BA48B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r>
                    <w:rPr>
                      <w:rFonts w:hint="default" w:ascii="Times New Roman" w:hAnsi="Times New Roman" w:cs="Times New Roman"/>
                      <w:color w:val="auto"/>
                      <w:sz w:val="21"/>
                      <w:szCs w:val="21"/>
                      <w:highlight w:val="none"/>
                      <w:lang w:val="en-US" w:eastAsia="zh-CN"/>
                    </w:rPr>
                    <w:t>（除已有900-041-49）</w:t>
                  </w:r>
                </w:p>
              </w:tc>
              <w:tc>
                <w:tcPr>
                  <w:tcW w:w="2802" w:type="dxa"/>
                  <w:tcBorders>
                    <w:tl2br w:val="nil"/>
                    <w:tr2bl w:val="nil"/>
                  </w:tcBorders>
                  <w:vAlign w:val="center"/>
                </w:tcPr>
                <w:p w14:paraId="1210A5E3">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31F5ED1F">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R</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In</w:t>
                  </w:r>
                </w:p>
              </w:tc>
              <w:tc>
                <w:tcPr>
                  <w:tcW w:w="726" w:type="dxa"/>
                  <w:tcBorders>
                    <w:tl2br w:val="nil"/>
                    <w:tr2bl w:val="nil"/>
                  </w:tcBorders>
                  <w:vAlign w:val="center"/>
                </w:tcPr>
                <w:p w14:paraId="55EC0E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669" w:type="dxa"/>
                  <w:tcBorders>
                    <w:tl2br w:val="nil"/>
                    <w:tr2bl w:val="nil"/>
                  </w:tcBorders>
                  <w:vAlign w:val="center"/>
                </w:tcPr>
                <w:p w14:paraId="6C73FC4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lang w:eastAsia="zh-CN"/>
                    </w:rPr>
                    <w:t>贮存间</w:t>
                  </w:r>
                </w:p>
              </w:tc>
            </w:tr>
            <w:tr w14:paraId="45DB0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113" w:type="dxa"/>
                  <w:tcBorders>
                    <w:tl2br w:val="nil"/>
                    <w:tr2bl w:val="nil"/>
                  </w:tcBorders>
                  <w:vAlign w:val="center"/>
                </w:tcPr>
                <w:p w14:paraId="7BC37F92">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HW50废催化剂废物</w:t>
                  </w:r>
                </w:p>
              </w:tc>
              <w:tc>
                <w:tcPr>
                  <w:tcW w:w="703" w:type="dxa"/>
                  <w:tcBorders>
                    <w:tl2br w:val="nil"/>
                    <w:tr2bl w:val="nil"/>
                  </w:tcBorders>
                  <w:vAlign w:val="center"/>
                </w:tcPr>
                <w:p w14:paraId="6413C50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全部</w:t>
                  </w:r>
                </w:p>
              </w:tc>
              <w:tc>
                <w:tcPr>
                  <w:tcW w:w="1095" w:type="dxa"/>
                  <w:tcBorders>
                    <w:tl2br w:val="nil"/>
                    <w:tr2bl w:val="nil"/>
                  </w:tcBorders>
                  <w:vAlign w:val="center"/>
                </w:tcPr>
                <w:p w14:paraId="423822DD">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全代码</w:t>
                  </w:r>
                </w:p>
              </w:tc>
              <w:tc>
                <w:tcPr>
                  <w:tcW w:w="2802" w:type="dxa"/>
                  <w:tcBorders>
                    <w:tl2br w:val="nil"/>
                    <w:tr2bl w:val="nil"/>
                  </w:tcBorders>
                  <w:vAlign w:val="center"/>
                </w:tcPr>
                <w:p w14:paraId="780E383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全废物</w:t>
                  </w:r>
                </w:p>
              </w:tc>
              <w:tc>
                <w:tcPr>
                  <w:tcW w:w="909" w:type="dxa"/>
                  <w:tcBorders>
                    <w:tl2br w:val="nil"/>
                    <w:tr2bl w:val="nil"/>
                  </w:tcBorders>
                  <w:vAlign w:val="center"/>
                </w:tcPr>
                <w:p w14:paraId="6C363D87">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726" w:type="dxa"/>
                  <w:tcBorders>
                    <w:tl2br w:val="nil"/>
                    <w:tr2bl w:val="nil"/>
                  </w:tcBorders>
                  <w:vAlign w:val="center"/>
                </w:tcPr>
                <w:p w14:paraId="363F3A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669" w:type="dxa"/>
                  <w:tcBorders>
                    <w:tl2br w:val="nil"/>
                    <w:tr2bl w:val="nil"/>
                  </w:tcBorders>
                  <w:vAlign w:val="center"/>
                </w:tcPr>
                <w:p w14:paraId="1439B51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HW</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eastAsia="zh-CN"/>
                    </w:rPr>
                    <w:t>贮存间</w:t>
                  </w:r>
                </w:p>
              </w:tc>
            </w:tr>
          </w:tbl>
          <w:p w14:paraId="43D6D4C3">
            <w:pPr>
              <w:widowControl/>
              <w:numPr>
                <w:ilvl w:val="0"/>
                <w:numId w:val="0"/>
              </w:numPr>
              <w:spacing w:line="360" w:lineRule="auto"/>
              <w:ind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中华人民共和国固体废物污染环境防治法》第五十八条第二款：“贮存危险废物必须采取符合国家环境保护标准的防护措施，并不得超过一年；确需延长期限的，必须报经原批准经营许可证的环境保护行政主管部门批准；法律法规另有规定的除外。”由上表可知，本项目危险废物贮存方案合理。</w:t>
            </w:r>
          </w:p>
          <w:p w14:paraId="5EFDD653">
            <w:pPr>
              <w:widowControl/>
              <w:numPr>
                <w:ilvl w:val="0"/>
                <w:numId w:val="1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规模及暂存方案</w:t>
            </w:r>
          </w:p>
          <w:p w14:paraId="19CC7F10">
            <w:pPr>
              <w:jc w:val="center"/>
              <w:rPr>
                <w:rFonts w:hint="eastAsia"/>
                <w:b/>
                <w:bCs/>
                <w:color w:val="auto"/>
                <w:highlight w:val="none"/>
                <w:lang w:val="en-US" w:eastAsia="zh-CN"/>
              </w:rPr>
            </w:pPr>
            <w:r>
              <w:rPr>
                <w:rFonts w:hint="eastAsia"/>
                <w:b/>
                <w:bCs/>
                <w:color w:val="auto"/>
                <w:highlight w:val="none"/>
                <w:lang w:val="en-US" w:eastAsia="zh-CN"/>
              </w:rPr>
              <w:t>表2-4  本项目贮存危险废物特征及收集、贮存方式一览表</w:t>
            </w:r>
          </w:p>
          <w:tbl>
            <w:tblPr>
              <w:tblStyle w:val="189"/>
              <w:tblW w:w="80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4"/>
              <w:gridCol w:w="829"/>
              <w:gridCol w:w="1131"/>
              <w:gridCol w:w="980"/>
              <w:gridCol w:w="2093"/>
              <w:gridCol w:w="867"/>
              <w:gridCol w:w="952"/>
            </w:tblGrid>
            <w:tr w14:paraId="1782E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184" w:type="dxa"/>
                  <w:tcBorders>
                    <w:tl2br w:val="nil"/>
                    <w:tr2bl w:val="nil"/>
                  </w:tcBorders>
                  <w:vAlign w:val="center"/>
                </w:tcPr>
                <w:p w14:paraId="594EEC56">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废物类别</w:t>
                  </w:r>
                </w:p>
              </w:tc>
              <w:tc>
                <w:tcPr>
                  <w:tcW w:w="829" w:type="dxa"/>
                  <w:tcBorders>
                    <w:tl2br w:val="nil"/>
                    <w:tr2bl w:val="nil"/>
                  </w:tcBorders>
                  <w:vAlign w:val="center"/>
                </w:tcPr>
                <w:p w14:paraId="1FC7238B">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行业来源</w:t>
                  </w:r>
                </w:p>
              </w:tc>
              <w:tc>
                <w:tcPr>
                  <w:tcW w:w="1131" w:type="dxa"/>
                  <w:tcBorders>
                    <w:tl2br w:val="nil"/>
                    <w:tr2bl w:val="nil"/>
                  </w:tcBorders>
                  <w:vAlign w:val="center"/>
                </w:tcPr>
                <w:p w14:paraId="731C9579">
                  <w:pPr>
                    <w:bidi w:val="0"/>
                    <w:jc w:val="center"/>
                    <w:rPr>
                      <w:rFonts w:hint="default" w:ascii="Times New Roman" w:hAnsi="Times New Roman" w:cs="Times New Roman"/>
                      <w:b/>
                      <w:bCs/>
                      <w:color w:val="auto"/>
                      <w:highlight w:val="none"/>
                    </w:rPr>
                  </w:pPr>
                  <w:r>
                    <w:rPr>
                      <w:rFonts w:hint="eastAsia" w:cs="Times New Roman"/>
                      <w:b/>
                      <w:bCs/>
                      <w:color w:val="auto"/>
                      <w:highlight w:val="none"/>
                      <w:lang w:eastAsia="zh-CN"/>
                    </w:rPr>
                    <w:t>主要物理形态</w:t>
                  </w:r>
                </w:p>
              </w:tc>
              <w:tc>
                <w:tcPr>
                  <w:tcW w:w="980" w:type="dxa"/>
                  <w:tcBorders>
                    <w:tl2br w:val="nil"/>
                    <w:tr2bl w:val="nil"/>
                  </w:tcBorders>
                  <w:vAlign w:val="center"/>
                </w:tcPr>
                <w:p w14:paraId="67C13967">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年周转量</w:t>
                  </w:r>
                </w:p>
                <w:p w14:paraId="76CD0402">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t/a)</w:t>
                  </w:r>
                </w:p>
              </w:tc>
              <w:tc>
                <w:tcPr>
                  <w:tcW w:w="2093" w:type="dxa"/>
                  <w:tcBorders>
                    <w:tl2br w:val="nil"/>
                    <w:tr2bl w:val="nil"/>
                  </w:tcBorders>
                  <w:vAlign w:val="center"/>
                </w:tcPr>
                <w:p w14:paraId="53D4533C">
                  <w:pPr>
                    <w:bidi w:val="0"/>
                    <w:jc w:val="center"/>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贮存</w:t>
                  </w:r>
                  <w:r>
                    <w:rPr>
                      <w:rFonts w:hint="eastAsia" w:cs="Times New Roman"/>
                      <w:b/>
                      <w:bCs/>
                      <w:color w:val="auto"/>
                      <w:highlight w:val="none"/>
                      <w:lang w:eastAsia="zh-CN"/>
                    </w:rPr>
                    <w:t>、包装</w:t>
                  </w:r>
                  <w:r>
                    <w:rPr>
                      <w:rFonts w:hint="default" w:ascii="Times New Roman" w:hAnsi="Times New Roman" w:cs="Times New Roman"/>
                      <w:b/>
                      <w:bCs/>
                      <w:color w:val="auto"/>
                      <w:highlight w:val="none"/>
                    </w:rPr>
                    <w:t>方式</w:t>
                  </w:r>
                </w:p>
              </w:tc>
              <w:tc>
                <w:tcPr>
                  <w:tcW w:w="867" w:type="dxa"/>
                  <w:tcBorders>
                    <w:tl2br w:val="nil"/>
                    <w:tr2bl w:val="nil"/>
                  </w:tcBorders>
                  <w:vAlign w:val="center"/>
                </w:tcPr>
                <w:p w14:paraId="1BF13376">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最大暂存量（</w:t>
                  </w:r>
                  <w:r>
                    <w:rPr>
                      <w:rFonts w:hint="default" w:ascii="Times New Roman" w:hAnsi="Times New Roman" w:cs="Times New Roman"/>
                      <w:b/>
                      <w:bCs/>
                      <w:color w:val="auto"/>
                      <w:highlight w:val="none"/>
                      <w:lang w:val="en-US" w:eastAsia="zh-CN"/>
                    </w:rPr>
                    <w:t>t</w:t>
                  </w:r>
                  <w:r>
                    <w:rPr>
                      <w:rFonts w:hint="default" w:ascii="Times New Roman" w:hAnsi="Times New Roman" w:cs="Times New Roman"/>
                      <w:b/>
                      <w:bCs/>
                      <w:color w:val="auto"/>
                      <w:highlight w:val="none"/>
                      <w:lang w:eastAsia="zh-CN"/>
                    </w:rPr>
                    <w:t>）</w:t>
                  </w:r>
                </w:p>
              </w:tc>
              <w:tc>
                <w:tcPr>
                  <w:tcW w:w="952" w:type="dxa"/>
                  <w:tcBorders>
                    <w:tl2br w:val="nil"/>
                    <w:tr2bl w:val="nil"/>
                  </w:tcBorders>
                  <w:vAlign w:val="center"/>
                </w:tcPr>
                <w:p w14:paraId="64964214">
                  <w:pPr>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最大暂存周期（</w:t>
                  </w:r>
                  <w:r>
                    <w:rPr>
                      <w:rFonts w:hint="default" w:ascii="Times New Roman" w:hAnsi="Times New Roman" w:cs="Times New Roman"/>
                      <w:b/>
                      <w:bCs/>
                      <w:color w:val="auto"/>
                      <w:highlight w:val="none"/>
                      <w:lang w:val="en-US" w:eastAsia="zh-CN"/>
                    </w:rPr>
                    <w:t>d</w:t>
                  </w:r>
                  <w:r>
                    <w:rPr>
                      <w:rFonts w:hint="default" w:ascii="Times New Roman" w:hAnsi="Times New Roman" w:cs="Times New Roman"/>
                      <w:b/>
                      <w:bCs/>
                      <w:color w:val="auto"/>
                      <w:highlight w:val="none"/>
                      <w:lang w:eastAsia="zh-CN"/>
                    </w:rPr>
                    <w:t>）</w:t>
                  </w:r>
                </w:p>
              </w:tc>
            </w:tr>
            <w:tr w14:paraId="02D8C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12B6835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HW02医药废物</w:t>
                  </w:r>
                </w:p>
              </w:tc>
              <w:tc>
                <w:tcPr>
                  <w:tcW w:w="829" w:type="dxa"/>
                  <w:tcBorders>
                    <w:tl2br w:val="nil"/>
                    <w:tr2bl w:val="nil"/>
                  </w:tcBorders>
                  <w:vAlign w:val="center"/>
                </w:tcPr>
                <w:p w14:paraId="682DB59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8EE83D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28359464">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restart"/>
                  <w:tcBorders>
                    <w:tl2br w:val="nil"/>
                    <w:tr2bl w:val="nil"/>
                  </w:tcBorders>
                  <w:vAlign w:val="center"/>
                </w:tcPr>
                <w:p w14:paraId="382D7478">
                  <w:pPr>
                    <w:adjustRightInd w:val="0"/>
                    <w:snapToGrid w:val="0"/>
                    <w:jc w:val="left"/>
                    <w:rPr>
                      <w:rFonts w:hint="eastAsia" w:ascii="Times New Roman" w:hAnsi="Times New Roman" w:eastAsia="宋体" w:cs="Times New Roman"/>
                      <w:color w:val="auto"/>
                      <w:highlight w:val="none"/>
                      <w:lang w:val="en-US" w:eastAsia="zh-CN"/>
                    </w:rPr>
                  </w:pPr>
                  <w:r>
                    <w:rPr>
                      <w:rFonts w:hint="default" w:ascii="Times New Roman" w:hAnsi="Times New Roman" w:eastAsia="Times New Roman" w:cs="Times New Roman"/>
                      <w:color w:val="auto"/>
                      <w:kern w:val="0"/>
                      <w:sz w:val="21"/>
                      <w:szCs w:val="21"/>
                      <w:highlight w:val="none"/>
                      <w:lang w:bidi="ar"/>
                    </w:rPr>
                    <w:t>PE</w:t>
                  </w:r>
                  <w:r>
                    <w:rPr>
                      <w:rFonts w:hint="default" w:ascii="Times New Roman" w:hAnsi="Times New Roman" w:eastAsia="宋体" w:cs="Times New Roman"/>
                      <w:color w:val="auto"/>
                      <w:kern w:val="0"/>
                      <w:sz w:val="21"/>
                      <w:szCs w:val="21"/>
                      <w:highlight w:val="none"/>
                      <w:lang w:bidi="ar"/>
                    </w:rPr>
                    <w:t>桶、防漏编织胶袋</w:t>
                  </w:r>
                </w:p>
              </w:tc>
              <w:tc>
                <w:tcPr>
                  <w:tcW w:w="867" w:type="dxa"/>
                  <w:tcBorders>
                    <w:tl2br w:val="nil"/>
                    <w:tr2bl w:val="nil"/>
                  </w:tcBorders>
                  <w:vAlign w:val="center"/>
                </w:tcPr>
                <w:p w14:paraId="44CCE2B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06E9C6F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452D73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7D576D54">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03废药物、药品</w:t>
                  </w:r>
                </w:p>
              </w:tc>
              <w:tc>
                <w:tcPr>
                  <w:tcW w:w="829" w:type="dxa"/>
                  <w:tcBorders>
                    <w:tl2br w:val="nil"/>
                    <w:tr2bl w:val="nil"/>
                  </w:tcBorders>
                  <w:vAlign w:val="center"/>
                </w:tcPr>
                <w:p w14:paraId="5B9E055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594E7B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5FFBA60F">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77AB1972">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61FFD71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190F8B3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43F952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221868F1">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3"/>
                      <w:highlight w:val="none"/>
                    </w:rPr>
                    <w:t>04农药废物</w:t>
                  </w:r>
                </w:p>
              </w:tc>
              <w:tc>
                <w:tcPr>
                  <w:tcW w:w="829" w:type="dxa"/>
                  <w:tcBorders>
                    <w:tl2br w:val="nil"/>
                    <w:tr2bl w:val="nil"/>
                  </w:tcBorders>
                  <w:vAlign w:val="center"/>
                </w:tcPr>
                <w:p w14:paraId="1C482F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D39E8F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02AA3B68">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0E8512C9">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6F6CF1F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3B0DD46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2209F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5A22AAAA">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05木材防腐剂废物</w:t>
                  </w:r>
                </w:p>
              </w:tc>
              <w:tc>
                <w:tcPr>
                  <w:tcW w:w="829" w:type="dxa"/>
                  <w:tcBorders>
                    <w:tl2br w:val="nil"/>
                    <w:tr2bl w:val="nil"/>
                  </w:tcBorders>
                  <w:vAlign w:val="center"/>
                </w:tcPr>
                <w:p w14:paraId="256FA5F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7B72B2F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3ED30160">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29C2F571">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6002C24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0A1BDCD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73956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12404621">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07热处理含氰废物</w:t>
                  </w:r>
                </w:p>
              </w:tc>
              <w:tc>
                <w:tcPr>
                  <w:tcW w:w="829" w:type="dxa"/>
                  <w:tcBorders>
                    <w:tl2br w:val="nil"/>
                    <w:tr2bl w:val="nil"/>
                  </w:tcBorders>
                  <w:vAlign w:val="center"/>
                </w:tcPr>
                <w:p w14:paraId="3BEF8BC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3A8C0F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6CAC0433">
                  <w:pPr>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vMerge w:val="continue"/>
                  <w:tcBorders>
                    <w:tl2br w:val="nil"/>
                    <w:tr2bl w:val="nil"/>
                  </w:tcBorders>
                  <w:vAlign w:val="center"/>
                </w:tcPr>
                <w:p w14:paraId="25DB055F">
                  <w:pPr>
                    <w:bidi w:val="0"/>
                    <w:jc w:val="center"/>
                    <w:rPr>
                      <w:rFonts w:hint="eastAsia" w:ascii="Times New Roman" w:hAnsi="Times New Roman" w:eastAsia="宋体" w:cs="Times New Roman"/>
                      <w:color w:val="auto"/>
                      <w:highlight w:val="none"/>
                      <w:lang w:val="en-US" w:eastAsia="zh-CN"/>
                    </w:rPr>
                  </w:pPr>
                </w:p>
              </w:tc>
              <w:tc>
                <w:tcPr>
                  <w:tcW w:w="867" w:type="dxa"/>
                  <w:tcBorders>
                    <w:tl2br w:val="nil"/>
                    <w:tr2bl w:val="nil"/>
                  </w:tcBorders>
                  <w:vAlign w:val="center"/>
                </w:tcPr>
                <w:p w14:paraId="7AE4EE7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08B0F90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79872D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184" w:type="dxa"/>
                  <w:tcBorders>
                    <w:tl2br w:val="nil"/>
                    <w:tr2bl w:val="nil"/>
                  </w:tcBorders>
                  <w:vAlign w:val="top"/>
                </w:tcPr>
                <w:p w14:paraId="4A4D502A">
                  <w:pPr>
                    <w:pStyle w:val="195"/>
                    <w:spacing w:before="55" w:line="212" w:lineRule="auto"/>
                    <w:rPr>
                      <w:rFonts w:hint="default" w:ascii="Times New Roman" w:hAnsi="Times New Roman" w:eastAsia="宋体" w:cs="Times New Roman"/>
                      <w:color w:val="auto"/>
                      <w:spacing w:val="2"/>
                      <w:kern w:val="2"/>
                      <w:sz w:val="21"/>
                      <w:szCs w:val="21"/>
                      <w:highlight w:val="none"/>
                      <w:lang w:val="en-US" w:eastAsia="zh-CN" w:bidi="ar-SA"/>
                    </w:rPr>
                  </w:pPr>
                  <w:r>
                    <w:rPr>
                      <w:rFonts w:ascii="Times New Roman" w:hAnsi="Times New Roman" w:eastAsia="宋体" w:cs="Times New Roman"/>
                      <w:color w:val="auto"/>
                      <w:spacing w:val="2"/>
                      <w:kern w:val="2"/>
                      <w:sz w:val="21"/>
                      <w:szCs w:val="21"/>
                      <w:highlight w:val="none"/>
                      <w:lang w:val="en-US" w:eastAsia="zh-CN" w:bidi="ar-SA"/>
                    </w:rPr>
                    <w:t>HW10多氯(溴)联苯类废物</w:t>
                  </w:r>
                </w:p>
              </w:tc>
              <w:tc>
                <w:tcPr>
                  <w:tcW w:w="829" w:type="dxa"/>
                  <w:tcBorders>
                    <w:tl2br w:val="nil"/>
                    <w:tr2bl w:val="nil"/>
                  </w:tcBorders>
                  <w:vAlign w:val="center"/>
                </w:tcPr>
                <w:p w14:paraId="227C4E04">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AE6AC51">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2FC6B996">
                  <w:pPr>
                    <w:bidi w:val="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50</w:t>
                  </w:r>
                </w:p>
              </w:tc>
              <w:tc>
                <w:tcPr>
                  <w:tcW w:w="2093" w:type="dxa"/>
                  <w:tcBorders>
                    <w:tl2br w:val="nil"/>
                    <w:tr2bl w:val="nil"/>
                  </w:tcBorders>
                  <w:vAlign w:val="center"/>
                </w:tcPr>
                <w:p w14:paraId="16FA752A">
                  <w:pPr>
                    <w:bidi w:val="0"/>
                    <w:jc w:val="center"/>
                    <w:rPr>
                      <w:rFonts w:hint="eastAsia"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Times New Roman" w:cs="Times New Roman"/>
                      <w:color w:val="auto"/>
                      <w:kern w:val="0"/>
                      <w:sz w:val="21"/>
                      <w:szCs w:val="21"/>
                      <w:highlight w:val="none"/>
                      <w:lang w:bidi="ar"/>
                    </w:rPr>
                    <w:t>PE</w:t>
                  </w:r>
                  <w:r>
                    <w:rPr>
                      <w:rFonts w:hint="default" w:ascii="Times New Roman" w:hAnsi="Times New Roman" w:eastAsia="宋体" w:cs="Times New Roman"/>
                      <w:color w:val="auto"/>
                      <w:kern w:val="0"/>
                      <w:sz w:val="21"/>
                      <w:szCs w:val="21"/>
                      <w:highlight w:val="none"/>
                      <w:lang w:bidi="ar"/>
                    </w:rPr>
                    <w:t>桶、防漏编织胶袋、带塞钢圆桶</w:t>
                  </w:r>
                </w:p>
              </w:tc>
              <w:tc>
                <w:tcPr>
                  <w:tcW w:w="867" w:type="dxa"/>
                  <w:tcBorders>
                    <w:tl2br w:val="nil"/>
                    <w:tr2bl w:val="nil"/>
                  </w:tcBorders>
                  <w:vAlign w:val="center"/>
                </w:tcPr>
                <w:p w14:paraId="48FFCEB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65ED92F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5906FF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0B96963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HW12染料、涂料废物</w:t>
                  </w:r>
                </w:p>
              </w:tc>
              <w:tc>
                <w:tcPr>
                  <w:tcW w:w="829" w:type="dxa"/>
                  <w:tcBorders>
                    <w:tl2br w:val="nil"/>
                    <w:tr2bl w:val="nil"/>
                  </w:tcBorders>
                  <w:vAlign w:val="center"/>
                </w:tcPr>
                <w:p w14:paraId="7F926DB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ECC7AF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39B2234D">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01228174">
                  <w:pPr>
                    <w:bidi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内衬高密度聚乙烯膜专用编织袋（及时扎口）</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铁桶（加盖）</w:t>
                  </w:r>
                </w:p>
              </w:tc>
              <w:tc>
                <w:tcPr>
                  <w:tcW w:w="867" w:type="dxa"/>
                  <w:tcBorders>
                    <w:tl2br w:val="nil"/>
                    <w:tr2bl w:val="nil"/>
                  </w:tcBorders>
                  <w:vAlign w:val="center"/>
                </w:tcPr>
                <w:p w14:paraId="188967B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6DEB55C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673C72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4D710A8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HW13有机树脂类废物</w:t>
                  </w:r>
                </w:p>
              </w:tc>
              <w:tc>
                <w:tcPr>
                  <w:tcW w:w="829" w:type="dxa"/>
                  <w:tcBorders>
                    <w:tl2br w:val="nil"/>
                    <w:tr2bl w:val="nil"/>
                  </w:tcBorders>
                  <w:vAlign w:val="center"/>
                </w:tcPr>
                <w:p w14:paraId="290A3EA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5D11D47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2705BAD5">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08C1708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内衬高密度聚乙烯膜专用编织袋（及时扎口）铁桶（加盖）</w:t>
                  </w:r>
                </w:p>
              </w:tc>
              <w:tc>
                <w:tcPr>
                  <w:tcW w:w="867" w:type="dxa"/>
                  <w:tcBorders>
                    <w:tl2br w:val="nil"/>
                    <w:tr2bl w:val="nil"/>
                  </w:tcBorders>
                  <w:vAlign w:val="center"/>
                </w:tcPr>
                <w:p w14:paraId="0561118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c>
                <w:tcPr>
                  <w:tcW w:w="952" w:type="dxa"/>
                  <w:tcBorders>
                    <w:tl2br w:val="nil"/>
                    <w:tr2bl w:val="nil"/>
                  </w:tcBorders>
                  <w:vAlign w:val="center"/>
                </w:tcPr>
                <w:p w14:paraId="1CD3078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p>
              </w:tc>
            </w:tr>
            <w:tr w14:paraId="405670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1184" w:type="dxa"/>
                  <w:tcBorders>
                    <w:tl2br w:val="nil"/>
                    <w:tr2bl w:val="nil"/>
                  </w:tcBorders>
                  <w:vAlign w:val="center"/>
                </w:tcPr>
                <w:p w14:paraId="3A2D4592">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14新化学物质废物</w:t>
                  </w:r>
                </w:p>
              </w:tc>
              <w:tc>
                <w:tcPr>
                  <w:tcW w:w="829" w:type="dxa"/>
                  <w:tcBorders>
                    <w:tl2br w:val="nil"/>
                    <w:tr2bl w:val="nil"/>
                  </w:tcBorders>
                  <w:vAlign w:val="center"/>
                </w:tcPr>
                <w:p w14:paraId="39EDF57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ED31A6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6705630E">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30399A7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铁桶（加盖）避光</w:t>
                  </w:r>
                </w:p>
              </w:tc>
              <w:tc>
                <w:tcPr>
                  <w:tcW w:w="867" w:type="dxa"/>
                  <w:tcBorders>
                    <w:tl2br w:val="nil"/>
                    <w:tr2bl w:val="nil"/>
                  </w:tcBorders>
                  <w:vAlign w:val="center"/>
                </w:tcPr>
                <w:p w14:paraId="5148B32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498450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4267C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71FC557D">
                  <w:pPr>
                    <w:bidi w:val="0"/>
                    <w:jc w:val="center"/>
                    <w:rPr>
                      <w:color w:val="auto"/>
                      <w:highlight w:val="none"/>
                    </w:rPr>
                  </w:pPr>
                  <w:r>
                    <w:rPr>
                      <w:color w:val="auto"/>
                      <w:highlight w:val="none"/>
                    </w:rPr>
                    <w:t>HW</w:t>
                  </w:r>
                  <w:r>
                    <w:rPr>
                      <w:color w:val="auto"/>
                      <w:spacing w:val="3"/>
                      <w:highlight w:val="none"/>
                    </w:rPr>
                    <w:t>15爆炸性废物</w:t>
                  </w:r>
                </w:p>
              </w:tc>
              <w:tc>
                <w:tcPr>
                  <w:tcW w:w="829" w:type="dxa"/>
                  <w:tcBorders>
                    <w:tl2br w:val="nil"/>
                    <w:tr2bl w:val="nil"/>
                  </w:tcBorders>
                  <w:vAlign w:val="center"/>
                </w:tcPr>
                <w:p w14:paraId="367F047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25FC3C18">
                  <w:pPr>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液态</w:t>
                  </w:r>
                </w:p>
              </w:tc>
              <w:tc>
                <w:tcPr>
                  <w:tcW w:w="980" w:type="dxa"/>
                  <w:tcBorders>
                    <w:tl2br w:val="nil"/>
                    <w:tr2bl w:val="nil"/>
                  </w:tcBorders>
                  <w:vAlign w:val="center"/>
                </w:tcPr>
                <w:p w14:paraId="1F2415F8">
                  <w:pPr>
                    <w:bidi w:val="0"/>
                    <w:jc w:val="both"/>
                    <w:rPr>
                      <w:rFonts w:hint="default"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600F27DF">
                  <w:pPr>
                    <w:bidi w:val="0"/>
                    <w:jc w:val="center"/>
                    <w:rPr>
                      <w:rFonts w:hint="default" w:ascii="Times New Roman" w:hAnsi="Times New Roman" w:eastAsia="宋体" w:cs="Times New Roman"/>
                      <w:color w:val="auto"/>
                      <w:highlight w:val="none"/>
                      <w:lang w:eastAsia="zh-CN"/>
                    </w:rPr>
                  </w:pPr>
                </w:p>
              </w:tc>
              <w:tc>
                <w:tcPr>
                  <w:tcW w:w="867" w:type="dxa"/>
                  <w:tcBorders>
                    <w:tl2br w:val="nil"/>
                    <w:tr2bl w:val="nil"/>
                  </w:tcBorders>
                  <w:vAlign w:val="center"/>
                </w:tcPr>
                <w:p w14:paraId="667EEC9D">
                  <w:pPr>
                    <w:bidi w:val="0"/>
                    <w:jc w:val="center"/>
                    <w:rPr>
                      <w:color w:val="auto"/>
                      <w:highlight w:val="none"/>
                    </w:rPr>
                  </w:pPr>
                  <w:r>
                    <w:rPr>
                      <w:rFonts w:hint="default" w:ascii="Times New Roman" w:hAnsi="Times New Roman" w:eastAsia="宋体" w:cs="Times New Roman"/>
                      <w:color w:val="auto"/>
                      <w:highlight w:val="none"/>
                      <w:lang w:val="en-US" w:eastAsia="zh-CN"/>
                    </w:rPr>
                    <w:t>4</w:t>
                  </w:r>
                </w:p>
              </w:tc>
              <w:tc>
                <w:tcPr>
                  <w:tcW w:w="952" w:type="dxa"/>
                  <w:tcBorders>
                    <w:tl2br w:val="nil"/>
                    <w:tr2bl w:val="nil"/>
                  </w:tcBorders>
                  <w:vAlign w:val="center"/>
                </w:tcPr>
                <w:p w14:paraId="28FD5079">
                  <w:pPr>
                    <w:bidi w:val="0"/>
                    <w:jc w:val="center"/>
                    <w:rPr>
                      <w:color w:val="auto"/>
                      <w:highlight w:val="none"/>
                    </w:rPr>
                  </w:pPr>
                  <w:r>
                    <w:rPr>
                      <w:rFonts w:hint="default" w:ascii="Times New Roman" w:hAnsi="Times New Roman" w:eastAsia="宋体" w:cs="Times New Roman"/>
                      <w:color w:val="auto"/>
                      <w:highlight w:val="none"/>
                      <w:lang w:val="en-US" w:eastAsia="zh-CN"/>
                    </w:rPr>
                    <w:t>3</w:t>
                  </w:r>
                </w:p>
              </w:tc>
            </w:tr>
            <w:tr w14:paraId="6D5AF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64AC239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HW16感光材料废物</w:t>
                  </w:r>
                </w:p>
              </w:tc>
              <w:tc>
                <w:tcPr>
                  <w:tcW w:w="829" w:type="dxa"/>
                  <w:tcBorders>
                    <w:tl2br w:val="nil"/>
                    <w:tr2bl w:val="nil"/>
                  </w:tcBorders>
                  <w:vAlign w:val="center"/>
                </w:tcPr>
                <w:p w14:paraId="161FAD5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D97D18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17FCC0A8">
                  <w:pPr>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2093" w:type="dxa"/>
                  <w:tcBorders>
                    <w:tl2br w:val="nil"/>
                    <w:tr2bl w:val="nil"/>
                  </w:tcBorders>
                  <w:vAlign w:val="center"/>
                </w:tcPr>
                <w:p w14:paraId="7F1F12E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p>
              </w:tc>
              <w:tc>
                <w:tcPr>
                  <w:tcW w:w="867" w:type="dxa"/>
                  <w:tcBorders>
                    <w:tl2br w:val="nil"/>
                    <w:tr2bl w:val="nil"/>
                  </w:tcBorders>
                  <w:vAlign w:val="center"/>
                </w:tcPr>
                <w:p w14:paraId="7A4D562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4ED1BF8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24092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0050265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HW17表面处理废物</w:t>
                  </w:r>
                </w:p>
              </w:tc>
              <w:tc>
                <w:tcPr>
                  <w:tcW w:w="829" w:type="dxa"/>
                  <w:tcBorders>
                    <w:tl2br w:val="nil"/>
                    <w:tr2bl w:val="nil"/>
                  </w:tcBorders>
                  <w:vAlign w:val="center"/>
                </w:tcPr>
                <w:p w14:paraId="2E50FA6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0BE9A3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6C71EBF3">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2FB09C2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p>
              </w:tc>
              <w:tc>
                <w:tcPr>
                  <w:tcW w:w="867" w:type="dxa"/>
                  <w:tcBorders>
                    <w:tl2br w:val="nil"/>
                    <w:tr2bl w:val="nil"/>
                  </w:tcBorders>
                  <w:vAlign w:val="center"/>
                </w:tcPr>
                <w:p w14:paraId="3527E09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4</w:t>
                  </w:r>
                </w:p>
              </w:tc>
              <w:tc>
                <w:tcPr>
                  <w:tcW w:w="952" w:type="dxa"/>
                  <w:tcBorders>
                    <w:tl2br w:val="nil"/>
                    <w:tr2bl w:val="nil"/>
                  </w:tcBorders>
                  <w:vAlign w:val="center"/>
                </w:tcPr>
                <w:p w14:paraId="2663F3E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r>
            <w:tr w14:paraId="23561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0ADADCB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Times New Roman" w:cs="Times New Roman"/>
                      <w:color w:val="auto"/>
                      <w:kern w:val="0"/>
                      <w:sz w:val="21"/>
                      <w:szCs w:val="21"/>
                      <w:highlight w:val="none"/>
                      <w:lang w:bidi="ar"/>
                    </w:rPr>
                    <w:t>HW18</w:t>
                  </w:r>
                  <w:r>
                    <w:rPr>
                      <w:rFonts w:hint="default" w:ascii="Times New Roman" w:hAnsi="Times New Roman" w:eastAsia="宋体" w:cs="Times New Roman"/>
                      <w:color w:val="auto"/>
                      <w:kern w:val="0"/>
                      <w:sz w:val="21"/>
                      <w:szCs w:val="21"/>
                      <w:highlight w:val="none"/>
                    </w:rPr>
                    <w:t>焚烧处置残渣</w:t>
                  </w:r>
                </w:p>
              </w:tc>
              <w:tc>
                <w:tcPr>
                  <w:tcW w:w="829" w:type="dxa"/>
                  <w:tcBorders>
                    <w:tl2br w:val="nil"/>
                    <w:tr2bl w:val="nil"/>
                  </w:tcBorders>
                  <w:vAlign w:val="center"/>
                </w:tcPr>
                <w:p w14:paraId="63F979F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2B0C39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12D2732A">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776F41F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3179A7B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D3ADA75">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5C9C9C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3C6D651B">
                  <w:pPr>
                    <w:bidi w:val="0"/>
                    <w:jc w:val="center"/>
                    <w:rPr>
                      <w:rFonts w:hint="default" w:ascii="Times New Roman" w:hAnsi="Times New Roman" w:eastAsia="Times New Roman" w:cs="Times New Roman"/>
                      <w:color w:val="auto"/>
                      <w:kern w:val="0"/>
                      <w:sz w:val="21"/>
                      <w:szCs w:val="21"/>
                      <w:highlight w:val="none"/>
                      <w:lang w:bidi="ar"/>
                    </w:rPr>
                  </w:pPr>
                  <w:r>
                    <w:rPr>
                      <w:color w:val="auto"/>
                      <w:highlight w:val="none"/>
                    </w:rPr>
                    <w:t>HW</w:t>
                  </w:r>
                  <w:r>
                    <w:rPr>
                      <w:color w:val="auto"/>
                      <w:spacing w:val="2"/>
                      <w:highlight w:val="none"/>
                    </w:rPr>
                    <w:t>19金属羰基化合物废物</w:t>
                  </w:r>
                </w:p>
              </w:tc>
              <w:tc>
                <w:tcPr>
                  <w:tcW w:w="829" w:type="dxa"/>
                  <w:tcBorders>
                    <w:tl2br w:val="nil"/>
                    <w:tr2bl w:val="nil"/>
                  </w:tcBorders>
                  <w:vAlign w:val="center"/>
                </w:tcPr>
                <w:p w14:paraId="2C74A5B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C306E6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74E198C1">
                  <w:pPr>
                    <w:bidi w:val="0"/>
                    <w:jc w:val="both"/>
                    <w:rPr>
                      <w:rFonts w:hint="default"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1A3A385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6ED9B77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4</w:t>
                  </w:r>
                </w:p>
              </w:tc>
              <w:tc>
                <w:tcPr>
                  <w:tcW w:w="952" w:type="dxa"/>
                  <w:tcBorders>
                    <w:tl2br w:val="nil"/>
                    <w:tr2bl w:val="nil"/>
                  </w:tcBorders>
                  <w:vAlign w:val="center"/>
                </w:tcPr>
                <w:p w14:paraId="66805318">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r>
            <w:tr w14:paraId="6A26D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4DC34AD8">
                  <w:pPr>
                    <w:bidi w:val="0"/>
                    <w:jc w:val="center"/>
                    <w:rPr>
                      <w:color w:val="auto"/>
                      <w:highlight w:val="none"/>
                    </w:rPr>
                  </w:pPr>
                  <w:r>
                    <w:rPr>
                      <w:color w:val="auto"/>
                      <w:highlight w:val="none"/>
                    </w:rPr>
                    <w:t>HW</w:t>
                  </w:r>
                  <w:r>
                    <w:rPr>
                      <w:color w:val="auto"/>
                      <w:spacing w:val="3"/>
                      <w:highlight w:val="none"/>
                    </w:rPr>
                    <w:t>20含铍废物</w:t>
                  </w:r>
                </w:p>
              </w:tc>
              <w:tc>
                <w:tcPr>
                  <w:tcW w:w="829" w:type="dxa"/>
                  <w:tcBorders>
                    <w:tl2br w:val="nil"/>
                    <w:tr2bl w:val="nil"/>
                  </w:tcBorders>
                  <w:vAlign w:val="center"/>
                </w:tcPr>
                <w:p w14:paraId="495CA7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16BDB2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733A2CBD">
                  <w:pPr>
                    <w:pStyle w:val="195"/>
                    <w:spacing w:before="54" w:line="200" w:lineRule="auto"/>
                    <w:ind w:left="228" w:leftChars="0"/>
                    <w:rPr>
                      <w:rFonts w:hint="eastAsia"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6A04099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15198C4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CDE57F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995E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6A2C88D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HW21含铬废物；</w:t>
                  </w:r>
                </w:p>
              </w:tc>
              <w:tc>
                <w:tcPr>
                  <w:tcW w:w="829" w:type="dxa"/>
                  <w:tcBorders>
                    <w:tl2br w:val="nil"/>
                    <w:tr2bl w:val="nil"/>
                  </w:tcBorders>
                  <w:vAlign w:val="center"/>
                </w:tcPr>
                <w:p w14:paraId="3598ABC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20DA82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4FFA8D43">
                  <w:pPr>
                    <w:pStyle w:val="195"/>
                    <w:spacing w:before="45" w:line="189"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15A7514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682DA52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CDB181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BDF88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61C0BEA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HW22含铜废物</w:t>
                  </w:r>
                </w:p>
              </w:tc>
              <w:tc>
                <w:tcPr>
                  <w:tcW w:w="829" w:type="dxa"/>
                  <w:tcBorders>
                    <w:tl2br w:val="nil"/>
                    <w:tr2bl w:val="nil"/>
                  </w:tcBorders>
                  <w:vAlign w:val="center"/>
                </w:tcPr>
                <w:p w14:paraId="141EA08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A6B260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top"/>
                </w:tcPr>
                <w:p w14:paraId="248A79AA">
                  <w:pPr>
                    <w:pStyle w:val="195"/>
                    <w:spacing w:before="55" w:line="188"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32A9F0C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内衬高密度聚乙烯膜专用编织袋（及时扎口）、桶装（加盖）</w:t>
                  </w:r>
                </w:p>
              </w:tc>
              <w:tc>
                <w:tcPr>
                  <w:tcW w:w="867" w:type="dxa"/>
                  <w:tcBorders>
                    <w:tl2br w:val="nil"/>
                    <w:tr2bl w:val="nil"/>
                  </w:tcBorders>
                  <w:vAlign w:val="center"/>
                </w:tcPr>
                <w:p w14:paraId="3775D01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5832909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39CABB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center"/>
                </w:tcPr>
                <w:p w14:paraId="5D9406C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HW23含锌废物</w:t>
                  </w:r>
                </w:p>
              </w:tc>
              <w:tc>
                <w:tcPr>
                  <w:tcW w:w="829" w:type="dxa"/>
                  <w:tcBorders>
                    <w:tl2br w:val="nil"/>
                    <w:tr2bl w:val="nil"/>
                  </w:tcBorders>
                  <w:vAlign w:val="center"/>
                </w:tcPr>
                <w:p w14:paraId="34B998B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2D45C2D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46048F7A">
                  <w:pPr>
                    <w:pStyle w:val="195"/>
                    <w:spacing w:before="46" w:line="188"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528D43D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408C82A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4D447A07">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7849B1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11DE61B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HW24含砷废物</w:t>
                  </w:r>
                </w:p>
              </w:tc>
              <w:tc>
                <w:tcPr>
                  <w:tcW w:w="829" w:type="dxa"/>
                  <w:tcBorders>
                    <w:tl2br w:val="nil"/>
                    <w:tr2bl w:val="nil"/>
                  </w:tcBorders>
                  <w:vAlign w:val="center"/>
                </w:tcPr>
                <w:p w14:paraId="386A2E0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FE5D2A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4A09BE36">
                  <w:pPr>
                    <w:pStyle w:val="195"/>
                    <w:spacing w:before="56" w:line="187"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08205B9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4FA61F9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5313CFF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1189C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4F7DA60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HW25含硒废物</w:t>
                  </w:r>
                </w:p>
              </w:tc>
              <w:tc>
                <w:tcPr>
                  <w:tcW w:w="829" w:type="dxa"/>
                  <w:tcBorders>
                    <w:tl2br w:val="nil"/>
                    <w:tr2bl w:val="nil"/>
                  </w:tcBorders>
                  <w:vAlign w:val="center"/>
                </w:tcPr>
                <w:p w14:paraId="3FC9BA6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411DD7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6FCB688E">
                  <w:pPr>
                    <w:pStyle w:val="195"/>
                    <w:spacing w:before="57" w:line="187"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62CD86D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5ED0920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B76F0D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15981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top"/>
                </w:tcPr>
                <w:p w14:paraId="3265445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HW26含镉废物</w:t>
                  </w:r>
                </w:p>
              </w:tc>
              <w:tc>
                <w:tcPr>
                  <w:tcW w:w="829" w:type="dxa"/>
                  <w:tcBorders>
                    <w:tl2br w:val="nil"/>
                    <w:tr2bl w:val="nil"/>
                  </w:tcBorders>
                  <w:vAlign w:val="center"/>
                </w:tcPr>
                <w:p w14:paraId="4EE7C45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3D8AA5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76264BE5">
                  <w:pPr>
                    <w:pStyle w:val="195"/>
                    <w:spacing w:before="47" w:line="187"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7DADD32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124ADFA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3375E61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7F811E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top"/>
                </w:tcPr>
                <w:p w14:paraId="3B165FD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HW27含锑废物</w:t>
                  </w:r>
                </w:p>
              </w:tc>
              <w:tc>
                <w:tcPr>
                  <w:tcW w:w="829" w:type="dxa"/>
                  <w:tcBorders>
                    <w:tl2br w:val="nil"/>
                    <w:tr2bl w:val="nil"/>
                  </w:tcBorders>
                  <w:vAlign w:val="center"/>
                </w:tcPr>
                <w:p w14:paraId="1ABB3F9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7B3B08D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3B024E07">
                  <w:pPr>
                    <w:pStyle w:val="195"/>
                    <w:spacing w:before="57" w:line="186"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1E4D440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13171F8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4E21AC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3DD10C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184" w:type="dxa"/>
                  <w:tcBorders>
                    <w:tl2br w:val="nil"/>
                    <w:tr2bl w:val="nil"/>
                  </w:tcBorders>
                  <w:vAlign w:val="top"/>
                </w:tcPr>
                <w:p w14:paraId="21DF940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HW28含碲废物</w:t>
                  </w:r>
                </w:p>
              </w:tc>
              <w:tc>
                <w:tcPr>
                  <w:tcW w:w="829" w:type="dxa"/>
                  <w:tcBorders>
                    <w:tl2br w:val="nil"/>
                    <w:tr2bl w:val="nil"/>
                  </w:tcBorders>
                  <w:vAlign w:val="center"/>
                </w:tcPr>
                <w:p w14:paraId="1A3311C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695707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5C664CB1">
                  <w:pPr>
                    <w:pStyle w:val="195"/>
                    <w:spacing w:before="48" w:line="186" w:lineRule="auto"/>
                    <w:ind w:left="228" w:leftChars="0"/>
                    <w:rPr>
                      <w:rFonts w:hint="default" w:ascii="Times New Roman" w:hAnsi="Times New Roman" w:eastAsia="宋体" w:cs="Times New Roman"/>
                      <w:color w:val="auto"/>
                      <w:sz w:val="21"/>
                      <w:szCs w:val="21"/>
                      <w:highlight w:val="none"/>
                      <w:lang w:val="en-US" w:eastAsia="zh-CN"/>
                    </w:rPr>
                  </w:pPr>
                  <w:r>
                    <w:rPr>
                      <w:color w:val="auto"/>
                      <w:spacing w:val="-3"/>
                      <w:sz w:val="21"/>
                      <w:szCs w:val="21"/>
                      <w:highlight w:val="none"/>
                    </w:rPr>
                    <w:t>50</w:t>
                  </w:r>
                </w:p>
              </w:tc>
              <w:tc>
                <w:tcPr>
                  <w:tcW w:w="2093" w:type="dxa"/>
                  <w:tcBorders>
                    <w:tl2br w:val="nil"/>
                    <w:tr2bl w:val="nil"/>
                  </w:tcBorders>
                  <w:vAlign w:val="center"/>
                </w:tcPr>
                <w:p w14:paraId="5859E4B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5895168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0B77121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7F218B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84" w:type="dxa"/>
                  <w:tcBorders>
                    <w:tl2br w:val="nil"/>
                    <w:tr2bl w:val="nil"/>
                  </w:tcBorders>
                  <w:vAlign w:val="center"/>
                </w:tcPr>
                <w:p w14:paraId="1053655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HW29含汞废物</w:t>
                  </w:r>
                </w:p>
              </w:tc>
              <w:tc>
                <w:tcPr>
                  <w:tcW w:w="829" w:type="dxa"/>
                  <w:tcBorders>
                    <w:tl2br w:val="nil"/>
                    <w:tr2bl w:val="nil"/>
                  </w:tcBorders>
                  <w:vAlign w:val="center"/>
                </w:tcPr>
                <w:p w14:paraId="0CC706E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63EB1C5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top"/>
                </w:tcPr>
                <w:p w14:paraId="0A96139B">
                  <w:pPr>
                    <w:pStyle w:val="195"/>
                    <w:spacing w:before="58" w:line="185" w:lineRule="auto"/>
                    <w:ind w:left="178" w:leftChars="0"/>
                    <w:rPr>
                      <w:rFonts w:hint="default" w:ascii="Times New Roman" w:hAnsi="Times New Roman" w:eastAsia="宋体" w:cs="Times New Roman"/>
                      <w:color w:val="auto"/>
                      <w:sz w:val="21"/>
                      <w:szCs w:val="21"/>
                      <w:highlight w:val="none"/>
                      <w:lang w:val="en-US" w:eastAsia="zh-CN"/>
                    </w:rPr>
                  </w:pPr>
                  <w:r>
                    <w:rPr>
                      <w:color w:val="auto"/>
                      <w:spacing w:val="-5"/>
                      <w:sz w:val="21"/>
                      <w:szCs w:val="21"/>
                      <w:highlight w:val="none"/>
                    </w:rPr>
                    <w:t>100</w:t>
                  </w:r>
                </w:p>
              </w:tc>
              <w:tc>
                <w:tcPr>
                  <w:tcW w:w="2093" w:type="dxa"/>
                  <w:tcBorders>
                    <w:tl2br w:val="nil"/>
                    <w:tr2bl w:val="nil"/>
                  </w:tcBorders>
                  <w:vAlign w:val="center"/>
                </w:tcPr>
                <w:p w14:paraId="6A4BF36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吨袋、内衬高密度聚乙烯膜专用编织袋袋装（及时扎口）、废物周转箱；PE桶桶装（加盖加盖</w:t>
                  </w:r>
                </w:p>
              </w:tc>
              <w:tc>
                <w:tcPr>
                  <w:tcW w:w="867" w:type="dxa"/>
                  <w:tcBorders>
                    <w:tl2br w:val="nil"/>
                    <w:tr2bl w:val="nil"/>
                  </w:tcBorders>
                  <w:vAlign w:val="center"/>
                </w:tcPr>
                <w:p w14:paraId="7896448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0.4</w:t>
                  </w:r>
                </w:p>
              </w:tc>
              <w:tc>
                <w:tcPr>
                  <w:tcW w:w="952" w:type="dxa"/>
                  <w:tcBorders>
                    <w:tl2br w:val="nil"/>
                    <w:tr2bl w:val="nil"/>
                  </w:tcBorders>
                  <w:vAlign w:val="center"/>
                </w:tcPr>
                <w:p w14:paraId="520BA17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5B684D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0197BA96">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3"/>
                      <w:highlight w:val="none"/>
                    </w:rPr>
                    <w:t>30含铊废物</w:t>
                  </w:r>
                </w:p>
              </w:tc>
              <w:tc>
                <w:tcPr>
                  <w:tcW w:w="829" w:type="dxa"/>
                  <w:tcBorders>
                    <w:tl2br w:val="nil"/>
                    <w:tr2bl w:val="nil"/>
                  </w:tcBorders>
                  <w:vAlign w:val="center"/>
                </w:tcPr>
                <w:p w14:paraId="0D92D55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02DC30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7CBCF204">
                  <w:pPr>
                    <w:bidi w:val="0"/>
                    <w:jc w:val="both"/>
                    <w:rPr>
                      <w:rFonts w:hint="default" w:ascii="Times New Roman" w:hAnsi="Times New Roman" w:eastAsia="宋体" w:cs="Times New Roman"/>
                      <w:color w:val="auto"/>
                      <w:highlight w:val="none"/>
                      <w:lang w:val="en-US" w:eastAsia="zh-CN"/>
                    </w:rPr>
                  </w:pPr>
                </w:p>
              </w:tc>
              <w:tc>
                <w:tcPr>
                  <w:tcW w:w="2093" w:type="dxa"/>
                  <w:tcBorders>
                    <w:tl2br w:val="nil"/>
                    <w:tr2bl w:val="nil"/>
                  </w:tcBorders>
                  <w:vAlign w:val="center"/>
                </w:tcPr>
                <w:p w14:paraId="32122AF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5F68A1A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0.4</w:t>
                  </w:r>
                </w:p>
              </w:tc>
              <w:tc>
                <w:tcPr>
                  <w:tcW w:w="952" w:type="dxa"/>
                  <w:tcBorders>
                    <w:tl2br w:val="nil"/>
                    <w:tr2bl w:val="nil"/>
                  </w:tcBorders>
                  <w:vAlign w:val="center"/>
                </w:tcPr>
                <w:p w14:paraId="13D7674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r>
            <w:tr w14:paraId="0C2B1C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3CF5ABA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HW31含铅废物</w:t>
                  </w:r>
                </w:p>
              </w:tc>
              <w:tc>
                <w:tcPr>
                  <w:tcW w:w="829" w:type="dxa"/>
                  <w:tcBorders>
                    <w:tl2br w:val="nil"/>
                    <w:tr2bl w:val="nil"/>
                  </w:tcBorders>
                  <w:vAlign w:val="center"/>
                </w:tcPr>
                <w:p w14:paraId="58A2922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505B1A3">
                  <w:pPr>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液态</w:t>
                  </w:r>
                </w:p>
              </w:tc>
              <w:tc>
                <w:tcPr>
                  <w:tcW w:w="980" w:type="dxa"/>
                  <w:tcBorders>
                    <w:tl2br w:val="nil"/>
                    <w:tr2bl w:val="nil"/>
                  </w:tcBorders>
                  <w:vAlign w:val="center"/>
                </w:tcPr>
                <w:p w14:paraId="4EAF22B6">
                  <w:pPr>
                    <w:bidi w:val="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1000</w:t>
                  </w:r>
                </w:p>
              </w:tc>
              <w:tc>
                <w:tcPr>
                  <w:tcW w:w="2093" w:type="dxa"/>
                  <w:tcBorders>
                    <w:tl2br w:val="nil"/>
                    <w:tr2bl w:val="nil"/>
                  </w:tcBorders>
                  <w:vAlign w:val="center"/>
                </w:tcPr>
                <w:p w14:paraId="40074DB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3336AB9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6</w:t>
                  </w:r>
                </w:p>
              </w:tc>
              <w:tc>
                <w:tcPr>
                  <w:tcW w:w="952" w:type="dxa"/>
                  <w:tcBorders>
                    <w:tl2br w:val="nil"/>
                    <w:tr2bl w:val="nil"/>
                  </w:tcBorders>
                  <w:vAlign w:val="center"/>
                </w:tcPr>
                <w:p w14:paraId="3C7993F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r>
            <w:tr w14:paraId="6C0306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4CC6CF2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HW32无机氟化物废物</w:t>
                  </w:r>
                </w:p>
              </w:tc>
              <w:tc>
                <w:tcPr>
                  <w:tcW w:w="829" w:type="dxa"/>
                  <w:tcBorders>
                    <w:tl2br w:val="nil"/>
                    <w:tr2bl w:val="nil"/>
                  </w:tcBorders>
                  <w:vAlign w:val="center"/>
                </w:tcPr>
                <w:p w14:paraId="6D11542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25FE0AC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231A4639">
                  <w:pPr>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093" w:type="dxa"/>
                  <w:tcBorders>
                    <w:tl2br w:val="nil"/>
                    <w:tr2bl w:val="nil"/>
                  </w:tcBorders>
                  <w:vAlign w:val="center"/>
                </w:tcPr>
                <w:p w14:paraId="47346DF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7A81A25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1F5AE0BF">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002FD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1184" w:type="dxa"/>
                  <w:tcBorders>
                    <w:tl2br w:val="nil"/>
                    <w:tr2bl w:val="nil"/>
                  </w:tcBorders>
                  <w:vAlign w:val="center"/>
                </w:tcPr>
                <w:p w14:paraId="7FD50033">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2"/>
                      <w:highlight w:val="none"/>
                    </w:rPr>
                    <w:t>33无机氰化物废物</w:t>
                  </w:r>
                </w:p>
              </w:tc>
              <w:tc>
                <w:tcPr>
                  <w:tcW w:w="829" w:type="dxa"/>
                  <w:tcBorders>
                    <w:tl2br w:val="nil"/>
                    <w:tr2bl w:val="nil"/>
                  </w:tcBorders>
                  <w:vAlign w:val="center"/>
                </w:tcPr>
                <w:p w14:paraId="7186327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967AAD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5DBC9970">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2093" w:type="dxa"/>
                  <w:tcBorders>
                    <w:tl2br w:val="nil"/>
                    <w:tr2bl w:val="nil"/>
                  </w:tcBorders>
                  <w:vAlign w:val="center"/>
                </w:tcPr>
                <w:p w14:paraId="35373D3A">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526E84CE">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6C336399">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E9CC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1183B6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HW36石棉废物</w:t>
                  </w:r>
                </w:p>
              </w:tc>
              <w:tc>
                <w:tcPr>
                  <w:tcW w:w="829" w:type="dxa"/>
                  <w:tcBorders>
                    <w:tl2br w:val="nil"/>
                    <w:tr2bl w:val="nil"/>
                  </w:tcBorders>
                  <w:vAlign w:val="center"/>
                </w:tcPr>
                <w:p w14:paraId="62CB1D5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p w14:paraId="28C4AE6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p w14:paraId="10B535B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AC1C0E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center"/>
                </w:tcPr>
                <w:p w14:paraId="5AFEA498">
                  <w:pPr>
                    <w:bidi w:val="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c>
                <w:tcPr>
                  <w:tcW w:w="2093" w:type="dxa"/>
                  <w:tcBorders>
                    <w:tl2br w:val="nil"/>
                    <w:tr2bl w:val="nil"/>
                  </w:tcBorders>
                  <w:vAlign w:val="center"/>
                </w:tcPr>
                <w:p w14:paraId="562DF9A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内衬高密度聚乙烯膜专用编织袋（及时扎口）、桶装（加盖）</w:t>
                  </w:r>
                </w:p>
              </w:tc>
              <w:tc>
                <w:tcPr>
                  <w:tcW w:w="867" w:type="dxa"/>
                  <w:tcBorders>
                    <w:tl2br w:val="nil"/>
                    <w:tr2bl w:val="nil"/>
                  </w:tcBorders>
                  <w:vAlign w:val="center"/>
                </w:tcPr>
                <w:p w14:paraId="33351341">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0A5219F5">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0CEB2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7280A3C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HW37有机磷化合物废物</w:t>
                  </w:r>
                </w:p>
              </w:tc>
              <w:tc>
                <w:tcPr>
                  <w:tcW w:w="829" w:type="dxa"/>
                  <w:tcBorders>
                    <w:tl2br w:val="nil"/>
                    <w:tr2bl w:val="nil"/>
                  </w:tcBorders>
                  <w:vAlign w:val="center"/>
                </w:tcPr>
                <w:p w14:paraId="09106C4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49F3D1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w:t>
                  </w:r>
                </w:p>
              </w:tc>
              <w:tc>
                <w:tcPr>
                  <w:tcW w:w="980" w:type="dxa"/>
                  <w:tcBorders>
                    <w:tl2br w:val="nil"/>
                    <w:tr2bl w:val="nil"/>
                  </w:tcBorders>
                  <w:vAlign w:val="top"/>
                </w:tcPr>
                <w:p w14:paraId="098EAFA0">
                  <w:pPr>
                    <w:pStyle w:val="195"/>
                    <w:spacing w:before="52" w:line="181" w:lineRule="auto"/>
                    <w:ind w:left="178" w:leftChars="0"/>
                    <w:rPr>
                      <w:rFonts w:hint="default" w:ascii="Times New Roman" w:hAnsi="Times New Roman" w:eastAsia="宋体" w:cs="Times New Roman"/>
                      <w:color w:val="auto"/>
                      <w:highlight w:val="none"/>
                      <w:lang w:val="en-US" w:eastAsia="zh-CN"/>
                    </w:rPr>
                  </w:pPr>
                  <w:r>
                    <w:rPr>
                      <w:color w:val="auto"/>
                      <w:spacing w:val="-5"/>
                      <w:highlight w:val="none"/>
                    </w:rPr>
                    <w:t>100</w:t>
                  </w:r>
                </w:p>
              </w:tc>
              <w:tc>
                <w:tcPr>
                  <w:tcW w:w="2093" w:type="dxa"/>
                  <w:tcBorders>
                    <w:tl2br w:val="nil"/>
                    <w:tr2bl w:val="nil"/>
                  </w:tcBorders>
                  <w:vAlign w:val="center"/>
                </w:tcPr>
                <w:p w14:paraId="5D01134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77E88E9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56FF2CE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316AB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285B038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HW38有机氰化物废物</w:t>
                  </w:r>
                </w:p>
              </w:tc>
              <w:tc>
                <w:tcPr>
                  <w:tcW w:w="829" w:type="dxa"/>
                  <w:tcBorders>
                    <w:tl2br w:val="nil"/>
                    <w:tr2bl w:val="nil"/>
                  </w:tcBorders>
                  <w:vAlign w:val="center"/>
                </w:tcPr>
                <w:p w14:paraId="6B738E7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1482D9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top"/>
                </w:tcPr>
                <w:p w14:paraId="1E856459">
                  <w:pPr>
                    <w:pStyle w:val="195"/>
                    <w:spacing w:before="63" w:line="181" w:lineRule="auto"/>
                    <w:ind w:left="228" w:leftChars="0"/>
                    <w:rPr>
                      <w:rFonts w:hint="default" w:ascii="Times New Roman" w:hAnsi="Times New Roman" w:eastAsia="宋体" w:cs="Times New Roman"/>
                      <w:color w:val="auto"/>
                      <w:highlight w:val="none"/>
                      <w:lang w:val="en-US" w:eastAsia="zh-CN"/>
                    </w:rPr>
                  </w:pPr>
                  <w:r>
                    <w:rPr>
                      <w:color w:val="auto"/>
                      <w:spacing w:val="-3"/>
                      <w:highlight w:val="none"/>
                    </w:rPr>
                    <w:t>50</w:t>
                  </w:r>
                </w:p>
              </w:tc>
              <w:tc>
                <w:tcPr>
                  <w:tcW w:w="2093" w:type="dxa"/>
                  <w:tcBorders>
                    <w:tl2br w:val="nil"/>
                    <w:tr2bl w:val="nil"/>
                  </w:tcBorders>
                  <w:vAlign w:val="center"/>
                </w:tcPr>
                <w:p w14:paraId="13A15F6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6869CF1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579E93D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656D51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11D3336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HW39含酚废物</w:t>
                  </w:r>
                </w:p>
              </w:tc>
              <w:tc>
                <w:tcPr>
                  <w:tcW w:w="829" w:type="dxa"/>
                  <w:tcBorders>
                    <w:tl2br w:val="nil"/>
                    <w:tr2bl w:val="nil"/>
                  </w:tcBorders>
                  <w:vAlign w:val="center"/>
                </w:tcPr>
                <w:p w14:paraId="494038B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p w14:paraId="4F7967F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07DBFBC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固态/液态</w:t>
                  </w:r>
                </w:p>
              </w:tc>
              <w:tc>
                <w:tcPr>
                  <w:tcW w:w="980" w:type="dxa"/>
                  <w:tcBorders>
                    <w:tl2br w:val="nil"/>
                    <w:tr2bl w:val="nil"/>
                  </w:tcBorders>
                  <w:vAlign w:val="center"/>
                </w:tcPr>
                <w:p w14:paraId="3ECF18B2">
                  <w:pPr>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093" w:type="dxa"/>
                  <w:tcBorders>
                    <w:tl2br w:val="nil"/>
                    <w:tr2bl w:val="nil"/>
                  </w:tcBorders>
                  <w:vAlign w:val="center"/>
                </w:tcPr>
                <w:p w14:paraId="34EEDB79">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2E322BEE">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10</w:t>
                  </w:r>
                </w:p>
              </w:tc>
              <w:tc>
                <w:tcPr>
                  <w:tcW w:w="952" w:type="dxa"/>
                  <w:tcBorders>
                    <w:tl2br w:val="nil"/>
                    <w:tr2bl w:val="nil"/>
                  </w:tcBorders>
                  <w:vAlign w:val="center"/>
                </w:tcPr>
                <w:p w14:paraId="46EDCD8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3</w:t>
                  </w:r>
                </w:p>
              </w:tc>
            </w:tr>
            <w:tr w14:paraId="259072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184" w:type="dxa"/>
                  <w:tcBorders>
                    <w:tl2br w:val="nil"/>
                    <w:tr2bl w:val="nil"/>
                  </w:tcBorders>
                  <w:vAlign w:val="top"/>
                </w:tcPr>
                <w:p w14:paraId="4136F37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HW40含醚废物</w:t>
                  </w:r>
                </w:p>
              </w:tc>
              <w:tc>
                <w:tcPr>
                  <w:tcW w:w="829" w:type="dxa"/>
                  <w:tcBorders>
                    <w:tl2br w:val="nil"/>
                    <w:tr2bl w:val="nil"/>
                  </w:tcBorders>
                  <w:vAlign w:val="center"/>
                </w:tcPr>
                <w:p w14:paraId="595889C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A94E3C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top"/>
                </w:tcPr>
                <w:p w14:paraId="223CFB84">
                  <w:pPr>
                    <w:pStyle w:val="195"/>
                    <w:spacing w:before="63" w:line="191" w:lineRule="auto"/>
                    <w:ind w:left="178" w:leftChars="0"/>
                    <w:rPr>
                      <w:rFonts w:hint="default" w:ascii="Times New Roman" w:hAnsi="Times New Roman" w:eastAsia="宋体" w:cs="Times New Roman"/>
                      <w:color w:val="auto"/>
                      <w:highlight w:val="none"/>
                      <w:lang w:val="en-US" w:eastAsia="zh-CN"/>
                    </w:rPr>
                  </w:pPr>
                  <w:r>
                    <w:rPr>
                      <w:color w:val="auto"/>
                      <w:spacing w:val="-5"/>
                      <w:highlight w:val="none"/>
                    </w:rPr>
                    <w:t>100</w:t>
                  </w:r>
                </w:p>
              </w:tc>
              <w:tc>
                <w:tcPr>
                  <w:tcW w:w="2093" w:type="dxa"/>
                  <w:tcBorders>
                    <w:tl2br w:val="nil"/>
                    <w:tr2bl w:val="nil"/>
                  </w:tcBorders>
                  <w:vAlign w:val="center"/>
                </w:tcPr>
                <w:p w14:paraId="186FAC6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54CDF97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p>
              </w:tc>
              <w:tc>
                <w:tcPr>
                  <w:tcW w:w="952" w:type="dxa"/>
                  <w:tcBorders>
                    <w:tl2br w:val="nil"/>
                    <w:tr2bl w:val="nil"/>
                  </w:tcBorders>
                  <w:vAlign w:val="center"/>
                </w:tcPr>
                <w:p w14:paraId="45E20DE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19950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top"/>
                </w:tcPr>
                <w:p w14:paraId="0E874FB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HW45含有机卤化物废物</w:t>
                  </w:r>
                </w:p>
              </w:tc>
              <w:tc>
                <w:tcPr>
                  <w:tcW w:w="829" w:type="dxa"/>
                  <w:tcBorders>
                    <w:tl2br w:val="nil"/>
                    <w:tr2bl w:val="nil"/>
                  </w:tcBorders>
                  <w:vAlign w:val="center"/>
                </w:tcPr>
                <w:p w14:paraId="1C2518FB">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7ED566F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top"/>
                </w:tcPr>
                <w:p w14:paraId="12433F4B">
                  <w:pPr>
                    <w:pStyle w:val="195"/>
                    <w:spacing w:before="54" w:line="180" w:lineRule="auto"/>
                    <w:ind w:left="178" w:leftChars="0"/>
                    <w:rPr>
                      <w:rFonts w:hint="default" w:ascii="Times New Roman" w:hAnsi="Times New Roman" w:eastAsia="宋体" w:cs="Times New Roman"/>
                      <w:color w:val="auto"/>
                      <w:highlight w:val="none"/>
                      <w:lang w:val="en-US" w:eastAsia="zh-CN"/>
                    </w:rPr>
                  </w:pPr>
                  <w:r>
                    <w:rPr>
                      <w:rFonts w:hint="eastAsia"/>
                      <w:color w:val="auto"/>
                      <w:spacing w:val="-2"/>
                      <w:highlight w:val="none"/>
                      <w:lang w:val="en-US" w:eastAsia="zh-CN"/>
                    </w:rPr>
                    <w:t>100</w:t>
                  </w:r>
                </w:p>
              </w:tc>
              <w:tc>
                <w:tcPr>
                  <w:tcW w:w="2093" w:type="dxa"/>
                  <w:tcBorders>
                    <w:tl2br w:val="nil"/>
                    <w:tr2bl w:val="nil"/>
                  </w:tcBorders>
                  <w:vAlign w:val="center"/>
                </w:tcPr>
                <w:p w14:paraId="4F63AC4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袋装（及时扎口）、桶装加盖</w:t>
                  </w:r>
                </w:p>
              </w:tc>
              <w:tc>
                <w:tcPr>
                  <w:tcW w:w="867" w:type="dxa"/>
                  <w:tcBorders>
                    <w:tl2br w:val="nil"/>
                    <w:tr2bl w:val="nil"/>
                  </w:tcBorders>
                  <w:vAlign w:val="center"/>
                </w:tcPr>
                <w:p w14:paraId="4E2B764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6E278327">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r>
            <w:tr w14:paraId="1191DC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84" w:type="dxa"/>
                  <w:tcBorders>
                    <w:tl2br w:val="nil"/>
                    <w:tr2bl w:val="nil"/>
                  </w:tcBorders>
                  <w:vAlign w:val="center"/>
                </w:tcPr>
                <w:p w14:paraId="188DCBA8">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HW46含镍废物</w:t>
                  </w:r>
                </w:p>
              </w:tc>
              <w:tc>
                <w:tcPr>
                  <w:tcW w:w="829" w:type="dxa"/>
                  <w:tcBorders>
                    <w:tl2br w:val="nil"/>
                    <w:tr2bl w:val="nil"/>
                  </w:tcBorders>
                  <w:vAlign w:val="center"/>
                </w:tcPr>
                <w:p w14:paraId="270A888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508684F4">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5DCC8552">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tcBorders>
                    <w:tl2br w:val="nil"/>
                    <w:tr2bl w:val="nil"/>
                  </w:tcBorders>
                  <w:vAlign w:val="center"/>
                </w:tcPr>
                <w:p w14:paraId="2B25709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PE桶桶装（加盖）</w:t>
                  </w:r>
                </w:p>
              </w:tc>
              <w:tc>
                <w:tcPr>
                  <w:tcW w:w="867" w:type="dxa"/>
                  <w:tcBorders>
                    <w:tl2br w:val="nil"/>
                    <w:tr2bl w:val="nil"/>
                  </w:tcBorders>
                  <w:vAlign w:val="center"/>
                </w:tcPr>
                <w:p w14:paraId="6F61B2B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459AC6DE">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001E4A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84" w:type="dxa"/>
                  <w:tcBorders>
                    <w:tl2br w:val="nil"/>
                    <w:tr2bl w:val="nil"/>
                  </w:tcBorders>
                  <w:vAlign w:val="center"/>
                </w:tcPr>
                <w:p w14:paraId="21ADE14B">
                  <w:pPr>
                    <w:bidi w:val="0"/>
                    <w:jc w:val="center"/>
                    <w:rPr>
                      <w:rFonts w:hint="default" w:ascii="Times New Roman" w:hAnsi="Times New Roman" w:eastAsia="宋体" w:cs="Times New Roman"/>
                      <w:color w:val="auto"/>
                      <w:highlight w:val="none"/>
                      <w:lang w:val="en-US" w:eastAsia="zh-CN"/>
                    </w:rPr>
                  </w:pPr>
                  <w:r>
                    <w:rPr>
                      <w:color w:val="auto"/>
                      <w:highlight w:val="none"/>
                    </w:rPr>
                    <w:t>HW</w:t>
                  </w:r>
                  <w:r>
                    <w:rPr>
                      <w:color w:val="auto"/>
                      <w:spacing w:val="3"/>
                      <w:highlight w:val="none"/>
                    </w:rPr>
                    <w:t>47含钡废物</w:t>
                  </w:r>
                </w:p>
              </w:tc>
              <w:tc>
                <w:tcPr>
                  <w:tcW w:w="829" w:type="dxa"/>
                  <w:tcBorders>
                    <w:tl2br w:val="nil"/>
                    <w:tr2bl w:val="nil"/>
                  </w:tcBorders>
                  <w:vAlign w:val="center"/>
                </w:tcPr>
                <w:p w14:paraId="23971A2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461B52F6">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7698F35F">
                  <w:pPr>
                    <w:bidi w:val="0"/>
                    <w:jc w:val="both"/>
                    <w:rPr>
                      <w:rFonts w:hint="default" w:cs="Times New Roman"/>
                      <w:color w:val="auto"/>
                      <w:highlight w:val="none"/>
                      <w:lang w:val="en-US" w:eastAsia="zh-CN"/>
                    </w:rPr>
                  </w:pPr>
                  <w:r>
                    <w:rPr>
                      <w:rFonts w:hint="eastAsia" w:cs="Times New Roman"/>
                      <w:color w:val="auto"/>
                      <w:highlight w:val="none"/>
                      <w:lang w:val="en-US" w:eastAsia="zh-CN"/>
                    </w:rPr>
                    <w:t>100</w:t>
                  </w:r>
                </w:p>
              </w:tc>
              <w:tc>
                <w:tcPr>
                  <w:tcW w:w="2093" w:type="dxa"/>
                  <w:tcBorders>
                    <w:tl2br w:val="nil"/>
                    <w:tr2bl w:val="nil"/>
                  </w:tcBorders>
                  <w:vAlign w:val="center"/>
                </w:tcPr>
                <w:p w14:paraId="1F7F9D98">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吨袋、内衬高密度聚乙烯膜专用编织袋袋装（及时扎口）、废物周转箱；PE桶桶装（加盖加盖</w:t>
                  </w:r>
                </w:p>
              </w:tc>
              <w:tc>
                <w:tcPr>
                  <w:tcW w:w="867" w:type="dxa"/>
                  <w:tcBorders>
                    <w:tl2br w:val="nil"/>
                    <w:tr2bl w:val="nil"/>
                  </w:tcBorders>
                  <w:vAlign w:val="center"/>
                </w:tcPr>
                <w:p w14:paraId="20EBB89B">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w:t>
                  </w:r>
                </w:p>
              </w:tc>
              <w:tc>
                <w:tcPr>
                  <w:tcW w:w="952" w:type="dxa"/>
                  <w:tcBorders>
                    <w:tl2br w:val="nil"/>
                    <w:tr2bl w:val="nil"/>
                  </w:tcBorders>
                  <w:vAlign w:val="center"/>
                </w:tcPr>
                <w:p w14:paraId="20F151A6">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7</w:t>
                  </w:r>
                </w:p>
              </w:tc>
            </w:tr>
            <w:tr w14:paraId="2B229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184" w:type="dxa"/>
                  <w:tcBorders>
                    <w:tl2br w:val="nil"/>
                    <w:tr2bl w:val="nil"/>
                  </w:tcBorders>
                  <w:vAlign w:val="center"/>
                </w:tcPr>
                <w:p w14:paraId="24525085">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HW48有色金属采选和冶炼废物</w:t>
                  </w:r>
                </w:p>
              </w:tc>
              <w:tc>
                <w:tcPr>
                  <w:tcW w:w="829" w:type="dxa"/>
                  <w:tcBorders>
                    <w:tl2br w:val="nil"/>
                    <w:tr2bl w:val="nil"/>
                  </w:tcBorders>
                  <w:vAlign w:val="center"/>
                </w:tcPr>
                <w:p w14:paraId="3DD28452">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107A7E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2BF6CF0B">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c>
                <w:tcPr>
                  <w:tcW w:w="2093" w:type="dxa"/>
                  <w:tcBorders>
                    <w:tl2br w:val="nil"/>
                    <w:tr2bl w:val="nil"/>
                  </w:tcBorders>
                  <w:vAlign w:val="center"/>
                </w:tcPr>
                <w:p w14:paraId="7C10700C">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2FB875FC">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19</w:t>
                  </w:r>
                </w:p>
              </w:tc>
              <w:tc>
                <w:tcPr>
                  <w:tcW w:w="952" w:type="dxa"/>
                  <w:tcBorders>
                    <w:tl2br w:val="nil"/>
                    <w:tr2bl w:val="nil"/>
                  </w:tcBorders>
                  <w:vAlign w:val="center"/>
                </w:tcPr>
                <w:p w14:paraId="6EC9A214">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2AD60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1184" w:type="dxa"/>
                  <w:tcBorders>
                    <w:tl2br w:val="nil"/>
                    <w:tr2bl w:val="nil"/>
                  </w:tcBorders>
                  <w:vAlign w:val="center"/>
                </w:tcPr>
                <w:p w14:paraId="7BFE06C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HW49其他废物</w:t>
                  </w:r>
                </w:p>
              </w:tc>
              <w:tc>
                <w:tcPr>
                  <w:tcW w:w="829" w:type="dxa"/>
                  <w:tcBorders>
                    <w:tl2br w:val="nil"/>
                    <w:tr2bl w:val="nil"/>
                  </w:tcBorders>
                  <w:vAlign w:val="center"/>
                </w:tcPr>
                <w:p w14:paraId="6172EEF1">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1C09A8FA">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4D56F369">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1000</w:t>
                  </w:r>
                </w:p>
              </w:tc>
              <w:tc>
                <w:tcPr>
                  <w:tcW w:w="2093" w:type="dxa"/>
                  <w:tcBorders>
                    <w:tl2br w:val="nil"/>
                    <w:tr2bl w:val="nil"/>
                  </w:tcBorders>
                  <w:vAlign w:val="center"/>
                </w:tcPr>
                <w:p w14:paraId="56885000">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4E620760">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19</w:t>
                  </w:r>
                </w:p>
              </w:tc>
              <w:tc>
                <w:tcPr>
                  <w:tcW w:w="952" w:type="dxa"/>
                  <w:tcBorders>
                    <w:tl2br w:val="nil"/>
                    <w:tr2bl w:val="nil"/>
                  </w:tcBorders>
                  <w:vAlign w:val="center"/>
                </w:tcPr>
                <w:p w14:paraId="06D38AD2">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w:t>
                  </w:r>
                </w:p>
              </w:tc>
            </w:tr>
            <w:tr w14:paraId="6CE68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84" w:type="dxa"/>
                  <w:tcBorders>
                    <w:tl2br w:val="nil"/>
                    <w:tr2bl w:val="nil"/>
                  </w:tcBorders>
                  <w:vAlign w:val="center"/>
                </w:tcPr>
                <w:p w14:paraId="48F0C023">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HW50废催化剂废物</w:t>
                  </w:r>
                </w:p>
              </w:tc>
              <w:tc>
                <w:tcPr>
                  <w:tcW w:w="829" w:type="dxa"/>
                  <w:tcBorders>
                    <w:tl2br w:val="nil"/>
                    <w:tr2bl w:val="nil"/>
                  </w:tcBorders>
                  <w:vAlign w:val="center"/>
                </w:tcPr>
                <w:p w14:paraId="598DCCAE">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全部</w:t>
                  </w:r>
                </w:p>
              </w:tc>
              <w:tc>
                <w:tcPr>
                  <w:tcW w:w="1131" w:type="dxa"/>
                  <w:tcBorders>
                    <w:tl2br w:val="nil"/>
                    <w:tr2bl w:val="nil"/>
                  </w:tcBorders>
                  <w:vAlign w:val="center"/>
                </w:tcPr>
                <w:p w14:paraId="3B4272EF">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液态/半固态/固态</w:t>
                  </w:r>
                </w:p>
              </w:tc>
              <w:tc>
                <w:tcPr>
                  <w:tcW w:w="980" w:type="dxa"/>
                  <w:tcBorders>
                    <w:tl2br w:val="nil"/>
                    <w:tr2bl w:val="nil"/>
                  </w:tcBorders>
                  <w:vAlign w:val="center"/>
                </w:tcPr>
                <w:p w14:paraId="2197B367">
                  <w:pPr>
                    <w:bidi w:val="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500</w:t>
                  </w:r>
                </w:p>
              </w:tc>
              <w:tc>
                <w:tcPr>
                  <w:tcW w:w="2093" w:type="dxa"/>
                  <w:tcBorders>
                    <w:tl2br w:val="nil"/>
                    <w:tr2bl w:val="nil"/>
                  </w:tcBorders>
                  <w:vAlign w:val="center"/>
                </w:tcPr>
                <w:p w14:paraId="4D39209D">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内衬高密度聚乙烯膜专用编织袋</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铁桶桶装加盖</w:t>
                  </w:r>
                </w:p>
              </w:tc>
              <w:tc>
                <w:tcPr>
                  <w:tcW w:w="867" w:type="dxa"/>
                  <w:tcBorders>
                    <w:tl2br w:val="nil"/>
                    <w:tr2bl w:val="nil"/>
                  </w:tcBorders>
                  <w:vAlign w:val="center"/>
                </w:tcPr>
                <w:p w14:paraId="699D82F3">
                  <w:pPr>
                    <w:bidi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10</w:t>
                  </w:r>
                </w:p>
              </w:tc>
              <w:tc>
                <w:tcPr>
                  <w:tcW w:w="952" w:type="dxa"/>
                  <w:tcBorders>
                    <w:tl2br w:val="nil"/>
                    <w:tr2bl w:val="nil"/>
                  </w:tcBorders>
                  <w:vAlign w:val="center"/>
                </w:tcPr>
                <w:p w14:paraId="5C1DCA62">
                  <w:pPr>
                    <w:bidi w:val="0"/>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6</w:t>
                  </w:r>
                </w:p>
              </w:tc>
            </w:tr>
          </w:tbl>
          <w:p w14:paraId="41E8FAD8">
            <w:pPr>
              <w:widowControl/>
              <w:numPr>
                <w:ilvl w:val="0"/>
                <w:numId w:val="10"/>
              </w:numPr>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危险废物入库</w:t>
            </w:r>
            <w:r>
              <w:rPr>
                <w:rFonts w:hint="eastAsia" w:cs="Times New Roman"/>
                <w:b/>
                <w:bCs/>
                <w:color w:val="auto"/>
                <w:sz w:val="24"/>
                <w:szCs w:val="24"/>
                <w:highlight w:val="none"/>
                <w:lang w:val="en-US" w:eastAsia="zh-CN"/>
              </w:rPr>
              <w:t>收集</w:t>
            </w:r>
          </w:p>
          <w:p w14:paraId="6C66B4EB">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本项目设置实验室，接收的危废进厂前</w:t>
            </w:r>
            <w:r>
              <w:rPr>
                <w:rFonts w:hint="eastAsia" w:cs="Times New Roman"/>
                <w:b w:val="0"/>
                <w:bCs w:val="0"/>
                <w:color w:val="auto"/>
                <w:sz w:val="24"/>
                <w:szCs w:val="24"/>
                <w:highlight w:val="none"/>
                <w:lang w:val="en-US" w:eastAsia="zh-CN"/>
              </w:rPr>
              <w:t>经</w:t>
            </w:r>
            <w:r>
              <w:rPr>
                <w:rFonts w:hint="default" w:ascii="Times New Roman" w:hAnsi="Times New Roman" w:cs="Times New Roman"/>
                <w:b w:val="0"/>
                <w:bCs w:val="0"/>
                <w:color w:val="auto"/>
                <w:sz w:val="24"/>
                <w:szCs w:val="24"/>
                <w:highlight w:val="none"/>
                <w:lang w:val="en-US" w:eastAsia="zh-CN"/>
              </w:rPr>
              <w:t>实验室对样品进行采样分析（同一类别取1—2个样，每个样约500g，抽样检测频次为1—2次）。如检测结果显示不符合收集要求，则拒收，符合要求则制定收集方案，进行收集前的准备工作</w:t>
            </w:r>
            <w:r>
              <w:rPr>
                <w:rFonts w:hint="eastAsia" w:cs="Times New Roman"/>
                <w:b w:val="0"/>
                <w:bCs w:val="0"/>
                <w:color w:val="auto"/>
                <w:sz w:val="24"/>
                <w:szCs w:val="24"/>
                <w:highlight w:val="none"/>
                <w:lang w:val="en-US" w:eastAsia="zh-CN"/>
              </w:rPr>
              <w:t>：</w:t>
            </w:r>
          </w:p>
          <w:p w14:paraId="7625712F">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①运输单位在接收时，技术人员对现场的危险废物进行单货清点核实，并对危废包装进行检查。主要检查：</w:t>
            </w:r>
          </w:p>
          <w:p w14:paraId="7DEC61B8">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A、容器的兼容性，同一容器内不能有性质不兼容物质；</w:t>
            </w:r>
          </w:p>
          <w:p w14:paraId="29A7DA7A">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B、包装材料的完整性，发现包装容器破损，及时采取措施清理更换；</w:t>
            </w:r>
          </w:p>
          <w:p w14:paraId="481F001C">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C、包装材料的密封性，发现有明显异味影响的危险废物，选用密封性更高的包装容器减轻异味影响；</w:t>
            </w:r>
          </w:p>
          <w:p w14:paraId="4C62BB50">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D、危废标签的完整性，对危废标签上的内容进行核查，在发现缺项漏项</w:t>
            </w:r>
          </w:p>
          <w:p w14:paraId="362F872F">
            <w:pPr>
              <w:widowControl/>
              <w:numPr>
                <w:ilvl w:val="0"/>
                <w:numId w:val="0"/>
              </w:numPr>
              <w:spacing w:line="360" w:lineRule="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或者信息不正确等情况时，及时修改补充。在查验无误后，对危废进行称量、登记、装车。危废包装环节均在产废企业处完成。</w:t>
            </w:r>
          </w:p>
          <w:p w14:paraId="557272C3">
            <w:pPr>
              <w:widowControl/>
              <w:numPr>
                <w:ilvl w:val="0"/>
                <w:numId w:val="0"/>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危废接收入库前，第三方运输单位和集中转运中心工作人员对拟转移的危险废物进行检查，检查工作主要包括危废包装完整性检查、清点、核实和称量登记。在确认无误后，在危废转移联单上进行签收，同时，对危废入库信息</w:t>
            </w:r>
          </w:p>
          <w:p w14:paraId="7F096DE3">
            <w:pPr>
              <w:widowControl/>
              <w:numPr>
                <w:ilvl w:val="0"/>
                <w:numId w:val="0"/>
              </w:numPr>
              <w:spacing w:line="360" w:lineRule="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进行填报。危废移交过程中严格执行《危险废物转移联单管理办法》相关要求，按每批转移单的数量、类别进行交接。</w:t>
            </w:r>
          </w:p>
          <w:p w14:paraId="3EDC5B4D">
            <w:pPr>
              <w:widowControl/>
              <w:numPr>
                <w:ilvl w:val="0"/>
                <w:numId w:val="0"/>
              </w:numPr>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危险</w:t>
            </w:r>
            <w:r>
              <w:rPr>
                <w:rFonts w:hint="default" w:ascii="Times New Roman" w:hAnsi="Times New Roman" w:cs="Times New Roman"/>
                <w:b/>
                <w:bCs/>
                <w:color w:val="auto"/>
                <w:sz w:val="24"/>
                <w:szCs w:val="24"/>
                <w:highlight w:val="none"/>
                <w:lang w:val="en-US" w:eastAsia="zh-CN"/>
              </w:rPr>
              <w:t>废物运输方案</w:t>
            </w:r>
          </w:p>
          <w:p w14:paraId="5FD00211">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eastAsia"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val="en-US" w:eastAsia="zh-CN"/>
              </w:rPr>
              <w:t>扩建项目危险废物的</w:t>
            </w:r>
            <w:r>
              <w:rPr>
                <w:rFonts w:hint="eastAsia" w:cs="Times New Roman"/>
                <w:b w:val="0"/>
                <w:bCs w:val="0"/>
                <w:color w:val="auto"/>
                <w:sz w:val="24"/>
                <w:szCs w:val="24"/>
                <w:highlight w:val="none"/>
                <w:lang w:val="en-US" w:eastAsia="zh-CN"/>
              </w:rPr>
              <w:t>内部运输（产废单位至本项目库房）委托专业有运输资质的运输公司分别为：宝鸡达远危货运输有限公司、宝鸡市吉隆特种货物运输服务有限公司进行内部运输；</w:t>
            </w:r>
            <w:r>
              <w:rPr>
                <w:rFonts w:hint="default" w:ascii="Times New Roman" w:hAnsi="Times New Roman" w:eastAsia="宋体" w:cs="Times New Roman"/>
                <w:b w:val="0"/>
                <w:bCs w:val="0"/>
                <w:color w:val="auto"/>
                <w:sz w:val="24"/>
                <w:szCs w:val="24"/>
                <w:highlight w:val="none"/>
                <w:lang w:val="en-US" w:eastAsia="zh-CN"/>
              </w:rPr>
              <w:t>外部运输</w:t>
            </w:r>
            <w:r>
              <w:rPr>
                <w:rFonts w:hint="eastAsia" w:cs="Times New Roman"/>
                <w:b w:val="0"/>
                <w:bCs w:val="0"/>
                <w:color w:val="auto"/>
                <w:sz w:val="24"/>
                <w:szCs w:val="24"/>
                <w:highlight w:val="none"/>
                <w:lang w:val="en-US" w:eastAsia="zh-CN"/>
              </w:rPr>
              <w:t>（本项目库房至下游处置单位）</w:t>
            </w:r>
            <w:r>
              <w:rPr>
                <w:rFonts w:hint="default" w:ascii="Times New Roman" w:hAnsi="Times New Roman" w:eastAsia="宋体" w:cs="Times New Roman"/>
                <w:b w:val="0"/>
                <w:bCs w:val="0"/>
                <w:color w:val="auto"/>
                <w:sz w:val="24"/>
                <w:szCs w:val="24"/>
                <w:highlight w:val="none"/>
                <w:lang w:val="en-US" w:eastAsia="zh-CN"/>
              </w:rPr>
              <w:t>委托</w:t>
            </w:r>
            <w:r>
              <w:rPr>
                <w:rFonts w:hint="default" w:ascii="Times New Roman" w:hAnsi="Times New Roman" w:cs="Times New Roman"/>
                <w:b w:val="0"/>
                <w:bCs w:val="0"/>
                <w:color w:val="auto"/>
                <w:sz w:val="24"/>
                <w:szCs w:val="24"/>
                <w:highlight w:val="none"/>
                <w:lang w:val="en-US" w:eastAsia="zh-CN"/>
              </w:rPr>
              <w:t>企业原有项目运输公司分别为：宝鸡达远危货运输有限公司、铜川恒旭汽车运输服务有限公司、渭南方舟物流有限公司、宝鸡市吉隆特种货物运输服务有限公司</w:t>
            </w:r>
            <w:r>
              <w:rPr>
                <w:rFonts w:hint="default" w:ascii="Times New Roman" w:hAnsi="Times New Roman" w:eastAsia="宋体" w:cs="Times New Roman"/>
                <w:b w:val="0"/>
                <w:bCs w:val="0"/>
                <w:color w:val="auto"/>
                <w:sz w:val="24"/>
                <w:szCs w:val="24"/>
                <w:highlight w:val="none"/>
                <w:lang w:val="en-US" w:eastAsia="zh-CN"/>
              </w:rPr>
              <w:t>进行，外部运输不在本次评价范围内</w:t>
            </w:r>
            <w:r>
              <w:rPr>
                <w:rFonts w:hint="eastAsia" w:cs="Times New Roman"/>
                <w:b w:val="0"/>
                <w:bCs w:val="0"/>
                <w:color w:val="auto"/>
                <w:sz w:val="24"/>
                <w:szCs w:val="24"/>
                <w:highlight w:val="none"/>
                <w:lang w:val="en-US" w:eastAsia="zh-CN"/>
              </w:rPr>
              <w:t>，运输单位资质详见附件4</w:t>
            </w:r>
            <w:r>
              <w:rPr>
                <w:rFonts w:hint="default" w:ascii="Times New Roman" w:hAnsi="Times New Roman" w:eastAsia="宋体" w:cs="Times New Roman"/>
                <w:b w:val="0"/>
                <w:bCs w:val="0"/>
                <w:color w:val="auto"/>
                <w:sz w:val="24"/>
                <w:szCs w:val="24"/>
                <w:highlight w:val="none"/>
                <w:lang w:val="en-US" w:eastAsia="zh-CN"/>
              </w:rPr>
              <w:t>。项目在进行危险废物的内部转运时应严格按照危险废物运输的有关规定进行，基本原则如下：</w:t>
            </w:r>
          </w:p>
          <w:p w14:paraId="688E3C51">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1）严格按照《危险废物转移联单管理办法》等相关废物转移的法律法规，实行危险废物转移联单管理制度。</w:t>
            </w:r>
          </w:p>
          <w:p w14:paraId="4325D29E">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根据危险废物的物理、化学性质的不同，配备不同的盛装容器，保证容器或包装材料与所盛废物相容，有足够的强度，不易破损，保证废物运输过程中不扬散、不渗漏、不释放出有害气体和臭味；散装危险废物的车辆</w:t>
            </w:r>
            <w:r>
              <w:rPr>
                <w:rFonts w:hint="default" w:ascii="Times New Roman" w:hAnsi="Times New Roman" w:cs="Times New Roman"/>
                <w:b w:val="0"/>
                <w:bCs w:val="0"/>
                <w:color w:val="auto"/>
                <w:sz w:val="24"/>
                <w:szCs w:val="24"/>
                <w:highlight w:val="none"/>
                <w:lang w:val="en-US" w:eastAsia="zh-CN"/>
              </w:rPr>
              <w:t>必须</w:t>
            </w:r>
            <w:r>
              <w:rPr>
                <w:rFonts w:hint="default" w:ascii="Times New Roman" w:hAnsi="Times New Roman" w:eastAsia="宋体" w:cs="Times New Roman"/>
                <w:b w:val="0"/>
                <w:bCs w:val="0"/>
                <w:color w:val="auto"/>
                <w:sz w:val="24"/>
                <w:szCs w:val="24"/>
                <w:highlight w:val="none"/>
                <w:lang w:val="en-US" w:eastAsia="zh-CN"/>
              </w:rPr>
              <w:t>有塑料内衬和帆布盖顶，同时在车辆前部和后部、车厢两侧应设置明显的专用警示标识标志。应经常维护保养，保证车况良好和行车安全。</w:t>
            </w:r>
          </w:p>
          <w:p w14:paraId="222B2D55">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3）直接从事废物收集、运输的人员，应接受专门培训并经考核合格后方可上岗；运输前对危险废物包装容器进行检查，发现溢漏及破损时及时采取措施修补更换，确保装载危险废物的容器必须完好无损。</w:t>
            </w:r>
          </w:p>
          <w:p w14:paraId="07C5ED57">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本项目所接收的危险废物范围主要为宝鸡市区，根据目前危险废物产生单元调查情况及项目单位周边地区的交通道路的现状，危险废物运输车采取当日返回的方式，避免装有危险废物的运输车辆在外面过夜，确保运输车辆的安全。危险废物的运输采取公路运输方式。</w:t>
            </w:r>
          </w:p>
          <w:p w14:paraId="2C50C0C7">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制定合理、完善的废物收运计划，强化与危险废物产出单位的信息协调，提高危险废物接收效率，选择最佳的废物收运时间，运输车辆运输路线应绕避医院、学校、居民区等人口密集区或交通拥堵道路以及饮用水水源保护区、自然保护区等敏感区域。项目危险废物转运路线应报送环境保护主管部门、公安机关等相关政府部门进行备案。</w:t>
            </w:r>
          </w:p>
          <w:p w14:paraId="0240E1D5">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本项目配备专用收集车，按时到各产废单位存放点收集、装运危险废物，并选用路线短、对沿路影响小的运输路线，避免在装、运途中产生二次污染。转运车上应配备通讯设备（GPS系统及寻呼系统）、处理处置中心联络人员名单及其电话号码，以备发生事故时及时抢救和处理，消除或减轻对环境的污染危害。</w:t>
            </w:r>
          </w:p>
          <w:p w14:paraId="245869C5">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本扩建项目危险废物运输路线详见表：</w:t>
            </w:r>
          </w:p>
          <w:p w14:paraId="3E9992AC">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4</w:t>
            </w:r>
            <w:r>
              <w:rPr>
                <w:rFonts w:hint="eastAsia" w:cs="Times New Roman"/>
                <w:b/>
                <w:color w:val="auto"/>
                <w:highlight w:val="none"/>
                <w:lang w:val="en-US" w:eastAsia="zh-CN"/>
              </w:rPr>
              <w:t xml:space="preserve">  </w:t>
            </w:r>
            <w:r>
              <w:rPr>
                <w:rFonts w:hint="default" w:ascii="Times New Roman" w:hAnsi="Times New Roman" w:cs="Times New Roman"/>
                <w:b/>
                <w:color w:val="auto"/>
                <w:highlight w:val="none"/>
              </w:rPr>
              <w:t>运输路线一览表</w:t>
            </w:r>
          </w:p>
          <w:tbl>
            <w:tblPr>
              <w:tblStyle w:val="189"/>
              <w:tblW w:w="79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5"/>
              <w:gridCol w:w="1024"/>
              <w:gridCol w:w="783"/>
              <w:gridCol w:w="1302"/>
              <w:gridCol w:w="1981"/>
              <w:gridCol w:w="2402"/>
            </w:tblGrid>
            <w:tr w14:paraId="0F2707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7" w:hRule="atLeast"/>
                <w:jc w:val="center"/>
              </w:trPr>
              <w:tc>
                <w:tcPr>
                  <w:tcW w:w="485" w:type="dxa"/>
                  <w:tcBorders>
                    <w:tl2br w:val="nil"/>
                    <w:tr2bl w:val="nil"/>
                  </w:tcBorders>
                  <w:vAlign w:val="center"/>
                </w:tcPr>
                <w:p w14:paraId="30269CA8">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024" w:type="dxa"/>
                  <w:tcBorders>
                    <w:tl2br w:val="nil"/>
                    <w:tr2bl w:val="nil"/>
                  </w:tcBorders>
                  <w:vAlign w:val="center"/>
                </w:tcPr>
                <w:p w14:paraId="6C0A44A5">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起点</w:t>
                  </w:r>
                </w:p>
              </w:tc>
              <w:tc>
                <w:tcPr>
                  <w:tcW w:w="783" w:type="dxa"/>
                  <w:tcBorders>
                    <w:tl2br w:val="nil"/>
                    <w:tr2bl w:val="nil"/>
                  </w:tcBorders>
                  <w:vAlign w:val="center"/>
                </w:tcPr>
                <w:p w14:paraId="2D99E4C8">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终点</w:t>
                  </w:r>
                </w:p>
              </w:tc>
              <w:tc>
                <w:tcPr>
                  <w:tcW w:w="1302" w:type="dxa"/>
                  <w:tcBorders>
                    <w:tl2br w:val="nil"/>
                    <w:tr2bl w:val="nil"/>
                  </w:tcBorders>
                  <w:vAlign w:val="center"/>
                </w:tcPr>
                <w:p w14:paraId="1F92FEA9">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运输单位</w:t>
                  </w:r>
                </w:p>
              </w:tc>
              <w:tc>
                <w:tcPr>
                  <w:tcW w:w="1981" w:type="dxa"/>
                  <w:tcBorders>
                    <w:tl2br w:val="nil"/>
                    <w:tr2bl w:val="nil"/>
                  </w:tcBorders>
                  <w:vAlign w:val="center"/>
                </w:tcPr>
                <w:p w14:paraId="6E8063AF">
                  <w:pPr>
                    <w:bidi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运输单位可行性</w:t>
                  </w:r>
                </w:p>
              </w:tc>
              <w:tc>
                <w:tcPr>
                  <w:tcW w:w="2402" w:type="dxa"/>
                  <w:tcBorders>
                    <w:tl2br w:val="nil"/>
                    <w:tr2bl w:val="nil"/>
                  </w:tcBorders>
                  <w:vAlign w:val="center"/>
                </w:tcPr>
                <w:p w14:paraId="23F52965">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路线</w:t>
                  </w:r>
                </w:p>
              </w:tc>
            </w:tr>
            <w:tr w14:paraId="4CD10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485" w:type="dxa"/>
                  <w:tcBorders>
                    <w:tl2br w:val="nil"/>
                    <w:tr2bl w:val="nil"/>
                  </w:tcBorders>
                  <w:vAlign w:val="center"/>
                </w:tcPr>
                <w:p w14:paraId="7483F937">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内部</w:t>
                  </w:r>
                </w:p>
                <w:p w14:paraId="7FC6C0C8">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w:t>
                  </w:r>
                </w:p>
              </w:tc>
              <w:tc>
                <w:tcPr>
                  <w:tcW w:w="1024" w:type="dxa"/>
                  <w:tcBorders>
                    <w:tl2br w:val="nil"/>
                    <w:tr2bl w:val="nil"/>
                  </w:tcBorders>
                  <w:vAlign w:val="center"/>
                </w:tcPr>
                <w:p w14:paraId="536B2C5E">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产废</w:t>
                  </w:r>
                </w:p>
                <w:p w14:paraId="7726A426">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783" w:type="dxa"/>
                  <w:tcBorders>
                    <w:tl2br w:val="nil"/>
                    <w:tr2bl w:val="nil"/>
                  </w:tcBorders>
                  <w:vAlign w:val="center"/>
                </w:tcPr>
                <w:p w14:paraId="2BDF96F5">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w:t>
                  </w:r>
                </w:p>
                <w:p w14:paraId="1CF6C4CB">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目所在</w:t>
                  </w:r>
                </w:p>
                <w:p w14:paraId="099DB319">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w:t>
                  </w:r>
                </w:p>
              </w:tc>
              <w:tc>
                <w:tcPr>
                  <w:tcW w:w="1302" w:type="dxa"/>
                  <w:tcBorders>
                    <w:tl2br w:val="nil"/>
                    <w:tr2bl w:val="nil"/>
                  </w:tcBorders>
                  <w:vAlign w:val="center"/>
                </w:tcPr>
                <w:p w14:paraId="14A1A37A">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宝鸡达远危货运输有限公司、宝鸡市吉隆特种货物运输服务有限公司</w:t>
                  </w:r>
                </w:p>
              </w:tc>
              <w:tc>
                <w:tcPr>
                  <w:tcW w:w="1981" w:type="dxa"/>
                  <w:vMerge w:val="restart"/>
                  <w:tcBorders>
                    <w:tl2br w:val="nil"/>
                    <w:tr2bl w:val="nil"/>
                  </w:tcBorders>
                  <w:vAlign w:val="center"/>
                </w:tcPr>
                <w:p w14:paraId="5B2B4639">
                  <w:pPr>
                    <w:bidi w:val="0"/>
                    <w:jc w:val="both"/>
                    <w:rPr>
                      <w:rFonts w:hint="eastAsia" w:cs="Times New Roman"/>
                      <w:color w:val="auto"/>
                      <w:highlight w:val="none"/>
                      <w:lang w:eastAsia="zh-CN"/>
                    </w:rPr>
                  </w:pPr>
                  <w:r>
                    <w:rPr>
                      <w:rFonts w:hint="eastAsia" w:cs="Times New Roman"/>
                      <w:color w:val="auto"/>
                      <w:highlight w:val="none"/>
                      <w:lang w:eastAsia="zh-CN"/>
                    </w:rPr>
                    <w:t>根据建设单位提供的资料，运输公司持有危险废物经营许可证及危险货物运输资质，获取运输资质类别为：危险货物运输（</w:t>
                  </w:r>
                  <w:r>
                    <w:rPr>
                      <w:rFonts w:hint="eastAsia" w:cs="Times New Roman"/>
                      <w:color w:val="auto"/>
                      <w:highlight w:val="none"/>
                      <w:lang w:val="en-US" w:eastAsia="zh-CN"/>
                    </w:rPr>
                    <w:t>1类、2类、3类、4类、5类、8类、9类</w:t>
                  </w:r>
                  <w:r>
                    <w:rPr>
                      <w:rFonts w:hint="eastAsia" w:cs="Times New Roman"/>
                      <w:color w:val="auto"/>
                      <w:highlight w:val="none"/>
                      <w:lang w:eastAsia="zh-CN"/>
                    </w:rPr>
                    <w:t>），本项目收集危险废物主要为危险货物中的</w:t>
                  </w:r>
                  <w:r>
                    <w:rPr>
                      <w:rFonts w:hint="eastAsia" w:cs="Times New Roman"/>
                      <w:color w:val="auto"/>
                      <w:highlight w:val="none"/>
                      <w:lang w:val="en-US" w:eastAsia="zh-CN"/>
                    </w:rPr>
                    <w:t>8类、9类，均在委托运输单位运输资质范围内，且本项目危险废物在收集后运送中途不更换容器，委托运输公司在运输中均采用专用车辆进行转运，依托外部运输公司是可行性的。</w:t>
                  </w:r>
                </w:p>
                <w:p w14:paraId="710DD24A">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5CA971BE">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因城市内收集点多而分散，运输路线短，收集车辆为本公司配备的专用车辆，每个收集点至项目库房运输路线固定，且执行主管部门审批的运输路线</w:t>
                  </w:r>
                </w:p>
              </w:tc>
            </w:tr>
            <w:tr w14:paraId="63962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1" w:hRule="atLeast"/>
                <w:jc w:val="center"/>
              </w:trPr>
              <w:tc>
                <w:tcPr>
                  <w:tcW w:w="485" w:type="dxa"/>
                  <w:vMerge w:val="restart"/>
                  <w:tcBorders>
                    <w:tl2br w:val="nil"/>
                    <w:tr2bl w:val="nil"/>
                  </w:tcBorders>
                  <w:vAlign w:val="center"/>
                </w:tcPr>
                <w:p w14:paraId="168C66CB">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外部</w:t>
                  </w:r>
                </w:p>
                <w:p w14:paraId="2102F574">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w:t>
                  </w:r>
                </w:p>
              </w:tc>
              <w:tc>
                <w:tcPr>
                  <w:tcW w:w="1024" w:type="dxa"/>
                  <w:tcBorders>
                    <w:tl2br w:val="nil"/>
                    <w:tr2bl w:val="nil"/>
                  </w:tcBorders>
                  <w:vAlign w:val="center"/>
                </w:tcPr>
                <w:p w14:paraId="37E31255">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0811C68F">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restart"/>
                  <w:tcBorders>
                    <w:tl2br w:val="nil"/>
                    <w:tr2bl w:val="nil"/>
                  </w:tcBorders>
                  <w:vAlign w:val="center"/>
                </w:tcPr>
                <w:p w14:paraId="2572BFC1">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宝鸡达远危货运输有限公司、铜川恒旭汽车运输服务有限公司、渭南方舟物流有限公司、宝鸡市吉隆特种货物运输服务有限公司</w:t>
                  </w:r>
                </w:p>
              </w:tc>
              <w:tc>
                <w:tcPr>
                  <w:tcW w:w="1981" w:type="dxa"/>
                  <w:vMerge w:val="continue"/>
                  <w:tcBorders>
                    <w:tl2br w:val="nil"/>
                    <w:tr2bl w:val="nil"/>
                  </w:tcBorders>
                  <w:vAlign w:val="center"/>
                </w:tcPr>
                <w:p w14:paraId="5353D7BB">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1E87D1A1">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项目库房→库区门口道路→西宝高速→陕西省</w:t>
                  </w:r>
                  <w:r>
                    <w:rPr>
                      <w:rFonts w:hint="default" w:ascii="Times New Roman" w:hAnsi="Times New Roman" w:eastAsia="宋体" w:cs="Times New Roman"/>
                      <w:color w:val="auto"/>
                      <w:highlight w:val="none"/>
                      <w:lang w:eastAsia="zh-CN"/>
                    </w:rPr>
                    <w:t>渭南德昌环保科技有限公司</w:t>
                  </w:r>
                </w:p>
              </w:tc>
            </w:tr>
            <w:tr w14:paraId="4C8C4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485" w:type="dxa"/>
                  <w:vMerge w:val="continue"/>
                  <w:tcBorders>
                    <w:tl2br w:val="nil"/>
                    <w:tr2bl w:val="nil"/>
                  </w:tcBorders>
                  <w:vAlign w:val="center"/>
                </w:tcPr>
                <w:p w14:paraId="31EA05FF">
                  <w:pPr>
                    <w:bidi w:val="0"/>
                    <w:jc w:val="center"/>
                    <w:rPr>
                      <w:rFonts w:hint="default" w:ascii="Times New Roman" w:hAnsi="Times New Roman" w:eastAsia="宋体" w:cs="Times New Roman"/>
                      <w:color w:val="auto"/>
                      <w:highlight w:val="none"/>
                    </w:rPr>
                  </w:pPr>
                </w:p>
              </w:tc>
              <w:tc>
                <w:tcPr>
                  <w:tcW w:w="1024" w:type="dxa"/>
                  <w:tcBorders>
                    <w:tl2br w:val="nil"/>
                    <w:tr2bl w:val="nil"/>
                  </w:tcBorders>
                  <w:vAlign w:val="center"/>
                </w:tcPr>
                <w:p w14:paraId="4654BF4C">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3836864E">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continue"/>
                  <w:tcBorders>
                    <w:tl2br w:val="nil"/>
                    <w:tr2bl w:val="nil"/>
                  </w:tcBorders>
                  <w:vAlign w:val="center"/>
                </w:tcPr>
                <w:p w14:paraId="37B96D72">
                  <w:pPr>
                    <w:bidi w:val="0"/>
                    <w:jc w:val="center"/>
                    <w:rPr>
                      <w:rFonts w:hint="default" w:ascii="Times New Roman" w:hAnsi="Times New Roman" w:eastAsia="宋体" w:cs="Times New Roman"/>
                      <w:color w:val="auto"/>
                      <w:highlight w:val="none"/>
                    </w:rPr>
                  </w:pPr>
                </w:p>
              </w:tc>
              <w:tc>
                <w:tcPr>
                  <w:tcW w:w="1981" w:type="dxa"/>
                  <w:vMerge w:val="continue"/>
                  <w:tcBorders>
                    <w:tl2br w:val="nil"/>
                    <w:tr2bl w:val="nil"/>
                  </w:tcBorders>
                  <w:vAlign w:val="center"/>
                </w:tcPr>
                <w:p w14:paraId="36586360">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3BE7BC87">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w:t>
                  </w:r>
                  <w:r>
                    <w:rPr>
                      <w:rFonts w:hint="default" w:ascii="Times New Roman" w:hAnsi="Times New Roman" w:eastAsia="宋体" w:cs="Times New Roman"/>
                      <w:color w:val="auto"/>
                      <w:highlight w:val="none"/>
                      <w:lang w:eastAsia="zh-CN"/>
                    </w:rPr>
                    <w:t>宝冯公路—西府大道</w:t>
                  </w:r>
                  <w:r>
                    <w:rPr>
                      <w:rFonts w:hint="default" w:ascii="Times New Roman" w:hAnsi="Times New Roman" w:eastAsia="宋体" w:cs="Times New Roman"/>
                      <w:color w:val="auto"/>
                      <w:highlight w:val="none"/>
                      <w:lang w:val="en-US" w:eastAsia="zh-CN"/>
                    </w:rPr>
                    <w:t>-344国道-麟凤路</w:t>
                  </w:r>
                  <w:r>
                    <w:rPr>
                      <w:rFonts w:hint="default" w:ascii="Times New Roman" w:hAnsi="Times New Roman" w:eastAsia="宋体" w:cs="Times New Roman"/>
                      <w:color w:val="auto"/>
                      <w:highlight w:val="none"/>
                    </w:rPr>
                    <w:t>→金隅冀东凤翔环保科技有限公司</w:t>
                  </w:r>
                </w:p>
              </w:tc>
            </w:tr>
            <w:tr w14:paraId="5FAC1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1" w:hRule="atLeast"/>
                <w:jc w:val="center"/>
              </w:trPr>
              <w:tc>
                <w:tcPr>
                  <w:tcW w:w="485" w:type="dxa"/>
                  <w:vMerge w:val="continue"/>
                  <w:tcBorders>
                    <w:tl2br w:val="nil"/>
                    <w:tr2bl w:val="nil"/>
                  </w:tcBorders>
                  <w:vAlign w:val="center"/>
                </w:tcPr>
                <w:p w14:paraId="799959FD">
                  <w:pPr>
                    <w:bidi w:val="0"/>
                    <w:jc w:val="center"/>
                    <w:rPr>
                      <w:rFonts w:hint="default" w:ascii="Times New Roman" w:hAnsi="Times New Roman" w:eastAsia="宋体" w:cs="Times New Roman"/>
                      <w:color w:val="auto"/>
                      <w:highlight w:val="none"/>
                    </w:rPr>
                  </w:pPr>
                </w:p>
              </w:tc>
              <w:tc>
                <w:tcPr>
                  <w:tcW w:w="1024" w:type="dxa"/>
                  <w:tcBorders>
                    <w:tl2br w:val="nil"/>
                    <w:tr2bl w:val="nil"/>
                  </w:tcBorders>
                  <w:vAlign w:val="center"/>
                </w:tcPr>
                <w:p w14:paraId="0ED7BDC3">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1DFE3F9B">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continue"/>
                  <w:tcBorders>
                    <w:tl2br w:val="nil"/>
                    <w:tr2bl w:val="nil"/>
                  </w:tcBorders>
                  <w:vAlign w:val="center"/>
                </w:tcPr>
                <w:p w14:paraId="03B393BC">
                  <w:pPr>
                    <w:bidi w:val="0"/>
                    <w:jc w:val="center"/>
                    <w:rPr>
                      <w:rFonts w:hint="default" w:ascii="Times New Roman" w:hAnsi="Times New Roman" w:eastAsia="宋体" w:cs="Times New Roman"/>
                      <w:color w:val="auto"/>
                      <w:highlight w:val="none"/>
                    </w:rPr>
                  </w:pPr>
                </w:p>
              </w:tc>
              <w:tc>
                <w:tcPr>
                  <w:tcW w:w="1981" w:type="dxa"/>
                  <w:vMerge w:val="continue"/>
                  <w:tcBorders>
                    <w:tl2br w:val="nil"/>
                    <w:tr2bl w:val="nil"/>
                  </w:tcBorders>
                  <w:vAlign w:val="center"/>
                </w:tcPr>
                <w:p w14:paraId="36E9E5C1">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73228E10">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w:t>
                  </w:r>
                  <w:r>
                    <w:rPr>
                      <w:rFonts w:hint="default" w:ascii="Times New Roman" w:hAnsi="Times New Roman" w:eastAsia="宋体" w:cs="Times New Roman"/>
                      <w:color w:val="auto"/>
                      <w:highlight w:val="none"/>
                      <w:lang w:eastAsia="zh-CN"/>
                    </w:rPr>
                    <w:t>西府大道</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银昆高速</w:t>
                  </w:r>
                  <w:r>
                    <w:rPr>
                      <w:rFonts w:hint="default" w:ascii="Times New Roman" w:hAnsi="Times New Roman" w:eastAsia="宋体" w:cs="Times New Roman"/>
                      <w:color w:val="auto"/>
                      <w:highlight w:val="none"/>
                    </w:rPr>
                    <w:t>→千阳海创环保科技有限责任公司</w:t>
                  </w:r>
                </w:p>
              </w:tc>
            </w:tr>
            <w:tr w14:paraId="1B05A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485" w:type="dxa"/>
                  <w:vMerge w:val="continue"/>
                  <w:tcBorders>
                    <w:tl2br w:val="nil"/>
                    <w:tr2bl w:val="nil"/>
                  </w:tcBorders>
                  <w:vAlign w:val="center"/>
                </w:tcPr>
                <w:p w14:paraId="0F38342F">
                  <w:pPr>
                    <w:bidi w:val="0"/>
                    <w:jc w:val="center"/>
                    <w:rPr>
                      <w:rFonts w:hint="default" w:ascii="Times New Roman" w:hAnsi="Times New Roman" w:eastAsia="宋体" w:cs="Times New Roman"/>
                      <w:color w:val="auto"/>
                      <w:highlight w:val="none"/>
                    </w:rPr>
                  </w:pPr>
                </w:p>
              </w:tc>
              <w:tc>
                <w:tcPr>
                  <w:tcW w:w="1024" w:type="dxa"/>
                  <w:tcBorders>
                    <w:tl2br w:val="nil"/>
                    <w:tr2bl w:val="nil"/>
                  </w:tcBorders>
                  <w:vAlign w:val="center"/>
                </w:tcPr>
                <w:p w14:paraId="5CD1FCC7">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建设项目所在地</w:t>
                  </w:r>
                </w:p>
              </w:tc>
              <w:tc>
                <w:tcPr>
                  <w:tcW w:w="783" w:type="dxa"/>
                  <w:tcBorders>
                    <w:tl2br w:val="nil"/>
                    <w:tr2bl w:val="nil"/>
                  </w:tcBorders>
                  <w:vAlign w:val="center"/>
                </w:tcPr>
                <w:p w14:paraId="4FD90110">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处置单位</w:t>
                  </w:r>
                </w:p>
              </w:tc>
              <w:tc>
                <w:tcPr>
                  <w:tcW w:w="1302" w:type="dxa"/>
                  <w:vMerge w:val="continue"/>
                  <w:tcBorders>
                    <w:tl2br w:val="nil"/>
                    <w:tr2bl w:val="nil"/>
                  </w:tcBorders>
                  <w:vAlign w:val="center"/>
                </w:tcPr>
                <w:p w14:paraId="5351F3BF">
                  <w:pPr>
                    <w:bidi w:val="0"/>
                    <w:jc w:val="center"/>
                    <w:rPr>
                      <w:rFonts w:hint="default" w:ascii="Times New Roman" w:hAnsi="Times New Roman" w:eastAsia="宋体" w:cs="Times New Roman"/>
                      <w:color w:val="auto"/>
                      <w:highlight w:val="none"/>
                    </w:rPr>
                  </w:pPr>
                </w:p>
              </w:tc>
              <w:tc>
                <w:tcPr>
                  <w:tcW w:w="1981" w:type="dxa"/>
                  <w:vMerge w:val="continue"/>
                  <w:tcBorders>
                    <w:tl2br w:val="nil"/>
                    <w:tr2bl w:val="nil"/>
                  </w:tcBorders>
                  <w:vAlign w:val="center"/>
                </w:tcPr>
                <w:p w14:paraId="3BA536D5">
                  <w:pPr>
                    <w:bidi w:val="0"/>
                    <w:jc w:val="center"/>
                    <w:rPr>
                      <w:rFonts w:hint="default" w:ascii="Times New Roman" w:hAnsi="Times New Roman" w:eastAsia="宋体" w:cs="Times New Roman"/>
                      <w:color w:val="auto"/>
                      <w:highlight w:val="none"/>
                    </w:rPr>
                  </w:pPr>
                </w:p>
              </w:tc>
              <w:tc>
                <w:tcPr>
                  <w:tcW w:w="2402" w:type="dxa"/>
                  <w:tcBorders>
                    <w:tl2br w:val="nil"/>
                    <w:tr2bl w:val="nil"/>
                  </w:tcBorders>
                  <w:vAlign w:val="center"/>
                </w:tcPr>
                <w:p w14:paraId="7B866218">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项目库房→库区门口道路→</w:t>
                  </w:r>
                  <w:r>
                    <w:rPr>
                      <w:rFonts w:hint="default" w:ascii="Times New Roman" w:hAnsi="Times New Roman" w:eastAsia="宋体" w:cs="Times New Roman"/>
                      <w:color w:val="auto"/>
                      <w:highlight w:val="none"/>
                      <w:lang w:eastAsia="zh-CN"/>
                    </w:rPr>
                    <w:t>西府大道</w:t>
                  </w:r>
                  <w:r>
                    <w:rPr>
                      <w:rFonts w:hint="default" w:ascii="Times New Roman" w:hAnsi="Times New Roman" w:eastAsia="宋体" w:cs="Times New Roman"/>
                      <w:color w:val="auto"/>
                      <w:highlight w:val="none"/>
                      <w:lang w:val="en-US" w:eastAsia="zh-CN"/>
                    </w:rPr>
                    <w:t>-西宝高速冀东海德堡（扶风）水泥有限公司</w:t>
                  </w:r>
                </w:p>
              </w:tc>
            </w:tr>
          </w:tbl>
          <w:p w14:paraId="0C579769">
            <w:pPr>
              <w:widowControl/>
              <w:numPr>
                <w:ilvl w:val="0"/>
                <w:numId w:val="0"/>
              </w:num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lang w:val="en-US" w:eastAsia="zh-CN"/>
              </w:rPr>
              <w:t>收集与包装方案</w:t>
            </w:r>
          </w:p>
          <w:p w14:paraId="68FB3884">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本项目不涉及放射性的危险废物。</w:t>
            </w:r>
          </w:p>
          <w:p w14:paraId="0BBC5D9C">
            <w:pPr>
              <w:adjustRightInd w:val="0"/>
              <w:snapToGrid w:val="0"/>
              <w:spacing w:line="360" w:lineRule="auto"/>
              <w:ind w:firstLine="480" w:firstLineChars="200"/>
              <w:rPr>
                <w:rFonts w:hint="default" w:ascii="Times New Roman" w:hAnsi="Times New Roman" w:eastAsia="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因危险废物种类多，成分复杂，根据其特性、成分、形态、产量、运输方式及处理方式等的不同，需选用不同容器进行分类收集、包装，且对具有腐蚀性、急性毒性的废物，其承载容器及标识均有特殊要求。</w:t>
            </w:r>
          </w:p>
          <w:p w14:paraId="1D898CEF">
            <w:pPr>
              <w:adjustRightInd w:val="0"/>
              <w:snapToGrid w:val="0"/>
              <w:spacing w:line="360" w:lineRule="auto"/>
              <w:ind w:firstLine="480" w:firstLineChars="200"/>
              <w:rPr>
                <w:rFonts w:hint="default" w:ascii="Times New Roman" w:hAnsi="Times New Roman" w:eastAsia="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本项目收集的危险废物的危险分类见下表2-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，不相容的危险废物混合时产生危险类别如下表2-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126773F5">
            <w:pPr>
              <w:jc w:val="center"/>
              <w:rPr>
                <w:rFonts w:hint="default"/>
                <w:b/>
                <w:bCs/>
                <w:color w:val="auto"/>
                <w:highlight w:val="none"/>
                <w:lang w:val="en-US" w:eastAsia="zh-CN"/>
              </w:rPr>
            </w:pPr>
            <w:r>
              <w:rPr>
                <w:rFonts w:hint="default"/>
                <w:b/>
                <w:bCs/>
                <w:color w:val="auto"/>
                <w:highlight w:val="none"/>
                <w:lang w:val="en-US" w:eastAsia="zh-CN"/>
              </w:rPr>
              <w:t>表2-</w:t>
            </w:r>
            <w:r>
              <w:rPr>
                <w:rFonts w:hint="eastAsia"/>
                <w:b/>
                <w:bCs/>
                <w:color w:val="auto"/>
                <w:highlight w:val="none"/>
                <w:lang w:val="en-US" w:eastAsia="zh-CN"/>
              </w:rPr>
              <w:t>5</w:t>
            </w:r>
            <w:r>
              <w:rPr>
                <w:rFonts w:hint="default"/>
                <w:b/>
                <w:bCs/>
                <w:color w:val="auto"/>
                <w:highlight w:val="none"/>
                <w:lang w:val="en-US" w:eastAsia="zh-CN"/>
              </w:rPr>
              <w:t xml:space="preserve">  部分危险废物的危险分类</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662"/>
              <w:gridCol w:w="3675"/>
            </w:tblGrid>
            <w:tr w14:paraId="6F588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967FB52">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0A1A7E">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废物种类</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1D2225D">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危险分类</w:t>
                  </w:r>
                </w:p>
              </w:tc>
            </w:tr>
            <w:tr w14:paraId="7C243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64A7084">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E94A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酸性废液和酸类</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375FE7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刺激性/腐蚀性（视其强度而定）</w:t>
                  </w:r>
                </w:p>
              </w:tc>
            </w:tr>
            <w:tr w14:paraId="0A65E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7CBFE9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DE524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碱性废液和碱类</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589CAC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刺激性/腐蚀性（视其强度而定）</w:t>
                  </w:r>
                </w:p>
              </w:tc>
            </w:tr>
            <w:tr w14:paraId="2178D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95261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74C59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有机萃取剂等</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1FD1B2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有毒、易燃、易爆</w:t>
                  </w:r>
                </w:p>
              </w:tc>
            </w:tr>
            <w:tr w14:paraId="358C7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F87074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F5C70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酸及重金属混合物</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5C3143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有毒/刺激性、易爆</w:t>
                  </w:r>
                </w:p>
              </w:tc>
            </w:tr>
            <w:tr w14:paraId="3410B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5D2131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555AF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重金属</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D12F225">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w:t>
                  </w:r>
                </w:p>
              </w:tc>
            </w:tr>
            <w:tr w14:paraId="0A9EA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14A51DE4">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AF94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氟化物溶液</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1F232F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w:t>
                  </w:r>
                </w:p>
              </w:tc>
            </w:tr>
            <w:tr w14:paraId="76603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2"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6FCB505">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w:t>
                  </w:r>
                </w:p>
              </w:tc>
              <w:tc>
                <w:tcPr>
                  <w:tcW w:w="1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7FA5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酚类溶液</w:t>
                  </w:r>
                </w:p>
              </w:tc>
              <w:tc>
                <w:tcPr>
                  <w:tcW w:w="2271"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EED6D6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有毒</w:t>
                  </w:r>
                </w:p>
              </w:tc>
            </w:tr>
          </w:tbl>
          <w:p w14:paraId="63FFD469">
            <w:pPr>
              <w:jc w:val="center"/>
              <w:rPr>
                <w:rFonts w:hint="default"/>
                <w:b/>
                <w:bCs/>
                <w:color w:val="auto"/>
                <w:highlight w:val="none"/>
                <w:lang w:val="en-US" w:eastAsia="zh-CN"/>
              </w:rPr>
            </w:pPr>
            <w:r>
              <w:rPr>
                <w:rFonts w:hint="default"/>
                <w:b/>
                <w:bCs/>
                <w:color w:val="auto"/>
                <w:highlight w:val="none"/>
                <w:lang w:val="en-US" w:eastAsia="zh-CN"/>
              </w:rPr>
              <w:t>表2-9部分不相容混合物的危险废物表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39"/>
              <w:gridCol w:w="1972"/>
              <w:gridCol w:w="3365"/>
            </w:tblGrid>
            <w:tr w14:paraId="104A9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01" w:type="pct"/>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12EAD9FC">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418"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5C58777">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不相容的危险废物</w:t>
                  </w:r>
                </w:p>
              </w:tc>
              <w:tc>
                <w:tcPr>
                  <w:tcW w:w="2080" w:type="pct"/>
                  <w:vMerge w:val="restart"/>
                  <w:tcBorders>
                    <w:top w:val="single" w:color="auto" w:sz="4" w:space="0"/>
                    <w:left w:val="single" w:color="auto" w:sz="4" w:space="0"/>
                    <w:bottom w:val="single" w:color="auto" w:sz="4" w:space="0"/>
                    <w:right w:val="single" w:color="auto" w:sz="12" w:space="0"/>
                    <w:tl2br w:val="nil"/>
                    <w:tr2bl w:val="nil"/>
                  </w:tcBorders>
                  <w:noWrap w:val="0"/>
                  <w:vAlign w:val="center"/>
                </w:tcPr>
                <w:p w14:paraId="482783D1">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危险分类</w:t>
                  </w:r>
                </w:p>
              </w:tc>
            </w:tr>
            <w:tr w14:paraId="40C33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01" w:type="pct"/>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272F661">
                  <w:pPr>
                    <w:widowControl w:val="0"/>
                    <w:adjustRightInd w:val="0"/>
                    <w:jc w:val="center"/>
                    <w:rPr>
                      <w:rFonts w:hint="default" w:ascii="Times New Roman" w:hAnsi="Times New Roman" w:eastAsia="Times New Roman" w:cs="Times New Roman"/>
                      <w:color w:val="auto"/>
                      <w:sz w:val="21"/>
                      <w:szCs w:val="21"/>
                      <w:highlight w:val="none"/>
                    </w:rPr>
                  </w:pP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9EED12">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A</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DC0169">
                  <w:pPr>
                    <w:widowControl w:val="0"/>
                    <w:adjustRightIn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Times New Roman" w:cs="Times New Roman"/>
                      <w:b/>
                      <w:color w:val="auto"/>
                      <w:sz w:val="21"/>
                      <w:szCs w:val="21"/>
                      <w:highlight w:val="none"/>
                    </w:rPr>
                    <w:t>B</w:t>
                  </w:r>
                </w:p>
              </w:tc>
              <w:tc>
                <w:tcPr>
                  <w:tcW w:w="2080" w:type="pct"/>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14:paraId="2FCBD9FF">
                  <w:pPr>
                    <w:widowControl w:val="0"/>
                    <w:adjustRightInd w:val="0"/>
                    <w:jc w:val="center"/>
                    <w:rPr>
                      <w:rFonts w:hint="default" w:ascii="Times New Roman" w:hAnsi="Times New Roman" w:eastAsia="Times New Roman" w:cs="Times New Roman"/>
                      <w:color w:val="auto"/>
                      <w:sz w:val="21"/>
                      <w:szCs w:val="21"/>
                      <w:highlight w:val="none"/>
                    </w:rPr>
                  </w:pPr>
                </w:p>
              </w:tc>
            </w:tr>
            <w:tr w14:paraId="4CE2E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36CAA5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847536">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次氯酸盐</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1AAA40">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非氧化性酸类</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88AC33B">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产生氯气、吸入可能会致命</w:t>
                  </w:r>
                </w:p>
              </w:tc>
            </w:tr>
            <w:tr w14:paraId="124CD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1ACD7C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15A156">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铜、铬及多种重金属</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51B5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氧化性酸类如硝酸</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6DB74FC">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产生二氧化氮、亚硝酸烟，引致刺激眼目及烧伤皮肤</w:t>
                  </w:r>
                </w:p>
              </w:tc>
            </w:tr>
            <w:tr w14:paraId="2B648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6817288">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3AE3A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强酸</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02B14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强碱</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60F2DA89">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可能引起爆炸性的反应及产生热能</w:t>
                  </w:r>
                </w:p>
              </w:tc>
            </w:tr>
            <w:tr w14:paraId="6EBF3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0617F3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37BD1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铵盐</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B3F3BE">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强碱</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E72C9AF">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产生氨气、吸入会刺激眼目及呼吸道</w:t>
                  </w:r>
                </w:p>
              </w:tc>
            </w:tr>
            <w:tr w14:paraId="66809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EA8825A">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6A8DB4">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氧化剂</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876DE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还原剂</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033D2A1">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可能引起强列爆炸性的反应及产生热能</w:t>
                  </w:r>
                </w:p>
              </w:tc>
            </w:tr>
            <w:tr w14:paraId="66EFB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01"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998F7E3">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11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D45EDE">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氰化物</w:t>
                  </w:r>
                </w:p>
              </w:tc>
              <w:tc>
                <w:tcPr>
                  <w:tcW w:w="12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7731E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非氧化性酸类</w:t>
                  </w:r>
                </w:p>
              </w:tc>
              <w:tc>
                <w:tcPr>
                  <w:tcW w:w="208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D86CC77">
                  <w:pPr>
                    <w:widowControl w:val="0"/>
                    <w:adjustRightIn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产生氰化氢、吸入少量可能会致命</w:t>
                  </w:r>
                </w:p>
              </w:tc>
            </w:tr>
          </w:tbl>
          <w:p w14:paraId="4B8B57E9">
            <w:pPr>
              <w:widowControl/>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针对上述情况，项目危废产生源处危废盛装容器由项目建设单位提供给产废单位（或提前说明情况确保产废单位危废收集容器合理安全），由产废单位按上述要求和危废特性自行分类包装，本项目不涉及放射性的危险废物，危废包装所用容器按照《危险废物贮存污染控制标准》（GB18597-2023）中要求，根据危险废物的种类、数量、危险特性、物理形态和运输要求等因素确定，危废包装时要求标明容器内盛物的名称、类别、性质、数量及装入日期，包装容器要求牢固、安全。</w:t>
            </w:r>
          </w:p>
          <w:p w14:paraId="5CB93F64">
            <w:pPr>
              <w:widowControl/>
              <w:numPr>
                <w:ilvl w:val="0"/>
                <w:numId w:val="0"/>
              </w:numPr>
              <w:spacing w:line="360" w:lineRule="auto"/>
              <w:ind w:firstLine="42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1"/>
                <w:szCs w:val="21"/>
                <w:highlight w:val="none"/>
              </w:rPr>
              <w:t>根据上述标准中对于危废包装物的要求，</w:t>
            </w:r>
            <w:r>
              <w:rPr>
                <w:rFonts w:hint="default" w:ascii="Times New Roman" w:hAnsi="Times New Roman" w:eastAsia="宋体" w:cs="Times New Roman"/>
                <w:b w:val="0"/>
                <w:bCs w:val="0"/>
                <w:color w:val="auto"/>
                <w:sz w:val="24"/>
                <w:szCs w:val="24"/>
                <w:highlight w:val="none"/>
                <w:lang w:val="en-US" w:eastAsia="zh-CN"/>
              </w:rPr>
              <w:t>可盛装危险废物的容器装置包括铁桶、铁罐、玻璃钢罐、塑料制品或防漏胶袋等，根据危险废物的性质和形态，可采用不同大小和不同材质的容器进行包装。通过调查相关危险废物贮运和处理项目，参照国内外已有危险废物处理处置项目的危险废物包装情况，可供选用的包装装置和适宜于盛装危险废物包装物种类如下：</w:t>
            </w:r>
          </w:p>
          <w:p w14:paraId="319ED4E2">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①V＝200L带塞钢圆桶，可供盛装危险废物废液（废酸、废碱除外），为密闭型包装。</w:t>
            </w:r>
          </w:p>
          <w:p w14:paraId="66CBE6C3">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②V＝200L塑料桶，可供盛装危险废物废液，为密闭型包装。</w:t>
            </w:r>
          </w:p>
          <w:p w14:paraId="4A224C4A">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③V＝200L带卡箍盖钢圆桶，可供盛装固态或半固态危险废物（腐蚀性除外），为密闭型包装。</w:t>
            </w:r>
          </w:p>
          <w:p w14:paraId="0130B343">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④V＝200L带卡箍盖塑料桶，可供盛装固态或半固态危险废物，为密闭型包装。</w:t>
            </w:r>
          </w:p>
          <w:p w14:paraId="41D0CB4B">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⑤V＝1000L带塞塑料吨桶，可供盛装危险废物废液，为密闭型包装。</w:t>
            </w:r>
          </w:p>
          <w:p w14:paraId="346DE909">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⑥防漏胶袋，无法装入常用容器的危险废物根据其相关性质，可装入规格为50kg或500kg或1t的防漏胶袋。</w:t>
            </w:r>
          </w:p>
          <w:p w14:paraId="512558C2">
            <w:pPr>
              <w:pStyle w:val="26"/>
              <w:rPr>
                <w:rFonts w:hint="default"/>
                <w:color w:val="auto"/>
                <w:highlight w:val="none"/>
                <w:lang w:val="en-US" w:eastAsia="zh-CN"/>
              </w:rPr>
            </w:pPr>
            <w:r>
              <w:rPr>
                <w:rFonts w:hint="default" w:ascii="Times New Roman" w:hAnsi="Times New Roman" w:cs="Times New Roman"/>
                <w:color w:val="auto"/>
                <w:position w:val="-86"/>
                <w:highlight w:val="none"/>
              </w:rPr>
              <w:drawing>
                <wp:inline distT="0" distB="0" distL="0" distR="0">
                  <wp:extent cx="4999355" cy="3084830"/>
                  <wp:effectExtent l="0" t="0" r="10795" b="127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4999355" cy="3084830"/>
                          </a:xfrm>
                          <a:prstGeom prst="rect">
                            <a:avLst/>
                          </a:prstGeom>
                        </pic:spPr>
                      </pic:pic>
                    </a:graphicData>
                  </a:graphic>
                </wp:inline>
              </w:drawing>
            </w:r>
          </w:p>
          <w:p w14:paraId="6CF74E97">
            <w:pPr>
              <w:widowControl/>
              <w:numPr>
                <w:ilvl w:val="0"/>
                <w:numId w:val="0"/>
              </w:numPr>
              <w:spacing w:line="360" w:lineRule="auto"/>
              <w:ind w:firstLine="422" w:firstLineChars="20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color w:val="auto"/>
                <w:sz w:val="21"/>
                <w:szCs w:val="21"/>
                <w:highlight w:val="none"/>
              </w:rPr>
              <w:t>图2-1危险废物包装图</w:t>
            </w:r>
          </w:p>
          <w:p w14:paraId="3BE0750D">
            <w:pPr>
              <w:widowControl/>
              <w:numPr>
                <w:ilvl w:val="0"/>
                <w:numId w:val="0"/>
              </w:num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lang w:val="en-US" w:eastAsia="zh-CN"/>
              </w:rPr>
              <w:t>贮存方式</w:t>
            </w:r>
          </w:p>
          <w:p w14:paraId="2938E30E">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项目按照不同类别危废进行</w:t>
            </w:r>
            <w:r>
              <w:rPr>
                <w:rFonts w:hint="eastAsia" w:cs="Times New Roman"/>
                <w:b w:val="0"/>
                <w:bCs w:val="0"/>
                <w:color w:val="auto"/>
                <w:kern w:val="2"/>
                <w:sz w:val="24"/>
                <w:szCs w:val="24"/>
                <w:highlight w:val="none"/>
                <w:lang w:val="en-US" w:eastAsia="zh-CN" w:bidi="ar-SA"/>
              </w:rPr>
              <w:t>分类、分区</w:t>
            </w:r>
            <w:r>
              <w:rPr>
                <w:rFonts w:hint="default" w:ascii="Times New Roman" w:hAnsi="Times New Roman" w:eastAsia="宋体" w:cs="Times New Roman"/>
                <w:b w:val="0"/>
                <w:bCs w:val="0"/>
                <w:color w:val="auto"/>
                <w:kern w:val="2"/>
                <w:sz w:val="24"/>
                <w:szCs w:val="24"/>
                <w:highlight w:val="none"/>
                <w:lang w:val="en-US" w:eastAsia="zh-CN" w:bidi="ar-SA"/>
              </w:rPr>
              <w:t>暂存，各废物类别</w:t>
            </w:r>
            <w:r>
              <w:rPr>
                <w:rFonts w:hint="eastAsia" w:cs="Times New Roman"/>
                <w:b w:val="0"/>
                <w:bCs w:val="0"/>
                <w:color w:val="auto"/>
                <w:kern w:val="2"/>
                <w:sz w:val="24"/>
                <w:szCs w:val="24"/>
                <w:highlight w:val="none"/>
                <w:lang w:val="en-US" w:eastAsia="zh-CN" w:bidi="ar-SA"/>
              </w:rPr>
              <w:t>根据</w:t>
            </w:r>
            <w:r>
              <w:rPr>
                <w:rFonts w:hint="default" w:ascii="Times New Roman" w:hAnsi="Times New Roman" w:eastAsia="宋体" w:cs="Times New Roman"/>
                <w:b w:val="0"/>
                <w:bCs w:val="0"/>
                <w:color w:val="auto"/>
                <w:kern w:val="2"/>
                <w:sz w:val="24"/>
                <w:szCs w:val="24"/>
                <w:highlight w:val="none"/>
                <w:lang w:val="en-US" w:eastAsia="zh-CN" w:bidi="ar-SA"/>
              </w:rPr>
              <w:t>不同废物代码设置</w:t>
            </w:r>
            <w:r>
              <w:rPr>
                <w:rFonts w:hint="eastAsia" w:cs="Times New Roman"/>
                <w:b w:val="0"/>
                <w:bCs w:val="0"/>
                <w:color w:val="auto"/>
                <w:kern w:val="2"/>
                <w:sz w:val="24"/>
                <w:szCs w:val="24"/>
                <w:highlight w:val="none"/>
                <w:lang w:val="en-US" w:eastAsia="zh-CN" w:bidi="ar-SA"/>
              </w:rPr>
              <w:t>暂存间，并</w:t>
            </w:r>
            <w:r>
              <w:rPr>
                <w:rFonts w:hint="default" w:ascii="Times New Roman" w:hAnsi="Times New Roman" w:cs="Times New Roman"/>
                <w:b w:val="0"/>
                <w:bCs w:val="0"/>
                <w:color w:val="auto"/>
                <w:kern w:val="2"/>
                <w:sz w:val="24"/>
                <w:szCs w:val="24"/>
                <w:highlight w:val="none"/>
                <w:lang w:val="en-US" w:eastAsia="zh-CN" w:bidi="ar-SA"/>
              </w:rPr>
              <w:t>隔挡</w:t>
            </w:r>
            <w:r>
              <w:rPr>
                <w:rFonts w:hint="default" w:ascii="Times New Roman" w:hAnsi="Times New Roman" w:eastAsia="宋体" w:cs="Times New Roman"/>
                <w:b w:val="0"/>
                <w:bCs w:val="0"/>
                <w:color w:val="auto"/>
                <w:kern w:val="2"/>
                <w:sz w:val="24"/>
                <w:szCs w:val="24"/>
                <w:highlight w:val="none"/>
                <w:lang w:val="en-US" w:eastAsia="zh-CN" w:bidi="ar-SA"/>
              </w:rPr>
              <w:t>分类</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分堆存放，并设置标志牌，衬里放在一个托盘或架子上，衬里材料与各类危险废物相容，同时在贮存区内设置地面导流沟和收集池，全厂地面均采用水泥硬化+防腐防渗处理。</w:t>
            </w:r>
          </w:p>
          <w:p w14:paraId="48040EF0">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项目收集的危险废物90%的危废一周内委托处置，暂存周期最长不超过</w:t>
            </w:r>
            <w:r>
              <w:rPr>
                <w:rFonts w:hint="default" w:ascii="Times New Roman" w:hAnsi="Times New Roman" w:cs="Times New Roman"/>
                <w:b w:val="0"/>
                <w:bCs w:val="0"/>
                <w:color w:val="auto"/>
                <w:kern w:val="2"/>
                <w:sz w:val="24"/>
                <w:szCs w:val="24"/>
                <w:highlight w:val="none"/>
                <w:lang w:val="en-US" w:eastAsia="zh-CN" w:bidi="ar-SA"/>
              </w:rPr>
              <w:t>7天</w:t>
            </w:r>
            <w:r>
              <w:rPr>
                <w:rFonts w:hint="default" w:ascii="Times New Roman" w:hAnsi="Times New Roman" w:eastAsia="宋体" w:cs="Times New Roman"/>
                <w:b w:val="0"/>
                <w:bCs w:val="0"/>
                <w:color w:val="auto"/>
                <w:kern w:val="2"/>
                <w:sz w:val="24"/>
                <w:szCs w:val="24"/>
                <w:highlight w:val="none"/>
                <w:lang w:val="en-US" w:eastAsia="zh-CN" w:bidi="ar-SA"/>
              </w:rPr>
              <w:t>。确需暂存的各类危废在入库前，由项目危险废物收集人员确认各产废企业做好包装，进入本项目暂存库后只需要按类别分开送往各个区域储存。</w:t>
            </w:r>
          </w:p>
          <w:p w14:paraId="4A8AEDF8">
            <w:pPr>
              <w:widowControl/>
              <w:numPr>
                <w:ilvl w:val="0"/>
                <w:numId w:val="0"/>
              </w:num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暂存库房采用室温存放，设置自然通风及机械通风散热；可能散发有机废气危险废物暂存间设有负压暂存间，产生的有机废气经负压收集后经二级活性炭吸附设施处理后经15m排气筒（DA001）排放；废铅蓄电池、含酸性废液、废渣收集区设置为微负压收集系统，废气经碱液喷淋+干式过滤处理后由15m排气筒（DA00</w:t>
            </w:r>
            <w:r>
              <w:rPr>
                <w:rFonts w:hint="eastAsia" w:ascii="Times New Roman" w:hAnsi="Times New Roman" w:cs="Times New Roman"/>
                <w:b w:val="0"/>
                <w:bCs w:val="0"/>
                <w:color w:val="auto"/>
                <w:kern w:val="2"/>
                <w:sz w:val="24"/>
                <w:szCs w:val="24"/>
                <w:highlight w:val="none"/>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）排放。</w:t>
            </w:r>
          </w:p>
          <w:p w14:paraId="711D7D33">
            <w:pPr>
              <w:widowControl/>
              <w:numPr>
                <w:ilvl w:val="0"/>
                <w:numId w:val="0"/>
              </w:numPr>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8</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危险废物去向</w:t>
            </w:r>
          </w:p>
          <w:p w14:paraId="6C8DC5FE">
            <w:pPr>
              <w:widowControl/>
              <w:numPr>
                <w:ilvl w:val="0"/>
                <w:numId w:val="0"/>
              </w:numPr>
              <w:spacing w:line="360" w:lineRule="auto"/>
              <w:ind w:firstLine="480" w:firstLineChars="200"/>
              <w:rPr>
                <w:rFonts w:hint="default" w:ascii="Times New Roman" w:hAnsi="Times New Roman"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项目收集、贮存的各类危险废物定期交由相关资质的危险废物处置单位进行处置利用，根据建设单位提供资料，本项目收集贮存的危险废物去向主要为金隅冀东凤翔环保科技有限公司</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冀东海德堡（扶风）水泥有限公司</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千阳海螺环保科技有限责任公司</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渭南德昌环保科技有限公司。项目建成后将与上述意向处置单位签订危险废物安全处置合同</w:t>
            </w:r>
            <w:r>
              <w:rPr>
                <w:rFonts w:hint="default"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项目</w:t>
            </w:r>
            <w:r>
              <w:rPr>
                <w:rFonts w:hint="eastAsia" w:cs="Times New Roman"/>
                <w:b w:val="0"/>
                <w:bCs w:val="0"/>
                <w:color w:val="auto"/>
                <w:kern w:val="2"/>
                <w:sz w:val="24"/>
                <w:szCs w:val="24"/>
                <w:highlight w:val="none"/>
                <w:lang w:val="en-US" w:eastAsia="zh-CN" w:bidi="ar-SA"/>
              </w:rPr>
              <w:t>新增</w:t>
            </w:r>
            <w:r>
              <w:rPr>
                <w:rFonts w:hint="default" w:ascii="Times New Roman" w:hAnsi="Times New Roman" w:eastAsia="宋体" w:cs="Times New Roman"/>
                <w:b w:val="0"/>
                <w:bCs w:val="0"/>
                <w:color w:val="auto"/>
                <w:kern w:val="2"/>
                <w:sz w:val="24"/>
                <w:szCs w:val="24"/>
                <w:highlight w:val="none"/>
                <w:lang w:val="en-US" w:eastAsia="zh-CN" w:bidi="ar-SA"/>
              </w:rPr>
              <w:t>拟收集危险废物</w:t>
            </w:r>
            <w:r>
              <w:rPr>
                <w:rFonts w:hint="eastAsia" w:cs="Times New Roman"/>
                <w:b w:val="0"/>
                <w:bCs w:val="0"/>
                <w:color w:val="auto"/>
                <w:kern w:val="2"/>
                <w:sz w:val="24"/>
                <w:szCs w:val="24"/>
                <w:highlight w:val="none"/>
                <w:lang w:val="en-US" w:eastAsia="zh-CN" w:bidi="ar-SA"/>
              </w:rPr>
              <w:t>40</w:t>
            </w:r>
            <w:r>
              <w:rPr>
                <w:rFonts w:hint="default" w:ascii="Times New Roman" w:hAnsi="Times New Roman" w:eastAsia="宋体" w:cs="Times New Roman"/>
                <w:b w:val="0"/>
                <w:bCs w:val="0"/>
                <w:color w:val="auto"/>
                <w:kern w:val="2"/>
                <w:sz w:val="24"/>
                <w:szCs w:val="24"/>
                <w:highlight w:val="none"/>
                <w:lang w:val="en-US" w:eastAsia="zh-CN" w:bidi="ar-SA"/>
              </w:rPr>
              <w:t>个类别均在以上危废处置单位经营范围以内。在运营过程中更换下游处置单位时必须委托具有相关处置资质的单位。</w:t>
            </w:r>
            <w:r>
              <w:rPr>
                <w:rFonts w:hint="default" w:ascii="Times New Roman" w:hAnsi="Times New Roman" w:cs="Times New Roman"/>
                <w:b w:val="0"/>
                <w:bCs w:val="0"/>
                <w:color w:val="auto"/>
                <w:kern w:val="2"/>
                <w:sz w:val="24"/>
                <w:szCs w:val="24"/>
                <w:highlight w:val="none"/>
                <w:lang w:val="en-US" w:eastAsia="zh-CN" w:bidi="ar-SA"/>
              </w:rPr>
              <w:t>处置单位信息详见下表：</w:t>
            </w:r>
          </w:p>
          <w:p w14:paraId="1A9BBCAC">
            <w:pPr>
              <w:widowControl/>
              <w:numPr>
                <w:ilvl w:val="0"/>
                <w:numId w:val="0"/>
              </w:numPr>
              <w:spacing w:line="360" w:lineRule="auto"/>
              <w:ind w:firstLine="422" w:firstLineChars="20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5</w:t>
            </w:r>
            <w:r>
              <w:rPr>
                <w:rFonts w:hint="default" w:ascii="Times New Roman" w:hAnsi="Times New Roman" w:cs="Times New Roman"/>
                <w:b/>
                <w:color w:val="auto"/>
                <w:highlight w:val="none"/>
                <w:lang w:eastAsia="zh-CN"/>
              </w:rPr>
              <w:t>处置单位</w:t>
            </w:r>
            <w:r>
              <w:rPr>
                <w:rFonts w:hint="default" w:ascii="Times New Roman" w:hAnsi="Times New Roman" w:cs="Times New Roman"/>
                <w:b/>
                <w:color w:val="auto"/>
                <w:highlight w:val="none"/>
              </w:rPr>
              <w:t>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2912"/>
              <w:gridCol w:w="1858"/>
            </w:tblGrid>
            <w:tr w14:paraId="35BD5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009" w:type="dxa"/>
                  <w:tcBorders>
                    <w:tl2br w:val="nil"/>
                    <w:tr2bl w:val="nil"/>
                  </w:tcBorders>
                  <w:vAlign w:val="center"/>
                </w:tcPr>
                <w:p w14:paraId="2D5FCBAE">
                  <w:pPr>
                    <w:tabs>
                      <w:tab w:val="left" w:pos="1260"/>
                    </w:tabs>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处置单位名称</w:t>
                  </w:r>
                </w:p>
              </w:tc>
              <w:tc>
                <w:tcPr>
                  <w:tcW w:w="2912" w:type="dxa"/>
                  <w:tcBorders>
                    <w:tl2br w:val="nil"/>
                    <w:tr2bl w:val="nil"/>
                  </w:tcBorders>
                  <w:vAlign w:val="center"/>
                </w:tcPr>
                <w:p w14:paraId="1F4CF6B5">
                  <w:pPr>
                    <w:tabs>
                      <w:tab w:val="left" w:pos="1260"/>
                    </w:tabs>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处置单位所在地</w:t>
                  </w:r>
                </w:p>
              </w:tc>
              <w:tc>
                <w:tcPr>
                  <w:tcW w:w="1858" w:type="dxa"/>
                  <w:tcBorders>
                    <w:tl2br w:val="nil"/>
                    <w:tr2bl w:val="nil"/>
                  </w:tcBorders>
                  <w:vAlign w:val="center"/>
                </w:tcPr>
                <w:p w14:paraId="2F2C2E46">
                  <w:pPr>
                    <w:tabs>
                      <w:tab w:val="left" w:pos="1260"/>
                    </w:tabs>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处置方式</w:t>
                  </w:r>
                </w:p>
              </w:tc>
            </w:tr>
            <w:tr w14:paraId="7D5C3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009" w:type="dxa"/>
                  <w:tcBorders>
                    <w:tl2br w:val="nil"/>
                    <w:tr2bl w:val="nil"/>
                  </w:tcBorders>
                  <w:vAlign w:val="center"/>
                </w:tcPr>
                <w:p w14:paraId="4B8E1FD2">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金隅冀东凤翔环保科技有限公司</w:t>
                  </w:r>
                </w:p>
              </w:tc>
              <w:tc>
                <w:tcPr>
                  <w:tcW w:w="2912" w:type="dxa"/>
                  <w:tcBorders>
                    <w:tl2br w:val="nil"/>
                    <w:tr2bl w:val="nil"/>
                  </w:tcBorders>
                  <w:vAlign w:val="center"/>
                </w:tcPr>
                <w:p w14:paraId="7F894BBA">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陕西省宝鸡市凤翔区田家庄镇河北村北</w:t>
                  </w:r>
                </w:p>
              </w:tc>
              <w:tc>
                <w:tcPr>
                  <w:tcW w:w="1858" w:type="dxa"/>
                  <w:tcBorders>
                    <w:tl2br w:val="nil"/>
                    <w:tr2bl w:val="nil"/>
                  </w:tcBorders>
                  <w:vAlign w:val="center"/>
                </w:tcPr>
                <w:p w14:paraId="051D6D0E">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水泥窑协同处置</w:t>
                  </w:r>
                </w:p>
              </w:tc>
            </w:tr>
            <w:tr w14:paraId="1AD5A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09" w:type="dxa"/>
                  <w:tcBorders>
                    <w:tl2br w:val="nil"/>
                    <w:tr2bl w:val="nil"/>
                  </w:tcBorders>
                  <w:vAlign w:val="center"/>
                </w:tcPr>
                <w:p w14:paraId="3402A711">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冀东海德堡（扶风）水泥有限公司</w:t>
                  </w:r>
                </w:p>
              </w:tc>
              <w:tc>
                <w:tcPr>
                  <w:tcW w:w="2912" w:type="dxa"/>
                  <w:tcBorders>
                    <w:tl2br w:val="nil"/>
                    <w:tr2bl w:val="nil"/>
                  </w:tcBorders>
                  <w:vAlign w:val="center"/>
                </w:tcPr>
                <w:p w14:paraId="038BEFC6">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陕西省扶风县天度镇闫马村北</w:t>
                  </w:r>
                </w:p>
              </w:tc>
              <w:tc>
                <w:tcPr>
                  <w:tcW w:w="1858" w:type="dxa"/>
                  <w:tcBorders>
                    <w:tl2br w:val="nil"/>
                    <w:tr2bl w:val="nil"/>
                  </w:tcBorders>
                  <w:vAlign w:val="center"/>
                </w:tcPr>
                <w:p w14:paraId="48916110">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水泥窑协同处置</w:t>
                  </w:r>
                </w:p>
              </w:tc>
            </w:tr>
            <w:tr w14:paraId="48EAE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009" w:type="dxa"/>
                  <w:tcBorders>
                    <w:tl2br w:val="nil"/>
                    <w:tr2bl w:val="nil"/>
                  </w:tcBorders>
                  <w:vAlign w:val="center"/>
                </w:tcPr>
                <w:p w14:paraId="72491049">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千阳海螺环保科技有限责任公司</w:t>
                  </w:r>
                </w:p>
              </w:tc>
              <w:tc>
                <w:tcPr>
                  <w:tcW w:w="2912" w:type="dxa"/>
                  <w:tcBorders>
                    <w:tl2br w:val="nil"/>
                    <w:tr2bl w:val="nil"/>
                  </w:tcBorders>
                  <w:vAlign w:val="center"/>
                </w:tcPr>
                <w:p w14:paraId="14B6C808">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宝鸡市千阳县水沟镇新中村</w:t>
                  </w:r>
                </w:p>
              </w:tc>
              <w:tc>
                <w:tcPr>
                  <w:tcW w:w="1858" w:type="dxa"/>
                  <w:tcBorders>
                    <w:tl2br w:val="nil"/>
                    <w:tr2bl w:val="nil"/>
                  </w:tcBorders>
                  <w:vAlign w:val="center"/>
                </w:tcPr>
                <w:p w14:paraId="3713D091">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水泥窑协同处置</w:t>
                  </w:r>
                </w:p>
              </w:tc>
            </w:tr>
            <w:tr w14:paraId="6B1E9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009" w:type="dxa"/>
                  <w:tcBorders>
                    <w:tl2br w:val="nil"/>
                    <w:tr2bl w:val="nil"/>
                  </w:tcBorders>
                  <w:vAlign w:val="center"/>
                </w:tcPr>
                <w:p w14:paraId="35A1FCD7">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渭南德昌环保科技有限公司</w:t>
                  </w:r>
                </w:p>
              </w:tc>
              <w:tc>
                <w:tcPr>
                  <w:tcW w:w="2912" w:type="dxa"/>
                  <w:tcBorders>
                    <w:tl2br w:val="nil"/>
                    <w:tr2bl w:val="nil"/>
                  </w:tcBorders>
                  <w:vAlign w:val="center"/>
                </w:tcPr>
                <w:p w14:paraId="1C1A1D37">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陕西省渭南市蒲城县高新技术产业开发区</w:t>
                  </w:r>
                </w:p>
              </w:tc>
              <w:tc>
                <w:tcPr>
                  <w:tcW w:w="1858" w:type="dxa"/>
                  <w:tcBorders>
                    <w:tl2br w:val="nil"/>
                    <w:tr2bl w:val="nil"/>
                  </w:tcBorders>
                  <w:vAlign w:val="center"/>
                </w:tcPr>
                <w:p w14:paraId="58FD3175">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焚烧</w:t>
                  </w:r>
                </w:p>
              </w:tc>
            </w:tr>
          </w:tbl>
          <w:p w14:paraId="4056FCD4">
            <w:pPr>
              <w:widowControl/>
              <w:numPr>
                <w:ilvl w:val="0"/>
                <w:numId w:val="0"/>
              </w:num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项目主要生产设施</w:t>
            </w:r>
          </w:p>
          <w:p w14:paraId="07152405">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项目主要生产设施见表2-</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763B34E9">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w:t>
            </w:r>
            <w:r>
              <w:rPr>
                <w:rFonts w:hint="default" w:ascii="Times New Roman" w:hAnsi="Times New Roman" w:cs="Times New Roman"/>
                <w:b/>
                <w:color w:val="auto"/>
                <w:highlight w:val="none"/>
                <w:lang w:val="en-US" w:eastAsia="zh-CN"/>
              </w:rPr>
              <w:t>6</w:t>
            </w:r>
            <w:r>
              <w:rPr>
                <w:rFonts w:hint="default" w:ascii="Times New Roman" w:hAnsi="Times New Roman" w:cs="Times New Roman"/>
                <w:b/>
                <w:color w:val="auto"/>
                <w:highlight w:val="none"/>
              </w:rPr>
              <w:t>主要生产设施一览表</w:t>
            </w:r>
          </w:p>
          <w:tbl>
            <w:tblPr>
              <w:tblStyle w:val="35"/>
              <w:tblW w:w="78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1620"/>
              <w:gridCol w:w="750"/>
              <w:gridCol w:w="3141"/>
            </w:tblGrid>
            <w:tr w14:paraId="47B33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93" w:type="pct"/>
                  <w:vAlign w:val="center"/>
                </w:tcPr>
                <w:p w14:paraId="3C29D6E9">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设备名称</w:t>
                  </w:r>
                </w:p>
              </w:tc>
              <w:tc>
                <w:tcPr>
                  <w:tcW w:w="1030" w:type="pct"/>
                  <w:vAlign w:val="center"/>
                </w:tcPr>
                <w:p w14:paraId="0F5136B4">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主要规格/型号</w:t>
                  </w:r>
                </w:p>
              </w:tc>
              <w:tc>
                <w:tcPr>
                  <w:tcW w:w="477" w:type="pct"/>
                  <w:vAlign w:val="center"/>
                </w:tcPr>
                <w:p w14:paraId="7F36159B">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数量</w:t>
                  </w:r>
                </w:p>
              </w:tc>
              <w:tc>
                <w:tcPr>
                  <w:tcW w:w="1998" w:type="pct"/>
                  <w:vAlign w:val="center"/>
                </w:tcPr>
                <w:p w14:paraId="77E74BB9">
                  <w:pPr>
                    <w:tabs>
                      <w:tab w:val="left" w:pos="1260"/>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备注</w:t>
                  </w:r>
                </w:p>
              </w:tc>
            </w:tr>
            <w:tr w14:paraId="29E3C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93" w:type="pct"/>
                  <w:vAlign w:val="center"/>
                </w:tcPr>
                <w:p w14:paraId="15AD8AB7">
                  <w:pPr>
                    <w:pStyle w:val="97"/>
                    <w:rPr>
                      <w:rFonts w:hint="default" w:ascii="Times New Roman" w:hAnsi="Times New Roman" w:cs="Times New Roman" w:eastAsiaTheme="minorEastAsia"/>
                      <w:b/>
                      <w:color w:val="auto"/>
                      <w:szCs w:val="20"/>
                      <w:highlight w:val="none"/>
                      <w:lang w:eastAsia="zh-CN"/>
                    </w:rPr>
                  </w:pPr>
                  <w:r>
                    <w:rPr>
                      <w:rFonts w:hint="default" w:ascii="Times New Roman" w:hAnsi="Times New Roman" w:cs="Times New Roman"/>
                      <w:b/>
                      <w:color w:val="auto"/>
                      <w:szCs w:val="20"/>
                      <w:highlight w:val="none"/>
                      <w:lang w:eastAsia="zh-CN"/>
                    </w:rPr>
                    <w:t>叉车</w:t>
                  </w:r>
                </w:p>
              </w:tc>
              <w:tc>
                <w:tcPr>
                  <w:tcW w:w="1030" w:type="pct"/>
                  <w:vAlign w:val="center"/>
                </w:tcPr>
                <w:p w14:paraId="5E6F9436">
                  <w:pPr>
                    <w:pStyle w:val="97"/>
                    <w:rPr>
                      <w:rFonts w:hint="default" w:ascii="Times New Roman" w:hAnsi="Times New Roman" w:cs="Times New Roman" w:eastAsiaTheme="minorEastAsia"/>
                      <w:b/>
                      <w:color w:val="auto"/>
                      <w:szCs w:val="20"/>
                      <w:highlight w:val="none"/>
                      <w:lang w:val="en-US" w:eastAsia="zh-CN"/>
                    </w:rPr>
                  </w:pPr>
                  <w:r>
                    <w:rPr>
                      <w:rFonts w:hint="default" w:ascii="Times New Roman" w:hAnsi="Times New Roman" w:cs="Times New Roman"/>
                      <w:color w:val="auto"/>
                      <w:szCs w:val="21"/>
                      <w:highlight w:val="none"/>
                      <w:lang w:val="en-US" w:eastAsia="zh-CN"/>
                    </w:rPr>
                    <w:t>2t</w:t>
                  </w:r>
                </w:p>
              </w:tc>
              <w:tc>
                <w:tcPr>
                  <w:tcW w:w="477" w:type="pct"/>
                  <w:vAlign w:val="center"/>
                </w:tcPr>
                <w:p w14:paraId="11C6D11E">
                  <w:pPr>
                    <w:pStyle w:val="97"/>
                    <w:rPr>
                      <w:rFonts w:hint="default" w:ascii="Times New Roman" w:hAnsi="Times New Roman" w:cs="Times New Roman" w:eastAsiaTheme="minorEastAsia"/>
                      <w:bCs/>
                      <w:color w:val="auto"/>
                      <w:szCs w:val="20"/>
                      <w:highlight w:val="none"/>
                      <w:lang w:val="en-US" w:eastAsia="zh-CN"/>
                    </w:rPr>
                  </w:pPr>
                  <w:r>
                    <w:rPr>
                      <w:rFonts w:hint="default" w:ascii="Times New Roman" w:hAnsi="Times New Roman" w:cs="Times New Roman"/>
                      <w:color w:val="auto"/>
                      <w:highlight w:val="none"/>
                    </w:rPr>
                    <w:t>1辆</w:t>
                  </w:r>
                </w:p>
              </w:tc>
              <w:tc>
                <w:tcPr>
                  <w:tcW w:w="1998" w:type="pct"/>
                  <w:vAlign w:val="center"/>
                </w:tcPr>
                <w:p w14:paraId="1E80CBB5">
                  <w:pPr>
                    <w:pStyle w:val="6"/>
                    <w:tabs>
                      <w:tab w:val="left" w:pos="4423"/>
                    </w:tabs>
                    <w:ind w:firstLine="0" w:firstLineChars="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转运、起重货物</w:t>
                  </w:r>
                </w:p>
              </w:tc>
            </w:tr>
            <w:tr w14:paraId="757A3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33B304A4">
                  <w:pPr>
                    <w:widowControl/>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打包机</w:t>
                  </w:r>
                </w:p>
              </w:tc>
              <w:tc>
                <w:tcPr>
                  <w:tcW w:w="1030" w:type="pct"/>
                  <w:vAlign w:val="center"/>
                </w:tcPr>
                <w:p w14:paraId="159C129E">
                  <w:pPr>
                    <w:widowControl/>
                    <w:jc w:val="center"/>
                    <w:textAlignment w:val="center"/>
                    <w:rPr>
                      <w:rFonts w:hint="default" w:ascii="Times New Roman" w:hAnsi="Times New Roman" w:cs="Times New Roman"/>
                      <w:color w:val="auto"/>
                      <w:highlight w:val="none"/>
                    </w:rPr>
                  </w:pPr>
                </w:p>
              </w:tc>
              <w:tc>
                <w:tcPr>
                  <w:tcW w:w="477" w:type="pct"/>
                  <w:vAlign w:val="center"/>
                </w:tcPr>
                <w:p w14:paraId="3FFD3904">
                  <w:pPr>
                    <w:pStyle w:val="6"/>
                    <w:tabs>
                      <w:tab w:val="left" w:pos="4423"/>
                    </w:tabs>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台</w:t>
                  </w:r>
                </w:p>
              </w:tc>
              <w:tc>
                <w:tcPr>
                  <w:tcW w:w="1998" w:type="pct"/>
                  <w:vAlign w:val="center"/>
                </w:tcPr>
                <w:p w14:paraId="0D1C784A">
                  <w:pPr>
                    <w:pStyle w:val="6"/>
                    <w:tabs>
                      <w:tab w:val="left" w:pos="4423"/>
                    </w:tabs>
                    <w:ind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固体打包，不涉及液态、半固态</w:t>
                  </w:r>
                </w:p>
              </w:tc>
            </w:tr>
            <w:tr w14:paraId="06EF7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163CA031">
                  <w:pPr>
                    <w:widowControl/>
                    <w:jc w:val="center"/>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风机</w:t>
                  </w:r>
                </w:p>
              </w:tc>
              <w:tc>
                <w:tcPr>
                  <w:tcW w:w="1030" w:type="pct"/>
                  <w:vAlign w:val="center"/>
                </w:tcPr>
                <w:p w14:paraId="3A0C66C2">
                  <w:pPr>
                    <w:widowControl/>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7.5kw、4kw</w:t>
                  </w:r>
                </w:p>
              </w:tc>
              <w:tc>
                <w:tcPr>
                  <w:tcW w:w="477" w:type="pct"/>
                  <w:vAlign w:val="center"/>
                </w:tcPr>
                <w:p w14:paraId="45FA1126">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2台</w:t>
                  </w:r>
                </w:p>
              </w:tc>
              <w:tc>
                <w:tcPr>
                  <w:tcW w:w="1998" w:type="pct"/>
                  <w:vMerge w:val="restart"/>
                  <w:vAlign w:val="center"/>
                </w:tcPr>
                <w:p w14:paraId="12827A00">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环保治理</w:t>
                  </w:r>
                </w:p>
              </w:tc>
            </w:tr>
            <w:tr w14:paraId="188E6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0430FFED">
                  <w:pPr>
                    <w:widowControl/>
                    <w:jc w:val="center"/>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二级活性炭装置</w:t>
                  </w:r>
                </w:p>
              </w:tc>
              <w:tc>
                <w:tcPr>
                  <w:tcW w:w="1030" w:type="pct"/>
                  <w:vAlign w:val="center"/>
                </w:tcPr>
                <w:p w14:paraId="1EE372C1">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77" w:type="pct"/>
                  <w:vAlign w:val="center"/>
                </w:tcPr>
                <w:p w14:paraId="164DD09C">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1套</w:t>
                  </w:r>
                </w:p>
              </w:tc>
              <w:tc>
                <w:tcPr>
                  <w:tcW w:w="1998" w:type="pct"/>
                  <w:vMerge w:val="continue"/>
                  <w:vAlign w:val="center"/>
                </w:tcPr>
                <w:p w14:paraId="5E207820">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p>
              </w:tc>
            </w:tr>
            <w:tr w14:paraId="50C37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7F1E5813">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碱液喷淋塔</w:t>
                  </w:r>
                  <w:r>
                    <w:rPr>
                      <w:rFonts w:hint="default" w:ascii="Times New Roman" w:hAnsi="Times New Roman" w:cs="Times New Roman"/>
                      <w:color w:val="auto"/>
                      <w:highlight w:val="none"/>
                      <w:lang w:val="en-US" w:eastAsia="zh-CN"/>
                    </w:rPr>
                    <w:t>+干式过滤</w:t>
                  </w:r>
                </w:p>
              </w:tc>
              <w:tc>
                <w:tcPr>
                  <w:tcW w:w="1030" w:type="pct"/>
                  <w:vAlign w:val="center"/>
                </w:tcPr>
                <w:p w14:paraId="1D2096A9">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77" w:type="pct"/>
                  <w:vAlign w:val="center"/>
                </w:tcPr>
                <w:p w14:paraId="520032D4">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1套</w:t>
                  </w:r>
                </w:p>
              </w:tc>
              <w:tc>
                <w:tcPr>
                  <w:tcW w:w="1998" w:type="pct"/>
                  <w:vMerge w:val="continue"/>
                  <w:vAlign w:val="center"/>
                </w:tcPr>
                <w:p w14:paraId="7A9A4CCE">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p>
              </w:tc>
            </w:tr>
            <w:tr w14:paraId="2999E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93" w:type="pct"/>
                  <w:vAlign w:val="center"/>
                </w:tcPr>
                <w:p w14:paraId="7163CF2C">
                  <w:pPr>
                    <w:widowControl/>
                    <w:jc w:val="center"/>
                    <w:textAlignment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电子秤</w:t>
                  </w:r>
                </w:p>
              </w:tc>
              <w:tc>
                <w:tcPr>
                  <w:tcW w:w="1030" w:type="pct"/>
                  <w:vAlign w:val="center"/>
                </w:tcPr>
                <w:p w14:paraId="7F0EAD89">
                  <w:pPr>
                    <w:widowControl/>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77" w:type="pct"/>
                  <w:vAlign w:val="center"/>
                </w:tcPr>
                <w:p w14:paraId="34CB1C8E">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1个</w:t>
                  </w:r>
                </w:p>
              </w:tc>
              <w:tc>
                <w:tcPr>
                  <w:tcW w:w="1998" w:type="pct"/>
                  <w:vAlign w:val="center"/>
                </w:tcPr>
                <w:p w14:paraId="5DB1A318">
                  <w:pPr>
                    <w:pStyle w:val="6"/>
                    <w:tabs>
                      <w:tab w:val="left" w:pos="4423"/>
                    </w:tabs>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称重</w:t>
                  </w:r>
                </w:p>
              </w:tc>
            </w:tr>
          </w:tbl>
          <w:p w14:paraId="58ABD0C3">
            <w:pPr>
              <w:widowControl/>
              <w:numPr>
                <w:ilvl w:val="0"/>
                <w:numId w:val="0"/>
              </w:numPr>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原辅材料消耗情况</w:t>
            </w:r>
          </w:p>
          <w:p w14:paraId="1AA39955">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主要原辅材料及其消耗量具体用量详见下表。</w:t>
            </w:r>
          </w:p>
          <w:p w14:paraId="5595339E">
            <w:pPr>
              <w:adjustRightInd w:val="0"/>
              <w:snapToGrid w:val="0"/>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表2-5原辅材料总消耗量</w:t>
            </w:r>
          </w:p>
          <w:tbl>
            <w:tblPr>
              <w:tblStyle w:val="189"/>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0"/>
              <w:gridCol w:w="1425"/>
              <w:gridCol w:w="1401"/>
              <w:gridCol w:w="879"/>
              <w:gridCol w:w="3622"/>
            </w:tblGrid>
            <w:tr w14:paraId="2EC67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6AA63530">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序号</w:t>
                  </w:r>
                </w:p>
              </w:tc>
              <w:tc>
                <w:tcPr>
                  <w:tcW w:w="1425" w:type="dxa"/>
                  <w:tcBorders>
                    <w:tl2br w:val="nil"/>
                    <w:tr2bl w:val="nil"/>
                  </w:tcBorders>
                  <w:vAlign w:val="center"/>
                </w:tcPr>
                <w:p w14:paraId="7A5793F4">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名称</w:t>
                  </w:r>
                </w:p>
              </w:tc>
              <w:tc>
                <w:tcPr>
                  <w:tcW w:w="1401" w:type="dxa"/>
                  <w:tcBorders>
                    <w:tl2br w:val="nil"/>
                    <w:tr2bl w:val="nil"/>
                  </w:tcBorders>
                  <w:vAlign w:val="center"/>
                </w:tcPr>
                <w:p w14:paraId="245DD40B">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单位</w:t>
                  </w:r>
                </w:p>
              </w:tc>
              <w:tc>
                <w:tcPr>
                  <w:tcW w:w="879" w:type="dxa"/>
                  <w:tcBorders>
                    <w:tl2br w:val="nil"/>
                    <w:tr2bl w:val="nil"/>
                  </w:tcBorders>
                  <w:vAlign w:val="center"/>
                </w:tcPr>
                <w:p w14:paraId="13A3432E">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年消耗量</w:t>
                  </w:r>
                </w:p>
              </w:tc>
              <w:tc>
                <w:tcPr>
                  <w:tcW w:w="3622" w:type="dxa"/>
                  <w:tcBorders>
                    <w:tl2br w:val="nil"/>
                    <w:tr2bl w:val="nil"/>
                  </w:tcBorders>
                  <w:vAlign w:val="center"/>
                </w:tcPr>
                <w:p w14:paraId="24DC5F81">
                  <w:pPr>
                    <w:widowControl/>
                    <w:spacing w:line="240" w:lineRule="auto"/>
                    <w:jc w:val="center"/>
                    <w:textAlignment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备注</w:t>
                  </w:r>
                </w:p>
              </w:tc>
            </w:tr>
            <w:tr w14:paraId="0F4718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10" w:type="dxa"/>
                  <w:tcBorders>
                    <w:tl2br w:val="nil"/>
                    <w:tr2bl w:val="nil"/>
                  </w:tcBorders>
                  <w:vAlign w:val="center"/>
                </w:tcPr>
                <w:p w14:paraId="1EAA0F62">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w:t>
                  </w:r>
                </w:p>
              </w:tc>
              <w:tc>
                <w:tcPr>
                  <w:tcW w:w="1425" w:type="dxa"/>
                  <w:tcBorders>
                    <w:tl2br w:val="nil"/>
                    <w:tr2bl w:val="nil"/>
                  </w:tcBorders>
                  <w:vAlign w:val="center"/>
                </w:tcPr>
                <w:p w14:paraId="1D165BEC">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抹布、拖把</w:t>
                  </w:r>
                </w:p>
              </w:tc>
              <w:tc>
                <w:tcPr>
                  <w:tcW w:w="1401" w:type="dxa"/>
                  <w:tcBorders>
                    <w:tl2br w:val="nil"/>
                    <w:tr2bl w:val="nil"/>
                  </w:tcBorders>
                  <w:vAlign w:val="center"/>
                </w:tcPr>
                <w:p w14:paraId="7FB2EBAB">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条</w:t>
                  </w:r>
                </w:p>
              </w:tc>
              <w:tc>
                <w:tcPr>
                  <w:tcW w:w="879" w:type="dxa"/>
                  <w:tcBorders>
                    <w:tl2br w:val="nil"/>
                    <w:tr2bl w:val="nil"/>
                  </w:tcBorders>
                  <w:vAlign w:val="center"/>
                </w:tcPr>
                <w:p w14:paraId="49A464ED">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60</w:t>
                  </w:r>
                </w:p>
              </w:tc>
              <w:tc>
                <w:tcPr>
                  <w:tcW w:w="3622" w:type="dxa"/>
                  <w:tcBorders>
                    <w:tl2br w:val="nil"/>
                    <w:tr2bl w:val="nil"/>
                  </w:tcBorders>
                  <w:vAlign w:val="center"/>
                </w:tcPr>
                <w:p w14:paraId="45DEE6F6">
                  <w:pPr>
                    <w:widowControl/>
                    <w:spacing w:line="240" w:lineRule="auto"/>
                    <w:jc w:val="center"/>
                    <w:textAlignment w:val="center"/>
                    <w:rPr>
                      <w:rFonts w:hint="default" w:ascii="Times New Roman" w:hAnsi="Times New Roman" w:eastAsia="宋体" w:cs="Times New Roman"/>
                      <w:color w:val="auto"/>
                      <w:highlight w:val="none"/>
                      <w:lang w:eastAsia="zh-CN"/>
                    </w:rPr>
                  </w:pPr>
                </w:p>
              </w:tc>
            </w:tr>
            <w:tr w14:paraId="2E025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610" w:type="dxa"/>
                  <w:tcBorders>
                    <w:tl2br w:val="nil"/>
                    <w:tr2bl w:val="nil"/>
                  </w:tcBorders>
                  <w:vAlign w:val="center"/>
                </w:tcPr>
                <w:p w14:paraId="7821B7D0">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w:t>
                  </w:r>
                </w:p>
              </w:tc>
              <w:tc>
                <w:tcPr>
                  <w:tcW w:w="1425" w:type="dxa"/>
                  <w:tcBorders>
                    <w:tl2br w:val="nil"/>
                    <w:tr2bl w:val="nil"/>
                  </w:tcBorders>
                  <w:vAlign w:val="center"/>
                </w:tcPr>
                <w:p w14:paraId="5D85BB4E">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塑料周转箱</w:t>
                  </w:r>
                </w:p>
              </w:tc>
              <w:tc>
                <w:tcPr>
                  <w:tcW w:w="1401" w:type="dxa"/>
                  <w:tcBorders>
                    <w:tl2br w:val="nil"/>
                    <w:tr2bl w:val="nil"/>
                  </w:tcBorders>
                  <w:vAlign w:val="center"/>
                </w:tcPr>
                <w:p w14:paraId="0C53582A">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0.5m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/个</w:t>
                  </w:r>
                </w:p>
              </w:tc>
              <w:tc>
                <w:tcPr>
                  <w:tcW w:w="879" w:type="dxa"/>
                  <w:tcBorders>
                    <w:tl2br w:val="nil"/>
                    <w:tr2bl w:val="nil"/>
                  </w:tcBorders>
                  <w:vAlign w:val="center"/>
                </w:tcPr>
                <w:p w14:paraId="6EE6C007">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50个</w:t>
                  </w:r>
                </w:p>
              </w:tc>
              <w:tc>
                <w:tcPr>
                  <w:tcW w:w="3622" w:type="dxa"/>
                  <w:tcBorders>
                    <w:tl2br w:val="nil"/>
                    <w:tr2bl w:val="nil"/>
                  </w:tcBorders>
                  <w:vAlign w:val="center"/>
                </w:tcPr>
                <w:p w14:paraId="06049638">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外购，用于转运固体废有机树脂</w:t>
                  </w:r>
                </w:p>
              </w:tc>
            </w:tr>
            <w:tr w14:paraId="16FBA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10" w:type="dxa"/>
                  <w:vMerge w:val="restart"/>
                  <w:tcBorders>
                    <w:tl2br w:val="nil"/>
                    <w:tr2bl w:val="nil"/>
                  </w:tcBorders>
                  <w:vAlign w:val="center"/>
                </w:tcPr>
                <w:p w14:paraId="7DDF4B8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w:t>
                  </w:r>
                </w:p>
              </w:tc>
              <w:tc>
                <w:tcPr>
                  <w:tcW w:w="1425" w:type="dxa"/>
                  <w:tcBorders>
                    <w:tl2br w:val="nil"/>
                    <w:tr2bl w:val="nil"/>
                  </w:tcBorders>
                  <w:vAlign w:val="center"/>
                </w:tcPr>
                <w:p w14:paraId="1E5F3CA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广口周转铁桶</w:t>
                  </w:r>
                </w:p>
              </w:tc>
              <w:tc>
                <w:tcPr>
                  <w:tcW w:w="1401" w:type="dxa"/>
                  <w:tcBorders>
                    <w:tl2br w:val="nil"/>
                    <w:tr2bl w:val="nil"/>
                  </w:tcBorders>
                  <w:vAlign w:val="center"/>
                </w:tcPr>
                <w:p w14:paraId="02810C1F">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200</w:t>
                  </w:r>
                  <w:r>
                    <w:rPr>
                      <w:rFonts w:hint="default" w:ascii="Times New Roman" w:hAnsi="Times New Roman" w:eastAsia="宋体" w:cs="Times New Roman"/>
                      <w:color w:val="auto"/>
                      <w:highlight w:val="none"/>
                      <w:lang w:eastAsia="zh-CN"/>
                    </w:rPr>
                    <w:t>L/个</w:t>
                  </w:r>
                </w:p>
              </w:tc>
              <w:tc>
                <w:tcPr>
                  <w:tcW w:w="879" w:type="dxa"/>
                  <w:tcBorders>
                    <w:tl2br w:val="nil"/>
                    <w:tr2bl w:val="nil"/>
                  </w:tcBorders>
                  <w:vAlign w:val="center"/>
                </w:tcPr>
                <w:p w14:paraId="1F767AD6">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100</w:t>
                  </w:r>
                </w:p>
              </w:tc>
              <w:tc>
                <w:tcPr>
                  <w:tcW w:w="3622" w:type="dxa"/>
                  <w:vMerge w:val="restart"/>
                  <w:tcBorders>
                    <w:tl2br w:val="nil"/>
                    <w:tr2bl w:val="nil"/>
                  </w:tcBorders>
                  <w:vAlign w:val="center"/>
                </w:tcPr>
                <w:p w14:paraId="376B54A9">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用于周转液体、半液态危险废物，</w:t>
                  </w:r>
                </w:p>
              </w:tc>
            </w:tr>
            <w:tr w14:paraId="02D1F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vMerge w:val="continue"/>
                  <w:tcBorders>
                    <w:tl2br w:val="nil"/>
                    <w:tr2bl w:val="nil"/>
                  </w:tcBorders>
                  <w:vAlign w:val="center"/>
                </w:tcPr>
                <w:p w14:paraId="6F39D53B">
                  <w:pPr>
                    <w:widowControl/>
                    <w:spacing w:line="240" w:lineRule="auto"/>
                    <w:jc w:val="center"/>
                    <w:textAlignment w:val="center"/>
                    <w:rPr>
                      <w:rFonts w:hint="default" w:ascii="Times New Roman" w:hAnsi="Times New Roman" w:eastAsia="宋体" w:cs="Times New Roman"/>
                      <w:color w:val="auto"/>
                      <w:highlight w:val="none"/>
                      <w:lang w:eastAsia="zh-CN"/>
                    </w:rPr>
                  </w:pPr>
                </w:p>
              </w:tc>
              <w:tc>
                <w:tcPr>
                  <w:tcW w:w="1425" w:type="dxa"/>
                  <w:tcBorders>
                    <w:tl2br w:val="nil"/>
                    <w:tr2bl w:val="nil"/>
                  </w:tcBorders>
                  <w:vAlign w:val="center"/>
                </w:tcPr>
                <w:p w14:paraId="3D30E772">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小口周转铁桶</w:t>
                  </w:r>
                </w:p>
              </w:tc>
              <w:tc>
                <w:tcPr>
                  <w:tcW w:w="1401" w:type="dxa"/>
                  <w:tcBorders>
                    <w:tl2br w:val="nil"/>
                    <w:tr2bl w:val="nil"/>
                  </w:tcBorders>
                  <w:vAlign w:val="center"/>
                </w:tcPr>
                <w:p w14:paraId="2AB629AB">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200</w:t>
                  </w:r>
                  <w:r>
                    <w:rPr>
                      <w:rFonts w:hint="default" w:ascii="Times New Roman" w:hAnsi="Times New Roman" w:eastAsia="宋体" w:cs="Times New Roman"/>
                      <w:color w:val="auto"/>
                      <w:highlight w:val="none"/>
                      <w:lang w:eastAsia="zh-CN"/>
                    </w:rPr>
                    <w:t>L/个</w:t>
                  </w:r>
                </w:p>
              </w:tc>
              <w:tc>
                <w:tcPr>
                  <w:tcW w:w="879" w:type="dxa"/>
                  <w:tcBorders>
                    <w:tl2br w:val="nil"/>
                    <w:tr2bl w:val="nil"/>
                  </w:tcBorders>
                  <w:vAlign w:val="center"/>
                </w:tcPr>
                <w:p w14:paraId="79A15DE9">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200</w:t>
                  </w:r>
                </w:p>
              </w:tc>
              <w:tc>
                <w:tcPr>
                  <w:tcW w:w="3622" w:type="dxa"/>
                  <w:vMerge w:val="continue"/>
                  <w:tcBorders>
                    <w:tl2br w:val="nil"/>
                    <w:tr2bl w:val="nil"/>
                  </w:tcBorders>
                  <w:vAlign w:val="center"/>
                </w:tcPr>
                <w:p w14:paraId="1F7B1C61">
                  <w:pPr>
                    <w:widowControl/>
                    <w:spacing w:line="240" w:lineRule="auto"/>
                    <w:jc w:val="center"/>
                    <w:textAlignment w:val="center"/>
                    <w:rPr>
                      <w:rFonts w:hint="default" w:ascii="Times New Roman" w:hAnsi="Times New Roman" w:eastAsia="宋体" w:cs="Times New Roman"/>
                      <w:color w:val="auto"/>
                      <w:highlight w:val="none"/>
                      <w:lang w:eastAsia="zh-CN"/>
                    </w:rPr>
                  </w:pPr>
                </w:p>
              </w:tc>
            </w:tr>
            <w:tr w14:paraId="32AA9A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vMerge w:val="restart"/>
                  <w:tcBorders>
                    <w:tl2br w:val="nil"/>
                    <w:tr2bl w:val="nil"/>
                  </w:tcBorders>
                  <w:vAlign w:val="center"/>
                </w:tcPr>
                <w:p w14:paraId="7E2F5230">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w:t>
                  </w:r>
                </w:p>
              </w:tc>
              <w:tc>
                <w:tcPr>
                  <w:tcW w:w="1425" w:type="dxa"/>
                  <w:tcBorders>
                    <w:tl2br w:val="nil"/>
                    <w:tr2bl w:val="nil"/>
                  </w:tcBorders>
                  <w:vAlign w:val="center"/>
                </w:tcPr>
                <w:p w14:paraId="6A597B70">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塑料包装袋</w:t>
                  </w:r>
                </w:p>
              </w:tc>
              <w:tc>
                <w:tcPr>
                  <w:tcW w:w="1401" w:type="dxa"/>
                  <w:tcBorders>
                    <w:tl2br w:val="nil"/>
                    <w:tr2bl w:val="nil"/>
                  </w:tcBorders>
                  <w:vAlign w:val="center"/>
                </w:tcPr>
                <w:p w14:paraId="7F4077B7">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0kg/个、500kg/个、1t/个</w:t>
                  </w:r>
                </w:p>
              </w:tc>
              <w:tc>
                <w:tcPr>
                  <w:tcW w:w="879" w:type="dxa"/>
                  <w:tcBorders>
                    <w:tl2br w:val="nil"/>
                    <w:tr2bl w:val="nil"/>
                  </w:tcBorders>
                  <w:vAlign w:val="center"/>
                </w:tcPr>
                <w:p w14:paraId="03806CDF">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300</w:t>
                  </w:r>
                </w:p>
              </w:tc>
              <w:tc>
                <w:tcPr>
                  <w:tcW w:w="3622" w:type="dxa"/>
                  <w:tcBorders>
                    <w:tl2br w:val="nil"/>
                    <w:tr2bl w:val="nil"/>
                  </w:tcBorders>
                  <w:vAlign w:val="center"/>
                </w:tcPr>
                <w:p w14:paraId="6B0AB26F">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外购，塑料材质，耐腐蚀，做吨袋内衬或储存漆渣、树脂、污泥等</w:t>
                  </w:r>
                </w:p>
              </w:tc>
            </w:tr>
            <w:tr w14:paraId="624DA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610" w:type="dxa"/>
                  <w:vMerge w:val="continue"/>
                  <w:tcBorders>
                    <w:tl2br w:val="nil"/>
                    <w:tr2bl w:val="nil"/>
                  </w:tcBorders>
                  <w:vAlign w:val="center"/>
                </w:tcPr>
                <w:p w14:paraId="0FE8271E">
                  <w:pPr>
                    <w:widowControl/>
                    <w:spacing w:line="240" w:lineRule="auto"/>
                    <w:jc w:val="center"/>
                    <w:textAlignment w:val="center"/>
                    <w:rPr>
                      <w:rFonts w:hint="default" w:ascii="Times New Roman" w:hAnsi="Times New Roman" w:eastAsia="宋体" w:cs="Times New Roman"/>
                      <w:color w:val="auto"/>
                      <w:highlight w:val="none"/>
                      <w:lang w:eastAsia="zh-CN"/>
                    </w:rPr>
                  </w:pPr>
                </w:p>
              </w:tc>
              <w:tc>
                <w:tcPr>
                  <w:tcW w:w="1425" w:type="dxa"/>
                  <w:tcBorders>
                    <w:tl2br w:val="nil"/>
                    <w:tr2bl w:val="nil"/>
                  </w:tcBorders>
                  <w:vAlign w:val="center"/>
                </w:tcPr>
                <w:p w14:paraId="2F02895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塑料吨桶</w:t>
                  </w:r>
                </w:p>
              </w:tc>
              <w:tc>
                <w:tcPr>
                  <w:tcW w:w="1401" w:type="dxa"/>
                  <w:tcBorders>
                    <w:tl2br w:val="nil"/>
                    <w:tr2bl w:val="nil"/>
                  </w:tcBorders>
                  <w:vAlign w:val="center"/>
                </w:tcPr>
                <w:p w14:paraId="0836AF2A">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个</w:t>
                  </w:r>
                </w:p>
              </w:tc>
              <w:tc>
                <w:tcPr>
                  <w:tcW w:w="879" w:type="dxa"/>
                  <w:tcBorders>
                    <w:tl2br w:val="nil"/>
                    <w:tr2bl w:val="nil"/>
                  </w:tcBorders>
                  <w:vAlign w:val="center"/>
                </w:tcPr>
                <w:p w14:paraId="1BB0E4AC">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200</w:t>
                  </w:r>
                </w:p>
              </w:tc>
              <w:tc>
                <w:tcPr>
                  <w:tcW w:w="3622" w:type="dxa"/>
                  <w:tcBorders>
                    <w:tl2br w:val="nil"/>
                    <w:tr2bl w:val="nil"/>
                  </w:tcBorders>
                  <w:vAlign w:val="center"/>
                </w:tcPr>
                <w:p w14:paraId="1E41DF29">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周转用</w:t>
                  </w:r>
                </w:p>
              </w:tc>
            </w:tr>
            <w:tr w14:paraId="66FA3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1A46EEB7">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w:t>
                  </w:r>
                </w:p>
              </w:tc>
              <w:tc>
                <w:tcPr>
                  <w:tcW w:w="1425" w:type="dxa"/>
                  <w:tcBorders>
                    <w:tl2br w:val="nil"/>
                    <w:tr2bl w:val="nil"/>
                  </w:tcBorders>
                  <w:vAlign w:val="center"/>
                </w:tcPr>
                <w:p w14:paraId="134951F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吨袋</w:t>
                  </w:r>
                </w:p>
              </w:tc>
              <w:tc>
                <w:tcPr>
                  <w:tcW w:w="1401" w:type="dxa"/>
                  <w:tcBorders>
                    <w:tl2br w:val="nil"/>
                    <w:tr2bl w:val="nil"/>
                  </w:tcBorders>
                  <w:vAlign w:val="center"/>
                </w:tcPr>
                <w:p w14:paraId="04CA159E">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个</w:t>
                  </w:r>
                </w:p>
              </w:tc>
              <w:tc>
                <w:tcPr>
                  <w:tcW w:w="879" w:type="dxa"/>
                  <w:tcBorders>
                    <w:tl2br w:val="nil"/>
                    <w:tr2bl w:val="nil"/>
                  </w:tcBorders>
                  <w:vAlign w:val="center"/>
                </w:tcPr>
                <w:p w14:paraId="395FE4D6">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500</w:t>
                  </w:r>
                </w:p>
              </w:tc>
              <w:tc>
                <w:tcPr>
                  <w:tcW w:w="3622" w:type="dxa"/>
                  <w:tcBorders>
                    <w:tl2br w:val="nil"/>
                    <w:tr2bl w:val="nil"/>
                  </w:tcBorders>
                  <w:vAlign w:val="center"/>
                </w:tcPr>
                <w:p w14:paraId="35DDC3ED">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外购，尼龙材质，储存无腐蚀性固体危险废物，如废活性炭</w:t>
                  </w:r>
                </w:p>
              </w:tc>
            </w:tr>
            <w:tr w14:paraId="44317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5450EA24">
                  <w:pPr>
                    <w:widowControl/>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1425" w:type="dxa"/>
                  <w:tcBorders>
                    <w:tl2br w:val="nil"/>
                    <w:tr2bl w:val="nil"/>
                  </w:tcBorders>
                  <w:vAlign w:val="center"/>
                </w:tcPr>
                <w:p w14:paraId="2CECDBE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活性炭、过滤棉</w:t>
                  </w:r>
                </w:p>
              </w:tc>
              <w:tc>
                <w:tcPr>
                  <w:tcW w:w="1401" w:type="dxa"/>
                  <w:tcBorders>
                    <w:tl2br w:val="nil"/>
                    <w:tr2bl w:val="nil"/>
                  </w:tcBorders>
                  <w:vAlign w:val="center"/>
                </w:tcPr>
                <w:p w14:paraId="0DC8CDFC">
                  <w:pPr>
                    <w:widowControl/>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t</w:t>
                  </w:r>
                </w:p>
              </w:tc>
              <w:tc>
                <w:tcPr>
                  <w:tcW w:w="879" w:type="dxa"/>
                  <w:tcBorders>
                    <w:tl2br w:val="nil"/>
                    <w:tr2bl w:val="nil"/>
                  </w:tcBorders>
                  <w:vAlign w:val="center"/>
                </w:tcPr>
                <w:p w14:paraId="4DA3847F">
                  <w:pPr>
                    <w:widowControl/>
                    <w:spacing w:line="240" w:lineRule="auto"/>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3622" w:type="dxa"/>
                  <w:tcBorders>
                    <w:tl2br w:val="nil"/>
                    <w:tr2bl w:val="nil"/>
                  </w:tcBorders>
                  <w:vAlign w:val="center"/>
                </w:tcPr>
                <w:p w14:paraId="4FCCF49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废气治理设施</w:t>
                  </w:r>
                </w:p>
              </w:tc>
            </w:tr>
            <w:tr w14:paraId="60CC0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10" w:type="dxa"/>
                  <w:tcBorders>
                    <w:tl2br w:val="nil"/>
                    <w:tr2bl w:val="nil"/>
                  </w:tcBorders>
                  <w:vAlign w:val="center"/>
                </w:tcPr>
                <w:p w14:paraId="7F831636">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7</w:t>
                  </w:r>
                </w:p>
              </w:tc>
              <w:tc>
                <w:tcPr>
                  <w:tcW w:w="1425" w:type="dxa"/>
                  <w:tcBorders>
                    <w:tl2br w:val="nil"/>
                    <w:tr2bl w:val="nil"/>
                  </w:tcBorders>
                  <w:vAlign w:val="center"/>
                </w:tcPr>
                <w:p w14:paraId="2F692CF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电</w:t>
                  </w:r>
                </w:p>
              </w:tc>
              <w:tc>
                <w:tcPr>
                  <w:tcW w:w="1401" w:type="dxa"/>
                  <w:tcBorders>
                    <w:tl2br w:val="nil"/>
                    <w:tr2bl w:val="nil"/>
                  </w:tcBorders>
                  <w:vAlign w:val="center"/>
                </w:tcPr>
                <w:p w14:paraId="4E62DB51">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kW</w:t>
                  </w:r>
                  <w:r>
                    <w:rPr>
                      <w:rFonts w:hint="default" w:ascii="Times New Roman" w:hAnsi="Times New Roman" w:eastAsia="宋体" w:cs="Times New Roman"/>
                      <w:color w:val="auto"/>
                      <w:highlight w:val="none"/>
                      <w:lang w:eastAsia="zh-CN"/>
                    </w:rPr>
                    <w:t>∙h/a</w:t>
                  </w:r>
                </w:p>
              </w:tc>
              <w:tc>
                <w:tcPr>
                  <w:tcW w:w="879" w:type="dxa"/>
                  <w:tcBorders>
                    <w:tl2br w:val="nil"/>
                    <w:tr2bl w:val="nil"/>
                  </w:tcBorders>
                  <w:vAlign w:val="center"/>
                </w:tcPr>
                <w:p w14:paraId="0227972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1000</w:t>
                  </w:r>
                </w:p>
              </w:tc>
              <w:tc>
                <w:tcPr>
                  <w:tcW w:w="3622" w:type="dxa"/>
                  <w:tcBorders>
                    <w:tl2br w:val="nil"/>
                    <w:tr2bl w:val="nil"/>
                  </w:tcBorders>
                  <w:vAlign w:val="center"/>
                </w:tcPr>
                <w:p w14:paraId="1606FF44">
                  <w:pPr>
                    <w:widowControl/>
                    <w:spacing w:line="240" w:lineRule="auto"/>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原有供电网供给</w:t>
                  </w:r>
                </w:p>
              </w:tc>
            </w:tr>
          </w:tbl>
          <w:p w14:paraId="19F5D149">
            <w:pPr>
              <w:widowControl/>
              <w:adjustRightInd w:val="0"/>
              <w:snapToGrid w:val="0"/>
              <w:spacing w:line="360" w:lineRule="auto"/>
              <w:ind w:left="420" w:hanging="482" w:hangingChars="200"/>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7</w:t>
            </w:r>
            <w:r>
              <w:rPr>
                <w:rFonts w:hint="default"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rPr>
              <w:t>水平衡分析</w:t>
            </w:r>
          </w:p>
          <w:p w14:paraId="19C6595C">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（1）供水</w:t>
            </w:r>
          </w:p>
          <w:p w14:paraId="607A9603">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根据建设单位提供的资料，本次扩建项目不新增员工，不设食宿，不新增生活污水</w:t>
            </w:r>
            <w:r>
              <w:rPr>
                <w:rFonts w:hint="default" w:ascii="Times New Roman" w:hAnsi="Times New Roman" w:cs="Times New Roman"/>
                <w:color w:val="auto"/>
                <w:sz w:val="24"/>
                <w:szCs w:val="24"/>
                <w:highlight w:val="none"/>
                <w:lang w:eastAsia="zh-CN"/>
              </w:rPr>
              <w:t>。</w:t>
            </w:r>
          </w:p>
          <w:p w14:paraId="13013D6F">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生产用水</w:t>
            </w:r>
            <w:r>
              <w:rPr>
                <w:rFonts w:hint="default" w:ascii="Times New Roman" w:hAnsi="Times New Roman" w:cs="Times New Roman"/>
                <w:color w:val="auto"/>
                <w:sz w:val="24"/>
                <w:szCs w:val="24"/>
                <w:highlight w:val="none"/>
                <w:lang w:eastAsia="zh-CN"/>
              </w:rPr>
              <w:t>：</w:t>
            </w:r>
          </w:p>
          <w:p w14:paraId="5083750E">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本项目生产用水</w:t>
            </w:r>
            <w:r>
              <w:rPr>
                <w:rFonts w:hint="default" w:ascii="Times New Roman" w:hAnsi="Times New Roman" w:cs="Times New Roman"/>
                <w:color w:val="auto"/>
                <w:sz w:val="24"/>
                <w:szCs w:val="24"/>
                <w:highlight w:val="none"/>
                <w:lang w:eastAsia="zh-CN"/>
              </w:rPr>
              <w:t>主要为本项目设置碱液喷淋塔对贮存区酸性气体进行吸收处理，碱液喷淋塔需定期补充新鲜水，补充水量按0.2m³/d(52m³/a)，在循环使用一段时间后变质，需进行更换，约每半年更换一次，一次更换产生的废水量约为2m³(4m³/a)，作为危废交由有资质单位处置。则本项目碱液喷淋塔用水量为56m³/a。</w:t>
            </w:r>
          </w:p>
          <w:p w14:paraId="0EF4B58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（2）排水</w:t>
            </w:r>
          </w:p>
          <w:p w14:paraId="3FCBF6B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本项目排水实行雨污分流</w:t>
            </w:r>
            <w:r>
              <w:rPr>
                <w:rFonts w:hint="default" w:ascii="Times New Roman" w:hAnsi="Times New Roman" w:cs="Times New Roman"/>
                <w:color w:val="auto"/>
                <w:sz w:val="24"/>
                <w:highlight w:val="none"/>
                <w:lang w:val="zh-CN"/>
              </w:rPr>
              <w:t>制。</w:t>
            </w:r>
            <w:r>
              <w:rPr>
                <w:rFonts w:hint="default" w:ascii="Times New Roman" w:hAnsi="Times New Roman" w:cs="Times New Roman"/>
                <w:color w:val="auto"/>
                <w:sz w:val="24"/>
                <w:highlight w:val="none"/>
              </w:rPr>
              <w:t>厂区雨水</w:t>
            </w:r>
            <w:r>
              <w:rPr>
                <w:rFonts w:hint="default" w:ascii="Times New Roman" w:hAnsi="Times New Roman" w:cs="Times New Roman"/>
                <w:color w:val="auto"/>
                <w:sz w:val="24"/>
                <w:highlight w:val="none"/>
                <w:lang w:eastAsia="zh-CN"/>
              </w:rPr>
              <w:t>经</w:t>
            </w:r>
            <w:r>
              <w:rPr>
                <w:rFonts w:hint="default" w:ascii="Times New Roman" w:hAnsi="Times New Roman" w:cs="Times New Roman"/>
                <w:color w:val="auto"/>
                <w:sz w:val="24"/>
                <w:highlight w:val="none"/>
              </w:rPr>
              <w:t>雨水渠排入雨水管网。项目运营期间，不新增生活污水。运营期库房地面定期利用拖把拖地，地面不清洗，无地面清洗废水产生。喷淋塔废液利用专用容器收集，作为危险废物进行管理，贮存在本项目 HW49 危废贮存区内，定期交有资质单位进行处置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不外排。</w:t>
            </w:r>
          </w:p>
          <w:p w14:paraId="6556EDFE">
            <w:pPr>
              <w:widowControl/>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劳动定员及工作制度</w:t>
            </w:r>
          </w:p>
          <w:p w14:paraId="38075A0A">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劳动定员：</w:t>
            </w:r>
            <w:r>
              <w:rPr>
                <w:rFonts w:hint="default" w:ascii="Times New Roman" w:hAnsi="Times New Roman" w:cs="Times New Roman"/>
                <w:color w:val="auto"/>
                <w:sz w:val="24"/>
                <w:szCs w:val="24"/>
                <w:highlight w:val="none"/>
              </w:rPr>
              <w:t>扩建前建设单位劳动定员</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人，本次扩建项目不新增员工。</w:t>
            </w:r>
          </w:p>
          <w:p w14:paraId="45BD3BE2">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工作制度：扩建前</w:t>
            </w:r>
            <w:r>
              <w:rPr>
                <w:rFonts w:hint="default" w:ascii="Times New Roman" w:hAnsi="Times New Roman" w:cs="Times New Roman"/>
                <w:color w:val="auto"/>
                <w:sz w:val="24"/>
                <w:szCs w:val="24"/>
                <w:highlight w:val="none"/>
              </w:rPr>
              <w:t>生产车间年运行7920h</w:t>
            </w:r>
            <w:r>
              <w:rPr>
                <w:rFonts w:hint="default" w:ascii="Times New Roman" w:hAnsi="Times New Roman" w:cs="Times New Roman"/>
                <w:color w:val="auto"/>
                <w:sz w:val="24"/>
                <w:szCs w:val="24"/>
                <w:highlight w:val="none"/>
              </w:rPr>
              <w:t>，每天运行24h，年运行</w:t>
            </w:r>
            <w:r>
              <w:rPr>
                <w:rFonts w:hint="eastAsia" w:cs="Times New Roman"/>
                <w:color w:val="auto"/>
                <w:sz w:val="24"/>
                <w:szCs w:val="24"/>
                <w:highlight w:val="none"/>
                <w:lang w:val="en-US" w:eastAsia="zh-CN"/>
              </w:rPr>
              <w:t>330</w:t>
            </w:r>
            <w:r>
              <w:rPr>
                <w:rFonts w:hint="eastAsia" w:cs="Times New Roman"/>
                <w:color w:val="auto"/>
                <w:sz w:val="24"/>
                <w:szCs w:val="24"/>
                <w:highlight w:val="none"/>
                <w:lang w:eastAsia="zh-CN"/>
              </w:rPr>
              <w:t>天</w:t>
            </w:r>
            <w:r>
              <w:rPr>
                <w:rFonts w:hint="default" w:ascii="Times New Roman" w:hAnsi="Times New Roman" w:cs="Times New Roman"/>
                <w:color w:val="auto"/>
                <w:sz w:val="24"/>
                <w:szCs w:val="24"/>
                <w:highlight w:val="none"/>
              </w:rPr>
              <w:t>，三班倒；管理及服务部门年工作330</w:t>
            </w:r>
            <w:r>
              <w:rPr>
                <w:rFonts w:hint="eastAsia" w:cs="Times New Roman"/>
                <w:color w:val="auto"/>
                <w:sz w:val="24"/>
                <w:szCs w:val="24"/>
                <w:highlight w:val="none"/>
                <w:lang w:eastAsia="zh-CN"/>
              </w:rPr>
              <w:t>天</w:t>
            </w:r>
            <w:r>
              <w:rPr>
                <w:rFonts w:hint="default" w:ascii="Times New Roman" w:hAnsi="Times New Roman" w:cs="Times New Roman"/>
                <w:color w:val="auto"/>
                <w:sz w:val="24"/>
                <w:szCs w:val="24"/>
                <w:highlight w:val="none"/>
              </w:rPr>
              <w:t>，每天1班，每班8h</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本次扩建项目贮存库</w:t>
            </w:r>
            <w:r>
              <w:rPr>
                <w:rFonts w:hint="eastAsia" w:cs="Times New Roman"/>
                <w:color w:val="auto"/>
                <w:sz w:val="24"/>
                <w:szCs w:val="24"/>
                <w:highlight w:val="none"/>
                <w:lang w:eastAsia="zh-CN"/>
              </w:rPr>
              <w:t>人员</w:t>
            </w:r>
            <w:r>
              <w:rPr>
                <w:rFonts w:hint="default" w:ascii="Times New Roman" w:hAnsi="Times New Roman" w:cs="Times New Roman"/>
                <w:color w:val="auto"/>
                <w:sz w:val="24"/>
                <w:szCs w:val="24"/>
                <w:highlight w:val="none"/>
                <w:lang w:eastAsia="zh-CN"/>
              </w:rPr>
              <w:t>年工作365天，每天</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班，每班8h</w:t>
            </w:r>
            <w:r>
              <w:rPr>
                <w:rFonts w:hint="eastAsia"/>
                <w:color w:val="auto"/>
                <w:highlight w:val="none"/>
                <w:lang w:eastAsia="zh-CN"/>
              </w:rPr>
              <w:t>。</w:t>
            </w:r>
          </w:p>
          <w:p w14:paraId="64E6ADE9">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四、项目平面布置合理性</w:t>
            </w:r>
          </w:p>
          <w:p w14:paraId="6F9016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shd w:val="clear" w:color="auto" w:fill="FFFFFF"/>
                <w:lang w:eastAsia="zh-CN"/>
              </w:rPr>
            </w:pPr>
            <w:r>
              <w:rPr>
                <w:rFonts w:hint="eastAsia" w:cs="Times New Roman"/>
                <w:color w:val="auto"/>
                <w:sz w:val="24"/>
                <w:szCs w:val="24"/>
                <w:highlight w:val="none"/>
                <w:shd w:val="clear" w:color="auto" w:fill="FFFFFF"/>
                <w:lang w:eastAsia="zh-CN"/>
              </w:rPr>
              <w:t>本次扩建在厂区综合用房进行改造建设，综合用房位于全厂厂区南侧厂区入口处（本次项目在厂区的位置详见附图</w:t>
            </w:r>
            <w:r>
              <w:rPr>
                <w:rFonts w:hint="eastAsia" w:cs="Times New Roman"/>
                <w:color w:val="auto"/>
                <w:sz w:val="24"/>
                <w:szCs w:val="24"/>
                <w:highlight w:val="none"/>
                <w:shd w:val="clear" w:color="auto" w:fill="FFFFFF"/>
                <w:lang w:val="en-US" w:eastAsia="zh-CN"/>
              </w:rPr>
              <w:t>2</w:t>
            </w:r>
            <w:r>
              <w:rPr>
                <w:rFonts w:hint="eastAsia" w:cs="Times New Roman"/>
                <w:color w:val="auto"/>
                <w:sz w:val="24"/>
                <w:szCs w:val="24"/>
                <w:highlight w:val="none"/>
                <w:shd w:val="clear" w:color="auto" w:fill="FFFFFF"/>
                <w:lang w:eastAsia="zh-CN"/>
              </w:rPr>
              <w:t>）。</w:t>
            </w:r>
          </w:p>
          <w:p w14:paraId="52167C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shd w:val="clear" w:color="auto" w:fill="FFFFFF"/>
                <w:lang w:eastAsia="zh-CN"/>
              </w:rPr>
            </w:pPr>
            <w:r>
              <w:rPr>
                <w:rFonts w:hint="eastAsia" w:cs="Times New Roman"/>
                <w:color w:val="auto"/>
                <w:sz w:val="24"/>
                <w:szCs w:val="24"/>
                <w:highlight w:val="none"/>
                <w:shd w:val="clear" w:color="auto" w:fill="FFFFFF"/>
                <w:lang w:eastAsia="zh-CN"/>
              </w:rPr>
              <w:t>（</w:t>
            </w:r>
            <w:r>
              <w:rPr>
                <w:rFonts w:hint="eastAsia" w:cs="Times New Roman"/>
                <w:color w:val="auto"/>
                <w:sz w:val="24"/>
                <w:szCs w:val="24"/>
                <w:highlight w:val="none"/>
                <w:shd w:val="clear" w:color="auto" w:fill="FFFFFF"/>
                <w:lang w:val="en-US" w:eastAsia="zh-CN"/>
              </w:rPr>
              <w:t>1</w:t>
            </w:r>
            <w:r>
              <w:rPr>
                <w:rFonts w:hint="eastAsia" w:cs="Times New Roman"/>
                <w:color w:val="auto"/>
                <w:sz w:val="24"/>
                <w:szCs w:val="24"/>
                <w:highlight w:val="none"/>
                <w:shd w:val="clear" w:color="auto" w:fill="FFFFFF"/>
                <w:lang w:eastAsia="zh-CN"/>
              </w:rPr>
              <w:t>）厂区总平面布置</w:t>
            </w:r>
          </w:p>
          <w:p w14:paraId="166956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shd w:val="clear" w:color="auto" w:fill="FFFFFF"/>
                <w:lang w:eastAsia="zh-CN"/>
              </w:rPr>
            </w:pPr>
            <w:r>
              <w:rPr>
                <w:rFonts w:hint="default" w:ascii="Times New Roman" w:hAnsi="Times New Roman" w:cs="Times New Roman"/>
                <w:color w:val="auto"/>
                <w:sz w:val="24"/>
                <w:szCs w:val="24"/>
                <w:highlight w:val="none"/>
                <w:shd w:val="clear" w:color="auto" w:fill="FFFFFF"/>
              </w:rPr>
              <w:t>厂区</w:t>
            </w:r>
            <w:r>
              <w:rPr>
                <w:rFonts w:hint="eastAsia" w:cs="Times New Roman"/>
                <w:color w:val="auto"/>
                <w:sz w:val="24"/>
                <w:szCs w:val="24"/>
                <w:highlight w:val="none"/>
                <w:shd w:val="clear" w:color="auto" w:fill="FFFFFF"/>
                <w:lang w:eastAsia="zh-CN"/>
              </w:rPr>
              <w:t>整体</w:t>
            </w:r>
            <w:r>
              <w:rPr>
                <w:rFonts w:hint="default" w:ascii="Times New Roman" w:hAnsi="Times New Roman" w:cs="Times New Roman"/>
                <w:color w:val="auto"/>
                <w:sz w:val="24"/>
                <w:szCs w:val="24"/>
                <w:highlight w:val="none"/>
                <w:shd w:val="clear" w:color="auto" w:fill="FFFFFF"/>
              </w:rPr>
              <w:t>划分厂前区（包括办公楼</w:t>
            </w:r>
            <w:r>
              <w:rPr>
                <w:rFonts w:hint="default"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rPr>
              <w:t>综合</w:t>
            </w:r>
            <w:r>
              <w:rPr>
                <w:rFonts w:hint="default" w:ascii="Times New Roman" w:hAnsi="Times New Roman" w:cs="Times New Roman"/>
                <w:color w:val="auto"/>
                <w:sz w:val="24"/>
                <w:szCs w:val="24"/>
                <w:highlight w:val="none"/>
                <w:shd w:val="clear" w:color="auto" w:fill="FFFFFF"/>
                <w:lang w:val="en-US" w:eastAsia="zh-CN"/>
              </w:rPr>
              <w:t>用房</w:t>
            </w:r>
            <w:r>
              <w:rPr>
                <w:rFonts w:hint="default" w:ascii="Times New Roman" w:hAnsi="Times New Roman" w:cs="Times New Roman"/>
                <w:color w:val="auto"/>
                <w:sz w:val="24"/>
                <w:szCs w:val="24"/>
                <w:highlight w:val="none"/>
                <w:shd w:val="clear" w:color="auto" w:fill="FFFFFF"/>
              </w:rPr>
              <w:t>等设施）布置在厂区的西南部；辅助设施区（</w:t>
            </w:r>
            <w:r>
              <w:rPr>
                <w:rFonts w:hint="default" w:ascii="Times New Roman" w:hAnsi="Times New Roman" w:cs="Times New Roman"/>
                <w:color w:val="auto"/>
                <w:sz w:val="24"/>
                <w:szCs w:val="24"/>
                <w:highlight w:val="none"/>
                <w:shd w:val="clear" w:color="auto" w:fill="FFFFFF"/>
                <w:lang w:val="en-US" w:eastAsia="zh-CN"/>
              </w:rPr>
              <w:t>原料桶堆放库</w:t>
            </w:r>
            <w:r>
              <w:rPr>
                <w:rFonts w:hint="default" w:ascii="Times New Roman" w:hAnsi="Times New Roman" w:cs="Times New Roman"/>
                <w:color w:val="auto"/>
                <w:sz w:val="24"/>
                <w:szCs w:val="24"/>
                <w:highlight w:val="none"/>
                <w:shd w:val="clear" w:color="auto" w:fill="FFFFFF"/>
              </w:rPr>
              <w:t>、</w:t>
            </w:r>
            <w:r>
              <w:rPr>
                <w:rFonts w:hint="default" w:ascii="Times New Roman" w:hAnsi="Times New Roman" w:cs="Times New Roman"/>
                <w:color w:val="auto"/>
                <w:sz w:val="24"/>
                <w:szCs w:val="24"/>
                <w:highlight w:val="none"/>
                <w:shd w:val="clear" w:color="auto" w:fill="FFFFFF"/>
                <w:lang w:val="en-US" w:eastAsia="zh-CN"/>
              </w:rPr>
              <w:t>暂存库</w:t>
            </w:r>
            <w:r>
              <w:rPr>
                <w:rFonts w:hint="default" w:ascii="Times New Roman" w:hAnsi="Times New Roman" w:cs="Times New Roman"/>
                <w:color w:val="auto"/>
                <w:sz w:val="24"/>
                <w:szCs w:val="24"/>
                <w:highlight w:val="none"/>
                <w:shd w:val="clear" w:color="auto" w:fill="FFFFFF"/>
              </w:rPr>
              <w:t>、</w:t>
            </w:r>
            <w:r>
              <w:rPr>
                <w:rFonts w:hint="default" w:ascii="Times New Roman" w:hAnsi="Times New Roman" w:cs="Times New Roman"/>
                <w:color w:val="auto"/>
                <w:sz w:val="24"/>
                <w:szCs w:val="24"/>
                <w:highlight w:val="none"/>
                <w:shd w:val="clear" w:color="auto" w:fill="FFFFFF"/>
                <w:lang w:val="en-US" w:eastAsia="zh-CN"/>
              </w:rPr>
              <w:t>锅炉</w:t>
            </w:r>
            <w:r>
              <w:rPr>
                <w:rFonts w:hint="default" w:ascii="Times New Roman" w:hAnsi="Times New Roman" w:cs="Times New Roman"/>
                <w:color w:val="auto"/>
                <w:sz w:val="24"/>
                <w:szCs w:val="24"/>
                <w:highlight w:val="none"/>
                <w:shd w:val="clear" w:color="auto" w:fill="FFFFFF"/>
              </w:rPr>
              <w:t>）布置在厂区的西边，配电室布置在厂区的东南部；生产装置区布置在厂区的中部；罐区布置在厂区的东北部，油泥处理装置及污水处理布置在厂区的东部。管廊布置在厂区主要通道上。主要干道环厂区布置，厂房和装置分布在主干道两边。装置区设环形道路，以利事故状态下，人员疏散和抢救。厂区四周设有围墙，南面设有两个大门，人流、物流分开，厂内主要道路宽6</w:t>
            </w:r>
            <w:r>
              <w:rPr>
                <w:rFonts w:hint="default" w:ascii="Times New Roman" w:hAnsi="Times New Roman" w:cs="Times New Roman"/>
                <w:color w:val="auto"/>
                <w:sz w:val="24"/>
                <w:szCs w:val="24"/>
                <w:highlight w:val="none"/>
                <w:shd w:val="clear" w:color="auto" w:fill="FFFFFF"/>
                <w:lang w:val="en-US" w:eastAsia="zh-CN"/>
              </w:rPr>
              <w:t>m</w:t>
            </w:r>
            <w:r>
              <w:rPr>
                <w:rFonts w:hint="default" w:ascii="Times New Roman" w:hAnsi="Times New Roman" w:cs="Times New Roman"/>
                <w:color w:val="auto"/>
                <w:sz w:val="24"/>
                <w:szCs w:val="24"/>
                <w:highlight w:val="none"/>
                <w:shd w:val="clear" w:color="auto" w:fill="FFFFFF"/>
              </w:rPr>
              <w:t>，道路转弯半径为9.0m。厂房和装置分布在主干道两边中间。能满足生产运输、施工安装、设备检修、环境卫生和消防等要求</w:t>
            </w:r>
            <w:r>
              <w:rPr>
                <w:rFonts w:hint="default" w:ascii="Times New Roman" w:hAnsi="Times New Roman" w:cs="Times New Roman"/>
                <w:color w:val="auto"/>
                <w:sz w:val="24"/>
                <w:szCs w:val="24"/>
                <w:highlight w:val="none"/>
                <w:shd w:val="clear" w:color="auto" w:fill="FFFFFF"/>
                <w:lang w:eastAsia="zh-CN"/>
              </w:rPr>
              <w:t>。</w:t>
            </w:r>
          </w:p>
          <w:p w14:paraId="58C259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z w:val="24"/>
                <w:szCs w:val="24"/>
                <w:highlight w:val="none"/>
                <w:shd w:val="clear" w:color="auto" w:fill="FFFFFF"/>
                <w:lang w:val="en-US" w:eastAsia="zh-CN"/>
              </w:rPr>
            </w:pPr>
            <w:r>
              <w:rPr>
                <w:rFonts w:hint="eastAsia" w:cs="Times New Roman"/>
                <w:color w:val="auto"/>
                <w:sz w:val="24"/>
                <w:szCs w:val="24"/>
                <w:highlight w:val="none"/>
                <w:shd w:val="clear" w:color="auto" w:fill="FFFFFF"/>
                <w:lang w:val="en-US" w:eastAsia="zh-CN"/>
              </w:rPr>
              <w:t>（2）本项目平面布置</w:t>
            </w:r>
          </w:p>
          <w:p w14:paraId="15BA9BD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lang w:val="en-US"/>
              </w:rPr>
            </w:pPr>
            <w:r>
              <w:rPr>
                <w:rFonts w:hint="eastAsia" w:ascii="Times New Roman" w:hAnsi="Times New Roman" w:cs="Times New Roman"/>
                <w:color w:val="auto"/>
                <w:sz w:val="24"/>
                <w:szCs w:val="24"/>
                <w:highlight w:val="none"/>
                <w:shd w:val="clear" w:color="auto" w:fill="FFFFFF"/>
                <w:lang w:val="en-US" w:eastAsia="zh-CN"/>
              </w:rPr>
              <w:t>本</w:t>
            </w:r>
            <w:r>
              <w:rPr>
                <w:rFonts w:hint="eastAsia" w:cs="Times New Roman"/>
                <w:color w:val="auto"/>
                <w:sz w:val="24"/>
                <w:szCs w:val="24"/>
                <w:highlight w:val="none"/>
                <w:shd w:val="clear" w:color="auto" w:fill="FFFFFF"/>
                <w:lang w:val="en-US" w:eastAsia="zh-CN"/>
              </w:rPr>
              <w:t>次</w:t>
            </w:r>
            <w:r>
              <w:rPr>
                <w:rFonts w:hint="eastAsia" w:ascii="Times New Roman" w:hAnsi="Times New Roman" w:cs="Times New Roman"/>
                <w:color w:val="auto"/>
                <w:sz w:val="24"/>
                <w:szCs w:val="24"/>
                <w:highlight w:val="none"/>
                <w:shd w:val="clear" w:color="auto" w:fill="FFFFFF"/>
                <w:lang w:val="en-US" w:eastAsia="zh-CN"/>
              </w:rPr>
              <w:t>扩建</w:t>
            </w:r>
            <w:r>
              <w:rPr>
                <w:rFonts w:hint="eastAsia" w:cs="Times New Roman"/>
                <w:color w:val="auto"/>
                <w:sz w:val="24"/>
                <w:szCs w:val="24"/>
                <w:highlight w:val="none"/>
                <w:shd w:val="clear" w:color="auto" w:fill="FFFFFF"/>
                <w:lang w:val="en-US" w:eastAsia="zh-CN"/>
              </w:rPr>
              <w:t>，新建1座2层</w:t>
            </w:r>
            <w:r>
              <w:rPr>
                <w:rFonts w:hint="default" w:ascii="Times New Roman" w:hAnsi="Times New Roman" w:cs="Times New Roman"/>
                <w:color w:val="auto"/>
                <w:sz w:val="24"/>
                <w:szCs w:val="24"/>
                <w:highlight w:val="none"/>
                <w:shd w:val="clear" w:color="auto" w:fill="FFFFFF"/>
                <w:lang w:eastAsia="zh-CN"/>
              </w:rPr>
              <w:t>危废贮存库</w:t>
            </w:r>
            <w:r>
              <w:rPr>
                <w:rFonts w:hint="eastAsia" w:cs="Times New Roman"/>
                <w:color w:val="auto"/>
                <w:sz w:val="24"/>
                <w:szCs w:val="24"/>
                <w:highlight w:val="none"/>
                <w:shd w:val="clear" w:color="auto" w:fill="FFFFFF"/>
                <w:lang w:eastAsia="zh-CN"/>
              </w:rPr>
              <w:t>房，</w:t>
            </w:r>
            <w:r>
              <w:rPr>
                <w:rFonts w:hint="eastAsia" w:cs="Times New Roman"/>
                <w:color w:val="auto"/>
                <w:sz w:val="24"/>
                <w:szCs w:val="24"/>
                <w:highlight w:val="none"/>
                <w:shd w:val="clear" w:color="auto" w:fill="FFFFFF"/>
                <w:lang w:val="en-US" w:eastAsia="zh-CN"/>
              </w:rPr>
              <w:t>其中一层内部为各类危险废物贮存间，2层为托盘、包装物等辅助材料、工具的存放库房。</w:t>
            </w:r>
            <w:r>
              <w:rPr>
                <w:rFonts w:hint="default" w:ascii="Times New Roman" w:hAnsi="Times New Roman" w:cs="Times New Roman"/>
                <w:color w:val="auto"/>
                <w:sz w:val="24"/>
                <w:szCs w:val="24"/>
                <w:highlight w:val="none"/>
                <w:shd w:val="clear" w:color="auto" w:fill="FFFFFF"/>
                <w:lang w:eastAsia="zh-CN"/>
              </w:rPr>
              <w:t>危废贮存库</w:t>
            </w:r>
            <w:r>
              <w:rPr>
                <w:rFonts w:hint="eastAsia" w:cs="Times New Roman"/>
                <w:color w:val="auto"/>
                <w:sz w:val="24"/>
                <w:szCs w:val="24"/>
                <w:highlight w:val="none"/>
                <w:shd w:val="clear" w:color="auto" w:fill="FFFFFF"/>
                <w:lang w:eastAsia="zh-CN"/>
              </w:rPr>
              <w:t>房南侧布设为库房入库大门及装卸区，北侧布置为贮存区，</w:t>
            </w:r>
            <w:r>
              <w:rPr>
                <w:rFonts w:hint="eastAsia" w:cs="Times New Roman"/>
                <w:color w:val="auto"/>
                <w:sz w:val="24"/>
                <w:szCs w:val="24"/>
                <w:highlight w:val="none"/>
                <w:shd w:val="clear" w:color="auto" w:fill="FFFFFF"/>
                <w:lang w:eastAsia="zh-CN"/>
              </w:rPr>
              <w:t>贮存区</w:t>
            </w:r>
            <w:r>
              <w:rPr>
                <w:rFonts w:hint="default" w:ascii="Times New Roman" w:hAnsi="Times New Roman" w:cs="Times New Roman"/>
                <w:color w:val="auto"/>
                <w:sz w:val="24"/>
                <w:szCs w:val="24"/>
                <w:highlight w:val="none"/>
                <w:shd w:val="clear" w:color="auto" w:fill="FFFFFF"/>
                <w:lang w:eastAsia="zh-CN"/>
              </w:rPr>
              <w:t>按照功能划分</w:t>
            </w:r>
            <w:r>
              <w:rPr>
                <w:rFonts w:hint="eastAsia" w:cs="Times New Roman"/>
                <w:color w:val="auto"/>
                <w:sz w:val="24"/>
                <w:szCs w:val="24"/>
                <w:highlight w:val="none"/>
                <w:shd w:val="clear" w:color="auto" w:fill="FFFFFF"/>
                <w:lang w:eastAsia="zh-CN"/>
              </w:rPr>
              <w:t>区</w:t>
            </w:r>
            <w:r>
              <w:rPr>
                <w:rFonts w:hint="default" w:ascii="Times New Roman" w:hAnsi="Times New Roman" w:cs="Times New Roman"/>
                <w:color w:val="auto"/>
                <w:sz w:val="24"/>
                <w:szCs w:val="24"/>
                <w:highlight w:val="none"/>
                <w:shd w:val="clear" w:color="auto" w:fill="FFFFFF"/>
                <w:lang w:eastAsia="zh-CN"/>
              </w:rPr>
              <w:t>，</w:t>
            </w:r>
            <w:r>
              <w:rPr>
                <w:rFonts w:hint="eastAsia" w:cs="Times New Roman"/>
                <w:color w:val="auto"/>
                <w:sz w:val="24"/>
                <w:szCs w:val="24"/>
                <w:highlight w:val="none"/>
                <w:shd w:val="clear" w:color="auto" w:fill="FFFFFF"/>
                <w:lang w:eastAsia="zh-CN"/>
              </w:rPr>
              <w:t>每个区域</w:t>
            </w:r>
            <w:r>
              <w:rPr>
                <w:rFonts w:hint="default" w:ascii="Times New Roman" w:hAnsi="Times New Roman" w:cs="Times New Roman"/>
                <w:color w:val="auto"/>
                <w:sz w:val="24"/>
                <w:szCs w:val="24"/>
                <w:highlight w:val="none"/>
                <w:shd w:val="clear" w:color="auto" w:fill="FFFFFF"/>
                <w:lang w:eastAsia="zh-CN"/>
              </w:rPr>
              <w:t>由西向东依次布设贮存间，</w:t>
            </w:r>
            <w:r>
              <w:rPr>
                <w:rFonts w:hint="default" w:ascii="Times New Roman" w:hAnsi="Times New Roman" w:cs="Times New Roman"/>
                <w:color w:val="auto"/>
                <w:sz w:val="24"/>
                <w:szCs w:val="24"/>
                <w:highlight w:val="none"/>
                <w:shd w:val="clear" w:color="auto" w:fill="FFFFFF"/>
                <w:lang w:eastAsia="zh-CN"/>
              </w:rPr>
              <w:t>其中产生有机</w:t>
            </w:r>
            <w:r>
              <w:rPr>
                <w:rFonts w:hint="default" w:cs="Times New Roman"/>
                <w:color w:val="auto"/>
                <w:sz w:val="24"/>
                <w:szCs w:val="24"/>
                <w:highlight w:val="none"/>
                <w:shd w:val="clear" w:color="auto" w:fill="FFFFFF"/>
                <w:lang w:eastAsia="zh-CN"/>
              </w:rPr>
              <w:t>废气</w:t>
            </w:r>
            <w:r>
              <w:rPr>
                <w:rFonts w:hint="eastAsia" w:cs="Times New Roman"/>
                <w:color w:val="auto"/>
                <w:sz w:val="24"/>
                <w:szCs w:val="24"/>
                <w:highlight w:val="none"/>
                <w:shd w:val="clear" w:color="auto" w:fill="FFFFFF"/>
                <w:lang w:eastAsia="zh-CN"/>
              </w:rPr>
              <w:t>的危废</w:t>
            </w:r>
            <w:r>
              <w:rPr>
                <w:rFonts w:hint="default" w:cs="Times New Roman"/>
                <w:color w:val="auto"/>
                <w:sz w:val="24"/>
                <w:szCs w:val="24"/>
                <w:highlight w:val="none"/>
                <w:shd w:val="clear" w:color="auto" w:fill="FFFFFF"/>
                <w:lang w:eastAsia="zh-CN"/>
              </w:rPr>
              <w:t>贮存间布设</w:t>
            </w:r>
            <w:r>
              <w:rPr>
                <w:rFonts w:hint="eastAsia" w:cs="Times New Roman"/>
                <w:color w:val="auto"/>
                <w:sz w:val="24"/>
                <w:szCs w:val="24"/>
                <w:highlight w:val="none"/>
                <w:shd w:val="clear" w:color="auto" w:fill="FFFFFF"/>
                <w:lang w:val="en-US" w:eastAsia="zh-CN"/>
              </w:rPr>
              <w:t>同一个区，产生酸性废气的</w:t>
            </w:r>
            <w:r>
              <w:rPr>
                <w:rFonts w:hint="eastAsia" w:cs="Times New Roman"/>
                <w:color w:val="auto"/>
                <w:sz w:val="24"/>
                <w:szCs w:val="24"/>
                <w:highlight w:val="none"/>
                <w:shd w:val="clear" w:color="auto" w:fill="FFFFFF"/>
                <w:lang w:eastAsia="zh-CN"/>
              </w:rPr>
              <w:t>危废</w:t>
            </w:r>
            <w:r>
              <w:rPr>
                <w:rFonts w:hint="default" w:cs="Times New Roman"/>
                <w:color w:val="auto"/>
                <w:sz w:val="24"/>
                <w:szCs w:val="24"/>
                <w:highlight w:val="none"/>
                <w:shd w:val="clear" w:color="auto" w:fill="FFFFFF"/>
                <w:lang w:eastAsia="zh-CN"/>
              </w:rPr>
              <w:t>贮存间布设在</w:t>
            </w:r>
            <w:r>
              <w:rPr>
                <w:rFonts w:hint="eastAsia" w:cs="Times New Roman"/>
                <w:color w:val="auto"/>
                <w:sz w:val="24"/>
                <w:szCs w:val="24"/>
                <w:highlight w:val="none"/>
                <w:shd w:val="clear" w:color="auto" w:fill="FFFFFF"/>
                <w:lang w:val="en-US" w:eastAsia="zh-CN"/>
              </w:rPr>
              <w:t>同一个区，其余常温下不产生废气的</w:t>
            </w:r>
            <w:r>
              <w:rPr>
                <w:rFonts w:hint="default" w:ascii="Times New Roman" w:hAnsi="Times New Roman" w:cs="Times New Roman"/>
                <w:color w:val="auto"/>
                <w:sz w:val="24"/>
                <w:szCs w:val="24"/>
                <w:highlight w:val="none"/>
                <w:shd w:val="clear" w:color="auto" w:fill="FFFFFF"/>
                <w:lang w:eastAsia="zh-CN"/>
              </w:rPr>
              <w:t>危废贮存间布设在危废贮存库</w:t>
            </w:r>
            <w:r>
              <w:rPr>
                <w:rFonts w:hint="eastAsia" w:cs="Times New Roman"/>
                <w:color w:val="auto"/>
                <w:sz w:val="24"/>
                <w:szCs w:val="24"/>
                <w:highlight w:val="none"/>
                <w:shd w:val="clear" w:color="auto" w:fill="FFFFFF"/>
                <w:lang w:val="en-US" w:eastAsia="zh-CN"/>
              </w:rPr>
              <w:t>3</w:t>
            </w:r>
            <w:r>
              <w:rPr>
                <w:rFonts w:hint="default" w:ascii="Times New Roman" w:hAnsi="Times New Roman" w:cs="Times New Roman"/>
                <w:color w:val="auto"/>
                <w:sz w:val="24"/>
                <w:szCs w:val="24"/>
                <w:highlight w:val="none"/>
                <w:shd w:val="clear" w:color="auto" w:fill="FFFFFF"/>
                <w:lang w:eastAsia="zh-CN"/>
              </w:rPr>
              <w:t>区</w:t>
            </w:r>
            <w:r>
              <w:rPr>
                <w:rFonts w:hint="eastAsia" w:cs="Times New Roman"/>
                <w:color w:val="auto"/>
                <w:sz w:val="24"/>
                <w:szCs w:val="24"/>
                <w:highlight w:val="none"/>
                <w:shd w:val="clear" w:color="auto" w:fill="FFFFFF"/>
                <w:lang w:eastAsia="zh-CN"/>
              </w:rPr>
              <w:t>，每个贮存区之间设置有约</w:t>
            </w:r>
            <w:r>
              <w:rPr>
                <w:rFonts w:hint="eastAsia" w:cs="Times New Roman"/>
                <w:color w:val="auto"/>
                <w:sz w:val="24"/>
                <w:szCs w:val="24"/>
                <w:highlight w:val="none"/>
                <w:shd w:val="clear" w:color="auto" w:fill="FFFFFF"/>
                <w:lang w:val="en-US" w:eastAsia="zh-CN"/>
              </w:rPr>
              <w:t>8</w:t>
            </w:r>
            <w:r>
              <w:rPr>
                <w:rFonts w:hint="eastAsia" w:cs="Times New Roman"/>
                <w:color w:val="auto"/>
                <w:sz w:val="24"/>
                <w:szCs w:val="24"/>
                <w:highlight w:val="none"/>
                <w:shd w:val="clear" w:color="auto" w:fill="FFFFFF"/>
                <w:lang w:eastAsia="zh-CN"/>
              </w:rPr>
              <w:t>m高实体砖墙进行隔断。每个贮存区各设置一个0.6m*0.6m*0.6m收集池，整体库房墙体内侧四周设宽200mm的导流收集沟和一个1m*1m*1m的应急收集池。</w:t>
            </w:r>
            <w:r>
              <w:rPr>
                <w:rFonts w:hint="default" w:ascii="Times New Roman" w:hAnsi="Times New Roman" w:cs="Times New Roman"/>
                <w:color w:val="auto"/>
                <w:sz w:val="24"/>
                <w:szCs w:val="24"/>
                <w:highlight w:val="none"/>
                <w:shd w:val="clear" w:color="auto" w:fill="FFFFFF"/>
                <w:lang w:eastAsia="zh-CN"/>
              </w:rPr>
              <w:t>根据《危险废物贮存污染控制标准》（</w:t>
            </w:r>
            <w:r>
              <w:rPr>
                <w:rFonts w:hint="eastAsia" w:ascii="Times New Roman" w:hAnsi="Times New Roman" w:cs="Times New Roman"/>
                <w:color w:val="auto"/>
                <w:sz w:val="24"/>
                <w:szCs w:val="24"/>
                <w:highlight w:val="none"/>
                <w:shd w:val="clear" w:color="auto" w:fill="FFFFFF"/>
                <w:lang w:eastAsia="zh-CN"/>
              </w:rPr>
              <w:t>GB 18597-2023</w:t>
            </w:r>
            <w:r>
              <w:rPr>
                <w:rFonts w:hint="default" w:ascii="Times New Roman" w:hAnsi="Times New Roman" w:cs="Times New Roman"/>
                <w:color w:val="auto"/>
                <w:sz w:val="24"/>
                <w:szCs w:val="24"/>
                <w:highlight w:val="none"/>
                <w:shd w:val="clear" w:color="auto" w:fill="FFFFFF"/>
                <w:lang w:eastAsia="zh-CN"/>
              </w:rPr>
              <w:t>）附录B中表1及表2相关依据要求可知，本项目不存在不相容的危险废物，无交叉布置</w:t>
            </w:r>
            <w:r>
              <w:rPr>
                <w:rFonts w:hint="eastAsia" w:cs="Times New Roman"/>
                <w:color w:val="auto"/>
                <w:sz w:val="24"/>
                <w:szCs w:val="24"/>
                <w:highlight w:val="none"/>
                <w:shd w:val="clear" w:color="auto" w:fill="FFFFFF"/>
                <w:lang w:eastAsia="zh-CN"/>
              </w:rPr>
              <w:t>，</w:t>
            </w:r>
            <w:r>
              <w:rPr>
                <w:rFonts w:hint="default" w:ascii="Times New Roman" w:hAnsi="Times New Roman" w:cs="Times New Roman"/>
                <w:color w:val="auto"/>
                <w:sz w:val="24"/>
                <w:szCs w:val="24"/>
                <w:highlight w:val="none"/>
                <w:shd w:val="clear" w:color="auto" w:fill="FFFFFF"/>
                <w:lang w:eastAsia="zh-CN"/>
              </w:rPr>
              <w:t>扩建项目危险废物分区合理，能满足厂内生产、消防、交通、环保、安全、卫生等要求。因此，本扩建项目布置功能分区明确，布局紧凑，可以满足节约占地的要求。</w:t>
            </w:r>
            <w:r>
              <w:rPr>
                <w:rFonts w:hint="eastAsia" w:cs="Times New Roman"/>
                <w:color w:val="auto"/>
                <w:sz w:val="24"/>
                <w:szCs w:val="24"/>
                <w:highlight w:val="none"/>
                <w:shd w:val="clear" w:color="auto" w:fill="FFFFFF"/>
                <w:lang w:eastAsia="zh-CN"/>
              </w:rPr>
              <w:t>本次扩建项目平面布置图详见下图及附图</w:t>
            </w:r>
            <w:r>
              <w:rPr>
                <w:rFonts w:hint="eastAsia" w:cs="Times New Roman"/>
                <w:color w:val="auto"/>
                <w:sz w:val="24"/>
                <w:szCs w:val="24"/>
                <w:highlight w:val="none"/>
                <w:shd w:val="clear" w:color="auto" w:fill="FFFFFF"/>
                <w:lang w:val="en-US" w:eastAsia="zh-CN"/>
              </w:rPr>
              <w:t>3。</w:t>
            </w:r>
          </w:p>
        </w:tc>
      </w:tr>
      <w:tr w14:paraId="2A9C1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522" w:type="pct"/>
            <w:vAlign w:val="center"/>
          </w:tcPr>
          <w:p w14:paraId="2EA59883">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4477" w:type="pct"/>
          </w:tcPr>
          <w:p w14:paraId="140D5736">
            <w:pPr>
              <w:numPr>
                <w:ilvl w:val="0"/>
                <w:numId w:val="11"/>
              </w:numPr>
              <w:spacing w:line="440" w:lineRule="exact"/>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施工期工艺流程</w:t>
            </w:r>
          </w:p>
          <w:p w14:paraId="24027507">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5" o:spt="75" type="#_x0000_t75" style="height:263.15pt;width:360.8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p w14:paraId="6C3C831B">
            <w:pPr>
              <w:pStyle w:val="15"/>
              <w:rPr>
                <w:rFonts w:hint="default"/>
                <w:color w:val="auto"/>
                <w:highlight w:val="none"/>
              </w:rPr>
            </w:pPr>
            <w:r>
              <w:rPr>
                <w:rFonts w:hint="default"/>
                <w:color w:val="auto"/>
                <w:highlight w:val="none"/>
              </w:rPr>
              <w:t>图2-2 施工工艺流程及产污环节图</w:t>
            </w:r>
          </w:p>
          <w:p w14:paraId="104924C1">
            <w:pPr>
              <w:pStyle w:val="15"/>
              <w:ind w:left="0" w:leftChars="0" w:firstLine="0" w:firstLineChars="0"/>
              <w:rPr>
                <w:rFonts w:hint="default" w:ascii="Times New Roman" w:hAnsi="Times New Roman" w:eastAsia="宋体" w:cs="Times New Roman"/>
                <w:color w:val="auto"/>
                <w:kern w:val="2"/>
                <w:sz w:val="24"/>
                <w:szCs w:val="24"/>
                <w:highlight w:val="none"/>
                <w:shd w:val="clear" w:color="auto" w:fill="FFFFFF"/>
                <w:lang w:val="en-US" w:eastAsia="zh-CN" w:bidi="ar-SA"/>
              </w:rPr>
            </w:pPr>
            <w:r>
              <w:rPr>
                <w:rFonts w:hint="default" w:ascii="Times New Roman" w:hAnsi="Times New Roman" w:eastAsia="宋体" w:cs="Times New Roman"/>
                <w:color w:val="auto"/>
                <w:kern w:val="2"/>
                <w:sz w:val="24"/>
                <w:szCs w:val="24"/>
                <w:highlight w:val="none"/>
                <w:shd w:val="clear" w:color="auto" w:fill="FFFFFF"/>
                <w:lang w:val="en-US" w:eastAsia="zh-CN" w:bidi="ar-SA"/>
              </w:rPr>
              <w:t>工艺流程简述：</w:t>
            </w:r>
          </w:p>
          <w:p w14:paraId="530B9E4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施工工艺流程包括基础工程、主体工程、装饰工程、设备安装及工程竣工验收。</w:t>
            </w:r>
          </w:p>
          <w:p w14:paraId="1EC787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本项目施工期</w:t>
            </w:r>
            <w:r>
              <w:rPr>
                <w:rFonts w:hint="eastAsia" w:ascii="Times New Roman" w:hAnsi="Times New Roman" w:eastAsia="宋体" w:cs="Times New Roman"/>
                <w:color w:val="auto"/>
                <w:sz w:val="24"/>
                <w:szCs w:val="24"/>
                <w:highlight w:val="none"/>
                <w:shd w:val="clear" w:color="auto" w:fill="FFFFFF"/>
                <w:lang w:val="en-US" w:eastAsia="zh-CN"/>
              </w:rPr>
              <w:t>旧建筑拆除</w:t>
            </w:r>
            <w:r>
              <w:rPr>
                <w:rFonts w:hint="default" w:ascii="Times New Roman" w:hAnsi="Times New Roman" w:eastAsia="宋体" w:cs="Times New Roman"/>
                <w:color w:val="auto"/>
                <w:sz w:val="24"/>
                <w:szCs w:val="24"/>
                <w:highlight w:val="none"/>
                <w:shd w:val="clear" w:color="auto" w:fill="FFFFFF"/>
                <w:lang w:val="en-US" w:eastAsia="zh-CN"/>
              </w:rPr>
              <w:t>、物料运输等过程将产生扬尘、施工机械废气；施工人员将产生生活污水，运输车辆冲洗将产生施工废水；各类施工机械设备将产生噪声；施工过程将产生施工人员生活垃圾及建筑垃圾等固废。</w:t>
            </w:r>
          </w:p>
          <w:p w14:paraId="76B298F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二、运营期生产工艺</w:t>
            </w:r>
          </w:p>
          <w:p w14:paraId="131F65D2">
            <w:pPr>
              <w:widowControl/>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（1）生产工艺流程图</w:t>
            </w:r>
          </w:p>
          <w:p w14:paraId="39ECD913">
            <w:pPr>
              <w:keepNext/>
              <w:keepLines/>
              <w:widowControl/>
              <w:adjustRightInd w:val="0"/>
              <w:snapToGrid w:val="0"/>
              <w:spacing w:line="360" w:lineRule="auto"/>
              <w:jc w:val="center"/>
              <w:outlineLvl w:val="9"/>
              <w:rPr>
                <w:rFonts w:hint="default" w:ascii="Times New Roman" w:hAnsi="Times New Roman" w:cs="Times New Roman"/>
                <w:color w:val="auto"/>
                <w:position w:val="-30"/>
                <w:highlight w:val="none"/>
              </w:rPr>
            </w:pPr>
            <w:r>
              <w:rPr>
                <w:rFonts w:hint="default" w:ascii="Times New Roman" w:hAnsi="Times New Roman" w:cs="Times New Roman"/>
                <w:color w:val="auto"/>
                <w:position w:val="-30"/>
                <w:highlight w:val="none"/>
              </w:rPr>
              <w:drawing>
                <wp:inline distT="0" distB="0" distL="0" distR="0">
                  <wp:extent cx="4856480" cy="958215"/>
                  <wp:effectExtent l="0" t="0" r="1270" b="1333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4856988" cy="958596"/>
                          </a:xfrm>
                          <a:prstGeom prst="rect">
                            <a:avLst/>
                          </a:prstGeom>
                        </pic:spPr>
                      </pic:pic>
                    </a:graphicData>
                  </a:graphic>
                </wp:inline>
              </w:drawing>
            </w:r>
          </w:p>
          <w:p w14:paraId="43F0423B">
            <w:pPr>
              <w:keepNext/>
              <w:keepLines/>
              <w:widowControl/>
              <w:adjustRightInd w:val="0"/>
              <w:snapToGrid w:val="0"/>
              <w:spacing w:line="360" w:lineRule="auto"/>
              <w:jc w:val="center"/>
              <w:outlineLvl w:val="0"/>
              <w:rPr>
                <w:rFonts w:hint="default" w:ascii="Times New Roman" w:hAnsi="Times New Roman" w:cs="Times New Roman"/>
                <w:b/>
                <w:color w:val="auto"/>
                <w:highlight w:val="none"/>
              </w:rPr>
            </w:pPr>
            <w:bookmarkStart w:id="25" w:name="_Toc10831"/>
            <w:bookmarkStart w:id="26" w:name="_Toc2432"/>
            <w:bookmarkStart w:id="27" w:name="_Toc25705"/>
            <w:bookmarkStart w:id="28" w:name="_Toc21401"/>
            <w:r>
              <w:rPr>
                <w:rFonts w:hint="default" w:ascii="Times New Roman" w:hAnsi="Times New Roman" w:cs="Times New Roman"/>
                <w:b/>
                <w:color w:val="auto"/>
                <w:highlight w:val="none"/>
              </w:rPr>
              <w:t>图2-4工艺流程及产污环节示意图</w:t>
            </w:r>
            <w:bookmarkEnd w:id="25"/>
            <w:bookmarkEnd w:id="26"/>
            <w:bookmarkEnd w:id="27"/>
            <w:bookmarkEnd w:id="28"/>
          </w:p>
          <w:p w14:paraId="50EE74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工艺流程简述：</w:t>
            </w:r>
          </w:p>
          <w:p w14:paraId="399811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（1）危险废物的接收</w:t>
            </w:r>
          </w:p>
          <w:p w14:paraId="5241D0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危险废物产生单位（以下简称：产废单位）的操作人员根据废物种类、性质、状态等特征进行分类收集，再分类分区暂存于危废暂存间内，等待项目方委派工作人员定期上门查验、核实并接收危险废物。</w:t>
            </w:r>
          </w:p>
          <w:p w14:paraId="3F9E84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危险废物接收原则：①为避免接收期间倒桶、再次更换容器而造成危险废物的</w:t>
            </w:r>
            <w:r>
              <w:rPr>
                <w:rFonts w:hint="default" w:ascii="Times New Roman" w:hAnsi="Times New Roman" w:cs="Times New Roman"/>
                <w:color w:val="auto"/>
                <w:sz w:val="24"/>
                <w:szCs w:val="24"/>
                <w:highlight w:val="none"/>
                <w:shd w:val="clear" w:color="auto" w:fill="FFFFFF"/>
                <w:lang w:val="en-US" w:eastAsia="zh-CN"/>
              </w:rPr>
              <w:t>泄漏</w:t>
            </w:r>
            <w:r>
              <w:rPr>
                <w:rFonts w:hint="default" w:ascii="Times New Roman" w:hAnsi="Times New Roman" w:eastAsia="宋体" w:cs="Times New Roman"/>
                <w:color w:val="auto"/>
                <w:sz w:val="24"/>
                <w:szCs w:val="24"/>
                <w:highlight w:val="none"/>
                <w:shd w:val="clear" w:color="auto" w:fill="FFFFFF"/>
                <w:lang w:val="en-US" w:eastAsia="zh-CN"/>
              </w:rPr>
              <w:t>、洒落，项目方应根据危险废物的物理、化学性质的不同，向产废单位提供合适的危废盛装容器，并要求产废单位分类收集，在收集容器外面粘贴符合危险废物贮存污染控制标准（GB 18597-2023）中附录A所要求的危险废物标签。②产废单位在危险废物产生期间应按要求设置危废</w:t>
            </w:r>
            <w:r>
              <w:rPr>
                <w:rFonts w:hint="default" w:ascii="Times New Roman" w:hAnsi="Times New Roman" w:cs="Times New Roman"/>
                <w:color w:val="auto"/>
                <w:sz w:val="24"/>
                <w:szCs w:val="24"/>
                <w:highlight w:val="none"/>
                <w:shd w:val="clear" w:color="auto" w:fill="FFFFFF"/>
                <w:lang w:val="en-US" w:eastAsia="zh-CN"/>
              </w:rPr>
              <w:t>台账</w:t>
            </w:r>
            <w:r>
              <w:rPr>
                <w:rFonts w:hint="default" w:ascii="Times New Roman" w:hAnsi="Times New Roman" w:eastAsia="宋体" w:cs="Times New Roman"/>
                <w:color w:val="auto"/>
                <w:sz w:val="24"/>
                <w:szCs w:val="24"/>
                <w:highlight w:val="none"/>
                <w:shd w:val="clear" w:color="auto" w:fill="FFFFFF"/>
                <w:lang w:val="en-US" w:eastAsia="zh-CN"/>
              </w:rPr>
              <w:t>，明确记录危废名称、种类、来源数量、特性及日期等。③到达现场的工作人员应先根据台账等内容核查危废信息，再进行记录并接收。</w:t>
            </w:r>
          </w:p>
          <w:p w14:paraId="77A7A62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kern w:val="2"/>
                <w:sz w:val="24"/>
                <w:szCs w:val="24"/>
                <w:highlight w:val="none"/>
                <w:shd w:val="clear" w:fill="FFFFFF"/>
                <w:lang w:val="en-US" w:eastAsia="zh-CN" w:bidi="ar-SA"/>
              </w:rPr>
              <w:t>（4）</w:t>
            </w:r>
            <w:r>
              <w:rPr>
                <w:rFonts w:hint="default" w:ascii="Times New Roman" w:hAnsi="Times New Roman" w:eastAsia="宋体" w:cs="Times New Roman"/>
                <w:color w:val="auto"/>
                <w:sz w:val="24"/>
                <w:szCs w:val="24"/>
                <w:highlight w:val="none"/>
                <w:shd w:val="clear" w:color="auto" w:fill="FFFFFF"/>
                <w:lang w:val="en-US" w:eastAsia="zh-CN"/>
              </w:rPr>
              <w:t>运输至库房（内部转运）</w:t>
            </w:r>
          </w:p>
          <w:p w14:paraId="39AFBE5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危险废物在查验合格后，直接由工作人员利用</w:t>
            </w:r>
            <w:r>
              <w:rPr>
                <w:rFonts w:hint="eastAsia" w:ascii="Times New Roman" w:hAnsi="Times New Roman" w:cs="Times New Roman"/>
                <w:color w:val="auto"/>
                <w:sz w:val="24"/>
                <w:szCs w:val="24"/>
                <w:highlight w:val="none"/>
                <w:shd w:val="clear" w:color="auto" w:fill="FFFFFF"/>
                <w:lang w:eastAsia="zh-CN"/>
              </w:rPr>
              <w:t>厢式</w:t>
            </w:r>
            <w:r>
              <w:rPr>
                <w:rFonts w:hint="default" w:ascii="Times New Roman" w:hAnsi="Times New Roman" w:eastAsia="宋体" w:cs="Times New Roman"/>
                <w:color w:val="auto"/>
                <w:sz w:val="24"/>
                <w:szCs w:val="24"/>
                <w:highlight w:val="none"/>
                <w:shd w:val="clear" w:color="auto" w:fill="FFFFFF"/>
              </w:rPr>
              <w:t>货车自带的液压起重臂辅助将危废收集容器移送至车厢内部，并加以固定防止运输途中容器摇晃不定。内部运输期间尽量选择经主管部门审批后的固定路线将危险废物转移至项目暂存库房内（约90%的危废一周内委托处置，暂存周期最长不超过</w:t>
            </w:r>
            <w:r>
              <w:rPr>
                <w:rFonts w:hint="default" w:ascii="Times New Roman" w:hAnsi="Times New Roman" w:cs="Times New Roman"/>
                <w:color w:val="auto"/>
                <w:sz w:val="24"/>
                <w:szCs w:val="24"/>
                <w:highlight w:val="none"/>
                <w:shd w:val="clear" w:color="auto" w:fill="FFFFFF"/>
                <w:lang w:eastAsia="zh-CN"/>
              </w:rPr>
              <w:t>7天</w:t>
            </w:r>
            <w:r>
              <w:rPr>
                <w:rFonts w:hint="default" w:ascii="Times New Roman" w:hAnsi="Times New Roman" w:eastAsia="宋体" w:cs="Times New Roman"/>
                <w:color w:val="auto"/>
                <w:sz w:val="24"/>
                <w:szCs w:val="24"/>
                <w:highlight w:val="none"/>
                <w:shd w:val="clear" w:color="auto" w:fill="FFFFFF"/>
              </w:rPr>
              <w:t>）。</w:t>
            </w:r>
          </w:p>
          <w:p w14:paraId="793081F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（3）卸车、分区贮存危险废物</w:t>
            </w:r>
          </w:p>
          <w:p w14:paraId="5DEF7D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因数量不足、天气原因等因素导致部分危险废物需在项目危险废物暂存库房暂存，则进入卸车、分区贮存环节。装卸车时采用</w:t>
            </w:r>
            <w:r>
              <w:rPr>
                <w:rFonts w:hint="eastAsia" w:ascii="Times New Roman" w:hAnsi="Times New Roman" w:cs="Times New Roman"/>
                <w:color w:val="auto"/>
                <w:sz w:val="24"/>
                <w:szCs w:val="24"/>
                <w:highlight w:val="none"/>
                <w:shd w:val="clear" w:color="auto" w:fill="FFFFFF"/>
                <w:lang w:eastAsia="zh-CN"/>
              </w:rPr>
              <w:t>厢式</w:t>
            </w:r>
            <w:r>
              <w:rPr>
                <w:rFonts w:hint="default" w:ascii="Times New Roman" w:hAnsi="Times New Roman" w:eastAsia="宋体" w:cs="Times New Roman"/>
                <w:color w:val="auto"/>
                <w:sz w:val="24"/>
                <w:szCs w:val="24"/>
                <w:highlight w:val="none"/>
                <w:shd w:val="clear" w:color="auto" w:fill="FFFFFF"/>
              </w:rPr>
              <w:t>货车自带的液压起重臂辅助将危废收集容器移送至库房的指定位置，用以</w:t>
            </w:r>
            <w:r>
              <w:rPr>
                <w:rFonts w:hint="eastAsia" w:cs="Times New Roman"/>
                <w:color w:val="auto"/>
                <w:sz w:val="24"/>
                <w:szCs w:val="24"/>
                <w:highlight w:val="none"/>
                <w:shd w:val="clear" w:color="auto" w:fill="FFFFFF"/>
                <w:lang w:eastAsia="zh-CN"/>
              </w:rPr>
              <w:t>减少</w:t>
            </w:r>
            <w:r>
              <w:rPr>
                <w:rFonts w:hint="default" w:ascii="Times New Roman" w:hAnsi="Times New Roman" w:eastAsia="宋体" w:cs="Times New Roman"/>
                <w:color w:val="auto"/>
                <w:sz w:val="24"/>
                <w:szCs w:val="24"/>
                <w:highlight w:val="none"/>
                <w:shd w:val="clear" w:color="auto" w:fill="FFFFFF"/>
              </w:rPr>
              <w:t>人力及装卸过程中的潜在危险。搬运期间，操作人员需按规范佩戴好防护手套、防护服、防目镜等基本防护装备。储存过程中会</w:t>
            </w:r>
            <w:r>
              <w:rPr>
                <w:rFonts w:hint="default" w:ascii="Times New Roman" w:hAnsi="Times New Roman" w:cs="Times New Roman"/>
                <w:color w:val="auto"/>
                <w:sz w:val="24"/>
                <w:szCs w:val="24"/>
                <w:highlight w:val="none"/>
                <w:shd w:val="clear" w:color="auto" w:fill="FFFFFF"/>
                <w:lang w:eastAsia="zh-CN"/>
              </w:rPr>
              <w:t>挥发</w:t>
            </w:r>
            <w:r>
              <w:rPr>
                <w:rFonts w:hint="default" w:ascii="Times New Roman" w:hAnsi="Times New Roman" w:eastAsia="宋体" w:cs="Times New Roman"/>
                <w:color w:val="auto"/>
                <w:sz w:val="24"/>
                <w:szCs w:val="24"/>
                <w:highlight w:val="none"/>
                <w:shd w:val="clear" w:color="auto" w:fill="FFFFFF"/>
              </w:rPr>
              <w:t>少量有机废气（非甲烷总烃）</w:t>
            </w:r>
            <w:r>
              <w:rPr>
                <w:rFonts w:hint="default" w:ascii="Times New Roman" w:hAnsi="Times New Roman" w:eastAsia="宋体" w:cs="Times New Roman"/>
                <w:color w:val="auto"/>
                <w:sz w:val="24"/>
                <w:szCs w:val="24"/>
                <w:highlight w:val="none"/>
                <w:shd w:val="clear" w:color="auto" w:fill="FFFFFF"/>
                <w:lang w:eastAsia="zh-CN"/>
              </w:rPr>
              <w:t>、含酸性废气</w:t>
            </w:r>
            <w:r>
              <w:rPr>
                <w:rFonts w:hint="default" w:ascii="Times New Roman" w:hAnsi="Times New Roman" w:eastAsia="宋体" w:cs="Times New Roman"/>
                <w:color w:val="auto"/>
                <w:sz w:val="24"/>
                <w:szCs w:val="24"/>
                <w:highlight w:val="none"/>
                <w:shd w:val="clear" w:color="auto" w:fill="FFFFFF"/>
              </w:rPr>
              <w:t>。正常工况下，各类危险废物在贮存期间不</w:t>
            </w:r>
            <w:r>
              <w:rPr>
                <w:rFonts w:hint="default" w:ascii="Times New Roman" w:hAnsi="Times New Roman" w:cs="Times New Roman"/>
                <w:color w:val="auto"/>
                <w:sz w:val="24"/>
                <w:szCs w:val="24"/>
                <w:highlight w:val="none"/>
                <w:shd w:val="clear" w:color="auto" w:fill="FFFFFF"/>
                <w:lang w:eastAsia="zh-CN"/>
              </w:rPr>
              <w:t>再</w:t>
            </w:r>
            <w:r>
              <w:rPr>
                <w:rFonts w:hint="default" w:ascii="Times New Roman" w:hAnsi="Times New Roman" w:eastAsia="宋体" w:cs="Times New Roman"/>
                <w:color w:val="auto"/>
                <w:sz w:val="24"/>
                <w:szCs w:val="24"/>
                <w:highlight w:val="none"/>
                <w:shd w:val="clear" w:color="auto" w:fill="FFFFFF"/>
              </w:rPr>
              <w:t>更换收集容器。非正常工况下（若在装卸和储存过程若发生泄漏情形）需更换收集容器：</w:t>
            </w:r>
          </w:p>
          <w:p w14:paraId="035453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液态危险废物装卸或分拣过程由于</w:t>
            </w:r>
            <w:r>
              <w:rPr>
                <w:rFonts w:hint="default" w:ascii="Times New Roman" w:hAnsi="Times New Roman" w:cs="Times New Roman"/>
                <w:color w:val="auto"/>
                <w:sz w:val="24"/>
                <w:szCs w:val="24"/>
                <w:highlight w:val="none"/>
                <w:shd w:val="clear" w:color="auto" w:fill="FFFFFF"/>
                <w:lang w:eastAsia="zh-CN"/>
              </w:rPr>
              <w:t>厢式</w:t>
            </w:r>
            <w:r>
              <w:rPr>
                <w:rFonts w:hint="default" w:ascii="Times New Roman" w:hAnsi="Times New Roman" w:eastAsia="宋体" w:cs="Times New Roman"/>
                <w:color w:val="auto"/>
                <w:sz w:val="24"/>
                <w:szCs w:val="24"/>
                <w:highlight w:val="none"/>
                <w:shd w:val="clear" w:color="auto" w:fill="FFFFFF"/>
              </w:rPr>
              <w:t>货车上自带</w:t>
            </w:r>
            <w:r>
              <w:rPr>
                <w:rFonts w:hint="default" w:ascii="Times New Roman" w:hAnsi="Times New Roman" w:cs="Times New Roman"/>
                <w:color w:val="auto"/>
                <w:sz w:val="24"/>
                <w:szCs w:val="24"/>
                <w:highlight w:val="none"/>
                <w:shd w:val="clear" w:color="auto" w:fill="FFFFFF"/>
                <w:lang w:eastAsia="zh-CN"/>
              </w:rPr>
              <w:t>起重机</w:t>
            </w:r>
            <w:r>
              <w:rPr>
                <w:rFonts w:hint="default" w:ascii="Times New Roman" w:hAnsi="Times New Roman" w:eastAsia="宋体" w:cs="Times New Roman"/>
                <w:color w:val="auto"/>
                <w:sz w:val="24"/>
                <w:szCs w:val="24"/>
                <w:highlight w:val="none"/>
                <w:shd w:val="clear" w:color="auto" w:fill="FFFFFF"/>
              </w:rPr>
              <w:t>可能会出现突发故障导致收集容器跌落地面</w:t>
            </w:r>
            <w:r>
              <w:rPr>
                <w:rFonts w:hint="default" w:ascii="Times New Roman" w:hAnsi="Times New Roman" w:cs="Times New Roman"/>
                <w:color w:val="auto"/>
                <w:sz w:val="24"/>
                <w:szCs w:val="24"/>
                <w:highlight w:val="none"/>
                <w:shd w:val="clear" w:color="auto" w:fill="FFFFFF"/>
                <w:lang w:eastAsia="zh-CN"/>
              </w:rPr>
              <w:t>或</w:t>
            </w:r>
            <w:r>
              <w:rPr>
                <w:rFonts w:hint="default" w:ascii="Times New Roman" w:hAnsi="Times New Roman" w:eastAsia="宋体" w:cs="Times New Roman"/>
                <w:color w:val="auto"/>
                <w:sz w:val="24"/>
                <w:szCs w:val="24"/>
                <w:highlight w:val="none"/>
                <w:shd w:val="clear" w:color="auto" w:fill="FFFFFF"/>
              </w:rPr>
              <w:t>由于操作原因与墙壁等发生碰撞等事故，或因外力导致装有废物的容器破损</w:t>
            </w:r>
            <w:r>
              <w:rPr>
                <w:rFonts w:hint="default" w:ascii="Times New Roman" w:hAnsi="Times New Roman" w:cs="Times New Roman"/>
                <w:color w:val="auto"/>
                <w:sz w:val="24"/>
                <w:szCs w:val="24"/>
                <w:highlight w:val="none"/>
                <w:shd w:val="clear" w:color="auto" w:fill="FFFFFF"/>
                <w:lang w:eastAsia="zh-CN"/>
              </w:rPr>
              <w:t>泄漏</w:t>
            </w:r>
            <w:r>
              <w:rPr>
                <w:rFonts w:hint="default" w:ascii="Times New Roman" w:hAnsi="Times New Roman" w:eastAsia="宋体" w:cs="Times New Roman"/>
                <w:color w:val="auto"/>
                <w:sz w:val="24"/>
                <w:szCs w:val="24"/>
                <w:highlight w:val="none"/>
                <w:shd w:val="clear" w:color="auto" w:fill="FFFFFF"/>
              </w:rPr>
              <w:t>时，应立即将破损容器移至安全处理区及时处理。液态危险废物发生泄漏，工作人员应立即使用合适方法将其转移至备用储存桶中，并及时用锯末及拖把清理地面液体废物；设置围堰引导</w:t>
            </w:r>
            <w:r>
              <w:rPr>
                <w:rFonts w:hint="default" w:ascii="Times New Roman" w:hAnsi="Times New Roman" w:cs="Times New Roman"/>
                <w:color w:val="auto"/>
                <w:sz w:val="24"/>
                <w:szCs w:val="24"/>
                <w:highlight w:val="none"/>
                <w:shd w:val="clear" w:color="auto" w:fill="FFFFFF"/>
                <w:lang w:eastAsia="zh-CN"/>
              </w:rPr>
              <w:t>泄漏</w:t>
            </w:r>
            <w:r>
              <w:rPr>
                <w:rFonts w:hint="default" w:ascii="Times New Roman" w:hAnsi="Times New Roman" w:eastAsia="宋体" w:cs="Times New Roman"/>
                <w:color w:val="auto"/>
                <w:sz w:val="24"/>
                <w:szCs w:val="24"/>
                <w:highlight w:val="none"/>
                <w:shd w:val="clear" w:color="auto" w:fill="FFFFFF"/>
              </w:rPr>
              <w:t>的危险废物进入事故收集池，方便后期处理。破损容器及废抹布、拖把等作为危险废物收集，定期交由有资质的危废处置公司</w:t>
            </w:r>
            <w:r>
              <w:rPr>
                <w:rFonts w:hint="default" w:ascii="Times New Roman" w:hAnsi="Times New Roman" w:cs="Times New Roman"/>
                <w:color w:val="auto"/>
                <w:sz w:val="24"/>
                <w:szCs w:val="24"/>
                <w:highlight w:val="none"/>
                <w:shd w:val="clear" w:color="auto" w:fill="FFFFFF"/>
                <w:lang w:eastAsia="zh-CN"/>
              </w:rPr>
              <w:t>进</w:t>
            </w:r>
            <w:r>
              <w:rPr>
                <w:rFonts w:hint="default" w:ascii="Times New Roman" w:hAnsi="Times New Roman" w:eastAsia="宋体" w:cs="Times New Roman"/>
                <w:color w:val="auto"/>
                <w:sz w:val="24"/>
                <w:szCs w:val="24"/>
                <w:highlight w:val="none"/>
                <w:shd w:val="clear" w:color="auto" w:fill="FFFFFF"/>
              </w:rPr>
              <w:t>行处理。</w:t>
            </w:r>
          </w:p>
          <w:p w14:paraId="1D2B7D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（4）装车、外部运输至下游危废接收单位</w:t>
            </w:r>
          </w:p>
          <w:p w14:paraId="17B822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当暂存区内的危险废物贮存量达到单次转运量时，本项目将委托有资质的运输公司（</w:t>
            </w:r>
            <w:r>
              <w:rPr>
                <w:rFonts w:hint="default" w:ascii="Times New Roman" w:hAnsi="Times New Roman" w:cs="Times New Roman"/>
                <w:color w:val="auto"/>
                <w:sz w:val="24"/>
                <w:szCs w:val="24"/>
                <w:highlight w:val="none"/>
                <w:shd w:val="clear" w:color="auto" w:fill="FFFFFF"/>
                <w:lang w:eastAsia="zh-CN"/>
              </w:rPr>
              <w:t>企业原有项目运输公司分别为：宝鸡达远危货运输有限公司、铜川恒旭汽车运输服务有限公司、渭南方舟物流有限公司、宝鸡市吉隆特种货物运输服务有限公司</w:t>
            </w:r>
            <w:r>
              <w:rPr>
                <w:rFonts w:hint="default" w:ascii="Times New Roman" w:hAnsi="Times New Roman" w:eastAsia="宋体" w:cs="Times New Roman"/>
                <w:color w:val="auto"/>
                <w:sz w:val="24"/>
                <w:szCs w:val="24"/>
                <w:highlight w:val="none"/>
                <w:shd w:val="clear" w:color="auto" w:fill="FFFFFF"/>
              </w:rPr>
              <w:t>）</w:t>
            </w:r>
            <w:r>
              <w:rPr>
                <w:rFonts w:hint="default" w:ascii="Times New Roman" w:hAnsi="Times New Roman" w:cs="Times New Roman"/>
                <w:color w:val="auto"/>
                <w:sz w:val="24"/>
                <w:szCs w:val="24"/>
                <w:highlight w:val="none"/>
                <w:shd w:val="clear" w:color="auto" w:fill="FFFFFF"/>
                <w:lang w:eastAsia="zh-CN"/>
              </w:rPr>
              <w:t>已经</w:t>
            </w:r>
            <w:r>
              <w:rPr>
                <w:rFonts w:hint="default" w:ascii="Times New Roman" w:hAnsi="Times New Roman" w:eastAsia="宋体" w:cs="Times New Roman"/>
                <w:color w:val="auto"/>
                <w:sz w:val="24"/>
                <w:szCs w:val="24"/>
                <w:highlight w:val="none"/>
                <w:shd w:val="clear" w:color="auto" w:fill="FFFFFF"/>
              </w:rPr>
              <w:t>审批的固定路线将危险废物转运至下游处置单位（</w:t>
            </w:r>
            <w:r>
              <w:rPr>
                <w:rFonts w:hint="default" w:ascii="Times New Roman" w:hAnsi="Times New Roman" w:eastAsia="宋体" w:cs="Times New Roman"/>
                <w:color w:val="auto"/>
                <w:sz w:val="24"/>
                <w:szCs w:val="24"/>
                <w:highlight w:val="none"/>
                <w:shd w:val="clear" w:color="auto" w:fill="FFFFFF"/>
                <w:lang w:eastAsia="zh-CN"/>
              </w:rPr>
              <w:t>陕西省渭南德昌环保科技有限公司、金隅冀东凤翔环保科技有限公司、千阳海创环保科技有限责任公司</w:t>
            </w:r>
            <w:r>
              <w:rPr>
                <w:rFonts w:hint="default" w:ascii="Times New Roman" w:hAnsi="Times New Roman" w:eastAsia="宋体" w:cs="Times New Roman"/>
                <w:color w:val="auto"/>
                <w:sz w:val="24"/>
                <w:szCs w:val="24"/>
                <w:highlight w:val="none"/>
                <w:shd w:val="clear" w:color="auto" w:fill="FFFFFF"/>
              </w:rPr>
              <w:t>）。外部运输前危险废物下游处置单位应在当地生态环境主管部门办理危险废物转移手续，待批准后方可转移。</w:t>
            </w:r>
          </w:p>
          <w:p w14:paraId="7D39E35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本项目不涉及容器、运输车辆清洗，容器及运输车辆的清洗由有资质的处置单位和运输单位负责。</w:t>
            </w:r>
          </w:p>
          <w:p w14:paraId="2986F002">
            <w:pPr>
              <w:keepNext/>
              <w:keepLines/>
              <w:widowControl/>
              <w:numPr>
                <w:ilvl w:val="0"/>
                <w:numId w:val="0"/>
              </w:numPr>
              <w:adjustRightInd w:val="0"/>
              <w:snapToGrid w:val="0"/>
              <w:spacing w:line="360" w:lineRule="auto"/>
              <w:ind w:leftChars="200"/>
              <w:jc w:val="left"/>
              <w:outlineLvl w:val="0"/>
              <w:rPr>
                <w:rFonts w:hint="default" w:ascii="Times New Roman" w:hAnsi="Times New Roman" w:eastAsia="黑体" w:cs="Times New Roman"/>
                <w:bCs/>
                <w:color w:val="auto"/>
                <w:kern w:val="44"/>
                <w:sz w:val="24"/>
                <w:szCs w:val="24"/>
                <w:highlight w:val="none"/>
              </w:rPr>
            </w:pPr>
            <w:bookmarkStart w:id="29" w:name="_Toc11440"/>
            <w:bookmarkStart w:id="30" w:name="_Toc27101"/>
            <w:bookmarkStart w:id="31" w:name="_Toc9451"/>
            <w:bookmarkStart w:id="32" w:name="_Toc4234"/>
            <w:r>
              <w:rPr>
                <w:rFonts w:hint="default" w:ascii="Times New Roman" w:hAnsi="Times New Roman" w:cs="Times New Roman"/>
                <w:b/>
                <w:bCs/>
                <w:color w:val="auto"/>
                <w:sz w:val="24"/>
                <w:szCs w:val="24"/>
                <w:highlight w:val="none"/>
              </w:rPr>
              <w:t>3、产污环节：</w:t>
            </w:r>
            <w:bookmarkEnd w:id="29"/>
            <w:bookmarkEnd w:id="30"/>
            <w:bookmarkEnd w:id="31"/>
            <w:bookmarkEnd w:id="32"/>
          </w:p>
          <w:p w14:paraId="674A11A5">
            <w:pPr>
              <w:spacing w:line="360" w:lineRule="auto"/>
              <w:ind w:firstLine="480" w:firstLineChars="200"/>
              <w:jc w:val="left"/>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本项目运营期的产污环节及污染因子详见下表。</w:t>
            </w:r>
          </w:p>
          <w:p w14:paraId="6C1463F9">
            <w:pPr>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表2-7运营期产污环节及污染因子</w:t>
            </w:r>
          </w:p>
          <w:tbl>
            <w:tblPr>
              <w:tblStyle w:val="189"/>
              <w:tblW w:w="80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9"/>
              <w:gridCol w:w="2496"/>
              <w:gridCol w:w="4090"/>
            </w:tblGrid>
            <w:tr w14:paraId="1058B8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439" w:type="dxa"/>
                  <w:tcBorders>
                    <w:tl2br w:val="nil"/>
                    <w:tr2bl w:val="nil"/>
                  </w:tcBorders>
                  <w:vAlign w:val="center"/>
                </w:tcPr>
                <w:p w14:paraId="462E8B0C">
                  <w:pPr>
                    <w:widowControl/>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类别</w:t>
                  </w:r>
                </w:p>
              </w:tc>
              <w:tc>
                <w:tcPr>
                  <w:tcW w:w="2496" w:type="dxa"/>
                  <w:tcBorders>
                    <w:tl2br w:val="nil"/>
                    <w:tr2bl w:val="nil"/>
                  </w:tcBorders>
                  <w:vAlign w:val="center"/>
                </w:tcPr>
                <w:p w14:paraId="48697EB8">
                  <w:pPr>
                    <w:widowControl/>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污染源/工序</w:t>
                  </w:r>
                </w:p>
              </w:tc>
              <w:tc>
                <w:tcPr>
                  <w:tcW w:w="4090" w:type="dxa"/>
                  <w:tcBorders>
                    <w:tl2br w:val="nil"/>
                    <w:tr2bl w:val="nil"/>
                  </w:tcBorders>
                  <w:vAlign w:val="center"/>
                </w:tcPr>
                <w:p w14:paraId="731A825F">
                  <w:pPr>
                    <w:pStyle w:val="195"/>
                    <w:spacing w:before="36" w:line="213" w:lineRule="auto"/>
                    <w:ind w:left="1421"/>
                    <w:jc w:val="both"/>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8"/>
                      <w:sz w:val="21"/>
                      <w:szCs w:val="21"/>
                      <w:highlight w:val="none"/>
                    </w:rPr>
                    <w:t>污染因子</w:t>
                  </w:r>
                </w:p>
              </w:tc>
            </w:tr>
            <w:tr w14:paraId="31EE7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39" w:type="dxa"/>
                  <w:tcBorders>
                    <w:tl2br w:val="nil"/>
                    <w:tr2bl w:val="nil"/>
                  </w:tcBorders>
                  <w:vAlign w:val="center"/>
                </w:tcPr>
                <w:p w14:paraId="1F4EFE10">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2496" w:type="dxa"/>
                  <w:tcBorders>
                    <w:tl2br w:val="nil"/>
                    <w:tr2bl w:val="nil"/>
                  </w:tcBorders>
                  <w:vAlign w:val="center"/>
                </w:tcPr>
                <w:p w14:paraId="245E4E4D">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装卸、暂存和清理仓库过程</w:t>
                  </w:r>
                </w:p>
              </w:tc>
              <w:tc>
                <w:tcPr>
                  <w:tcW w:w="4090" w:type="dxa"/>
                  <w:tcBorders>
                    <w:tl2br w:val="nil"/>
                    <w:tr2bl w:val="nil"/>
                  </w:tcBorders>
                  <w:vAlign w:val="center"/>
                </w:tcPr>
                <w:p w14:paraId="0D738A55">
                  <w:pPr>
                    <w:pStyle w:val="195"/>
                    <w:spacing w:before="61" w:line="228" w:lineRule="auto"/>
                    <w:ind w:left="1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废拖把、抹布、含油锯末和废活性炭</w:t>
                  </w:r>
                </w:p>
              </w:tc>
            </w:tr>
            <w:tr w14:paraId="10E224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39" w:type="dxa"/>
                  <w:vMerge w:val="restart"/>
                  <w:tcBorders>
                    <w:tl2br w:val="nil"/>
                    <w:tr2bl w:val="nil"/>
                  </w:tcBorders>
                  <w:vAlign w:val="center"/>
                </w:tcPr>
                <w:p w14:paraId="3523A94E">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2496" w:type="dxa"/>
                  <w:vMerge w:val="restart"/>
                  <w:tcBorders>
                    <w:tl2br w:val="nil"/>
                    <w:tr2bl w:val="nil"/>
                  </w:tcBorders>
                  <w:vAlign w:val="center"/>
                </w:tcPr>
                <w:p w14:paraId="302522F1">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贮存过程</w:t>
                  </w:r>
                </w:p>
              </w:tc>
              <w:tc>
                <w:tcPr>
                  <w:tcW w:w="4090" w:type="dxa"/>
                  <w:tcBorders>
                    <w:tl2br w:val="nil"/>
                    <w:tr2bl w:val="nil"/>
                  </w:tcBorders>
                  <w:vAlign w:val="center"/>
                </w:tcPr>
                <w:p w14:paraId="57B597C3">
                  <w:pPr>
                    <w:pStyle w:val="195"/>
                    <w:spacing w:before="65" w:line="229"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7"/>
                      <w:sz w:val="21"/>
                      <w:szCs w:val="21"/>
                      <w:highlight w:val="none"/>
                      <w:lang w:eastAsia="zh-CN"/>
                    </w:rPr>
                    <w:t>以</w:t>
                  </w:r>
                  <w:r>
                    <w:rPr>
                      <w:rFonts w:hint="default" w:ascii="Times New Roman" w:hAnsi="Times New Roman" w:cs="Times New Roman"/>
                      <w:color w:val="auto"/>
                      <w:spacing w:val="7"/>
                      <w:sz w:val="21"/>
                      <w:szCs w:val="21"/>
                      <w:highlight w:val="none"/>
                    </w:rPr>
                    <w:t>非甲烷总烃</w:t>
                  </w:r>
                  <w:r>
                    <w:rPr>
                      <w:rFonts w:hint="eastAsia" w:ascii="Times New Roman" w:hAnsi="Times New Roman" w:cs="Times New Roman"/>
                      <w:color w:val="auto"/>
                      <w:spacing w:val="7"/>
                      <w:sz w:val="21"/>
                      <w:szCs w:val="21"/>
                      <w:highlight w:val="none"/>
                      <w:lang w:eastAsia="zh-CN"/>
                    </w:rPr>
                    <w:t>计</w:t>
                  </w:r>
                </w:p>
              </w:tc>
            </w:tr>
            <w:tr w14:paraId="51899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1439" w:type="dxa"/>
                  <w:vMerge w:val="continue"/>
                  <w:tcBorders>
                    <w:tl2br w:val="nil"/>
                    <w:tr2bl w:val="nil"/>
                  </w:tcBorders>
                  <w:vAlign w:val="center"/>
                </w:tcPr>
                <w:p w14:paraId="33874442">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2496" w:type="dxa"/>
                  <w:vMerge w:val="continue"/>
                  <w:tcBorders>
                    <w:tl2br w:val="nil"/>
                    <w:tr2bl w:val="nil"/>
                  </w:tcBorders>
                  <w:vAlign w:val="center"/>
                </w:tcPr>
                <w:p w14:paraId="4361C1F2">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4090" w:type="dxa"/>
                  <w:tcBorders>
                    <w:tl2br w:val="nil"/>
                    <w:tr2bl w:val="nil"/>
                  </w:tcBorders>
                  <w:vAlign w:val="center"/>
                </w:tcPr>
                <w:p w14:paraId="0C0F6EA5">
                  <w:pPr>
                    <w:pStyle w:val="195"/>
                    <w:spacing w:before="65" w:line="229" w:lineRule="auto"/>
                    <w:jc w:val="center"/>
                    <w:rPr>
                      <w:rFonts w:hint="default" w:ascii="Times New Roman" w:hAnsi="Times New Roman" w:eastAsia="宋体" w:cs="Times New Roman"/>
                      <w:color w:val="auto"/>
                      <w:spacing w:val="7"/>
                      <w:sz w:val="21"/>
                      <w:szCs w:val="21"/>
                      <w:highlight w:val="none"/>
                      <w:lang w:eastAsia="zh-CN"/>
                    </w:rPr>
                  </w:pPr>
                  <w:r>
                    <w:rPr>
                      <w:rFonts w:hint="default" w:ascii="Times New Roman" w:hAnsi="Times New Roman" w:cs="Times New Roman"/>
                      <w:color w:val="auto"/>
                      <w:spacing w:val="7"/>
                      <w:sz w:val="21"/>
                      <w:szCs w:val="21"/>
                      <w:highlight w:val="none"/>
                      <w:lang w:eastAsia="zh-CN"/>
                    </w:rPr>
                    <w:t>酸性废气</w:t>
                  </w:r>
                </w:p>
              </w:tc>
            </w:tr>
            <w:tr w14:paraId="1972F7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1439" w:type="dxa"/>
                  <w:vMerge w:val="continue"/>
                  <w:tcBorders>
                    <w:tl2br w:val="nil"/>
                    <w:tr2bl w:val="nil"/>
                  </w:tcBorders>
                  <w:vAlign w:val="center"/>
                </w:tcPr>
                <w:p w14:paraId="37375B73">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2496" w:type="dxa"/>
                  <w:vMerge w:val="continue"/>
                  <w:tcBorders>
                    <w:tl2br w:val="nil"/>
                    <w:tr2bl w:val="nil"/>
                  </w:tcBorders>
                  <w:vAlign w:val="center"/>
                </w:tcPr>
                <w:p w14:paraId="42B2CC77">
                  <w:pPr>
                    <w:widowControl/>
                    <w:spacing w:line="240" w:lineRule="auto"/>
                    <w:jc w:val="center"/>
                    <w:textAlignment w:val="center"/>
                    <w:rPr>
                      <w:rFonts w:hint="default" w:ascii="Times New Roman" w:hAnsi="Times New Roman" w:eastAsia="宋体" w:cs="Times New Roman"/>
                      <w:color w:val="auto"/>
                      <w:sz w:val="21"/>
                      <w:szCs w:val="21"/>
                      <w:highlight w:val="none"/>
                      <w:lang w:eastAsia="zh-CN"/>
                    </w:rPr>
                  </w:pPr>
                </w:p>
              </w:tc>
              <w:tc>
                <w:tcPr>
                  <w:tcW w:w="4090" w:type="dxa"/>
                  <w:tcBorders>
                    <w:tl2br w:val="nil"/>
                    <w:tr2bl w:val="nil"/>
                  </w:tcBorders>
                  <w:vAlign w:val="center"/>
                </w:tcPr>
                <w:p w14:paraId="432FE899">
                  <w:pPr>
                    <w:pStyle w:val="195"/>
                    <w:spacing w:before="65" w:line="229" w:lineRule="auto"/>
                    <w:jc w:val="center"/>
                    <w:rPr>
                      <w:rFonts w:hint="default" w:ascii="Times New Roman" w:hAnsi="Times New Roman" w:cs="Times New Roman"/>
                      <w:color w:val="auto"/>
                      <w:spacing w:val="7"/>
                      <w:sz w:val="21"/>
                      <w:szCs w:val="21"/>
                      <w:highlight w:val="none"/>
                      <w:lang w:eastAsia="zh-CN"/>
                    </w:rPr>
                  </w:pPr>
                  <w:r>
                    <w:rPr>
                      <w:rFonts w:hint="eastAsia" w:ascii="Times New Roman" w:hAnsi="Times New Roman" w:cs="Times New Roman"/>
                      <w:color w:val="auto"/>
                      <w:spacing w:val="7"/>
                      <w:sz w:val="21"/>
                      <w:szCs w:val="21"/>
                      <w:highlight w:val="none"/>
                      <w:lang w:eastAsia="zh-CN"/>
                    </w:rPr>
                    <w:t>异味（恶臭）</w:t>
                  </w:r>
                </w:p>
              </w:tc>
            </w:tr>
          </w:tbl>
          <w:p w14:paraId="3F60B2CD">
            <w:pPr>
              <w:adjustRightInd w:val="0"/>
              <w:snapToGrid w:val="0"/>
              <w:rPr>
                <w:rFonts w:hint="default" w:ascii="Times New Roman" w:hAnsi="Times New Roman" w:cs="Times New Roman"/>
                <w:bCs/>
                <w:color w:val="auto"/>
                <w:highlight w:val="none"/>
              </w:rPr>
            </w:pPr>
          </w:p>
        </w:tc>
      </w:tr>
      <w:tr w14:paraId="7031A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pct"/>
            <w:vAlign w:val="center"/>
          </w:tcPr>
          <w:p w14:paraId="2DF6E15A">
            <w:pPr>
              <w:pStyle w:val="3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4477" w:type="pct"/>
            <w:vAlign w:val="center"/>
          </w:tcPr>
          <w:p w14:paraId="472C19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陕西宝鸡恒兴石化科技有限公司位于宝鸡市凤翔高新区长青工业园原厂区内，中心点地理坐标为东经107°16'3.22"，北纬34°28'0.53"，厂区总占地面积23333.3m2（35亩）。</w:t>
            </w:r>
          </w:p>
          <w:p w14:paraId="60911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1、现有工程环保手续履行情况</w:t>
            </w:r>
          </w:p>
          <w:p w14:paraId="49D52EFC">
            <w:pPr>
              <w:numPr>
                <w:ilvl w:val="0"/>
                <w:numId w:val="12"/>
              </w:num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环境影响评价</w:t>
            </w:r>
          </w:p>
          <w:p w14:paraId="3E4F71CF">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2018年陕西宝鸡恒兴石化科技有限公司发生经营转让，企业决定对原有项目实施技术改造，建设“年产10万吨SBS（R）改性沥青生产线技术改造项目”。同年，委托重庆大润环境科学研究院有限公司编制完成了《年产10万吨SBS（R）改性沥青生产线技术改造项目》，于2019年3月27日取得了宝鸡市环境保护局凤翔分局《关于年产10万吨SBS（R）改性沥青生产线技术改造项目环境影响报告书的批复》（凤环函〔2019〕44号）。</w:t>
            </w:r>
          </w:p>
          <w:p w14:paraId="1E85F68E">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2022年1月陕西宝鸡恒兴石化科技有限公司委托陕西企科环境技术有限公司编制了《4万吨/年有机溶剂等废物资源化综合利用项目环境影响报告书》。</w:t>
            </w:r>
          </w:p>
          <w:p w14:paraId="3BEEEC34">
            <w:pPr>
              <w:numPr>
                <w:ilvl w:val="0"/>
                <w:numId w:val="12"/>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竣工环境保护验收</w:t>
            </w:r>
          </w:p>
          <w:p w14:paraId="1A86CB59">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现有项目2021年11月25日，陕西宝鸡恒兴石化科技有限公司组织召开了年产10万吨SBS（R）改性沥青生产线技术改造项目竣工环保验收会，完成环境保护竣工验收工作；4万吨/年有机溶剂等废物资源化综合利用项目</w:t>
            </w:r>
            <w:r>
              <w:rPr>
                <w:rFonts w:hint="eastAsia" w:cs="Times New Roman"/>
                <w:color w:val="auto"/>
                <w:sz w:val="24"/>
                <w:szCs w:val="24"/>
                <w:highlight w:val="none"/>
                <w:lang w:val="en-US" w:eastAsia="zh-CN"/>
              </w:rPr>
              <w:t>，于2025年7月</w:t>
            </w:r>
            <w:r>
              <w:rPr>
                <w:rFonts w:hint="default" w:ascii="Times New Roman" w:hAnsi="Times New Roman" w:cs="Times New Roman"/>
                <w:color w:val="auto"/>
                <w:sz w:val="24"/>
                <w:szCs w:val="24"/>
                <w:highlight w:val="none"/>
                <w:lang w:val="en-US" w:eastAsia="zh-CN"/>
              </w:rPr>
              <w:t>完成环境保护竣工验收工作。</w:t>
            </w:r>
          </w:p>
          <w:p w14:paraId="3FE5FCA1">
            <w:pPr>
              <w:numPr>
                <w:ilvl w:val="0"/>
                <w:numId w:val="12"/>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排污许可证申领情况</w:t>
            </w:r>
          </w:p>
          <w:p w14:paraId="4D37A1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年04月</w:t>
            </w:r>
            <w:r>
              <w:rPr>
                <w:rFonts w:hint="eastAsia" w:cs="Times New Roman"/>
                <w:color w:val="auto"/>
                <w:sz w:val="24"/>
                <w:highlight w:val="none"/>
                <w:lang w:val="en-US" w:eastAsia="zh-CN"/>
              </w:rPr>
              <w:t>18</w:t>
            </w:r>
            <w:r>
              <w:rPr>
                <w:rFonts w:hint="default" w:ascii="Times New Roman" w:hAnsi="Times New Roman" w:cs="Times New Roman"/>
                <w:color w:val="auto"/>
                <w:sz w:val="24"/>
                <w:highlight w:val="none"/>
                <w:lang w:val="en-US" w:eastAsia="zh-CN"/>
              </w:rPr>
              <w:t>日，陕西宝鸡恒兴石化科技有限公司取得宝鸡市生态环境局凤翔分局核发的排污许可证，证书编号：916103220712766612001V。</w:t>
            </w:r>
          </w:p>
          <w:p w14:paraId="19140C33">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lang w:val="en-US" w:eastAsia="zh-CN"/>
              </w:rPr>
              <w:t>其他环保手续情况</w:t>
            </w:r>
          </w:p>
          <w:p w14:paraId="4EB03D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20</w:t>
            </w:r>
            <w:r>
              <w:rPr>
                <w:rFonts w:hint="eastAsia" w:cs="Times New Roman"/>
                <w:color w:val="auto"/>
                <w:kern w:val="2"/>
                <w:sz w:val="24"/>
                <w:szCs w:val="24"/>
                <w:highlight w:val="none"/>
                <w:lang w:val="en-US" w:eastAsia="zh-CN" w:bidi="ar-SA"/>
              </w:rPr>
              <w:t>19</w:t>
            </w:r>
            <w:r>
              <w:rPr>
                <w:rFonts w:hint="default" w:ascii="Times New Roman" w:hAnsi="Times New Roman" w:eastAsia="宋体" w:cs="Times New Roman"/>
                <w:color w:val="auto"/>
                <w:kern w:val="2"/>
                <w:sz w:val="24"/>
                <w:szCs w:val="24"/>
                <w:highlight w:val="none"/>
                <w:lang w:val="en-US" w:eastAsia="zh-CN" w:bidi="ar-SA"/>
              </w:rPr>
              <w:t>年8月1日，陕西宝鸡恒兴石化科技有限公司取得宝鸡市生态环境局凤翔分局的突发环境事件应急预案备案表，备案编号：610322-2019-67-M。</w:t>
            </w:r>
            <w:r>
              <w:rPr>
                <w:rFonts w:hint="eastAsia" w:cs="Times New Roman"/>
                <w:color w:val="auto"/>
                <w:sz w:val="24"/>
                <w:szCs w:val="24"/>
                <w:highlight w:val="none"/>
                <w:lang w:val="en-US" w:eastAsia="zh-CN"/>
              </w:rPr>
              <w:t>2022年8月对厂区突发环境事件应急预案进行了修编，并进行了备案</w:t>
            </w:r>
            <w:r>
              <w:rPr>
                <w:rFonts w:hint="default" w:ascii="Times New Roman" w:hAnsi="Times New Roman" w:cs="Times New Roman"/>
                <w:color w:val="auto"/>
                <w:sz w:val="24"/>
                <w:szCs w:val="24"/>
                <w:highlight w:val="none"/>
                <w:lang w:eastAsia="zh-CN"/>
              </w:rPr>
              <w:t>；</w:t>
            </w:r>
          </w:p>
          <w:p w14:paraId="6B4316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2021年7月，陕西宝鸡恒兴石化科技有限公司按要求编制完成《土壤污染隐患排查报告》。</w:t>
            </w:r>
          </w:p>
          <w:p w14:paraId="7FFD7D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2、原有项目建设内容及规模</w:t>
            </w:r>
          </w:p>
          <w:p w14:paraId="6ED302F3">
            <w:pPr>
              <w:bidi w:val="0"/>
              <w:spacing w:line="360" w:lineRule="auto"/>
              <w:ind w:firstLine="480" w:firstLineChars="200"/>
              <w:rPr>
                <w:rFonts w:hint="eastAsia" w:ascii="Times New Roman" w:hAnsi="Times New Roman" w:cs="Times New Roman"/>
                <w:color w:val="auto"/>
                <w:sz w:val="24"/>
                <w:szCs w:val="24"/>
                <w:highlight w:val="none"/>
                <w:lang w:eastAsia="zh-CN"/>
              </w:rPr>
            </w:pPr>
            <w:r>
              <w:rPr>
                <w:rFonts w:hint="default"/>
                <w:color w:val="auto"/>
                <w:sz w:val="24"/>
                <w:szCs w:val="24"/>
                <w:highlight w:val="none"/>
                <w:lang w:val="en-US" w:eastAsia="zh-CN"/>
              </w:rPr>
              <w:t>通过现场勘察，现有项目</w:t>
            </w:r>
            <w:r>
              <w:rPr>
                <w:rFonts w:hint="eastAsia"/>
                <w:color w:val="auto"/>
                <w:sz w:val="24"/>
                <w:szCs w:val="24"/>
                <w:highlight w:val="none"/>
                <w:lang w:val="en-US" w:eastAsia="zh-CN"/>
              </w:rPr>
              <w:t>中</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年产10万吨SBS（R）改性沥青生产线技术改造项目</w:t>
            </w:r>
            <w:r>
              <w:rPr>
                <w:rFonts w:hint="eastAsia" w:ascii="Times New Roman" w:hAnsi="Times New Roman" w:cs="Times New Roman"/>
                <w:color w:val="auto"/>
                <w:sz w:val="24"/>
                <w:szCs w:val="24"/>
                <w:highlight w:val="none"/>
                <w:lang w:eastAsia="zh-CN"/>
              </w:rPr>
              <w:t>》已建成投入运行，《4万吨/年有机溶剂等废物资源化综合利用项目》</w:t>
            </w:r>
            <w:r>
              <w:rPr>
                <w:rFonts w:hint="eastAsia" w:ascii="Times New Roman" w:hAnsi="Times New Roman" w:cs="Times New Roman"/>
                <w:color w:val="auto"/>
                <w:sz w:val="24"/>
                <w:szCs w:val="24"/>
                <w:highlight w:val="none"/>
                <w:lang w:eastAsia="zh-CN"/>
              </w:rPr>
              <w:t>已建成投入运行，原有项目组成详见下表。</w:t>
            </w:r>
          </w:p>
          <w:p w14:paraId="1E596A79">
            <w:pPr>
              <w:widowControl/>
              <w:jc w:val="center"/>
              <w:rPr>
                <w:rFonts w:hint="eastAsia" w:eastAsia="宋体"/>
                <w:b/>
                <w:bCs/>
                <w:color w:val="auto"/>
                <w:sz w:val="24"/>
                <w:highlight w:val="none"/>
                <w:lang w:eastAsia="zh-CN"/>
              </w:rPr>
            </w:pPr>
            <w:r>
              <w:rPr>
                <w:rFonts w:hint="eastAsia"/>
                <w:b/>
                <w:bCs/>
                <w:color w:val="auto"/>
                <w:sz w:val="24"/>
                <w:highlight w:val="none"/>
              </w:rPr>
              <w:t>表2-8   原有项目组成一览表</w:t>
            </w:r>
          </w:p>
          <w:tbl>
            <w:tblPr>
              <w:tblStyle w:val="36"/>
              <w:tblW w:w="8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110"/>
              <w:gridCol w:w="5791"/>
              <w:gridCol w:w="766"/>
            </w:tblGrid>
            <w:tr w14:paraId="761C1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31" w:type="dxa"/>
                  <w:tcBorders>
                    <w:tl2br w:val="nil"/>
                    <w:tr2bl w:val="nil"/>
                  </w:tcBorders>
                  <w:noWrap w:val="0"/>
                  <w:vAlign w:val="center"/>
                </w:tcPr>
                <w:p w14:paraId="6CE1A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类别</w:t>
                  </w:r>
                </w:p>
              </w:tc>
              <w:tc>
                <w:tcPr>
                  <w:tcW w:w="1110" w:type="dxa"/>
                  <w:tcBorders>
                    <w:tl2br w:val="nil"/>
                    <w:tr2bl w:val="nil"/>
                  </w:tcBorders>
                  <w:noWrap w:val="0"/>
                  <w:vAlign w:val="center"/>
                </w:tcPr>
                <w:p w14:paraId="255F3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项目</w:t>
                  </w:r>
                </w:p>
              </w:tc>
              <w:tc>
                <w:tcPr>
                  <w:tcW w:w="5791" w:type="dxa"/>
                  <w:tcBorders>
                    <w:tl2br w:val="nil"/>
                    <w:tr2bl w:val="nil"/>
                  </w:tcBorders>
                  <w:noWrap w:val="0"/>
                  <w:vAlign w:val="center"/>
                </w:tcPr>
                <w:p w14:paraId="7766E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建设内容</w:t>
                  </w:r>
                </w:p>
              </w:tc>
              <w:tc>
                <w:tcPr>
                  <w:tcW w:w="766" w:type="dxa"/>
                  <w:tcBorders>
                    <w:tl2br w:val="nil"/>
                    <w:tr2bl w:val="nil"/>
                  </w:tcBorders>
                  <w:noWrap w:val="0"/>
                  <w:vAlign w:val="center"/>
                </w:tcPr>
                <w:p w14:paraId="15C3F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1"/>
                      <w:szCs w:val="21"/>
                      <w:highlight w:val="none"/>
                      <w:lang w:eastAsia="zh-CN"/>
                    </w:rPr>
                  </w:pPr>
                  <w:r>
                    <w:rPr>
                      <w:rFonts w:hint="eastAsia"/>
                      <w:b/>
                      <w:bCs/>
                      <w:color w:val="auto"/>
                      <w:sz w:val="21"/>
                      <w:szCs w:val="21"/>
                      <w:highlight w:val="none"/>
                      <w:lang w:eastAsia="zh-CN"/>
                    </w:rPr>
                    <w:t>备注</w:t>
                  </w:r>
                </w:p>
              </w:tc>
            </w:tr>
            <w:tr w14:paraId="0F0DB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restart"/>
                  <w:tcBorders>
                    <w:tl2br w:val="nil"/>
                    <w:tr2bl w:val="nil"/>
                  </w:tcBorders>
                  <w:noWrap w:val="0"/>
                  <w:vAlign w:val="center"/>
                </w:tcPr>
                <w:p w14:paraId="1C962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主体工程</w:t>
                  </w:r>
                </w:p>
              </w:tc>
              <w:tc>
                <w:tcPr>
                  <w:tcW w:w="1110" w:type="dxa"/>
                  <w:tcBorders>
                    <w:tl2br w:val="nil"/>
                    <w:tr2bl w:val="nil"/>
                  </w:tcBorders>
                  <w:noWrap w:val="0"/>
                  <w:vAlign w:val="center"/>
                </w:tcPr>
                <w:p w14:paraId="5294D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预处理工段</w:t>
                  </w:r>
                </w:p>
              </w:tc>
              <w:tc>
                <w:tcPr>
                  <w:tcW w:w="5791" w:type="dxa"/>
                  <w:tcBorders>
                    <w:tl2br w:val="nil"/>
                    <w:tr2bl w:val="nil"/>
                  </w:tcBorders>
                  <w:noWrap w:val="0"/>
                  <w:vAlign w:val="center"/>
                </w:tcPr>
                <w:p w14:paraId="043D0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color w:val="auto"/>
                      <w:sz w:val="21"/>
                      <w:szCs w:val="21"/>
                      <w:highlight w:val="none"/>
                    </w:rPr>
                    <w:t>通过</w:t>
                  </w:r>
                  <w:r>
                    <w:rPr>
                      <w:rFonts w:hint="eastAsia"/>
                      <w:color w:val="auto"/>
                      <w:sz w:val="21"/>
                      <w:szCs w:val="21"/>
                      <w:highlight w:val="none"/>
                      <w:lang w:eastAsia="zh-CN"/>
                    </w:rPr>
                    <w:t>“</w:t>
                  </w:r>
                  <w:r>
                    <w:rPr>
                      <w:color w:val="auto"/>
                      <w:sz w:val="21"/>
                      <w:szCs w:val="21"/>
                      <w:highlight w:val="none"/>
                    </w:rPr>
                    <w:t>锥形罐</w:t>
                  </w:r>
                  <w:r>
                    <w:rPr>
                      <w:rFonts w:hint="eastAsia"/>
                      <w:color w:val="auto"/>
                      <w:sz w:val="21"/>
                      <w:szCs w:val="21"/>
                      <w:highlight w:val="none"/>
                      <w:lang w:eastAsia="zh-CN"/>
                    </w:rPr>
                    <w:t>”</w:t>
                  </w:r>
                  <w:r>
                    <w:rPr>
                      <w:color w:val="auto"/>
                      <w:sz w:val="21"/>
                      <w:szCs w:val="21"/>
                      <w:highlight w:val="none"/>
                    </w:rPr>
                    <w:t>，采用物理沉淀法，</w:t>
                  </w:r>
                  <w:r>
                    <w:rPr>
                      <w:rFonts w:hint="eastAsia"/>
                      <w:color w:val="auto"/>
                      <w:sz w:val="21"/>
                      <w:szCs w:val="21"/>
                      <w:highlight w:val="none"/>
                    </w:rPr>
                    <w:t>加入破乳剂</w:t>
                  </w:r>
                  <w:r>
                    <w:rPr>
                      <w:color w:val="auto"/>
                      <w:sz w:val="21"/>
                      <w:szCs w:val="21"/>
                      <w:highlight w:val="none"/>
                    </w:rPr>
                    <w:t>对废矿物油</w:t>
                  </w:r>
                  <w:r>
                    <w:rPr>
                      <w:rFonts w:hint="eastAsia"/>
                      <w:color w:val="auto"/>
                      <w:sz w:val="21"/>
                      <w:szCs w:val="21"/>
                      <w:highlight w:val="none"/>
                      <w:lang w:eastAsia="zh-CN"/>
                    </w:rPr>
                    <w:t>、含油废水</w:t>
                  </w:r>
                  <w:r>
                    <w:rPr>
                      <w:color w:val="auto"/>
                      <w:sz w:val="21"/>
                      <w:szCs w:val="21"/>
                      <w:highlight w:val="none"/>
                    </w:rPr>
                    <w:t>进行脱水脱杂</w:t>
                  </w:r>
                </w:p>
              </w:tc>
              <w:tc>
                <w:tcPr>
                  <w:tcW w:w="766" w:type="dxa"/>
                  <w:vMerge w:val="restart"/>
                  <w:tcBorders>
                    <w:tl2br w:val="nil"/>
                    <w:tr2bl w:val="nil"/>
                  </w:tcBorders>
                  <w:noWrap w:val="0"/>
                  <w:vAlign w:val="center"/>
                </w:tcPr>
                <w:p w14:paraId="7C652B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已投产</w:t>
                  </w:r>
                </w:p>
              </w:tc>
            </w:tr>
            <w:tr w14:paraId="675C1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69B20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C6CF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常减压蒸馏工段</w:t>
                  </w:r>
                </w:p>
              </w:tc>
              <w:tc>
                <w:tcPr>
                  <w:tcW w:w="5791" w:type="dxa"/>
                  <w:tcBorders>
                    <w:tl2br w:val="nil"/>
                    <w:tr2bl w:val="nil"/>
                  </w:tcBorders>
                  <w:noWrap w:val="0"/>
                  <w:vAlign w:val="center"/>
                </w:tcPr>
                <w:p w14:paraId="3EB7C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对预处理后的废矿物油进行常、减压蒸馏，蒸馏出废矿物油中的燃料油分</w:t>
                  </w:r>
                </w:p>
              </w:tc>
              <w:tc>
                <w:tcPr>
                  <w:tcW w:w="766" w:type="dxa"/>
                  <w:vMerge w:val="continue"/>
                  <w:tcBorders>
                    <w:tl2br w:val="nil"/>
                    <w:tr2bl w:val="nil"/>
                  </w:tcBorders>
                  <w:noWrap w:val="0"/>
                  <w:vAlign w:val="center"/>
                </w:tcPr>
                <w:p w14:paraId="38A25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09906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4C5D5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63772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油泥处理工段</w:t>
                  </w:r>
                </w:p>
              </w:tc>
              <w:tc>
                <w:tcPr>
                  <w:tcW w:w="5791" w:type="dxa"/>
                  <w:tcBorders>
                    <w:tl2br w:val="nil"/>
                    <w:tr2bl w:val="nil"/>
                  </w:tcBorders>
                  <w:noWrap w:val="0"/>
                  <w:vAlign w:val="center"/>
                </w:tcPr>
                <w:p w14:paraId="5C991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对废矿物油处理工段产生的油泥或油泥原料进行剪切、洗涤、油水分离、油泥分离</w:t>
                  </w:r>
                </w:p>
              </w:tc>
              <w:tc>
                <w:tcPr>
                  <w:tcW w:w="766" w:type="dxa"/>
                  <w:vMerge w:val="continue"/>
                  <w:tcBorders>
                    <w:tl2br w:val="nil"/>
                    <w:tr2bl w:val="nil"/>
                  </w:tcBorders>
                  <w:noWrap w:val="0"/>
                  <w:vAlign w:val="center"/>
                </w:tcPr>
                <w:p w14:paraId="081DC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1BE1F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016DD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25337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eastAsia="zh-CN"/>
                    </w:rPr>
                    <w:t>油桶处理工段</w:t>
                  </w:r>
                </w:p>
              </w:tc>
              <w:tc>
                <w:tcPr>
                  <w:tcW w:w="5791" w:type="dxa"/>
                  <w:tcBorders>
                    <w:tl2br w:val="nil"/>
                    <w:tr2bl w:val="nil"/>
                  </w:tcBorders>
                  <w:noWrap w:val="0"/>
                  <w:vAlign w:val="center"/>
                </w:tcPr>
                <w:p w14:paraId="4D1E7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eastAsia="zh-CN"/>
                    </w:rPr>
                    <w:t>对废矿物油的收集、运输、储存过程中产生的废油桶，经</w:t>
                  </w:r>
                  <w:r>
                    <w:rPr>
                      <w:rFonts w:hint="eastAsia" w:ascii="宋体" w:hAnsi="宋体" w:eastAsia="宋体" w:cs="宋体"/>
                      <w:color w:val="auto"/>
                      <w:spacing w:val="8"/>
                      <w:w w:val="103"/>
                      <w:sz w:val="21"/>
                      <w:szCs w:val="21"/>
                      <w:highlight w:val="none"/>
                    </w:rPr>
                    <w:t>“</w:t>
                  </w:r>
                  <w:r>
                    <w:rPr>
                      <w:rFonts w:hint="eastAsia"/>
                      <w:bCs/>
                      <w:color w:val="auto"/>
                      <w:sz w:val="21"/>
                      <w:szCs w:val="21"/>
                      <w:highlight w:val="none"/>
                      <w:lang w:eastAsia="zh-CN"/>
                    </w:rPr>
                    <w:t>移动式水射流清洗装置”进行处理</w:t>
                  </w:r>
                </w:p>
              </w:tc>
              <w:tc>
                <w:tcPr>
                  <w:tcW w:w="766" w:type="dxa"/>
                  <w:vMerge w:val="continue"/>
                  <w:tcBorders>
                    <w:tl2br w:val="nil"/>
                    <w:tr2bl w:val="nil"/>
                  </w:tcBorders>
                  <w:noWrap w:val="0"/>
                  <w:vAlign w:val="center"/>
                </w:tcPr>
                <w:p w14:paraId="6AAD5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34A54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7F118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7C5A7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rPr>
                    <w:t>废有机溶剂</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精馏废液</w:t>
                  </w:r>
                  <w:r>
                    <w:rPr>
                      <w:rFonts w:hint="eastAsia" w:ascii="Times New Roman" w:hAnsi="Times New Roman" w:eastAsia="宋体" w:cs="Times New Roman"/>
                      <w:bCs/>
                      <w:color w:val="auto"/>
                      <w:sz w:val="21"/>
                      <w:szCs w:val="21"/>
                      <w:highlight w:val="none"/>
                    </w:rPr>
                    <w:t>回收装置</w:t>
                  </w:r>
                </w:p>
              </w:tc>
              <w:tc>
                <w:tcPr>
                  <w:tcW w:w="5791" w:type="dxa"/>
                  <w:tcBorders>
                    <w:tl2br w:val="nil"/>
                    <w:tr2bl w:val="nil"/>
                  </w:tcBorders>
                  <w:noWrap w:val="0"/>
                  <w:vAlign w:val="center"/>
                </w:tcPr>
                <w:p w14:paraId="7E6FE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rPr>
                    <w:t>按回收流程布置有</w:t>
                  </w:r>
                  <w:r>
                    <w:rPr>
                      <w:rFonts w:hint="eastAsia" w:ascii="Times New Roman" w:hAnsi="Times New Roman" w:eastAsia="宋体" w:cs="Times New Roman"/>
                      <w:bCs/>
                      <w:color w:val="auto"/>
                      <w:sz w:val="21"/>
                      <w:szCs w:val="21"/>
                      <w:highlight w:val="none"/>
                      <w:lang w:eastAsia="zh-CN"/>
                    </w:rPr>
                    <w:t>一</w:t>
                  </w:r>
                  <w:r>
                    <w:rPr>
                      <w:rFonts w:hint="eastAsia" w:ascii="Times New Roman" w:hAnsi="Times New Roman" w:eastAsia="宋体" w:cs="Times New Roman"/>
                      <w:bCs/>
                      <w:color w:val="auto"/>
                      <w:sz w:val="21"/>
                      <w:szCs w:val="21"/>
                      <w:highlight w:val="none"/>
                    </w:rPr>
                    <w:t>条生产线，包括废</w:t>
                  </w:r>
                  <w:r>
                    <w:rPr>
                      <w:rFonts w:hint="eastAsia" w:ascii="Times New Roman" w:hAnsi="Times New Roman" w:eastAsia="宋体" w:cs="Times New Roman"/>
                      <w:bCs/>
                      <w:color w:val="auto"/>
                      <w:sz w:val="21"/>
                      <w:szCs w:val="21"/>
                      <w:highlight w:val="none"/>
                      <w:lang w:val="en-US" w:eastAsia="zh-CN"/>
                    </w:rPr>
                    <w:t>有机溶剂</w:t>
                  </w:r>
                  <w:r>
                    <w:rPr>
                      <w:rFonts w:hint="eastAsia" w:ascii="Times New Roman" w:hAnsi="Times New Roman" w:eastAsia="宋体" w:cs="Times New Roman"/>
                      <w:bCs/>
                      <w:color w:val="auto"/>
                      <w:sz w:val="21"/>
                      <w:szCs w:val="21"/>
                      <w:highlight w:val="none"/>
                    </w:rPr>
                    <w:t>和</w:t>
                  </w:r>
                  <w:r>
                    <w:rPr>
                      <w:rFonts w:hint="eastAsia" w:ascii="Times New Roman" w:hAnsi="Times New Roman" w:eastAsia="宋体" w:cs="Times New Roman"/>
                      <w:bCs/>
                      <w:color w:val="auto"/>
                      <w:sz w:val="21"/>
                      <w:szCs w:val="21"/>
                      <w:highlight w:val="none"/>
                      <w:lang w:val="en-US" w:eastAsia="zh-CN"/>
                    </w:rPr>
                    <w:t>精馏废液</w:t>
                  </w:r>
                  <w:r>
                    <w:rPr>
                      <w:rFonts w:hint="eastAsia" w:ascii="Times New Roman" w:hAnsi="Times New Roman" w:eastAsia="宋体" w:cs="Times New Roman"/>
                      <w:bCs/>
                      <w:color w:val="auto"/>
                      <w:sz w:val="21"/>
                      <w:szCs w:val="21"/>
                      <w:highlight w:val="none"/>
                    </w:rPr>
                    <w:t>生产线，主要设置精馏塔、精馏釜、冷凝器等。</w:t>
                  </w:r>
                </w:p>
              </w:tc>
              <w:tc>
                <w:tcPr>
                  <w:tcW w:w="766" w:type="dxa"/>
                  <w:vMerge w:val="restart"/>
                  <w:tcBorders>
                    <w:tl2br w:val="nil"/>
                    <w:tr2bl w:val="nil"/>
                  </w:tcBorders>
                  <w:noWrap w:val="0"/>
                  <w:vAlign w:val="center"/>
                </w:tcPr>
                <w:p w14:paraId="056D4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r>
                    <w:rPr>
                      <w:rFonts w:hint="eastAsia"/>
                      <w:color w:val="auto"/>
                      <w:sz w:val="21"/>
                      <w:szCs w:val="21"/>
                      <w:highlight w:val="none"/>
                      <w:lang w:eastAsia="zh-CN"/>
                    </w:rPr>
                    <w:t>已投产</w:t>
                  </w:r>
                </w:p>
              </w:tc>
            </w:tr>
            <w:tr w14:paraId="17FC0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0F6B9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406BE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废酸废碱回收处置车间</w:t>
                  </w:r>
                </w:p>
              </w:tc>
              <w:tc>
                <w:tcPr>
                  <w:tcW w:w="5791" w:type="dxa"/>
                  <w:tcBorders>
                    <w:tl2br w:val="nil"/>
                    <w:tr2bl w:val="nil"/>
                  </w:tcBorders>
                  <w:noWrap w:val="0"/>
                  <w:vAlign w:val="center"/>
                </w:tcPr>
                <w:p w14:paraId="16B20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新建</w:t>
                  </w:r>
                  <w:r>
                    <w:rPr>
                      <w:rFonts w:hint="eastAsia" w:ascii="Times New Roman" w:hAnsi="Times New Roman" w:eastAsia="宋体" w:cs="Times New Roman"/>
                      <w:bCs/>
                      <w:color w:val="auto"/>
                      <w:sz w:val="21"/>
                      <w:szCs w:val="21"/>
                      <w:highlight w:val="none"/>
                    </w:rPr>
                    <w:t>厂房，建筑面积</w:t>
                  </w:r>
                  <w:r>
                    <w:rPr>
                      <w:rFonts w:hint="eastAsia" w:ascii="Times New Roman" w:hAnsi="Times New Roman" w:eastAsia="宋体" w:cs="Times New Roman"/>
                      <w:bCs/>
                      <w:color w:val="auto"/>
                      <w:sz w:val="21"/>
                      <w:szCs w:val="21"/>
                      <w:highlight w:val="none"/>
                      <w:lang w:val="en-US" w:eastAsia="zh-CN"/>
                    </w:rPr>
                    <w:t>200</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vertAlign w:val="superscript"/>
                    </w:rPr>
                    <w:t>2</w:t>
                  </w:r>
                  <w:r>
                    <w:rPr>
                      <w:rFonts w:hint="eastAsia" w:ascii="Times New Roman" w:hAnsi="Times New Roman" w:eastAsia="宋体" w:cs="Times New Roman"/>
                      <w:bCs/>
                      <w:color w:val="auto"/>
                      <w:sz w:val="21"/>
                      <w:szCs w:val="21"/>
                      <w:highlight w:val="none"/>
                    </w:rPr>
                    <w:t>；车间内按回收流程布置有</w:t>
                  </w:r>
                  <w:r>
                    <w:rPr>
                      <w:rFonts w:hint="eastAsia" w:ascii="Times New Roman" w:hAnsi="Times New Roman" w:eastAsia="宋体" w:cs="Times New Roman"/>
                      <w:bCs/>
                      <w:color w:val="auto"/>
                      <w:sz w:val="21"/>
                      <w:szCs w:val="21"/>
                      <w:highlight w:val="none"/>
                      <w:lang w:val="en-US" w:eastAsia="zh-CN"/>
                    </w:rPr>
                    <w:t>3</w:t>
                  </w:r>
                  <w:r>
                    <w:rPr>
                      <w:rFonts w:hint="eastAsia" w:ascii="Times New Roman" w:hAnsi="Times New Roman" w:eastAsia="宋体" w:cs="Times New Roman"/>
                      <w:bCs/>
                      <w:color w:val="auto"/>
                      <w:sz w:val="21"/>
                      <w:szCs w:val="21"/>
                      <w:highlight w:val="none"/>
                    </w:rPr>
                    <w:t>条生产线，包括废盐酸生产线、废碱液回收生产线，主要设置</w:t>
                  </w:r>
                  <w:r>
                    <w:rPr>
                      <w:rFonts w:hint="eastAsia" w:ascii="Times New Roman" w:hAnsi="Times New Roman" w:eastAsia="宋体" w:cs="Times New Roman"/>
                      <w:bCs/>
                      <w:color w:val="auto"/>
                      <w:sz w:val="21"/>
                      <w:szCs w:val="21"/>
                      <w:highlight w:val="none"/>
                      <w:lang w:val="en-US" w:eastAsia="zh-CN"/>
                    </w:rPr>
                    <w:t>1个5m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废酸罐</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1个5m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废碱罐</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蒸馏</w:t>
                  </w:r>
                  <w:r>
                    <w:rPr>
                      <w:rFonts w:hint="eastAsia" w:ascii="Times New Roman" w:hAnsi="Times New Roman" w:eastAsia="宋体" w:cs="Times New Roman"/>
                      <w:bCs/>
                      <w:color w:val="auto"/>
                      <w:sz w:val="21"/>
                      <w:szCs w:val="21"/>
                      <w:highlight w:val="none"/>
                    </w:rPr>
                    <w:t>釜、吸收塔、泵、冷凝器等。</w:t>
                  </w:r>
                </w:p>
              </w:tc>
              <w:tc>
                <w:tcPr>
                  <w:tcW w:w="766" w:type="dxa"/>
                  <w:vMerge w:val="continue"/>
                  <w:tcBorders>
                    <w:tl2br w:val="nil"/>
                    <w:tr2bl w:val="nil"/>
                  </w:tcBorders>
                  <w:noWrap w:val="0"/>
                  <w:vAlign w:val="center"/>
                </w:tcPr>
                <w:p w14:paraId="296B2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53ABC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14103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18793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甲醇锅炉</w:t>
                  </w:r>
                </w:p>
              </w:tc>
              <w:tc>
                <w:tcPr>
                  <w:tcW w:w="5791" w:type="dxa"/>
                  <w:tcBorders>
                    <w:tl2br w:val="nil"/>
                    <w:tr2bl w:val="nil"/>
                  </w:tcBorders>
                  <w:noWrap w:val="0"/>
                  <w:vAlign w:val="center"/>
                </w:tcPr>
                <w:p w14:paraId="1C8E5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本项目新建1台2.0t/h的甲醇蒸汽锅炉，燃料为甲醇，作为生产热源。</w:t>
                  </w:r>
                </w:p>
              </w:tc>
              <w:tc>
                <w:tcPr>
                  <w:tcW w:w="766" w:type="dxa"/>
                  <w:vMerge w:val="continue"/>
                  <w:tcBorders>
                    <w:tl2br w:val="nil"/>
                    <w:tr2bl w:val="nil"/>
                  </w:tcBorders>
                  <w:noWrap w:val="0"/>
                  <w:vAlign w:val="center"/>
                </w:tcPr>
                <w:p w14:paraId="395B2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7BCDE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11A58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771CA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暂存库</w:t>
                  </w:r>
                </w:p>
              </w:tc>
              <w:tc>
                <w:tcPr>
                  <w:tcW w:w="5791" w:type="dxa"/>
                  <w:tcBorders>
                    <w:tl2br w:val="nil"/>
                    <w:tr2bl w:val="nil"/>
                  </w:tcBorders>
                  <w:noWrap w:val="0"/>
                  <w:vAlign w:val="center"/>
                </w:tcPr>
                <w:p w14:paraId="4F1AE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新建</w:t>
                  </w:r>
                  <w:r>
                    <w:rPr>
                      <w:rFonts w:hint="eastAsia" w:ascii="Times New Roman" w:hAnsi="Times New Roman" w:eastAsia="宋体" w:cs="Times New Roman"/>
                      <w:bCs/>
                      <w:color w:val="auto"/>
                      <w:sz w:val="21"/>
                      <w:szCs w:val="21"/>
                      <w:highlight w:val="none"/>
                    </w:rPr>
                    <w:t>厂房，建筑面积</w:t>
                  </w:r>
                  <w:r>
                    <w:rPr>
                      <w:rFonts w:hint="eastAsia" w:ascii="Times New Roman" w:hAnsi="Times New Roman" w:eastAsia="宋体" w:cs="Times New Roman"/>
                      <w:bCs/>
                      <w:color w:val="auto"/>
                      <w:sz w:val="21"/>
                      <w:szCs w:val="21"/>
                      <w:highlight w:val="none"/>
                      <w:lang w:val="en-US" w:eastAsia="zh-CN"/>
                    </w:rPr>
                    <w:t>200</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vertAlign w:val="superscript"/>
                    </w:rPr>
                    <w:t>2</w:t>
                  </w:r>
                  <w:r>
                    <w:rPr>
                      <w:rFonts w:hint="eastAsia" w:ascii="Times New Roman" w:hAnsi="Times New Roman" w:eastAsia="宋体" w:cs="Times New Roman"/>
                      <w:bCs/>
                      <w:color w:val="auto"/>
                      <w:sz w:val="21"/>
                      <w:szCs w:val="21"/>
                      <w:highlight w:val="none"/>
                    </w:rPr>
                    <w:t>；主要储存进厂的</w:t>
                  </w:r>
                  <w:r>
                    <w:rPr>
                      <w:rFonts w:hint="eastAsia" w:ascii="Times New Roman" w:hAnsi="Times New Roman" w:eastAsia="宋体" w:cs="Times New Roman"/>
                      <w:bCs/>
                      <w:color w:val="auto"/>
                      <w:sz w:val="21"/>
                      <w:szCs w:val="21"/>
                      <w:highlight w:val="none"/>
                      <w:lang w:val="en-US" w:eastAsia="zh-CN"/>
                    </w:rPr>
                    <w:t>部分</w:t>
                  </w:r>
                  <w:r>
                    <w:rPr>
                      <w:rFonts w:hint="eastAsia" w:ascii="Times New Roman" w:hAnsi="Times New Roman" w:eastAsia="宋体" w:cs="Times New Roman"/>
                      <w:bCs/>
                      <w:color w:val="auto"/>
                      <w:sz w:val="21"/>
                      <w:szCs w:val="21"/>
                      <w:highlight w:val="none"/>
                    </w:rPr>
                    <w:t>废</w:t>
                  </w:r>
                  <w:r>
                    <w:rPr>
                      <w:rFonts w:hint="eastAsia" w:ascii="Times New Roman" w:hAnsi="Times New Roman" w:eastAsia="宋体" w:cs="Times New Roman"/>
                      <w:bCs/>
                      <w:color w:val="auto"/>
                      <w:sz w:val="21"/>
                      <w:szCs w:val="21"/>
                      <w:highlight w:val="none"/>
                      <w:lang w:val="en-US" w:eastAsia="zh-CN"/>
                    </w:rPr>
                    <w:t>有机溶剂、精馏废液、废活性炭</w:t>
                  </w:r>
                  <w:r>
                    <w:rPr>
                      <w:rFonts w:hint="eastAsia" w:ascii="Times New Roman" w:hAnsi="Times New Roman" w:eastAsia="宋体" w:cs="Times New Roman"/>
                      <w:bCs/>
                      <w:color w:val="auto"/>
                      <w:sz w:val="21"/>
                      <w:szCs w:val="21"/>
                      <w:highlight w:val="none"/>
                    </w:rPr>
                    <w:t>和一些桶装的废酸</w:t>
                  </w:r>
                  <w:r>
                    <w:rPr>
                      <w:rFonts w:hint="eastAsia" w:ascii="Times New Roman" w:hAnsi="Times New Roman" w:eastAsia="宋体" w:cs="Times New Roman"/>
                      <w:bCs/>
                      <w:color w:val="auto"/>
                      <w:sz w:val="21"/>
                      <w:szCs w:val="21"/>
                      <w:highlight w:val="none"/>
                      <w:lang w:val="en-US" w:eastAsia="zh-CN"/>
                    </w:rPr>
                    <w:t>废碱</w:t>
                  </w:r>
                  <w:r>
                    <w:rPr>
                      <w:rFonts w:hint="eastAsia" w:ascii="Times New Roman" w:hAnsi="Times New Roman" w:eastAsia="宋体" w:cs="Times New Roman"/>
                      <w:bCs/>
                      <w:color w:val="auto"/>
                      <w:sz w:val="21"/>
                      <w:szCs w:val="21"/>
                      <w:highlight w:val="none"/>
                    </w:rPr>
                    <w:t>等，整体按照危废库建设标准建设，设置导流槽，进行防渗处理。</w:t>
                  </w:r>
                </w:p>
              </w:tc>
              <w:tc>
                <w:tcPr>
                  <w:tcW w:w="766" w:type="dxa"/>
                  <w:vMerge w:val="continue"/>
                  <w:tcBorders>
                    <w:tl2br w:val="nil"/>
                    <w:tr2bl w:val="nil"/>
                  </w:tcBorders>
                  <w:noWrap w:val="0"/>
                  <w:vAlign w:val="center"/>
                </w:tcPr>
                <w:p w14:paraId="795CA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lang w:eastAsia="zh-CN"/>
                    </w:rPr>
                  </w:pPr>
                </w:p>
              </w:tc>
            </w:tr>
            <w:tr w14:paraId="4E50D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restart"/>
                  <w:tcBorders>
                    <w:tl2br w:val="nil"/>
                    <w:tr2bl w:val="nil"/>
                  </w:tcBorders>
                  <w:noWrap w:val="0"/>
                  <w:vAlign w:val="center"/>
                </w:tcPr>
                <w:p w14:paraId="2BEE3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辅助工程</w:t>
                  </w:r>
                </w:p>
              </w:tc>
              <w:tc>
                <w:tcPr>
                  <w:tcW w:w="1110" w:type="dxa"/>
                  <w:tcBorders>
                    <w:tl2br w:val="nil"/>
                    <w:tr2bl w:val="nil"/>
                  </w:tcBorders>
                  <w:noWrap w:val="0"/>
                  <w:vAlign w:val="center"/>
                </w:tcPr>
                <w:p w14:paraId="25520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办公楼</w:t>
                  </w:r>
                </w:p>
              </w:tc>
              <w:tc>
                <w:tcPr>
                  <w:tcW w:w="5791" w:type="dxa"/>
                  <w:tcBorders>
                    <w:tl2br w:val="nil"/>
                    <w:tr2bl w:val="nil"/>
                  </w:tcBorders>
                  <w:noWrap w:val="0"/>
                  <w:vAlign w:val="center"/>
                </w:tcPr>
                <w:p w14:paraId="43A3D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位于厂区西南侧，建筑面积1230m</w:t>
                  </w:r>
                  <w:r>
                    <w:rPr>
                      <w:rFonts w:hint="eastAsia"/>
                      <w:bCs/>
                      <w:color w:val="auto"/>
                      <w:sz w:val="21"/>
                      <w:szCs w:val="21"/>
                      <w:highlight w:val="none"/>
                      <w:vertAlign w:val="superscript"/>
                    </w:rPr>
                    <w:t>2</w:t>
                  </w:r>
                  <w:r>
                    <w:rPr>
                      <w:rFonts w:hint="eastAsia"/>
                      <w:bCs/>
                      <w:color w:val="auto"/>
                      <w:sz w:val="21"/>
                      <w:szCs w:val="21"/>
                      <w:highlight w:val="none"/>
                    </w:rPr>
                    <w:t>，用于办公</w:t>
                  </w:r>
                </w:p>
              </w:tc>
              <w:tc>
                <w:tcPr>
                  <w:tcW w:w="766" w:type="dxa"/>
                  <w:vMerge w:val="restart"/>
                  <w:tcBorders>
                    <w:tl2br w:val="nil"/>
                    <w:tr2bl w:val="nil"/>
                  </w:tcBorders>
                  <w:noWrap w:val="0"/>
                  <w:vAlign w:val="center"/>
                </w:tcPr>
                <w:p w14:paraId="437B4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sz w:val="21"/>
                      <w:szCs w:val="21"/>
                      <w:highlight w:val="none"/>
                      <w:lang w:eastAsia="zh-CN"/>
                    </w:rPr>
                    <w:t>已建成投产</w:t>
                  </w:r>
                </w:p>
              </w:tc>
            </w:tr>
            <w:tr w14:paraId="2651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68794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6B48E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化验楼</w:t>
                  </w:r>
                </w:p>
              </w:tc>
              <w:tc>
                <w:tcPr>
                  <w:tcW w:w="5791" w:type="dxa"/>
                  <w:tcBorders>
                    <w:tl2br w:val="nil"/>
                    <w:tr2bl w:val="nil"/>
                  </w:tcBorders>
                  <w:noWrap w:val="0"/>
                  <w:vAlign w:val="center"/>
                </w:tcPr>
                <w:p w14:paraId="2E948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钢结构厂房，建筑面积210m</w:t>
                  </w:r>
                  <w:r>
                    <w:rPr>
                      <w:rFonts w:hint="eastAsia"/>
                      <w:bCs/>
                      <w:color w:val="auto"/>
                      <w:sz w:val="21"/>
                      <w:szCs w:val="21"/>
                      <w:highlight w:val="none"/>
                      <w:vertAlign w:val="superscript"/>
                    </w:rPr>
                    <w:t>2</w:t>
                  </w:r>
                </w:p>
              </w:tc>
              <w:tc>
                <w:tcPr>
                  <w:tcW w:w="766" w:type="dxa"/>
                  <w:vMerge w:val="continue"/>
                  <w:tcBorders>
                    <w:tl2br w:val="nil"/>
                    <w:tr2bl w:val="nil"/>
                  </w:tcBorders>
                  <w:noWrap w:val="0"/>
                  <w:vAlign w:val="center"/>
                </w:tcPr>
                <w:p w14:paraId="6B016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58D4A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53599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5CB911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装卸区</w:t>
                  </w:r>
                </w:p>
              </w:tc>
              <w:tc>
                <w:tcPr>
                  <w:tcW w:w="5791" w:type="dxa"/>
                  <w:tcBorders>
                    <w:tl2br w:val="nil"/>
                    <w:tr2bl w:val="nil"/>
                  </w:tcBorders>
                  <w:noWrap w:val="0"/>
                  <w:vAlign w:val="center"/>
                </w:tcPr>
                <w:p w14:paraId="64579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建设装卸泵房和装卸台，建筑面积150m</w:t>
                  </w:r>
                  <w:r>
                    <w:rPr>
                      <w:rFonts w:hint="eastAsia"/>
                      <w:bCs/>
                      <w:color w:val="auto"/>
                      <w:sz w:val="21"/>
                      <w:szCs w:val="21"/>
                      <w:highlight w:val="none"/>
                      <w:vertAlign w:val="superscript"/>
                    </w:rPr>
                    <w:t>2</w:t>
                  </w:r>
                </w:p>
              </w:tc>
              <w:tc>
                <w:tcPr>
                  <w:tcW w:w="766" w:type="dxa"/>
                  <w:vMerge w:val="continue"/>
                  <w:tcBorders>
                    <w:tl2br w:val="nil"/>
                    <w:tr2bl w:val="nil"/>
                  </w:tcBorders>
                  <w:noWrap w:val="0"/>
                  <w:vAlign w:val="center"/>
                </w:tcPr>
                <w:p w14:paraId="79234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24516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31" w:type="dxa"/>
                  <w:vMerge w:val="continue"/>
                  <w:tcBorders>
                    <w:tl2br w:val="nil"/>
                    <w:tr2bl w:val="nil"/>
                  </w:tcBorders>
                  <w:noWrap w:val="0"/>
                  <w:vAlign w:val="center"/>
                </w:tcPr>
                <w:p w14:paraId="02F511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55EF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罐区</w:t>
                  </w:r>
                </w:p>
              </w:tc>
              <w:tc>
                <w:tcPr>
                  <w:tcW w:w="5791" w:type="dxa"/>
                  <w:tcBorders>
                    <w:tl2br w:val="nil"/>
                    <w:tr2bl w:val="nil"/>
                  </w:tcBorders>
                  <w:noWrap w:val="0"/>
                  <w:vAlign w:val="center"/>
                </w:tcPr>
                <w:p w14:paraId="34A80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原料储罐：1</w:t>
                  </w:r>
                  <w:r>
                    <w:rPr>
                      <w:rFonts w:hint="default" w:ascii="Times New Roman" w:hAnsi="Times New Roman" w:eastAsia="宋体" w:cs="Times New Roman"/>
                      <w:b w:val="0"/>
                      <w:bCs/>
                      <w:color w:val="auto"/>
                      <w:sz w:val="21"/>
                      <w:szCs w:val="21"/>
                      <w:highlight w:val="none"/>
                    </w:rPr>
                    <w:t>×</w:t>
                  </w:r>
                  <w:r>
                    <w:rPr>
                      <w:rFonts w:hint="eastAsia"/>
                      <w:bCs/>
                      <w:color w:val="auto"/>
                      <w:sz w:val="21"/>
                      <w:szCs w:val="21"/>
                      <w:highlight w:val="none"/>
                    </w:rPr>
                    <w:t>1200m</w:t>
                  </w:r>
                  <w:r>
                    <w:rPr>
                      <w:rFonts w:hint="eastAsia"/>
                      <w:bCs/>
                      <w:color w:val="auto"/>
                      <w:sz w:val="21"/>
                      <w:szCs w:val="21"/>
                      <w:highlight w:val="none"/>
                      <w:vertAlign w:val="superscript"/>
                    </w:rPr>
                    <w:t>3</w:t>
                  </w:r>
                  <w:r>
                    <w:rPr>
                      <w:rFonts w:hint="eastAsia"/>
                      <w:bCs/>
                      <w:color w:val="auto"/>
                      <w:sz w:val="21"/>
                      <w:szCs w:val="21"/>
                      <w:highlight w:val="none"/>
                    </w:rPr>
                    <w:t>（d=11m）原料罐，1</w:t>
                  </w:r>
                  <w:r>
                    <w:rPr>
                      <w:rFonts w:hint="default" w:ascii="Times New Roman" w:hAnsi="Times New Roman" w:cs="Times New Roman"/>
                      <w:bCs/>
                      <w:color w:val="auto"/>
                      <w:sz w:val="21"/>
                      <w:szCs w:val="21"/>
                      <w:highlight w:val="none"/>
                    </w:rPr>
                    <w:t>×</w:t>
                  </w:r>
                  <w:r>
                    <w:rPr>
                      <w:rFonts w:hint="eastAsia"/>
                      <w:bCs/>
                      <w:color w:val="auto"/>
                      <w:sz w:val="21"/>
                      <w:szCs w:val="21"/>
                      <w:highlight w:val="none"/>
                    </w:rPr>
                    <w:t>500m</w:t>
                  </w:r>
                  <w:r>
                    <w:rPr>
                      <w:rFonts w:hint="eastAsia"/>
                      <w:bCs/>
                      <w:color w:val="auto"/>
                      <w:sz w:val="21"/>
                      <w:szCs w:val="21"/>
                      <w:highlight w:val="none"/>
                      <w:vertAlign w:val="superscript"/>
                    </w:rPr>
                    <w:t>3</w:t>
                  </w:r>
                  <w:r>
                    <w:rPr>
                      <w:rFonts w:hint="eastAsia"/>
                      <w:bCs/>
                      <w:color w:val="auto"/>
                      <w:sz w:val="21"/>
                      <w:szCs w:val="21"/>
                      <w:highlight w:val="none"/>
                    </w:rPr>
                    <w:t>（d=11m）用于储存废矿物油。成品罐：1</w:t>
                  </w:r>
                  <w:r>
                    <w:rPr>
                      <w:rFonts w:hint="default" w:ascii="Times New Roman" w:hAnsi="Times New Roman" w:cs="Times New Roman"/>
                      <w:bCs/>
                      <w:color w:val="auto"/>
                      <w:sz w:val="21"/>
                      <w:szCs w:val="21"/>
                      <w:highlight w:val="none"/>
                    </w:rPr>
                    <w:t>×</w:t>
                  </w:r>
                  <w:r>
                    <w:rPr>
                      <w:rFonts w:hint="eastAsia"/>
                      <w:bCs/>
                      <w:color w:val="auto"/>
                      <w:sz w:val="21"/>
                      <w:szCs w:val="21"/>
                      <w:highlight w:val="none"/>
                    </w:rPr>
                    <w:t>500m</w:t>
                  </w:r>
                  <w:r>
                    <w:rPr>
                      <w:rFonts w:hint="eastAsia"/>
                      <w:bCs/>
                      <w:color w:val="auto"/>
                      <w:sz w:val="21"/>
                      <w:szCs w:val="21"/>
                      <w:highlight w:val="none"/>
                      <w:vertAlign w:val="superscript"/>
                    </w:rPr>
                    <w:t>3</w:t>
                  </w:r>
                  <w:r>
                    <w:rPr>
                      <w:rFonts w:hint="eastAsia"/>
                      <w:bCs/>
                      <w:color w:val="auto"/>
                      <w:sz w:val="21"/>
                      <w:szCs w:val="21"/>
                      <w:highlight w:val="none"/>
                    </w:rPr>
                    <w:t>（d=6.5m）原料罐用于储存基质沥青，1</w:t>
                  </w:r>
                  <w:r>
                    <w:rPr>
                      <w:rFonts w:hint="default" w:ascii="Times New Roman" w:hAnsi="Times New Roman" w:cs="Times New Roman"/>
                      <w:bCs/>
                      <w:color w:val="auto"/>
                      <w:sz w:val="21"/>
                      <w:szCs w:val="21"/>
                      <w:highlight w:val="none"/>
                    </w:rPr>
                    <w:t>×</w:t>
                  </w:r>
                  <w:r>
                    <w:rPr>
                      <w:rFonts w:hint="eastAsia"/>
                      <w:bCs/>
                      <w:color w:val="auto"/>
                      <w:sz w:val="21"/>
                      <w:szCs w:val="21"/>
                      <w:highlight w:val="none"/>
                    </w:rPr>
                    <w:t>500m</w:t>
                  </w:r>
                  <w:r>
                    <w:rPr>
                      <w:rFonts w:hint="eastAsia"/>
                      <w:bCs/>
                      <w:color w:val="auto"/>
                      <w:sz w:val="21"/>
                      <w:szCs w:val="21"/>
                      <w:highlight w:val="none"/>
                      <w:vertAlign w:val="superscript"/>
                    </w:rPr>
                    <w:t>3</w:t>
                  </w:r>
                  <w:r>
                    <w:rPr>
                      <w:rFonts w:hint="eastAsia"/>
                      <w:bCs/>
                      <w:color w:val="auto"/>
                      <w:sz w:val="21"/>
                      <w:szCs w:val="21"/>
                      <w:highlight w:val="none"/>
                    </w:rPr>
                    <w:t>（d=8m）原料罐用于储存燃料油，9</w:t>
                  </w:r>
                  <w:r>
                    <w:rPr>
                      <w:rFonts w:hint="default" w:ascii="Times New Roman" w:hAnsi="Times New Roman" w:cs="Times New Roman"/>
                      <w:bCs/>
                      <w:color w:val="auto"/>
                      <w:sz w:val="21"/>
                      <w:szCs w:val="21"/>
                      <w:highlight w:val="none"/>
                    </w:rPr>
                    <w:t>×</w:t>
                  </w:r>
                  <w:r>
                    <w:rPr>
                      <w:rFonts w:hint="eastAsia"/>
                      <w:bCs/>
                      <w:color w:val="auto"/>
                      <w:sz w:val="21"/>
                      <w:szCs w:val="21"/>
                      <w:highlight w:val="none"/>
                    </w:rPr>
                    <w:t>300m</w:t>
                  </w:r>
                  <w:r>
                    <w:rPr>
                      <w:rFonts w:hint="eastAsia"/>
                      <w:bCs/>
                      <w:color w:val="auto"/>
                      <w:sz w:val="21"/>
                      <w:szCs w:val="21"/>
                      <w:highlight w:val="none"/>
                      <w:vertAlign w:val="superscript"/>
                    </w:rPr>
                    <w:t>3</w:t>
                  </w:r>
                  <w:r>
                    <w:rPr>
                      <w:rFonts w:hint="eastAsia"/>
                      <w:bCs/>
                      <w:color w:val="auto"/>
                      <w:sz w:val="21"/>
                      <w:szCs w:val="21"/>
                      <w:highlight w:val="none"/>
                    </w:rPr>
                    <w:t>（d=6.5m）原料罐用于储存基础油，1</w:t>
                  </w:r>
                  <w:r>
                    <w:rPr>
                      <w:rFonts w:hint="default" w:ascii="Times New Roman" w:hAnsi="Times New Roman" w:cs="Times New Roman"/>
                      <w:bCs/>
                      <w:color w:val="auto"/>
                      <w:sz w:val="21"/>
                      <w:szCs w:val="21"/>
                      <w:highlight w:val="none"/>
                    </w:rPr>
                    <w:t>×</w:t>
                  </w:r>
                  <w:r>
                    <w:rPr>
                      <w:rFonts w:hint="eastAsia"/>
                      <w:bCs/>
                      <w:color w:val="auto"/>
                      <w:sz w:val="21"/>
                      <w:szCs w:val="21"/>
                      <w:highlight w:val="none"/>
                    </w:rPr>
                    <w:t>120m</w:t>
                  </w:r>
                  <w:r>
                    <w:rPr>
                      <w:rFonts w:hint="eastAsia"/>
                      <w:bCs/>
                      <w:color w:val="auto"/>
                      <w:sz w:val="21"/>
                      <w:szCs w:val="21"/>
                      <w:highlight w:val="none"/>
                      <w:vertAlign w:val="superscript"/>
                    </w:rPr>
                    <w:t>3</w:t>
                  </w:r>
                  <w:r>
                    <w:rPr>
                      <w:rFonts w:hint="eastAsia"/>
                      <w:bCs/>
                      <w:color w:val="auto"/>
                      <w:sz w:val="21"/>
                      <w:szCs w:val="21"/>
                      <w:highlight w:val="none"/>
                    </w:rPr>
                    <w:t>（d=4.5m）原料罐用于储存醇基燃料</w:t>
                  </w:r>
                </w:p>
              </w:tc>
              <w:tc>
                <w:tcPr>
                  <w:tcW w:w="766" w:type="dxa"/>
                  <w:vMerge w:val="continue"/>
                  <w:tcBorders>
                    <w:tl2br w:val="nil"/>
                    <w:tr2bl w:val="nil"/>
                  </w:tcBorders>
                  <w:noWrap w:val="0"/>
                  <w:vAlign w:val="center"/>
                </w:tcPr>
                <w:p w14:paraId="5996E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00086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restart"/>
                  <w:tcBorders>
                    <w:tl2br w:val="nil"/>
                    <w:tr2bl w:val="nil"/>
                  </w:tcBorders>
                  <w:noWrap w:val="0"/>
                  <w:vAlign w:val="center"/>
                </w:tcPr>
                <w:p w14:paraId="66DC0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公用工程</w:t>
                  </w:r>
                </w:p>
              </w:tc>
              <w:tc>
                <w:tcPr>
                  <w:tcW w:w="1110" w:type="dxa"/>
                  <w:tcBorders>
                    <w:tl2br w:val="nil"/>
                    <w:tr2bl w:val="nil"/>
                  </w:tcBorders>
                  <w:noWrap w:val="0"/>
                  <w:vAlign w:val="center"/>
                </w:tcPr>
                <w:p w14:paraId="2BF6C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给水</w:t>
                  </w:r>
                </w:p>
              </w:tc>
              <w:tc>
                <w:tcPr>
                  <w:tcW w:w="5791" w:type="dxa"/>
                  <w:tcBorders>
                    <w:tl2br w:val="nil"/>
                    <w:tr2bl w:val="nil"/>
                  </w:tcBorders>
                  <w:noWrap w:val="0"/>
                  <w:vAlign w:val="center"/>
                </w:tcPr>
                <w:p w14:paraId="4E98D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来自长青工业园园区供水系统</w:t>
                  </w:r>
                </w:p>
              </w:tc>
              <w:tc>
                <w:tcPr>
                  <w:tcW w:w="766" w:type="dxa"/>
                  <w:vMerge w:val="restart"/>
                  <w:tcBorders>
                    <w:tl2br w:val="nil"/>
                    <w:tr2bl w:val="nil"/>
                  </w:tcBorders>
                  <w:noWrap w:val="0"/>
                  <w:vAlign w:val="center"/>
                </w:tcPr>
                <w:p w14:paraId="6DDA6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sz w:val="21"/>
                      <w:szCs w:val="21"/>
                      <w:highlight w:val="none"/>
                      <w:lang w:eastAsia="zh-CN"/>
                    </w:rPr>
                    <w:t>已建成投产</w:t>
                  </w:r>
                </w:p>
              </w:tc>
            </w:tr>
            <w:tr w14:paraId="4CDA0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26EDE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50059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排水</w:t>
                  </w:r>
                </w:p>
              </w:tc>
              <w:tc>
                <w:tcPr>
                  <w:tcW w:w="5791" w:type="dxa"/>
                  <w:tcBorders>
                    <w:tl2br w:val="nil"/>
                    <w:tr2bl w:val="nil"/>
                  </w:tcBorders>
                  <w:noWrap w:val="0"/>
                  <w:vAlign w:val="center"/>
                </w:tcPr>
                <w:p w14:paraId="33071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雨污分流、与园区</w:t>
                  </w:r>
                  <w:r>
                    <w:rPr>
                      <w:rFonts w:hint="eastAsia"/>
                      <w:bCs/>
                      <w:color w:val="auto"/>
                      <w:sz w:val="21"/>
                      <w:szCs w:val="21"/>
                      <w:highlight w:val="none"/>
                      <w:lang w:val="en-US" w:eastAsia="zh-CN"/>
                    </w:rPr>
                    <w:t>管</w:t>
                  </w:r>
                  <w:r>
                    <w:rPr>
                      <w:rFonts w:hint="eastAsia"/>
                      <w:bCs/>
                      <w:color w:val="auto"/>
                      <w:sz w:val="21"/>
                      <w:szCs w:val="21"/>
                      <w:highlight w:val="none"/>
                    </w:rPr>
                    <w:t>网衔接</w:t>
                  </w:r>
                </w:p>
              </w:tc>
              <w:tc>
                <w:tcPr>
                  <w:tcW w:w="766" w:type="dxa"/>
                  <w:vMerge w:val="continue"/>
                  <w:tcBorders>
                    <w:tl2br w:val="nil"/>
                    <w:tr2bl w:val="nil"/>
                  </w:tcBorders>
                  <w:noWrap w:val="0"/>
                  <w:vAlign w:val="center"/>
                </w:tcPr>
                <w:p w14:paraId="32FE8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6F85A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31E25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2F24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供电</w:t>
                  </w:r>
                </w:p>
              </w:tc>
              <w:tc>
                <w:tcPr>
                  <w:tcW w:w="5791" w:type="dxa"/>
                  <w:tcBorders>
                    <w:tl2br w:val="nil"/>
                    <w:tr2bl w:val="nil"/>
                  </w:tcBorders>
                  <w:noWrap w:val="0"/>
                  <w:vAlign w:val="center"/>
                </w:tcPr>
                <w:p w14:paraId="1D5B0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由长青工业园区变电站供给</w:t>
                  </w:r>
                </w:p>
              </w:tc>
              <w:tc>
                <w:tcPr>
                  <w:tcW w:w="766" w:type="dxa"/>
                  <w:vMerge w:val="continue"/>
                  <w:tcBorders>
                    <w:tl2br w:val="nil"/>
                    <w:tr2bl w:val="nil"/>
                  </w:tcBorders>
                  <w:noWrap w:val="0"/>
                  <w:vAlign w:val="center"/>
                </w:tcPr>
                <w:p w14:paraId="4C856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1C2C1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1" w:type="dxa"/>
                  <w:vMerge w:val="continue"/>
                  <w:tcBorders>
                    <w:tl2br w:val="nil"/>
                    <w:tr2bl w:val="nil"/>
                  </w:tcBorders>
                  <w:noWrap w:val="0"/>
                  <w:vAlign w:val="center"/>
                </w:tcPr>
                <w:p w14:paraId="63A7E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29F2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取暖</w:t>
                  </w:r>
                </w:p>
              </w:tc>
              <w:tc>
                <w:tcPr>
                  <w:tcW w:w="5791" w:type="dxa"/>
                  <w:tcBorders>
                    <w:tl2br w:val="nil"/>
                    <w:tr2bl w:val="nil"/>
                  </w:tcBorders>
                  <w:noWrap w:val="0"/>
                  <w:vAlign w:val="center"/>
                </w:tcPr>
                <w:p w14:paraId="2771E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生活区采用空调取暖</w:t>
                  </w:r>
                </w:p>
              </w:tc>
              <w:tc>
                <w:tcPr>
                  <w:tcW w:w="766" w:type="dxa"/>
                  <w:vMerge w:val="continue"/>
                  <w:tcBorders>
                    <w:tl2br w:val="nil"/>
                    <w:tr2bl w:val="nil"/>
                  </w:tcBorders>
                  <w:noWrap w:val="0"/>
                  <w:vAlign w:val="center"/>
                </w:tcPr>
                <w:p w14:paraId="031EE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0E41F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restart"/>
                  <w:tcBorders>
                    <w:tl2br w:val="nil"/>
                    <w:tr2bl w:val="nil"/>
                  </w:tcBorders>
                  <w:noWrap w:val="0"/>
                  <w:vAlign w:val="center"/>
                </w:tcPr>
                <w:p w14:paraId="2B2B6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环保工程</w:t>
                  </w:r>
                </w:p>
              </w:tc>
              <w:tc>
                <w:tcPr>
                  <w:tcW w:w="1110" w:type="dxa"/>
                  <w:tcBorders>
                    <w:tl2br w:val="nil"/>
                    <w:tr2bl w:val="nil"/>
                  </w:tcBorders>
                  <w:noWrap w:val="0"/>
                  <w:vAlign w:val="center"/>
                </w:tcPr>
                <w:p w14:paraId="361C9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加热炉废气</w:t>
                  </w:r>
                </w:p>
              </w:tc>
              <w:tc>
                <w:tcPr>
                  <w:tcW w:w="5791" w:type="dxa"/>
                  <w:tcBorders>
                    <w:tl2br w:val="nil"/>
                    <w:tr2bl w:val="nil"/>
                  </w:tcBorders>
                  <w:noWrap w:val="0"/>
                  <w:vAlign w:val="center"/>
                </w:tcPr>
                <w:p w14:paraId="59F23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rPr>
                    <w:t>燃烧废气经</w:t>
                  </w:r>
                  <w:r>
                    <w:rPr>
                      <w:rFonts w:hint="eastAsia"/>
                      <w:bCs/>
                      <w:color w:val="auto"/>
                      <w:sz w:val="21"/>
                      <w:szCs w:val="21"/>
                      <w:highlight w:val="none"/>
                      <w:lang w:val="en-US" w:eastAsia="zh-CN"/>
                    </w:rPr>
                    <w:t>18</w:t>
                  </w:r>
                  <w:r>
                    <w:rPr>
                      <w:rFonts w:hint="eastAsia"/>
                      <w:bCs/>
                      <w:color w:val="auto"/>
                      <w:sz w:val="21"/>
                      <w:szCs w:val="21"/>
                      <w:highlight w:val="none"/>
                    </w:rPr>
                    <w:t>m高排气筒排放</w:t>
                  </w:r>
                  <w:r>
                    <w:rPr>
                      <w:rFonts w:hint="eastAsia"/>
                      <w:bCs/>
                      <w:color w:val="auto"/>
                      <w:sz w:val="21"/>
                      <w:szCs w:val="21"/>
                      <w:highlight w:val="none"/>
                      <w:lang w:eastAsia="zh-CN"/>
                    </w:rPr>
                    <w:t>，</w:t>
                  </w:r>
                  <w:r>
                    <w:rPr>
                      <w:rFonts w:hint="eastAsia"/>
                      <w:bCs/>
                      <w:color w:val="auto"/>
                      <w:sz w:val="21"/>
                      <w:szCs w:val="21"/>
                      <w:highlight w:val="none"/>
                      <w:lang w:val="en-US" w:eastAsia="zh-CN"/>
                    </w:rPr>
                    <w:t>配置低氮燃烧器</w:t>
                  </w:r>
                </w:p>
              </w:tc>
              <w:tc>
                <w:tcPr>
                  <w:tcW w:w="766" w:type="dxa"/>
                  <w:vMerge w:val="restart"/>
                  <w:tcBorders>
                    <w:tl2br w:val="nil"/>
                    <w:tr2bl w:val="nil"/>
                  </w:tcBorders>
                  <w:noWrap w:val="0"/>
                  <w:vAlign w:val="center"/>
                </w:tcPr>
                <w:p w14:paraId="16AE1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sz w:val="21"/>
                      <w:szCs w:val="21"/>
                      <w:highlight w:val="none"/>
                      <w:lang w:eastAsia="zh-CN"/>
                    </w:rPr>
                    <w:t>已建成投产</w:t>
                  </w:r>
                </w:p>
              </w:tc>
            </w:tr>
            <w:tr w14:paraId="73736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58B2ED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c>
                <w:tcPr>
                  <w:tcW w:w="1110" w:type="dxa"/>
                  <w:tcBorders>
                    <w:tl2br w:val="nil"/>
                    <w:tr2bl w:val="nil"/>
                  </w:tcBorders>
                  <w:noWrap w:val="0"/>
                  <w:vAlign w:val="center"/>
                </w:tcPr>
                <w:p w14:paraId="1D01E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油桶清洗废气</w:t>
                  </w:r>
                </w:p>
              </w:tc>
              <w:tc>
                <w:tcPr>
                  <w:tcW w:w="5791" w:type="dxa"/>
                  <w:tcBorders>
                    <w:tl2br w:val="nil"/>
                    <w:tr2bl w:val="nil"/>
                  </w:tcBorders>
                  <w:noWrap w:val="0"/>
                  <w:vAlign w:val="center"/>
                </w:tcPr>
                <w:p w14:paraId="47063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采用密闭式清洗设备，车间内设置负压收集装置，通过光氧活性炭吸附装置处理后经</w:t>
                  </w:r>
                  <w:r>
                    <w:rPr>
                      <w:rFonts w:hint="default" w:ascii="Times New Roman" w:hAnsi="Times New Roman" w:eastAsia="宋体" w:cs="Times New Roman"/>
                      <w:b w:val="0"/>
                      <w:bCs/>
                      <w:color w:val="auto"/>
                      <w:sz w:val="21"/>
                      <w:szCs w:val="21"/>
                      <w:highlight w:val="none"/>
                      <w:lang w:val="en-US" w:eastAsia="zh-CN"/>
                    </w:rPr>
                    <w:t>15m</w:t>
                  </w:r>
                  <w:r>
                    <w:rPr>
                      <w:rFonts w:hint="eastAsia" w:ascii="Times New Roman" w:hAnsi="Times New Roman" w:eastAsia="宋体" w:cs="Times New Roman"/>
                      <w:b w:val="0"/>
                      <w:bCs/>
                      <w:color w:val="auto"/>
                      <w:sz w:val="21"/>
                      <w:szCs w:val="21"/>
                      <w:highlight w:val="none"/>
                      <w:lang w:val="en-US" w:eastAsia="zh-CN"/>
                    </w:rPr>
                    <w:t>排气筒排放</w:t>
                  </w:r>
                </w:p>
              </w:tc>
              <w:tc>
                <w:tcPr>
                  <w:tcW w:w="766" w:type="dxa"/>
                  <w:vMerge w:val="continue"/>
                  <w:tcBorders>
                    <w:tl2br w:val="nil"/>
                    <w:tr2bl w:val="nil"/>
                  </w:tcBorders>
                  <w:noWrap w:val="0"/>
                  <w:vAlign w:val="center"/>
                </w:tcPr>
                <w:p w14:paraId="0118B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1E95E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1" w:type="dxa"/>
                  <w:vMerge w:val="continue"/>
                  <w:tcBorders>
                    <w:tl2br w:val="nil"/>
                    <w:tr2bl w:val="nil"/>
                  </w:tcBorders>
                  <w:noWrap w:val="0"/>
                  <w:vAlign w:val="center"/>
                </w:tcPr>
                <w:p w14:paraId="52420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95D9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预处理废气</w:t>
                  </w:r>
                </w:p>
              </w:tc>
              <w:tc>
                <w:tcPr>
                  <w:tcW w:w="5791" w:type="dxa"/>
                  <w:tcBorders>
                    <w:tl2br w:val="nil"/>
                    <w:tr2bl w:val="nil"/>
                  </w:tcBorders>
                  <w:noWrap w:val="0"/>
                  <w:vAlign w:val="center"/>
                </w:tcPr>
                <w:p w14:paraId="4F303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在原料预处理工段的锥形罐、原料槽设置管道连接及集气罩收集，对废矿物油产生的有机废气收集至光氧活性炭一体机处理后经</w:t>
                  </w:r>
                  <w:r>
                    <w:rPr>
                      <w:rFonts w:hint="default" w:ascii="Times New Roman" w:hAnsi="Times New Roman" w:eastAsia="宋体" w:cs="Times New Roman"/>
                      <w:b w:val="0"/>
                      <w:bCs/>
                      <w:color w:val="auto"/>
                      <w:sz w:val="21"/>
                      <w:szCs w:val="21"/>
                      <w:highlight w:val="none"/>
                      <w:lang w:val="en-US" w:eastAsia="zh-CN"/>
                    </w:rPr>
                    <w:t>15m</w:t>
                  </w:r>
                  <w:r>
                    <w:rPr>
                      <w:rFonts w:hint="eastAsia" w:ascii="Times New Roman" w:hAnsi="Times New Roman" w:eastAsia="宋体" w:cs="Times New Roman"/>
                      <w:b w:val="0"/>
                      <w:bCs/>
                      <w:color w:val="auto"/>
                      <w:sz w:val="21"/>
                      <w:szCs w:val="21"/>
                      <w:highlight w:val="none"/>
                      <w:lang w:val="en-US" w:eastAsia="zh-CN"/>
                    </w:rPr>
                    <w:t>排气筒排放</w:t>
                  </w:r>
                </w:p>
              </w:tc>
              <w:tc>
                <w:tcPr>
                  <w:tcW w:w="766" w:type="dxa"/>
                  <w:vMerge w:val="continue"/>
                  <w:tcBorders>
                    <w:tl2br w:val="nil"/>
                    <w:tr2bl w:val="nil"/>
                  </w:tcBorders>
                  <w:noWrap w:val="0"/>
                  <w:vAlign w:val="center"/>
                </w:tcPr>
                <w:p w14:paraId="5B236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71EF6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1" w:type="dxa"/>
                  <w:vMerge w:val="continue"/>
                  <w:tcBorders>
                    <w:tl2br w:val="nil"/>
                    <w:tr2bl w:val="nil"/>
                  </w:tcBorders>
                  <w:noWrap w:val="0"/>
                  <w:vAlign w:val="center"/>
                </w:tcPr>
                <w:p w14:paraId="6A3E4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4EE6E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油泥处理车间废气</w:t>
                  </w:r>
                </w:p>
              </w:tc>
              <w:tc>
                <w:tcPr>
                  <w:tcW w:w="5791" w:type="dxa"/>
                  <w:tcBorders>
                    <w:tl2br w:val="nil"/>
                    <w:tr2bl w:val="nil"/>
                  </w:tcBorders>
                  <w:noWrap w:val="0"/>
                  <w:vAlign w:val="center"/>
                </w:tcPr>
                <w:p w14:paraId="4176D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对油泥处理车间油泥设备、水处理设备及鞋料口增加集气装置，收集后经光氧活性炭一体设备处理后，经</w:t>
                  </w:r>
                  <w:r>
                    <w:rPr>
                      <w:rFonts w:hint="default" w:ascii="Times New Roman" w:hAnsi="Times New Roman" w:eastAsia="宋体" w:cs="Times New Roman"/>
                      <w:b w:val="0"/>
                      <w:bCs/>
                      <w:color w:val="auto"/>
                      <w:sz w:val="21"/>
                      <w:szCs w:val="21"/>
                      <w:highlight w:val="none"/>
                      <w:lang w:val="en-US" w:eastAsia="zh-CN"/>
                    </w:rPr>
                    <w:t>15m</w:t>
                  </w:r>
                  <w:r>
                    <w:rPr>
                      <w:rFonts w:hint="eastAsia" w:ascii="Times New Roman" w:hAnsi="Times New Roman" w:eastAsia="宋体" w:cs="Times New Roman"/>
                      <w:b w:val="0"/>
                      <w:bCs/>
                      <w:color w:val="auto"/>
                      <w:sz w:val="21"/>
                      <w:szCs w:val="21"/>
                      <w:highlight w:val="none"/>
                      <w:lang w:val="en-US" w:eastAsia="zh-CN"/>
                    </w:rPr>
                    <w:t>排气筒排放</w:t>
                  </w:r>
                </w:p>
              </w:tc>
              <w:tc>
                <w:tcPr>
                  <w:tcW w:w="766" w:type="dxa"/>
                  <w:vMerge w:val="continue"/>
                  <w:tcBorders>
                    <w:tl2br w:val="nil"/>
                    <w:tr2bl w:val="nil"/>
                  </w:tcBorders>
                  <w:noWrap w:val="0"/>
                  <w:vAlign w:val="center"/>
                </w:tcPr>
                <w:p w14:paraId="45C2E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3B809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1" w:type="dxa"/>
                  <w:vMerge w:val="continue"/>
                  <w:tcBorders>
                    <w:tl2br w:val="nil"/>
                    <w:tr2bl w:val="nil"/>
                  </w:tcBorders>
                  <w:noWrap w:val="0"/>
                  <w:vAlign w:val="center"/>
                </w:tcPr>
                <w:p w14:paraId="2152E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7D0F8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无组织废气</w:t>
                  </w:r>
                </w:p>
              </w:tc>
              <w:tc>
                <w:tcPr>
                  <w:tcW w:w="5791" w:type="dxa"/>
                  <w:tcBorders>
                    <w:tl2br w:val="nil"/>
                    <w:tr2bl w:val="nil"/>
                  </w:tcBorders>
                  <w:noWrap w:val="0"/>
                  <w:vAlign w:val="center"/>
                </w:tcPr>
                <w:p w14:paraId="43C8F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各装置逸散及储罐区大小呼吸废气均为无组织排放，评价要求储罐区设油气回收装置，回收效率</w:t>
                  </w:r>
                  <w:r>
                    <w:rPr>
                      <w:rFonts w:hint="default" w:ascii="Times New Roman" w:hAnsi="Times New Roman" w:eastAsia="宋体" w:cs="Times New Roman"/>
                      <w:b w:val="0"/>
                      <w:bCs/>
                      <w:color w:val="auto"/>
                      <w:sz w:val="21"/>
                      <w:szCs w:val="21"/>
                      <w:highlight w:val="none"/>
                      <w:lang w:val="en-US" w:eastAsia="zh-CN"/>
                    </w:rPr>
                    <w:t>70%</w:t>
                  </w:r>
                  <w:r>
                    <w:rPr>
                      <w:rFonts w:hint="eastAsia" w:ascii="Times New Roman" w:hAnsi="Times New Roman" w:eastAsia="宋体" w:cs="Times New Roman"/>
                      <w:b w:val="0"/>
                      <w:bCs/>
                      <w:color w:val="auto"/>
                      <w:sz w:val="21"/>
                      <w:szCs w:val="21"/>
                      <w:highlight w:val="none"/>
                      <w:lang w:val="en-US" w:eastAsia="zh-CN"/>
                    </w:rPr>
                    <w:t>，收回的油气全部用于生产</w:t>
                  </w:r>
                </w:p>
              </w:tc>
              <w:tc>
                <w:tcPr>
                  <w:tcW w:w="766" w:type="dxa"/>
                  <w:vMerge w:val="continue"/>
                  <w:tcBorders>
                    <w:tl2br w:val="nil"/>
                    <w:tr2bl w:val="nil"/>
                  </w:tcBorders>
                  <w:noWrap w:val="0"/>
                  <w:vAlign w:val="center"/>
                </w:tcPr>
                <w:p w14:paraId="2B569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p>
              </w:tc>
            </w:tr>
            <w:tr w14:paraId="0FF2F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3A3F0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1A085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食堂油烟</w:t>
                  </w:r>
                </w:p>
              </w:tc>
              <w:tc>
                <w:tcPr>
                  <w:tcW w:w="5791" w:type="dxa"/>
                  <w:tcBorders>
                    <w:tl2br w:val="nil"/>
                    <w:tr2bl w:val="nil"/>
                  </w:tcBorders>
                  <w:noWrap w:val="0"/>
                  <w:vAlign w:val="center"/>
                </w:tcPr>
                <w:p w14:paraId="41E22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经油烟净化器处理后，通过专用烟道排放</w:t>
                  </w:r>
                </w:p>
              </w:tc>
              <w:tc>
                <w:tcPr>
                  <w:tcW w:w="766" w:type="dxa"/>
                  <w:vMerge w:val="continue"/>
                  <w:tcBorders>
                    <w:tl2br w:val="nil"/>
                    <w:tr2bl w:val="nil"/>
                  </w:tcBorders>
                  <w:noWrap w:val="0"/>
                  <w:vAlign w:val="center"/>
                </w:tcPr>
                <w:p w14:paraId="436D46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1E4CE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1" w:type="dxa"/>
                  <w:vMerge w:val="continue"/>
                  <w:tcBorders>
                    <w:tl2br w:val="nil"/>
                    <w:tr2bl w:val="nil"/>
                  </w:tcBorders>
                  <w:noWrap w:val="0"/>
                  <w:vAlign w:val="center"/>
                </w:tcPr>
                <w:p w14:paraId="21AA5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3CF1F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生活污水</w:t>
                  </w:r>
                </w:p>
              </w:tc>
              <w:tc>
                <w:tcPr>
                  <w:tcW w:w="5791" w:type="dxa"/>
                  <w:tcBorders>
                    <w:tl2br w:val="nil"/>
                    <w:tr2bl w:val="nil"/>
                  </w:tcBorders>
                  <w:noWrap w:val="0"/>
                  <w:vAlign w:val="center"/>
                </w:tcPr>
                <w:p w14:paraId="2FAA58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生活污水</w:t>
                  </w:r>
                  <w:r>
                    <w:rPr>
                      <w:rFonts w:hint="eastAsia"/>
                      <w:bCs/>
                      <w:color w:val="auto"/>
                      <w:sz w:val="21"/>
                      <w:szCs w:val="21"/>
                      <w:highlight w:val="none"/>
                      <w:lang w:eastAsia="zh-CN"/>
                    </w:rPr>
                    <w:t>（</w:t>
                  </w:r>
                  <w:r>
                    <w:rPr>
                      <w:rFonts w:hint="eastAsia"/>
                      <w:bCs/>
                      <w:color w:val="auto"/>
                      <w:sz w:val="21"/>
                      <w:szCs w:val="21"/>
                      <w:highlight w:val="none"/>
                      <w:lang w:val="en-US" w:eastAsia="zh-CN"/>
                    </w:rPr>
                    <w:t>包括餐饮废水</w:t>
                  </w:r>
                  <w:r>
                    <w:rPr>
                      <w:rFonts w:hint="eastAsia"/>
                      <w:bCs/>
                      <w:color w:val="auto"/>
                      <w:sz w:val="21"/>
                      <w:szCs w:val="21"/>
                      <w:highlight w:val="none"/>
                      <w:lang w:eastAsia="zh-CN"/>
                    </w:rPr>
                    <w:t>）</w:t>
                  </w:r>
                  <w:r>
                    <w:rPr>
                      <w:rFonts w:hint="eastAsia"/>
                      <w:bCs/>
                      <w:color w:val="auto"/>
                      <w:sz w:val="21"/>
                      <w:szCs w:val="21"/>
                      <w:highlight w:val="none"/>
                    </w:rPr>
                    <w:t>经油水分离器、化粪池处理后排入园区污水管网，最终排入长青工业园污水处理厂</w:t>
                  </w:r>
                </w:p>
              </w:tc>
              <w:tc>
                <w:tcPr>
                  <w:tcW w:w="766" w:type="dxa"/>
                  <w:vMerge w:val="continue"/>
                  <w:tcBorders>
                    <w:tl2br w:val="nil"/>
                    <w:tr2bl w:val="nil"/>
                  </w:tcBorders>
                  <w:noWrap w:val="0"/>
                  <w:vAlign w:val="center"/>
                </w:tcPr>
                <w:p w14:paraId="7839EC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6F168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31" w:type="dxa"/>
                  <w:vMerge w:val="continue"/>
                  <w:tcBorders>
                    <w:tl2br w:val="nil"/>
                    <w:tr2bl w:val="nil"/>
                  </w:tcBorders>
                  <w:noWrap w:val="0"/>
                  <w:vAlign w:val="center"/>
                </w:tcPr>
                <w:p w14:paraId="56692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31DC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生产废水</w:t>
                  </w:r>
                </w:p>
              </w:tc>
              <w:tc>
                <w:tcPr>
                  <w:tcW w:w="5791" w:type="dxa"/>
                  <w:tcBorders>
                    <w:tl2br w:val="nil"/>
                    <w:tr2bl w:val="nil"/>
                  </w:tcBorders>
                  <w:noWrap w:val="0"/>
                  <w:vAlign w:val="center"/>
                </w:tcPr>
                <w:p w14:paraId="14421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rFonts w:hint="eastAsia"/>
                      <w:bCs/>
                      <w:color w:val="auto"/>
                      <w:sz w:val="21"/>
                      <w:szCs w:val="21"/>
                      <w:highlight w:val="none"/>
                    </w:rPr>
                    <w:t>含油废水经厂内</w:t>
                  </w:r>
                  <w:r>
                    <w:rPr>
                      <w:rFonts w:hint="eastAsia"/>
                      <w:bCs/>
                      <w:color w:val="auto"/>
                      <w:sz w:val="21"/>
                      <w:szCs w:val="21"/>
                      <w:highlight w:val="none"/>
                    </w:rPr>
                    <w:t>污水处理站</w:t>
                  </w:r>
                  <w:r>
                    <w:rPr>
                      <w:rFonts w:hint="eastAsia"/>
                      <w:bCs/>
                      <w:color w:val="auto"/>
                      <w:sz w:val="21"/>
                      <w:szCs w:val="21"/>
                      <w:highlight w:val="none"/>
                    </w:rPr>
                    <w:t>处理后，全部循环利用</w:t>
                  </w:r>
                </w:p>
              </w:tc>
              <w:tc>
                <w:tcPr>
                  <w:tcW w:w="766" w:type="dxa"/>
                  <w:vMerge w:val="continue"/>
                  <w:tcBorders>
                    <w:tl2br w:val="nil"/>
                    <w:tr2bl w:val="nil"/>
                  </w:tcBorders>
                  <w:noWrap w:val="0"/>
                  <w:vAlign w:val="center"/>
                </w:tcPr>
                <w:p w14:paraId="63F08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highlight w:val="none"/>
                    </w:rPr>
                  </w:pPr>
                </w:p>
              </w:tc>
            </w:tr>
            <w:tr w14:paraId="50288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1" w:type="dxa"/>
                  <w:vMerge w:val="continue"/>
                  <w:tcBorders>
                    <w:tl2br w:val="nil"/>
                    <w:tr2bl w:val="nil"/>
                  </w:tcBorders>
                  <w:noWrap w:val="0"/>
                  <w:vAlign w:val="center"/>
                </w:tcPr>
                <w:p w14:paraId="76E8A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46A13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固废</w:t>
                  </w:r>
                </w:p>
              </w:tc>
              <w:tc>
                <w:tcPr>
                  <w:tcW w:w="5791" w:type="dxa"/>
                  <w:tcBorders>
                    <w:tl2br w:val="nil"/>
                    <w:tr2bl w:val="nil"/>
                  </w:tcBorders>
                  <w:noWrap w:val="0"/>
                  <w:vAlign w:val="center"/>
                </w:tcPr>
                <w:p w14:paraId="0D87DA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生活垃圾收集于垃圾桶委托环卫部门处置，</w:t>
                  </w:r>
                  <w:r>
                    <w:rPr>
                      <w:rFonts w:hint="eastAsia" w:ascii="Times New Roman" w:hAnsi="Times New Roman" w:eastAsia="宋体" w:cs="Times New Roman"/>
                      <w:bCs/>
                      <w:color w:val="auto"/>
                      <w:sz w:val="21"/>
                      <w:szCs w:val="21"/>
                      <w:highlight w:val="none"/>
                      <w:lang w:eastAsia="zh-CN"/>
                    </w:rPr>
                    <w:t>食堂油脂单独收集，交有资质单位处置；含油</w:t>
                  </w:r>
                  <w:r>
                    <w:rPr>
                      <w:rFonts w:hint="eastAsia" w:ascii="Times New Roman" w:hAnsi="Times New Roman" w:eastAsia="宋体" w:cs="Times New Roman"/>
                      <w:bCs/>
                      <w:color w:val="auto"/>
                      <w:sz w:val="21"/>
                      <w:szCs w:val="21"/>
                      <w:highlight w:val="none"/>
                    </w:rPr>
                    <w:t>污泥</w:t>
                  </w:r>
                  <w:r>
                    <w:rPr>
                      <w:rFonts w:hint="eastAsia" w:ascii="Times New Roman" w:hAnsi="Times New Roman" w:eastAsia="宋体" w:cs="Times New Roman"/>
                      <w:bCs/>
                      <w:color w:val="auto"/>
                      <w:sz w:val="21"/>
                      <w:szCs w:val="21"/>
                      <w:highlight w:val="none"/>
                      <w:lang w:eastAsia="zh-CN"/>
                    </w:rPr>
                    <w:t>、气浮渣</w:t>
                  </w:r>
                  <w:r>
                    <w:rPr>
                      <w:rFonts w:hint="eastAsia" w:ascii="Times New Roman" w:hAnsi="Times New Roman" w:eastAsia="宋体" w:cs="Times New Roman"/>
                      <w:bCs/>
                      <w:color w:val="auto"/>
                      <w:sz w:val="21"/>
                      <w:szCs w:val="21"/>
                      <w:highlight w:val="none"/>
                    </w:rPr>
                    <w:t>由建设单位</w:t>
                  </w:r>
                  <w:r>
                    <w:rPr>
                      <w:rFonts w:hint="eastAsia" w:ascii="Times New Roman" w:hAnsi="Times New Roman" w:eastAsia="宋体" w:cs="Times New Roman"/>
                      <w:bCs/>
                      <w:color w:val="auto"/>
                      <w:sz w:val="21"/>
                      <w:szCs w:val="21"/>
                      <w:highlight w:val="none"/>
                      <w:lang w:eastAsia="zh-CN"/>
                    </w:rPr>
                    <w:t>设置危废暂存间收集后</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eastAsia="zh-CN"/>
                    </w:rPr>
                    <w:t>交有资质单位处置，</w:t>
                  </w:r>
                  <w:r>
                    <w:rPr>
                      <w:rFonts w:hint="eastAsia" w:ascii="Times New Roman" w:hAnsi="Times New Roman" w:eastAsia="宋体" w:cs="Times New Roman"/>
                      <w:bCs/>
                      <w:color w:val="auto"/>
                      <w:sz w:val="21"/>
                      <w:szCs w:val="21"/>
                      <w:highlight w:val="none"/>
                    </w:rPr>
                    <w:t>废</w:t>
                  </w:r>
                  <w:r>
                    <w:rPr>
                      <w:rFonts w:hint="eastAsia" w:ascii="Times New Roman" w:hAnsi="Times New Roman" w:eastAsia="宋体" w:cs="Times New Roman"/>
                      <w:bCs/>
                      <w:color w:val="auto"/>
                      <w:sz w:val="21"/>
                      <w:szCs w:val="21"/>
                      <w:highlight w:val="none"/>
                      <w:lang w:eastAsia="zh-CN"/>
                    </w:rPr>
                    <w:t>油桶</w:t>
                  </w:r>
                  <w:r>
                    <w:rPr>
                      <w:rFonts w:hint="eastAsia" w:ascii="Times New Roman" w:hAnsi="Times New Roman" w:eastAsia="宋体" w:cs="Times New Roman"/>
                      <w:bCs/>
                      <w:color w:val="auto"/>
                      <w:sz w:val="21"/>
                      <w:szCs w:val="21"/>
                      <w:highlight w:val="none"/>
                    </w:rPr>
                    <w:t>清洗、拆解、压缩处理后送冶炼企业回收。</w:t>
                  </w:r>
                </w:p>
              </w:tc>
              <w:tc>
                <w:tcPr>
                  <w:tcW w:w="766" w:type="dxa"/>
                  <w:vMerge w:val="continue"/>
                  <w:tcBorders>
                    <w:tl2br w:val="nil"/>
                    <w:tr2bl w:val="nil"/>
                  </w:tcBorders>
                  <w:noWrap w:val="0"/>
                  <w:vAlign w:val="center"/>
                </w:tcPr>
                <w:p w14:paraId="0D115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p>
              </w:tc>
            </w:tr>
            <w:tr w14:paraId="5431F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dxa"/>
                  <w:vMerge w:val="continue"/>
                  <w:tcBorders>
                    <w:tl2br w:val="nil"/>
                    <w:tr2bl w:val="nil"/>
                  </w:tcBorders>
                  <w:noWrap w:val="0"/>
                  <w:vAlign w:val="center"/>
                </w:tcPr>
                <w:p w14:paraId="2926BC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1A50CB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1#废有机溶剂、精馏废液回收装置</w:t>
                  </w:r>
                </w:p>
              </w:tc>
              <w:tc>
                <w:tcPr>
                  <w:tcW w:w="5791" w:type="dxa"/>
                  <w:tcBorders>
                    <w:tl2br w:val="nil"/>
                    <w:tr2bl w:val="nil"/>
                  </w:tcBorders>
                  <w:noWrap w:val="0"/>
                  <w:vAlign w:val="center"/>
                </w:tcPr>
                <w:p w14:paraId="3C506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冷凝工序、储罐区、暂存库及装置区非甲烷总烃</w:t>
                  </w:r>
                  <w:r>
                    <w:rPr>
                      <w:rFonts w:hint="default" w:ascii="Times New Roman" w:hAnsi="Times New Roman" w:eastAsia="宋体" w:cs="Times New Roman"/>
                      <w:bCs/>
                      <w:color w:val="auto"/>
                      <w:sz w:val="21"/>
                      <w:szCs w:val="21"/>
                      <w:highlight w:val="none"/>
                      <w:lang w:val="en-GB"/>
                    </w:rPr>
                    <w:t>采用</w:t>
                  </w:r>
                  <w:r>
                    <w:rPr>
                      <w:rFonts w:hint="eastAsia" w:ascii="Times New Roman" w:hAnsi="Times New Roman" w:eastAsia="宋体" w:cs="Times New Roman"/>
                      <w:bCs/>
                      <w:color w:val="auto"/>
                      <w:sz w:val="21"/>
                      <w:szCs w:val="21"/>
                      <w:highlight w:val="none"/>
                      <w:lang w:val="en-US" w:eastAsia="zh-CN"/>
                    </w:rPr>
                    <w:t>水</w:t>
                  </w:r>
                  <w:r>
                    <w:rPr>
                      <w:rFonts w:hint="default" w:ascii="Times New Roman" w:hAnsi="Times New Roman" w:eastAsia="宋体" w:cs="Times New Roman"/>
                      <w:bCs/>
                      <w:color w:val="auto"/>
                      <w:sz w:val="21"/>
                      <w:szCs w:val="21"/>
                      <w:highlight w:val="none"/>
                      <w:lang w:val="en-US" w:eastAsia="zh-CN"/>
                    </w:rPr>
                    <w:t>喷淋+活性炭吸附装置</w:t>
                  </w:r>
                  <w:r>
                    <w:rPr>
                      <w:rFonts w:hint="default" w:ascii="Times New Roman" w:hAnsi="Times New Roman" w:eastAsia="宋体" w:cs="Times New Roman"/>
                      <w:bCs/>
                      <w:color w:val="auto"/>
                      <w:sz w:val="21"/>
                      <w:szCs w:val="21"/>
                      <w:highlight w:val="none"/>
                      <w:lang w:val="en-GB"/>
                    </w:rPr>
                    <w:t>处理后经</w:t>
                  </w:r>
                  <w:r>
                    <w:rPr>
                      <w:rFonts w:hint="default" w:ascii="Times New Roman" w:hAnsi="Times New Roman" w:eastAsia="宋体"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GB"/>
                    </w:rPr>
                    <w:t>m高</w:t>
                  </w:r>
                  <w:r>
                    <w:rPr>
                      <w:rFonts w:hint="eastAsia" w:ascii="Times New Roman" w:hAnsi="Times New Roman" w:eastAsia="宋体" w:cs="Times New Roman"/>
                      <w:bCs/>
                      <w:color w:val="auto"/>
                      <w:sz w:val="21"/>
                      <w:szCs w:val="21"/>
                      <w:highlight w:val="none"/>
                      <w:lang w:val="en-US" w:eastAsia="zh-CN"/>
                    </w:rPr>
                    <w:t>DA001</w:t>
                  </w:r>
                  <w:r>
                    <w:rPr>
                      <w:rFonts w:hint="default" w:ascii="Times New Roman" w:hAnsi="Times New Roman" w:eastAsia="宋体" w:cs="Times New Roman"/>
                      <w:bCs/>
                      <w:color w:val="auto"/>
                      <w:sz w:val="21"/>
                      <w:szCs w:val="21"/>
                      <w:highlight w:val="none"/>
                      <w:lang w:val="en-GB"/>
                    </w:rPr>
                    <w:t>排气筒排放</w:t>
                  </w:r>
                  <w:r>
                    <w:rPr>
                      <w:rFonts w:hint="eastAsia" w:ascii="Times New Roman" w:hAnsi="Times New Roman" w:eastAsia="宋体" w:cs="Times New Roman"/>
                      <w:bCs/>
                      <w:color w:val="auto"/>
                      <w:sz w:val="21"/>
                      <w:szCs w:val="21"/>
                      <w:highlight w:val="none"/>
                      <w:lang w:val="en-US" w:eastAsia="zh-CN"/>
                    </w:rPr>
                    <w:t>。储罐区及暂存库装置区未被收集部分非甲烷总烃无组织逸散</w:t>
                  </w:r>
                </w:p>
              </w:tc>
              <w:tc>
                <w:tcPr>
                  <w:tcW w:w="766" w:type="dxa"/>
                  <w:vMerge w:val="restart"/>
                  <w:tcBorders>
                    <w:tl2br w:val="nil"/>
                    <w:tr2bl w:val="nil"/>
                  </w:tcBorders>
                  <w:noWrap w:val="0"/>
                  <w:vAlign w:val="center"/>
                </w:tcPr>
                <w:p w14:paraId="63D826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olor w:val="auto"/>
                      <w:sz w:val="21"/>
                      <w:szCs w:val="21"/>
                      <w:highlight w:val="none"/>
                      <w:lang w:eastAsia="zh-CN"/>
                    </w:rPr>
                    <w:t>已投产</w:t>
                  </w:r>
                </w:p>
              </w:tc>
            </w:tr>
            <w:tr w14:paraId="69D01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1" w:type="dxa"/>
                  <w:vMerge w:val="continue"/>
                  <w:tcBorders>
                    <w:tl2br w:val="nil"/>
                    <w:tr2bl w:val="nil"/>
                  </w:tcBorders>
                  <w:noWrap w:val="0"/>
                  <w:vAlign w:val="center"/>
                </w:tcPr>
                <w:p w14:paraId="0FF4D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FBB0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2#废酸废碱回收装置</w:t>
                  </w:r>
                </w:p>
              </w:tc>
              <w:tc>
                <w:tcPr>
                  <w:tcW w:w="5791" w:type="dxa"/>
                  <w:tcBorders>
                    <w:tl2br w:val="nil"/>
                    <w:tr2bl w:val="nil"/>
                  </w:tcBorders>
                  <w:noWrap w:val="0"/>
                  <w:vAlign w:val="center"/>
                </w:tcPr>
                <w:p w14:paraId="414ED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冷凝工序氯化氢采用酸碱中和后引至水环真空泵</w:t>
                  </w:r>
                  <w:r>
                    <w:rPr>
                      <w:rFonts w:hint="eastAsia" w:ascii="Times New Roman" w:hAnsi="Times New Roman" w:eastAsia="宋体" w:cs="Times New Roman"/>
                      <w:bCs/>
                      <w:color w:val="auto"/>
                      <w:sz w:val="21"/>
                      <w:szCs w:val="21"/>
                      <w:highlight w:val="none"/>
                    </w:rPr>
                    <w:t>碱液吸收塔吸收处理</w:t>
                  </w:r>
                  <w:r>
                    <w:rPr>
                      <w:rFonts w:hint="default" w:ascii="Times New Roman" w:hAnsi="Times New Roman" w:eastAsia="宋体" w:cs="Times New Roman"/>
                      <w:bCs/>
                      <w:color w:val="auto"/>
                      <w:sz w:val="21"/>
                      <w:szCs w:val="21"/>
                      <w:highlight w:val="none"/>
                      <w:lang w:val="en-GB"/>
                    </w:rPr>
                    <w:t>后经</w:t>
                  </w:r>
                  <w:r>
                    <w:rPr>
                      <w:rFonts w:hint="default"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GB"/>
                    </w:rPr>
                    <w:t>m高</w:t>
                  </w:r>
                  <w:r>
                    <w:rPr>
                      <w:rFonts w:hint="eastAsia" w:ascii="Times New Roman" w:hAnsi="Times New Roman" w:eastAsia="宋体" w:cs="Times New Roman"/>
                      <w:bCs/>
                      <w:color w:val="auto"/>
                      <w:sz w:val="21"/>
                      <w:szCs w:val="21"/>
                      <w:highlight w:val="none"/>
                      <w:lang w:val="en-US" w:eastAsia="zh-CN"/>
                    </w:rPr>
                    <w:t>DA002</w:t>
                  </w:r>
                  <w:r>
                    <w:rPr>
                      <w:rFonts w:hint="default" w:ascii="Times New Roman" w:hAnsi="Times New Roman" w:eastAsia="宋体" w:cs="Times New Roman"/>
                      <w:bCs/>
                      <w:color w:val="auto"/>
                      <w:sz w:val="21"/>
                      <w:szCs w:val="21"/>
                      <w:highlight w:val="none"/>
                      <w:lang w:val="en-GB"/>
                    </w:rPr>
                    <w:t>排气筒排放</w:t>
                  </w:r>
                </w:p>
              </w:tc>
              <w:tc>
                <w:tcPr>
                  <w:tcW w:w="766" w:type="dxa"/>
                  <w:vMerge w:val="continue"/>
                  <w:tcBorders>
                    <w:tl2br w:val="nil"/>
                    <w:tr2bl w:val="nil"/>
                  </w:tcBorders>
                  <w:noWrap w:val="0"/>
                  <w:vAlign w:val="center"/>
                </w:tcPr>
                <w:p w14:paraId="54534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p>
              </w:tc>
            </w:tr>
            <w:tr w14:paraId="3646B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1" w:type="dxa"/>
                  <w:vMerge w:val="continue"/>
                  <w:tcBorders>
                    <w:tl2br w:val="nil"/>
                    <w:tr2bl w:val="nil"/>
                  </w:tcBorders>
                  <w:noWrap w:val="0"/>
                  <w:vAlign w:val="center"/>
                </w:tcPr>
                <w:p w14:paraId="5B932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p>
              </w:tc>
              <w:tc>
                <w:tcPr>
                  <w:tcW w:w="1110" w:type="dxa"/>
                  <w:tcBorders>
                    <w:tl2br w:val="nil"/>
                    <w:tr2bl w:val="nil"/>
                  </w:tcBorders>
                  <w:noWrap w:val="0"/>
                  <w:vAlign w:val="center"/>
                </w:tcPr>
                <w:p w14:paraId="03FC8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甲醇锅炉废气</w:t>
                  </w:r>
                </w:p>
              </w:tc>
              <w:tc>
                <w:tcPr>
                  <w:tcW w:w="5791" w:type="dxa"/>
                  <w:tcBorders>
                    <w:tl2br w:val="nil"/>
                    <w:tr2bl w:val="nil"/>
                  </w:tcBorders>
                  <w:noWrap w:val="0"/>
                  <w:vAlign w:val="center"/>
                </w:tcPr>
                <w:p w14:paraId="6FCFD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处理后由1根15m高DA003排气筒排放</w:t>
                  </w:r>
                </w:p>
              </w:tc>
              <w:tc>
                <w:tcPr>
                  <w:tcW w:w="766" w:type="dxa"/>
                  <w:vMerge w:val="continue"/>
                  <w:tcBorders>
                    <w:tl2br w:val="nil"/>
                    <w:tr2bl w:val="nil"/>
                  </w:tcBorders>
                  <w:noWrap w:val="0"/>
                  <w:vAlign w:val="center"/>
                </w:tcPr>
                <w:p w14:paraId="740E5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rPr>
                  </w:pPr>
                </w:p>
              </w:tc>
            </w:tr>
          </w:tbl>
          <w:p w14:paraId="62EAC7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3、原有产品方案及建设规模</w:t>
            </w:r>
          </w:p>
          <w:p w14:paraId="6FDAF3E8">
            <w:pPr>
              <w:widowControl/>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表2-9  现有工程产品方案一览表</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732"/>
              <w:gridCol w:w="1212"/>
              <w:gridCol w:w="1734"/>
              <w:gridCol w:w="1547"/>
            </w:tblGrid>
            <w:tr w14:paraId="2E187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93" w:type="dxa"/>
                  <w:tcBorders>
                    <w:tl2br w:val="nil"/>
                    <w:tr2bl w:val="nil"/>
                  </w:tcBorders>
                  <w:noWrap w:val="0"/>
                  <w:vAlign w:val="center"/>
                </w:tcPr>
                <w:p w14:paraId="2AA0453A">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序号</w:t>
                  </w:r>
                </w:p>
              </w:tc>
              <w:tc>
                <w:tcPr>
                  <w:tcW w:w="2732" w:type="dxa"/>
                  <w:tcBorders>
                    <w:tl2br w:val="nil"/>
                    <w:tr2bl w:val="nil"/>
                  </w:tcBorders>
                  <w:noWrap w:val="0"/>
                  <w:vAlign w:val="center"/>
                </w:tcPr>
                <w:p w14:paraId="3EF520F6">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产品名称</w:t>
                  </w:r>
                </w:p>
              </w:tc>
              <w:tc>
                <w:tcPr>
                  <w:tcW w:w="1212" w:type="dxa"/>
                  <w:tcBorders>
                    <w:tl2br w:val="nil"/>
                    <w:tr2bl w:val="nil"/>
                  </w:tcBorders>
                  <w:noWrap w:val="0"/>
                  <w:vAlign w:val="center"/>
                </w:tcPr>
                <w:p w14:paraId="700124D6">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单位</w:t>
                  </w:r>
                </w:p>
              </w:tc>
              <w:tc>
                <w:tcPr>
                  <w:tcW w:w="1734" w:type="dxa"/>
                  <w:tcBorders>
                    <w:tl2br w:val="nil"/>
                    <w:tr2bl w:val="nil"/>
                  </w:tcBorders>
                  <w:noWrap w:val="0"/>
                  <w:vAlign w:val="center"/>
                </w:tcPr>
                <w:p w14:paraId="3D627F3C">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产能</w:t>
                  </w:r>
                </w:p>
              </w:tc>
              <w:tc>
                <w:tcPr>
                  <w:tcW w:w="1547" w:type="dxa"/>
                  <w:tcBorders>
                    <w:tl2br w:val="nil"/>
                    <w:tr2bl w:val="nil"/>
                  </w:tcBorders>
                  <w:noWrap w:val="0"/>
                  <w:vAlign w:val="center"/>
                </w:tcPr>
                <w:p w14:paraId="592CDE69">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备注</w:t>
                  </w:r>
                </w:p>
              </w:tc>
            </w:tr>
            <w:tr w14:paraId="58962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50F1DA4C">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732" w:type="dxa"/>
                  <w:tcBorders>
                    <w:tl2br w:val="nil"/>
                    <w:tr2bl w:val="nil"/>
                  </w:tcBorders>
                  <w:noWrap w:val="0"/>
                  <w:vAlign w:val="center"/>
                </w:tcPr>
                <w:p w14:paraId="44587132">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渣油</w:t>
                  </w:r>
                </w:p>
              </w:tc>
              <w:tc>
                <w:tcPr>
                  <w:tcW w:w="1212" w:type="dxa"/>
                  <w:tcBorders>
                    <w:tl2br w:val="nil"/>
                    <w:tr2bl w:val="nil"/>
                  </w:tcBorders>
                  <w:noWrap w:val="0"/>
                  <w:vAlign w:val="center"/>
                </w:tcPr>
                <w:p w14:paraId="14F3D294">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0BD9CE21">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50000</w:t>
                  </w:r>
                </w:p>
              </w:tc>
              <w:tc>
                <w:tcPr>
                  <w:tcW w:w="1547" w:type="dxa"/>
                  <w:vMerge w:val="restart"/>
                  <w:tcBorders>
                    <w:tl2br w:val="nil"/>
                    <w:tr2bl w:val="nil"/>
                  </w:tcBorders>
                  <w:noWrap w:val="0"/>
                  <w:vAlign w:val="center"/>
                </w:tcPr>
                <w:p w14:paraId="004CC9B9">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已投产</w:t>
                  </w:r>
                </w:p>
              </w:tc>
            </w:tr>
            <w:tr w14:paraId="304C6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4602CC76">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732" w:type="dxa"/>
                  <w:tcBorders>
                    <w:tl2br w:val="nil"/>
                    <w:tr2bl w:val="nil"/>
                  </w:tcBorders>
                  <w:noWrap w:val="0"/>
                  <w:vAlign w:val="center"/>
                </w:tcPr>
                <w:p w14:paraId="7493D992">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基础油</w:t>
                  </w:r>
                </w:p>
              </w:tc>
              <w:tc>
                <w:tcPr>
                  <w:tcW w:w="1212" w:type="dxa"/>
                  <w:tcBorders>
                    <w:tl2br w:val="nil"/>
                    <w:tr2bl w:val="nil"/>
                  </w:tcBorders>
                  <w:noWrap w:val="0"/>
                  <w:vAlign w:val="center"/>
                </w:tcPr>
                <w:p w14:paraId="5BCCB57F">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7FB4FC9C">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20000</w:t>
                  </w:r>
                </w:p>
              </w:tc>
              <w:tc>
                <w:tcPr>
                  <w:tcW w:w="1547" w:type="dxa"/>
                  <w:vMerge w:val="continue"/>
                  <w:tcBorders>
                    <w:tl2br w:val="nil"/>
                    <w:tr2bl w:val="nil"/>
                  </w:tcBorders>
                  <w:noWrap w:val="0"/>
                  <w:vAlign w:val="center"/>
                </w:tcPr>
                <w:p w14:paraId="00033EF4">
                  <w:pPr>
                    <w:bidi w:val="0"/>
                    <w:jc w:val="center"/>
                    <w:rPr>
                      <w:rFonts w:hint="default"/>
                      <w:color w:val="auto"/>
                      <w:sz w:val="21"/>
                      <w:szCs w:val="21"/>
                      <w:highlight w:val="none"/>
                      <w:lang w:val="en-US" w:eastAsia="zh-CN"/>
                    </w:rPr>
                  </w:pPr>
                </w:p>
              </w:tc>
            </w:tr>
            <w:tr w14:paraId="0C147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393D22C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732" w:type="dxa"/>
                  <w:tcBorders>
                    <w:tl2br w:val="nil"/>
                    <w:tr2bl w:val="nil"/>
                  </w:tcBorders>
                  <w:noWrap w:val="0"/>
                  <w:vAlign w:val="center"/>
                </w:tcPr>
                <w:p w14:paraId="3C071AB2">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燃料油</w:t>
                  </w:r>
                </w:p>
              </w:tc>
              <w:tc>
                <w:tcPr>
                  <w:tcW w:w="1212" w:type="dxa"/>
                  <w:tcBorders>
                    <w:tl2br w:val="nil"/>
                    <w:tr2bl w:val="nil"/>
                  </w:tcBorders>
                  <w:noWrap w:val="0"/>
                  <w:vAlign w:val="center"/>
                </w:tcPr>
                <w:p w14:paraId="5D57BBE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2AE0E65A">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10000</w:t>
                  </w:r>
                </w:p>
              </w:tc>
              <w:tc>
                <w:tcPr>
                  <w:tcW w:w="1547" w:type="dxa"/>
                  <w:vMerge w:val="continue"/>
                  <w:tcBorders>
                    <w:tl2br w:val="nil"/>
                    <w:tr2bl w:val="nil"/>
                  </w:tcBorders>
                  <w:noWrap w:val="0"/>
                  <w:vAlign w:val="center"/>
                </w:tcPr>
                <w:p w14:paraId="72E331D6">
                  <w:pPr>
                    <w:bidi w:val="0"/>
                    <w:jc w:val="center"/>
                    <w:rPr>
                      <w:rFonts w:hint="default"/>
                      <w:color w:val="auto"/>
                      <w:sz w:val="21"/>
                      <w:szCs w:val="21"/>
                      <w:highlight w:val="none"/>
                      <w:lang w:val="en-US" w:eastAsia="zh-CN"/>
                    </w:rPr>
                  </w:pPr>
                </w:p>
              </w:tc>
            </w:tr>
            <w:tr w14:paraId="6D1CE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93" w:type="dxa"/>
                  <w:tcBorders>
                    <w:tl2br w:val="nil"/>
                    <w:tr2bl w:val="nil"/>
                  </w:tcBorders>
                  <w:noWrap w:val="0"/>
                  <w:vAlign w:val="center"/>
                </w:tcPr>
                <w:p w14:paraId="3561DB37">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732" w:type="dxa"/>
                  <w:tcBorders>
                    <w:tl2br w:val="nil"/>
                    <w:tr2bl w:val="nil"/>
                  </w:tcBorders>
                  <w:noWrap w:val="0"/>
                  <w:vAlign w:val="center"/>
                </w:tcPr>
                <w:p w14:paraId="5B9D128B">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金属块</w:t>
                  </w:r>
                </w:p>
              </w:tc>
              <w:tc>
                <w:tcPr>
                  <w:tcW w:w="1212" w:type="dxa"/>
                  <w:tcBorders>
                    <w:tl2br w:val="nil"/>
                    <w:tr2bl w:val="nil"/>
                  </w:tcBorders>
                  <w:noWrap w:val="0"/>
                  <w:vAlign w:val="center"/>
                </w:tcPr>
                <w:p w14:paraId="00D64F28">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t/a</w:t>
                  </w:r>
                </w:p>
              </w:tc>
              <w:tc>
                <w:tcPr>
                  <w:tcW w:w="1734" w:type="dxa"/>
                  <w:tcBorders>
                    <w:tl2br w:val="nil"/>
                    <w:tr2bl w:val="nil"/>
                  </w:tcBorders>
                  <w:noWrap w:val="0"/>
                  <w:vAlign w:val="center"/>
                </w:tcPr>
                <w:p w14:paraId="3627A6AE">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3000</w:t>
                  </w:r>
                </w:p>
              </w:tc>
              <w:tc>
                <w:tcPr>
                  <w:tcW w:w="1547" w:type="dxa"/>
                  <w:vMerge w:val="continue"/>
                  <w:tcBorders>
                    <w:tl2br w:val="nil"/>
                    <w:tr2bl w:val="nil"/>
                  </w:tcBorders>
                  <w:noWrap w:val="0"/>
                  <w:vAlign w:val="center"/>
                </w:tcPr>
                <w:p w14:paraId="1EAB94A7">
                  <w:pPr>
                    <w:bidi w:val="0"/>
                    <w:jc w:val="center"/>
                    <w:rPr>
                      <w:rFonts w:hint="default"/>
                      <w:color w:val="auto"/>
                      <w:sz w:val="21"/>
                      <w:szCs w:val="21"/>
                      <w:highlight w:val="none"/>
                      <w:lang w:val="en-US" w:eastAsia="zh-CN"/>
                    </w:rPr>
                  </w:pPr>
                </w:p>
              </w:tc>
            </w:tr>
            <w:tr w14:paraId="060B2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4A82C68E">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732" w:type="dxa"/>
                  <w:tcBorders>
                    <w:tl2br w:val="nil"/>
                    <w:tr2bl w:val="nil"/>
                  </w:tcBorders>
                  <w:noWrap w:val="0"/>
                  <w:vAlign w:val="center"/>
                </w:tcPr>
                <w:p w14:paraId="16655A12">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乙醇胺</w:t>
                  </w:r>
                </w:p>
              </w:tc>
              <w:tc>
                <w:tcPr>
                  <w:tcW w:w="1212" w:type="dxa"/>
                  <w:tcBorders>
                    <w:tl2br w:val="nil"/>
                    <w:tr2bl w:val="nil"/>
                  </w:tcBorders>
                  <w:noWrap w:val="0"/>
                  <w:vAlign w:val="center"/>
                </w:tcPr>
                <w:p w14:paraId="06BC585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A558FE8">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526.2</w:t>
                  </w:r>
                </w:p>
              </w:tc>
              <w:tc>
                <w:tcPr>
                  <w:tcW w:w="1547" w:type="dxa"/>
                  <w:vMerge w:val="restart"/>
                  <w:tcBorders>
                    <w:tl2br w:val="nil"/>
                    <w:tr2bl w:val="nil"/>
                  </w:tcBorders>
                  <w:noWrap w:val="0"/>
                  <w:vAlign w:val="center"/>
                </w:tcPr>
                <w:p w14:paraId="577E2D86">
                  <w:pPr>
                    <w:bidi w:val="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已投产</w:t>
                  </w:r>
                </w:p>
              </w:tc>
            </w:tr>
            <w:tr w14:paraId="51B94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2D8C15B8">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2732" w:type="dxa"/>
                  <w:tcBorders>
                    <w:tl2br w:val="nil"/>
                    <w:tr2bl w:val="nil"/>
                  </w:tcBorders>
                  <w:noWrap w:val="0"/>
                  <w:vAlign w:val="center"/>
                </w:tcPr>
                <w:p w14:paraId="5E68DCBC">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N-甲基甲酰胺</w:t>
                  </w:r>
                </w:p>
              </w:tc>
              <w:tc>
                <w:tcPr>
                  <w:tcW w:w="1212" w:type="dxa"/>
                  <w:tcBorders>
                    <w:tl2br w:val="nil"/>
                    <w:tr2bl w:val="nil"/>
                  </w:tcBorders>
                  <w:noWrap w:val="0"/>
                  <w:vAlign w:val="center"/>
                </w:tcPr>
                <w:p w14:paraId="3F897DC5">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5BAC4309">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2020</w:t>
                  </w:r>
                </w:p>
              </w:tc>
              <w:tc>
                <w:tcPr>
                  <w:tcW w:w="1547" w:type="dxa"/>
                  <w:vMerge w:val="continue"/>
                  <w:tcBorders>
                    <w:tl2br w:val="nil"/>
                    <w:tr2bl w:val="nil"/>
                  </w:tcBorders>
                  <w:noWrap w:val="0"/>
                  <w:vAlign w:val="center"/>
                </w:tcPr>
                <w:p w14:paraId="07AFF917">
                  <w:pPr>
                    <w:bidi w:val="0"/>
                    <w:jc w:val="center"/>
                    <w:rPr>
                      <w:rFonts w:hint="default" w:ascii="Times New Roman" w:hAnsi="Times New Roman" w:eastAsia="宋体" w:cs="Times New Roman"/>
                      <w:color w:val="auto"/>
                      <w:sz w:val="21"/>
                      <w:szCs w:val="21"/>
                      <w:highlight w:val="none"/>
                      <w:lang w:val="en-US" w:eastAsia="zh-CN"/>
                    </w:rPr>
                  </w:pPr>
                </w:p>
              </w:tc>
            </w:tr>
            <w:tr w14:paraId="28228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0EBD762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2732" w:type="dxa"/>
                  <w:tcBorders>
                    <w:tl2br w:val="nil"/>
                    <w:tr2bl w:val="nil"/>
                  </w:tcBorders>
                  <w:noWrap w:val="0"/>
                  <w:vAlign w:val="center"/>
                </w:tcPr>
                <w:p w14:paraId="324920F9">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二乙二醇单丁醚</w:t>
                  </w:r>
                </w:p>
              </w:tc>
              <w:tc>
                <w:tcPr>
                  <w:tcW w:w="1212" w:type="dxa"/>
                  <w:tcBorders>
                    <w:tl2br w:val="nil"/>
                    <w:tr2bl w:val="nil"/>
                  </w:tcBorders>
                  <w:noWrap w:val="0"/>
                  <w:vAlign w:val="center"/>
                </w:tcPr>
                <w:p w14:paraId="57D0933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3A8AC7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1842</w:t>
                  </w:r>
                </w:p>
              </w:tc>
              <w:tc>
                <w:tcPr>
                  <w:tcW w:w="1547" w:type="dxa"/>
                  <w:vMerge w:val="continue"/>
                  <w:tcBorders>
                    <w:tl2br w:val="nil"/>
                    <w:tr2bl w:val="nil"/>
                  </w:tcBorders>
                  <w:noWrap w:val="0"/>
                  <w:vAlign w:val="center"/>
                </w:tcPr>
                <w:p w14:paraId="453AA748">
                  <w:pPr>
                    <w:bidi w:val="0"/>
                    <w:jc w:val="center"/>
                    <w:rPr>
                      <w:rFonts w:hint="default" w:ascii="Times New Roman" w:hAnsi="Times New Roman" w:eastAsia="宋体" w:cs="Times New Roman"/>
                      <w:color w:val="auto"/>
                      <w:sz w:val="21"/>
                      <w:szCs w:val="21"/>
                      <w:highlight w:val="none"/>
                      <w:lang w:val="en-US" w:eastAsia="zh-CN"/>
                    </w:rPr>
                  </w:pPr>
                </w:p>
              </w:tc>
            </w:tr>
            <w:tr w14:paraId="0B2EF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6AD992AB">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732" w:type="dxa"/>
                  <w:tcBorders>
                    <w:tl2br w:val="nil"/>
                    <w:tr2bl w:val="nil"/>
                  </w:tcBorders>
                  <w:noWrap w:val="0"/>
                  <w:vAlign w:val="center"/>
                </w:tcPr>
                <w:p w14:paraId="60DFC938">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再生NMP</w:t>
                  </w:r>
                </w:p>
              </w:tc>
              <w:tc>
                <w:tcPr>
                  <w:tcW w:w="1212" w:type="dxa"/>
                  <w:tcBorders>
                    <w:tl2br w:val="nil"/>
                    <w:tr2bl w:val="nil"/>
                  </w:tcBorders>
                  <w:noWrap w:val="0"/>
                  <w:vAlign w:val="center"/>
                </w:tcPr>
                <w:p w14:paraId="751F47DC">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2F8EE19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2549.8</w:t>
                  </w:r>
                </w:p>
              </w:tc>
              <w:tc>
                <w:tcPr>
                  <w:tcW w:w="1547" w:type="dxa"/>
                  <w:vMerge w:val="continue"/>
                  <w:tcBorders>
                    <w:tl2br w:val="nil"/>
                    <w:tr2bl w:val="nil"/>
                  </w:tcBorders>
                  <w:noWrap w:val="0"/>
                  <w:vAlign w:val="center"/>
                </w:tcPr>
                <w:p w14:paraId="6DDCB167">
                  <w:pPr>
                    <w:bidi w:val="0"/>
                    <w:jc w:val="center"/>
                    <w:rPr>
                      <w:rFonts w:hint="default" w:ascii="Times New Roman" w:hAnsi="Times New Roman" w:eastAsia="宋体" w:cs="Times New Roman"/>
                      <w:color w:val="auto"/>
                      <w:sz w:val="21"/>
                      <w:szCs w:val="21"/>
                      <w:highlight w:val="none"/>
                      <w:lang w:val="en-US" w:eastAsia="zh-CN"/>
                    </w:rPr>
                  </w:pPr>
                </w:p>
              </w:tc>
            </w:tr>
            <w:tr w14:paraId="43AD0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93" w:type="dxa"/>
                  <w:tcBorders>
                    <w:tl2br w:val="nil"/>
                    <w:tr2bl w:val="nil"/>
                  </w:tcBorders>
                  <w:noWrap w:val="0"/>
                  <w:vAlign w:val="center"/>
                </w:tcPr>
                <w:p w14:paraId="4866C29B">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2732" w:type="dxa"/>
                  <w:tcBorders>
                    <w:tl2br w:val="nil"/>
                    <w:tr2bl w:val="nil"/>
                  </w:tcBorders>
                  <w:noWrap w:val="0"/>
                  <w:vAlign w:val="center"/>
                </w:tcPr>
                <w:p w14:paraId="0F263A29">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异丙醇</w:t>
                  </w:r>
                </w:p>
              </w:tc>
              <w:tc>
                <w:tcPr>
                  <w:tcW w:w="1212" w:type="dxa"/>
                  <w:tcBorders>
                    <w:tl2br w:val="nil"/>
                    <w:tr2bl w:val="nil"/>
                  </w:tcBorders>
                  <w:noWrap w:val="0"/>
                  <w:vAlign w:val="center"/>
                </w:tcPr>
                <w:p w14:paraId="13AB6C57">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0FE55E42">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649.8</w:t>
                  </w:r>
                </w:p>
              </w:tc>
              <w:tc>
                <w:tcPr>
                  <w:tcW w:w="1547" w:type="dxa"/>
                  <w:vMerge w:val="continue"/>
                  <w:tcBorders>
                    <w:tl2br w:val="nil"/>
                    <w:tr2bl w:val="nil"/>
                  </w:tcBorders>
                  <w:noWrap w:val="0"/>
                  <w:vAlign w:val="center"/>
                </w:tcPr>
                <w:p w14:paraId="5E1C78F2">
                  <w:pPr>
                    <w:bidi w:val="0"/>
                    <w:jc w:val="center"/>
                    <w:rPr>
                      <w:rFonts w:hint="default" w:ascii="Times New Roman" w:hAnsi="Times New Roman" w:eastAsia="宋体" w:cs="Times New Roman"/>
                      <w:color w:val="auto"/>
                      <w:sz w:val="21"/>
                      <w:szCs w:val="21"/>
                      <w:highlight w:val="none"/>
                      <w:lang w:val="en-US" w:eastAsia="zh-CN"/>
                    </w:rPr>
                  </w:pPr>
                </w:p>
              </w:tc>
            </w:tr>
            <w:tr w14:paraId="51EE2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226AFB4E">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2732" w:type="dxa"/>
                  <w:tcBorders>
                    <w:tl2br w:val="nil"/>
                    <w:tr2bl w:val="nil"/>
                  </w:tcBorders>
                  <w:noWrap w:val="0"/>
                  <w:vAlign w:val="center"/>
                </w:tcPr>
                <w:p w14:paraId="09C9857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丙二醇</w:t>
                  </w:r>
                </w:p>
              </w:tc>
              <w:tc>
                <w:tcPr>
                  <w:tcW w:w="1212" w:type="dxa"/>
                  <w:tcBorders>
                    <w:tl2br w:val="nil"/>
                    <w:tr2bl w:val="nil"/>
                  </w:tcBorders>
                  <w:noWrap w:val="0"/>
                  <w:vAlign w:val="center"/>
                </w:tcPr>
                <w:p w14:paraId="3B7D363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2C3FF2C4">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799.8</w:t>
                  </w:r>
                </w:p>
              </w:tc>
              <w:tc>
                <w:tcPr>
                  <w:tcW w:w="1547" w:type="dxa"/>
                  <w:vMerge w:val="continue"/>
                  <w:tcBorders>
                    <w:tl2br w:val="nil"/>
                    <w:tr2bl w:val="nil"/>
                  </w:tcBorders>
                  <w:noWrap w:val="0"/>
                  <w:vAlign w:val="center"/>
                </w:tcPr>
                <w:p w14:paraId="1FA46552">
                  <w:pPr>
                    <w:bidi w:val="0"/>
                    <w:jc w:val="center"/>
                    <w:rPr>
                      <w:rFonts w:hint="default" w:ascii="Times New Roman" w:hAnsi="Times New Roman" w:eastAsia="宋体" w:cs="Times New Roman"/>
                      <w:color w:val="auto"/>
                      <w:sz w:val="21"/>
                      <w:szCs w:val="21"/>
                      <w:highlight w:val="none"/>
                      <w:lang w:val="en-US" w:eastAsia="zh-CN"/>
                    </w:rPr>
                  </w:pPr>
                </w:p>
              </w:tc>
            </w:tr>
            <w:tr w14:paraId="65EA7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45899AF5">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2732" w:type="dxa"/>
                  <w:tcBorders>
                    <w:tl2br w:val="nil"/>
                    <w:tr2bl w:val="nil"/>
                  </w:tcBorders>
                  <w:noWrap w:val="0"/>
                  <w:vAlign w:val="center"/>
                </w:tcPr>
                <w:p w14:paraId="3BC82290">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甲醇</w:t>
                  </w:r>
                </w:p>
              </w:tc>
              <w:tc>
                <w:tcPr>
                  <w:tcW w:w="1212" w:type="dxa"/>
                  <w:tcBorders>
                    <w:tl2br w:val="nil"/>
                    <w:tr2bl w:val="nil"/>
                  </w:tcBorders>
                  <w:noWrap w:val="0"/>
                  <w:vAlign w:val="center"/>
                </w:tcPr>
                <w:p w14:paraId="59D8D20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02EA7918">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1578</w:t>
                  </w:r>
                </w:p>
              </w:tc>
              <w:tc>
                <w:tcPr>
                  <w:tcW w:w="1547" w:type="dxa"/>
                  <w:vMerge w:val="continue"/>
                  <w:tcBorders>
                    <w:tl2br w:val="nil"/>
                    <w:tr2bl w:val="nil"/>
                  </w:tcBorders>
                  <w:noWrap w:val="0"/>
                  <w:vAlign w:val="center"/>
                </w:tcPr>
                <w:p w14:paraId="519C2AFA">
                  <w:pPr>
                    <w:bidi w:val="0"/>
                    <w:jc w:val="center"/>
                    <w:rPr>
                      <w:rFonts w:hint="default" w:ascii="Times New Roman" w:hAnsi="Times New Roman" w:eastAsia="宋体" w:cs="Times New Roman"/>
                      <w:color w:val="auto"/>
                      <w:sz w:val="21"/>
                      <w:szCs w:val="21"/>
                      <w:highlight w:val="none"/>
                      <w:lang w:val="en-US" w:eastAsia="zh-CN"/>
                    </w:rPr>
                  </w:pPr>
                </w:p>
              </w:tc>
            </w:tr>
            <w:tr w14:paraId="1C84F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93" w:type="dxa"/>
                  <w:tcBorders>
                    <w:tl2br w:val="nil"/>
                    <w:tr2bl w:val="nil"/>
                  </w:tcBorders>
                  <w:noWrap w:val="0"/>
                  <w:vAlign w:val="center"/>
                </w:tcPr>
                <w:p w14:paraId="54E3AAE7">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2732" w:type="dxa"/>
                  <w:tcBorders>
                    <w:tl2br w:val="nil"/>
                    <w:tr2bl w:val="nil"/>
                  </w:tcBorders>
                  <w:noWrap w:val="0"/>
                  <w:vAlign w:val="center"/>
                </w:tcPr>
                <w:p w14:paraId="2D321A2C">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乙醇</w:t>
                  </w:r>
                </w:p>
              </w:tc>
              <w:tc>
                <w:tcPr>
                  <w:tcW w:w="1212" w:type="dxa"/>
                  <w:tcBorders>
                    <w:tl2br w:val="nil"/>
                    <w:tr2bl w:val="nil"/>
                  </w:tcBorders>
                  <w:noWrap w:val="0"/>
                  <w:vAlign w:val="center"/>
                </w:tcPr>
                <w:p w14:paraId="2171D84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21A71D5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4210</w:t>
                  </w:r>
                </w:p>
              </w:tc>
              <w:tc>
                <w:tcPr>
                  <w:tcW w:w="1547" w:type="dxa"/>
                  <w:vMerge w:val="continue"/>
                  <w:tcBorders>
                    <w:tl2br w:val="nil"/>
                    <w:tr2bl w:val="nil"/>
                  </w:tcBorders>
                  <w:noWrap w:val="0"/>
                  <w:vAlign w:val="center"/>
                </w:tcPr>
                <w:p w14:paraId="3E8484E9">
                  <w:pPr>
                    <w:bidi w:val="0"/>
                    <w:jc w:val="center"/>
                    <w:rPr>
                      <w:rFonts w:hint="default" w:ascii="Times New Roman" w:hAnsi="Times New Roman" w:eastAsia="宋体" w:cs="Times New Roman"/>
                      <w:color w:val="auto"/>
                      <w:sz w:val="21"/>
                      <w:szCs w:val="21"/>
                      <w:highlight w:val="none"/>
                      <w:lang w:val="en-US" w:eastAsia="zh-CN"/>
                    </w:rPr>
                  </w:pPr>
                </w:p>
              </w:tc>
            </w:tr>
            <w:tr w14:paraId="19515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1B134D4D">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2732" w:type="dxa"/>
                  <w:tcBorders>
                    <w:tl2br w:val="nil"/>
                    <w:tr2bl w:val="nil"/>
                  </w:tcBorders>
                  <w:noWrap w:val="0"/>
                  <w:vAlign w:val="center"/>
                </w:tcPr>
                <w:p w14:paraId="297FD6C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杂醇油</w:t>
                  </w:r>
                </w:p>
              </w:tc>
              <w:tc>
                <w:tcPr>
                  <w:tcW w:w="1212" w:type="dxa"/>
                  <w:tcBorders>
                    <w:tl2br w:val="nil"/>
                    <w:tr2bl w:val="nil"/>
                  </w:tcBorders>
                  <w:noWrap w:val="0"/>
                  <w:vAlign w:val="center"/>
                </w:tcPr>
                <w:p w14:paraId="3A163DE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2BBFDFE">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2631.44</w:t>
                  </w:r>
                </w:p>
              </w:tc>
              <w:tc>
                <w:tcPr>
                  <w:tcW w:w="1547" w:type="dxa"/>
                  <w:vMerge w:val="continue"/>
                  <w:tcBorders>
                    <w:tl2br w:val="nil"/>
                    <w:tr2bl w:val="nil"/>
                  </w:tcBorders>
                  <w:noWrap w:val="0"/>
                  <w:vAlign w:val="center"/>
                </w:tcPr>
                <w:p w14:paraId="57EB7B92">
                  <w:pPr>
                    <w:bidi w:val="0"/>
                    <w:jc w:val="center"/>
                    <w:rPr>
                      <w:rFonts w:hint="default" w:ascii="Times New Roman" w:hAnsi="Times New Roman" w:eastAsia="宋体" w:cs="Times New Roman"/>
                      <w:color w:val="auto"/>
                      <w:sz w:val="21"/>
                      <w:szCs w:val="21"/>
                      <w:highlight w:val="none"/>
                      <w:lang w:val="en-US" w:eastAsia="zh-CN"/>
                    </w:rPr>
                  </w:pPr>
                </w:p>
              </w:tc>
            </w:tr>
            <w:tr w14:paraId="0A40B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0B78F837">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2732" w:type="dxa"/>
                  <w:tcBorders>
                    <w:tl2br w:val="nil"/>
                    <w:tr2bl w:val="nil"/>
                  </w:tcBorders>
                  <w:noWrap w:val="0"/>
                  <w:vAlign w:val="center"/>
                </w:tcPr>
                <w:p w14:paraId="22E23CFA">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N-N-甲基甲酰胺</w:t>
                  </w:r>
                </w:p>
              </w:tc>
              <w:tc>
                <w:tcPr>
                  <w:tcW w:w="1212" w:type="dxa"/>
                  <w:tcBorders>
                    <w:tl2br w:val="nil"/>
                    <w:tr2bl w:val="nil"/>
                  </w:tcBorders>
                  <w:noWrap w:val="0"/>
                  <w:vAlign w:val="center"/>
                </w:tcPr>
                <w:p w14:paraId="34DAC9BD">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6DA1370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8420</w:t>
                  </w:r>
                </w:p>
              </w:tc>
              <w:tc>
                <w:tcPr>
                  <w:tcW w:w="1547" w:type="dxa"/>
                  <w:vMerge w:val="continue"/>
                  <w:tcBorders>
                    <w:tl2br w:val="nil"/>
                    <w:tr2bl w:val="nil"/>
                  </w:tcBorders>
                  <w:noWrap w:val="0"/>
                  <w:vAlign w:val="center"/>
                </w:tcPr>
                <w:p w14:paraId="0CB7480E">
                  <w:pPr>
                    <w:bidi w:val="0"/>
                    <w:jc w:val="center"/>
                    <w:rPr>
                      <w:rFonts w:hint="default" w:ascii="Times New Roman" w:hAnsi="Times New Roman" w:eastAsia="宋体" w:cs="Times New Roman"/>
                      <w:color w:val="auto"/>
                      <w:sz w:val="21"/>
                      <w:szCs w:val="21"/>
                      <w:highlight w:val="none"/>
                      <w:lang w:val="en-US" w:eastAsia="zh-CN"/>
                    </w:rPr>
                  </w:pPr>
                </w:p>
              </w:tc>
            </w:tr>
            <w:tr w14:paraId="01BBB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93" w:type="dxa"/>
                  <w:tcBorders>
                    <w:tl2br w:val="nil"/>
                    <w:tr2bl w:val="nil"/>
                  </w:tcBorders>
                  <w:noWrap w:val="0"/>
                  <w:vAlign w:val="center"/>
                </w:tcPr>
                <w:p w14:paraId="29657814">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732" w:type="dxa"/>
                  <w:tcBorders>
                    <w:tl2br w:val="nil"/>
                    <w:tr2bl w:val="nil"/>
                  </w:tcBorders>
                  <w:noWrap w:val="0"/>
                  <w:vAlign w:val="center"/>
                </w:tcPr>
                <w:p w14:paraId="243392CF">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四水氯化亚铁（15%）</w:t>
                  </w:r>
                </w:p>
              </w:tc>
              <w:tc>
                <w:tcPr>
                  <w:tcW w:w="1212" w:type="dxa"/>
                  <w:tcBorders>
                    <w:tl2br w:val="nil"/>
                    <w:tr2bl w:val="nil"/>
                  </w:tcBorders>
                  <w:noWrap w:val="0"/>
                  <w:vAlign w:val="center"/>
                </w:tcPr>
                <w:p w14:paraId="74A8EF46">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3A4F35D5">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p>
              </w:tc>
              <w:tc>
                <w:tcPr>
                  <w:tcW w:w="1547" w:type="dxa"/>
                  <w:vMerge w:val="continue"/>
                  <w:tcBorders>
                    <w:tl2br w:val="nil"/>
                    <w:tr2bl w:val="nil"/>
                  </w:tcBorders>
                  <w:noWrap w:val="0"/>
                  <w:vAlign w:val="center"/>
                </w:tcPr>
                <w:p w14:paraId="607691D6">
                  <w:pPr>
                    <w:bidi w:val="0"/>
                    <w:jc w:val="center"/>
                    <w:rPr>
                      <w:rFonts w:hint="default" w:ascii="Times New Roman" w:hAnsi="Times New Roman" w:eastAsia="宋体" w:cs="Times New Roman"/>
                      <w:color w:val="auto"/>
                      <w:sz w:val="21"/>
                      <w:szCs w:val="21"/>
                      <w:highlight w:val="none"/>
                      <w:lang w:val="en-US" w:eastAsia="zh-CN"/>
                    </w:rPr>
                  </w:pPr>
                </w:p>
              </w:tc>
            </w:tr>
            <w:tr w14:paraId="3DEF6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3" w:type="dxa"/>
                  <w:tcBorders>
                    <w:tl2br w:val="nil"/>
                    <w:tr2bl w:val="nil"/>
                  </w:tcBorders>
                  <w:noWrap w:val="0"/>
                  <w:vAlign w:val="center"/>
                </w:tcPr>
                <w:p w14:paraId="479F7FA9">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2732" w:type="dxa"/>
                  <w:tcBorders>
                    <w:tl2br w:val="nil"/>
                    <w:tr2bl w:val="nil"/>
                  </w:tcBorders>
                  <w:noWrap w:val="0"/>
                  <w:vAlign w:val="center"/>
                </w:tcPr>
                <w:p w14:paraId="410A4584">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氯化钠</w:t>
                  </w:r>
                </w:p>
              </w:tc>
              <w:tc>
                <w:tcPr>
                  <w:tcW w:w="1212" w:type="dxa"/>
                  <w:tcBorders>
                    <w:tl2br w:val="nil"/>
                    <w:tr2bl w:val="nil"/>
                  </w:tcBorders>
                  <w:noWrap w:val="0"/>
                  <w:vAlign w:val="center"/>
                </w:tcPr>
                <w:p w14:paraId="18084C0A">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734" w:type="dxa"/>
                  <w:tcBorders>
                    <w:tl2br w:val="nil"/>
                    <w:tr2bl w:val="nil"/>
                  </w:tcBorders>
                  <w:noWrap w:val="0"/>
                  <w:vAlign w:val="center"/>
                </w:tcPr>
                <w:p w14:paraId="13AE6C11">
                  <w:pPr>
                    <w:bidi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245</w:t>
                  </w:r>
                </w:p>
              </w:tc>
              <w:tc>
                <w:tcPr>
                  <w:tcW w:w="1547" w:type="dxa"/>
                  <w:vMerge w:val="continue"/>
                  <w:tcBorders>
                    <w:tl2br w:val="nil"/>
                    <w:tr2bl w:val="nil"/>
                  </w:tcBorders>
                  <w:noWrap w:val="0"/>
                  <w:vAlign w:val="center"/>
                </w:tcPr>
                <w:p w14:paraId="176135C5">
                  <w:pPr>
                    <w:bidi w:val="0"/>
                    <w:jc w:val="center"/>
                    <w:rPr>
                      <w:rFonts w:hint="default" w:ascii="Times New Roman" w:hAnsi="Times New Roman" w:eastAsia="宋体" w:cs="Times New Roman"/>
                      <w:color w:val="auto"/>
                      <w:sz w:val="21"/>
                      <w:szCs w:val="21"/>
                      <w:highlight w:val="none"/>
                      <w:lang w:val="en-US" w:eastAsia="zh-CN"/>
                    </w:rPr>
                  </w:pPr>
                </w:p>
              </w:tc>
            </w:tr>
          </w:tbl>
          <w:p w14:paraId="4D61E4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4、现有项目污染物防治措施以及达标排放情况</w:t>
            </w:r>
          </w:p>
          <w:p w14:paraId="419370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（1）废气污染物防治措施以及达标排放情况</w:t>
            </w:r>
          </w:p>
          <w:p w14:paraId="2276D7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现有工程有组织废气包括清洗车间废气、预处理废气、1#、2#加热炉废气、油泥处置工段废气、食堂油烟废气。</w:t>
            </w:r>
          </w:p>
          <w:p w14:paraId="430F7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①清洗工段废气</w:t>
            </w:r>
          </w:p>
          <w:p w14:paraId="2E9B8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清洗工序产生废气主要污染物为非甲烷总烃，经收集后引入1套UV光氧+活性炭吸附装置处理后由15m高DA001排气筒排放。</w:t>
            </w:r>
          </w:p>
          <w:p w14:paraId="26127C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根据陕西森美佳境环境检测有限公司于2023年11月13日出具的《陕西宝鸡恒兴石化科技有限公司排污监测（2023第4季度及下半年）</w:t>
            </w:r>
            <w:r>
              <w:rPr>
                <w:rFonts w:hint="default" w:ascii="Times New Roman" w:hAnsi="Times New Roman" w:cs="Times New Roman"/>
                <w:color w:val="auto"/>
                <w:kern w:val="2"/>
                <w:sz w:val="24"/>
                <w:szCs w:val="24"/>
                <w:highlight w:val="none"/>
                <w:lang w:val="en-US" w:eastAsia="zh-CN" w:bidi="ar-SA"/>
              </w:rPr>
              <w:t>》（报告编号：森美佳境监（综）字【2023】第11020号），现有项目</w:t>
            </w:r>
            <w:r>
              <w:rPr>
                <w:rFonts w:hint="default" w:ascii="Times New Roman" w:hAnsi="Times New Roman" w:eastAsia="宋体" w:cs="Times New Roman"/>
                <w:color w:val="auto"/>
                <w:sz w:val="24"/>
                <w:szCs w:val="24"/>
                <w:highlight w:val="none"/>
                <w:lang w:val="en-US" w:eastAsia="zh-CN"/>
              </w:rPr>
              <w:t>清洗工段</w:t>
            </w:r>
            <w:r>
              <w:rPr>
                <w:rFonts w:hint="default" w:ascii="Times New Roman" w:hAnsi="Times New Roman" w:cs="Times New Roman"/>
                <w:color w:val="auto"/>
                <w:kern w:val="2"/>
                <w:sz w:val="24"/>
                <w:szCs w:val="24"/>
                <w:highlight w:val="none"/>
                <w:lang w:val="en-US" w:eastAsia="zh-CN" w:bidi="ar-SA"/>
              </w:rPr>
              <w:t>废气非甲烷总烃的排放浓度及排放速率满足《大气污染物综合排放标准》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GB 16297-1996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表2中使用溶剂汽油或其他混合烃类物质二级标准限值的要求。</w:t>
            </w:r>
          </w:p>
          <w:p w14:paraId="39320AEA">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②预处理废气</w:t>
            </w:r>
          </w:p>
          <w:p w14:paraId="3F77D699">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现有项目预处理工序产生废气主要污染物为非甲烷总烃，经收集后引入1套UV光氧活性炭一体机吸附装置处理后由15m高DA002排气筒排放。</w:t>
            </w:r>
          </w:p>
          <w:p w14:paraId="0F016E17">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根据陕西森美佳境环境检测有限公司于2023年11月13日出具的《陕西宝鸡恒兴石化科技有限公司排污监测（2023第4季度及下半年）》（报告编号：森美佳境监（综）字【2023】第11020号），现有项目预处理工段废气非甲烷总烃的排放浓度及排放速率满足《大气污染物综合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GB 16297-1996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表2中使用溶剂汽油或其他混合烃类物质二级标准限值的要求。</w:t>
            </w:r>
          </w:p>
          <w:p w14:paraId="4362D185">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③油泥处置工序废气</w:t>
            </w:r>
          </w:p>
          <w:p w14:paraId="68CF5110">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现有项目油泥处置工序产生废气主要污染物为非甲烷总烃、氨、硫化氢及臭气浓度，经收集后引入1套UV光氧+活性炭吸附装置处理后由15m高排气筒排放。</w:t>
            </w:r>
          </w:p>
          <w:p w14:paraId="209D614A">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根据陕西森美佳境环境检测有限公司于2023年11月13日出具的《陕西宝鸡恒兴石化科技有限公司排污监测（2023第4季度及下半年）》（报告编号：森美佳境监（综）字【2023】第11020号），现有项目油泥处置工序非甲烷总烃排放满足《大气污染物综合排放标准》（GB16297-1996）中表2二级标准限值，氨、硫化氢和臭气浓度排放速率满足《恶臭污染物排放标准》（GB14554-93）中表2排放标准限值。</w:t>
            </w:r>
          </w:p>
          <w:p w14:paraId="12F7BD8D">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④1#、2#加热炉废气</w:t>
            </w:r>
          </w:p>
          <w:p w14:paraId="7F71350E">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现有项目加热炉</w:t>
            </w:r>
            <w:r>
              <w:rPr>
                <w:rFonts w:hint="eastAsia" w:cs="Times New Roman"/>
                <w:color w:val="auto"/>
                <w:kern w:val="2"/>
                <w:sz w:val="24"/>
                <w:szCs w:val="24"/>
                <w:highlight w:val="none"/>
                <w:lang w:val="en-US" w:eastAsia="zh-CN" w:bidi="ar-SA"/>
              </w:rPr>
              <w:t>处于2023年年度处于停运，未进行污染物排放</w:t>
            </w:r>
            <w:r>
              <w:rPr>
                <w:rFonts w:hint="default" w:ascii="Times New Roman" w:hAnsi="Times New Roman" w:eastAsia="宋体" w:cs="Times New Roman"/>
                <w:color w:val="auto"/>
                <w:kern w:val="2"/>
                <w:sz w:val="24"/>
                <w:szCs w:val="24"/>
                <w:highlight w:val="none"/>
                <w:lang w:val="en-US" w:eastAsia="zh-CN" w:bidi="ar-SA"/>
              </w:rPr>
              <w:t>。</w:t>
            </w:r>
          </w:p>
          <w:p w14:paraId="3EEB0F5C">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⑤无组织废气</w:t>
            </w:r>
          </w:p>
          <w:p w14:paraId="51D3655B">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企业无组织废气，根据陕西森美佳境环境检测有限公司于2023年11月13日出具的《陕西宝鸡恒兴石化科技有限公司排污监测（2023第4季度及下半年）》（报告编号：森美佳境监（综）字【2023】第11020号），现有项目厂区无组织废气臭气浓度、氨、硫化氢均满足《恶臭污染物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 14554-1993</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表1中二级新扩改建标准限值的要求；非甲烷总烃满足《挥发性有机物排放控制标准》</w:t>
            </w:r>
            <w:r>
              <w:rPr>
                <w:rFonts w:hint="eastAsia" w:ascii="Times New Roman" w:hAnsi="Times New Roman" w:cs="Times New Roman"/>
                <w:color w:val="auto"/>
                <w:kern w:val="2"/>
                <w:sz w:val="24"/>
                <w:szCs w:val="24"/>
                <w:highlight w:val="none"/>
                <w:lang w:val="en-US" w:eastAsia="zh-CN" w:bidi="ar-SA"/>
              </w:rPr>
              <w:t>（DB61/T1061-2017）</w:t>
            </w:r>
            <w:r>
              <w:rPr>
                <w:rFonts w:hint="default" w:ascii="Times New Roman" w:hAnsi="Times New Roman" w:eastAsia="宋体" w:cs="Times New Roman"/>
                <w:color w:val="auto"/>
                <w:kern w:val="2"/>
                <w:sz w:val="24"/>
                <w:szCs w:val="24"/>
                <w:highlight w:val="none"/>
                <w:lang w:val="en-US" w:eastAsia="zh-CN" w:bidi="ar-SA"/>
              </w:rPr>
              <w:t>表3中标准限值的要求</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总悬浮颗粒物满足《大气污染物综合排放标准》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 16297-1996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表2中周界外浓度最高点标准限值的要求。</w:t>
            </w:r>
          </w:p>
          <w:p w14:paraId="1C7791A3">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（2）废水污染物防治措施以及达标排放情况</w:t>
            </w:r>
          </w:p>
          <w:p w14:paraId="7AC02CDF">
            <w:pPr>
              <w:spacing w:line="360" w:lineRule="auto"/>
              <w:ind w:firstLine="480" w:firstLineChars="20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现有项目运营期废水主要为生活污水，厂区生活污水经化粪池（餐饮废水经油水分离器）预处理后，经污水管网排入长青工业园污水处理厂。</w:t>
            </w:r>
          </w:p>
          <w:p w14:paraId="7694D1DD">
            <w:pPr>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根据陕西森美佳境环境检测有限公司</w:t>
            </w:r>
            <w:r>
              <w:rPr>
                <w:rFonts w:hint="default" w:ascii="Times New Roman" w:hAnsi="Times New Roman" w:cs="Times New Roman"/>
                <w:color w:val="auto"/>
                <w:kern w:val="2"/>
                <w:sz w:val="24"/>
                <w:szCs w:val="24"/>
                <w:highlight w:val="none"/>
                <w:lang w:val="en-US" w:eastAsia="zh-CN" w:bidi="ar-SA"/>
              </w:rPr>
              <w:t>出具的监测报告，</w:t>
            </w:r>
            <w:r>
              <w:rPr>
                <w:rFonts w:hint="default" w:ascii="Times New Roman" w:hAnsi="Times New Roman" w:cs="Times New Roman"/>
                <w:color w:val="auto"/>
                <w:sz w:val="24"/>
                <w:highlight w:val="none"/>
                <w:lang w:val="en-US" w:eastAsia="zh-CN"/>
              </w:rPr>
              <w:t>现有项目生活污水总排口出水中各项污染物排放浓度均符合《污水综合排放标准》（GB8978-1996）中表4中三级标准排放限值要求和《污水排入城镇下水道水质标准》（GB/T 31962-2015）表1中B级标准限值要求。</w:t>
            </w:r>
          </w:p>
          <w:p w14:paraId="5F35CE78">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（3）噪声</w:t>
            </w:r>
          </w:p>
          <w:p w14:paraId="66A94A49">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现有项目设备噪声主要来自生产设备，产生噪声级别在65~80B</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A）之间。</w:t>
            </w:r>
          </w:p>
          <w:p w14:paraId="55946BE3">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治理措施：现有项目采取选择低噪声的设备，给水泵等产噪设备安装减振垫均设置于室内，对设备进行定期检修，加强润滑作用，保持设备良好的运转状态，尽量降低噪声等噪声防治措施。</w:t>
            </w:r>
          </w:p>
          <w:p w14:paraId="10ADD027">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根据陕西森美佳境环境检测有限公司于2023年11月13日出具的《陕西宝鸡恒兴石化科技有限公司排污监测（2023第4季度及下半年）》（报告编号：森美佳境监（综）字【2023】第11020号），</w:t>
            </w:r>
            <w:r>
              <w:rPr>
                <w:rFonts w:hint="default" w:ascii="Times New Roman" w:hAnsi="Times New Roman" w:cs="Times New Roman"/>
                <w:color w:val="auto"/>
                <w:sz w:val="24"/>
                <w:highlight w:val="none"/>
                <w:lang w:val="en-US" w:eastAsia="zh-CN"/>
              </w:rPr>
              <w:t>现有项目厂界监测昼间噪声结果均符合《工业企业厂界环境噪声排放标准》（GB 12348-2008）3类标准。</w:t>
            </w:r>
          </w:p>
          <w:p w14:paraId="554EBA24">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（4）固体废弃物</w:t>
            </w:r>
          </w:p>
          <w:p w14:paraId="6FD78A81">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现有工程固体废物包括一般工业固废、危险废物、生活垃圾。</w:t>
            </w:r>
          </w:p>
          <w:p w14:paraId="257ACEFD">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治理措施：项目产生的固体废物主要为油泥处理工艺中离心出的含油污泥、生活垃圾、废包装材料、气浮渣、废气处理产生的废活性炭等。生活垃圾交由园区环卫部门处置，食堂废油脂交由专业餐厨垃圾处置公司处置。</w:t>
            </w:r>
          </w:p>
          <w:p w14:paraId="2B6A28C9">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项目产生的危险废物含油污泥、废包装材料、气浮渣、废气处理产生的废活性炭、UV灯管等在车间内设置危险废物暂存区域，规范暂存后交千阳海创环保科技有限公司、金隅冀东凤翔环保科技有限公司处置。</w:t>
            </w:r>
          </w:p>
          <w:p w14:paraId="683E5A85">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、现有工程污染物实际排放总量</w:t>
            </w:r>
          </w:p>
          <w:p w14:paraId="20CABC9F">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根据现有项目验收监测报告、企业日常监测数据，现有工程污染物排放情况如下：</w:t>
            </w:r>
          </w:p>
          <w:p w14:paraId="48A85C7A">
            <w:pPr>
              <w:widowControl/>
              <w:jc w:val="center"/>
              <w:rPr>
                <w:rFonts w:hint="eastAsia" w:eastAsia="宋体"/>
                <w:color w:val="auto"/>
                <w:sz w:val="24"/>
                <w:highlight w:val="none"/>
                <w:lang w:eastAsia="zh-CN"/>
              </w:rPr>
            </w:pPr>
            <w:r>
              <w:rPr>
                <w:rFonts w:hint="eastAsia"/>
                <w:color w:val="auto"/>
                <w:sz w:val="24"/>
                <w:highlight w:val="none"/>
              </w:rPr>
              <w:t>表2-8   现有</w:t>
            </w:r>
            <w:r>
              <w:rPr>
                <w:rFonts w:hint="eastAsia"/>
                <w:color w:val="auto"/>
                <w:sz w:val="24"/>
                <w:highlight w:val="none"/>
                <w:lang w:eastAsia="zh-CN"/>
              </w:rPr>
              <w:t>项目</w:t>
            </w:r>
            <w:r>
              <w:rPr>
                <w:rFonts w:hint="eastAsia"/>
                <w:color w:val="auto"/>
                <w:sz w:val="24"/>
                <w:highlight w:val="none"/>
              </w:rPr>
              <w:t>污染物排放情况（单位：</w:t>
            </w:r>
            <w:r>
              <w:rPr>
                <w:color w:val="auto"/>
                <w:sz w:val="24"/>
                <w:highlight w:val="none"/>
              </w:rPr>
              <w:t>t/a</w:t>
            </w:r>
            <w:r>
              <w:rPr>
                <w:rFonts w:hint="eastAsia"/>
                <w:color w:val="auto"/>
                <w:sz w:val="24"/>
                <w:highlight w:val="none"/>
              </w:rPr>
              <w:t>）</w:t>
            </w:r>
          </w:p>
          <w:tbl>
            <w:tblPr>
              <w:tblStyle w:val="36"/>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99"/>
              <w:gridCol w:w="1328"/>
              <w:gridCol w:w="1010"/>
              <w:gridCol w:w="170"/>
              <w:gridCol w:w="588"/>
              <w:gridCol w:w="773"/>
              <w:gridCol w:w="891"/>
              <w:gridCol w:w="1509"/>
            </w:tblGrid>
            <w:tr w14:paraId="2A011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48" w:type="dxa"/>
                  <w:tcBorders>
                    <w:tl2br w:val="nil"/>
                    <w:tr2bl w:val="nil"/>
                  </w:tcBorders>
                  <w:noWrap w:val="0"/>
                  <w:vAlign w:val="center"/>
                </w:tcPr>
                <w:p w14:paraId="3F86A7CA">
                  <w:pPr>
                    <w:kinsoku w:val="0"/>
                    <w:overflowPunct w:val="0"/>
                    <w:autoSpaceDE w:val="0"/>
                    <w:autoSpaceDN w:val="0"/>
                    <w:jc w:val="center"/>
                    <w:rPr>
                      <w:b/>
                      <w:bCs/>
                      <w:color w:val="auto"/>
                      <w:kern w:val="0"/>
                      <w:szCs w:val="21"/>
                      <w:highlight w:val="none"/>
                    </w:rPr>
                  </w:pPr>
                  <w:r>
                    <w:rPr>
                      <w:rFonts w:hint="eastAsia"/>
                      <w:b/>
                      <w:bCs/>
                      <w:color w:val="auto"/>
                      <w:kern w:val="0"/>
                      <w:szCs w:val="21"/>
                      <w:highlight w:val="none"/>
                    </w:rPr>
                    <w:t>类别</w:t>
                  </w:r>
                </w:p>
              </w:tc>
              <w:tc>
                <w:tcPr>
                  <w:tcW w:w="1099" w:type="dxa"/>
                  <w:tcBorders>
                    <w:tl2br w:val="nil"/>
                    <w:tr2bl w:val="nil"/>
                  </w:tcBorders>
                  <w:noWrap w:val="0"/>
                  <w:vAlign w:val="center"/>
                </w:tcPr>
                <w:p w14:paraId="629E713D">
                  <w:pPr>
                    <w:kinsoku w:val="0"/>
                    <w:overflowPunct w:val="0"/>
                    <w:autoSpaceDE w:val="0"/>
                    <w:autoSpaceDN w:val="0"/>
                    <w:jc w:val="center"/>
                    <w:rPr>
                      <w:b/>
                      <w:bCs/>
                      <w:color w:val="auto"/>
                      <w:kern w:val="0"/>
                      <w:szCs w:val="21"/>
                      <w:highlight w:val="none"/>
                    </w:rPr>
                  </w:pPr>
                  <w:r>
                    <w:rPr>
                      <w:rFonts w:hint="eastAsia"/>
                      <w:b/>
                      <w:bCs/>
                      <w:color w:val="auto"/>
                      <w:kern w:val="0"/>
                      <w:szCs w:val="21"/>
                      <w:highlight w:val="none"/>
                    </w:rPr>
                    <w:t>污染源</w:t>
                  </w:r>
                </w:p>
              </w:tc>
              <w:tc>
                <w:tcPr>
                  <w:tcW w:w="1328" w:type="dxa"/>
                  <w:tcBorders>
                    <w:tl2br w:val="nil"/>
                    <w:tr2bl w:val="nil"/>
                  </w:tcBorders>
                  <w:noWrap w:val="0"/>
                  <w:vAlign w:val="center"/>
                </w:tcPr>
                <w:p w14:paraId="078F20CC">
                  <w:pPr>
                    <w:kinsoku w:val="0"/>
                    <w:overflowPunct w:val="0"/>
                    <w:autoSpaceDE w:val="0"/>
                    <w:autoSpaceDN w:val="0"/>
                    <w:jc w:val="center"/>
                    <w:rPr>
                      <w:b/>
                      <w:bCs/>
                      <w:color w:val="auto"/>
                      <w:kern w:val="0"/>
                      <w:szCs w:val="21"/>
                      <w:highlight w:val="none"/>
                    </w:rPr>
                  </w:pPr>
                  <w:r>
                    <w:rPr>
                      <w:rFonts w:hint="eastAsia"/>
                      <w:b/>
                      <w:bCs/>
                      <w:color w:val="auto"/>
                      <w:kern w:val="0"/>
                      <w:szCs w:val="21"/>
                      <w:highlight w:val="none"/>
                    </w:rPr>
                    <w:t>污染物</w:t>
                  </w:r>
                </w:p>
              </w:tc>
              <w:tc>
                <w:tcPr>
                  <w:tcW w:w="1010" w:type="dxa"/>
                  <w:tcBorders>
                    <w:tl2br w:val="nil"/>
                    <w:tr2bl w:val="nil"/>
                  </w:tcBorders>
                  <w:noWrap w:val="0"/>
                  <w:vAlign w:val="center"/>
                </w:tcPr>
                <w:p w14:paraId="6C7A23DC">
                  <w:pPr>
                    <w:kinsoku w:val="0"/>
                    <w:overflowPunct w:val="0"/>
                    <w:autoSpaceDE w:val="0"/>
                    <w:autoSpaceDN w:val="0"/>
                    <w:jc w:val="center"/>
                    <w:rPr>
                      <w:rFonts w:hint="eastAsia" w:eastAsia="宋体"/>
                      <w:b/>
                      <w:bCs/>
                      <w:color w:val="auto"/>
                      <w:kern w:val="0"/>
                      <w:szCs w:val="21"/>
                      <w:highlight w:val="none"/>
                      <w:lang w:eastAsia="zh-CN"/>
                    </w:rPr>
                  </w:pPr>
                  <w:r>
                    <w:rPr>
                      <w:rFonts w:hint="eastAsia"/>
                      <w:b/>
                      <w:bCs/>
                      <w:color w:val="auto"/>
                      <w:kern w:val="0"/>
                      <w:szCs w:val="21"/>
                      <w:highlight w:val="none"/>
                      <w:lang w:eastAsia="zh-CN"/>
                    </w:rPr>
                    <w:t>排放浓度</w:t>
                  </w:r>
                </w:p>
              </w:tc>
              <w:tc>
                <w:tcPr>
                  <w:tcW w:w="758" w:type="dxa"/>
                  <w:gridSpan w:val="2"/>
                  <w:tcBorders>
                    <w:tl2br w:val="nil"/>
                    <w:tr2bl w:val="nil"/>
                  </w:tcBorders>
                  <w:noWrap w:val="0"/>
                  <w:vAlign w:val="center"/>
                </w:tcPr>
                <w:p w14:paraId="64922996">
                  <w:pPr>
                    <w:kinsoku w:val="0"/>
                    <w:overflowPunct w:val="0"/>
                    <w:autoSpaceDE w:val="0"/>
                    <w:autoSpaceDN w:val="0"/>
                    <w:jc w:val="center"/>
                    <w:rPr>
                      <w:rFonts w:hint="eastAsia"/>
                      <w:b/>
                      <w:bCs/>
                      <w:color w:val="auto"/>
                      <w:kern w:val="0"/>
                      <w:szCs w:val="21"/>
                      <w:highlight w:val="none"/>
                    </w:rPr>
                  </w:pPr>
                  <w:r>
                    <w:rPr>
                      <w:rFonts w:hint="eastAsia"/>
                      <w:b/>
                      <w:bCs/>
                      <w:color w:val="auto"/>
                      <w:kern w:val="0"/>
                      <w:szCs w:val="21"/>
                      <w:highlight w:val="none"/>
                      <w:lang w:eastAsia="zh-CN"/>
                    </w:rPr>
                    <w:t>排放速率</w:t>
                  </w:r>
                </w:p>
              </w:tc>
              <w:tc>
                <w:tcPr>
                  <w:tcW w:w="773" w:type="dxa"/>
                  <w:tcBorders>
                    <w:tl2br w:val="nil"/>
                    <w:tr2bl w:val="nil"/>
                  </w:tcBorders>
                  <w:noWrap w:val="0"/>
                  <w:vAlign w:val="center"/>
                </w:tcPr>
                <w:p w14:paraId="67E6FC09">
                  <w:pPr>
                    <w:kinsoku w:val="0"/>
                    <w:overflowPunct w:val="0"/>
                    <w:autoSpaceDE w:val="0"/>
                    <w:autoSpaceDN w:val="0"/>
                    <w:jc w:val="center"/>
                    <w:rPr>
                      <w:rFonts w:hint="eastAsia"/>
                      <w:b/>
                      <w:bCs/>
                      <w:color w:val="auto"/>
                      <w:kern w:val="0"/>
                      <w:szCs w:val="21"/>
                      <w:highlight w:val="none"/>
                    </w:rPr>
                  </w:pPr>
                  <w:r>
                    <w:rPr>
                      <w:rFonts w:hint="eastAsia"/>
                      <w:b/>
                      <w:bCs/>
                      <w:color w:val="auto"/>
                      <w:kern w:val="0"/>
                      <w:szCs w:val="21"/>
                      <w:highlight w:val="none"/>
                    </w:rPr>
                    <w:t>排放量</w:t>
                  </w:r>
                </w:p>
              </w:tc>
              <w:tc>
                <w:tcPr>
                  <w:tcW w:w="891" w:type="dxa"/>
                  <w:tcBorders>
                    <w:tl2br w:val="nil"/>
                    <w:tr2bl w:val="nil"/>
                  </w:tcBorders>
                  <w:noWrap w:val="0"/>
                  <w:vAlign w:val="center"/>
                </w:tcPr>
                <w:p w14:paraId="01F0B569">
                  <w:pPr>
                    <w:kinsoku w:val="0"/>
                    <w:overflowPunct w:val="0"/>
                    <w:autoSpaceDE w:val="0"/>
                    <w:autoSpaceDN w:val="0"/>
                    <w:jc w:val="center"/>
                    <w:rPr>
                      <w:rFonts w:hint="eastAsia" w:eastAsia="宋体"/>
                      <w:b/>
                      <w:bCs/>
                      <w:color w:val="auto"/>
                      <w:kern w:val="0"/>
                      <w:szCs w:val="21"/>
                      <w:highlight w:val="none"/>
                      <w:lang w:eastAsia="zh-CN"/>
                    </w:rPr>
                  </w:pPr>
                  <w:r>
                    <w:rPr>
                      <w:rFonts w:hint="eastAsia"/>
                      <w:b/>
                      <w:bCs/>
                      <w:color w:val="auto"/>
                      <w:kern w:val="0"/>
                      <w:szCs w:val="21"/>
                      <w:highlight w:val="none"/>
                      <w:lang w:eastAsia="zh-CN"/>
                    </w:rPr>
                    <w:t>标准限值</w:t>
                  </w:r>
                </w:p>
              </w:tc>
              <w:tc>
                <w:tcPr>
                  <w:tcW w:w="1509" w:type="dxa"/>
                  <w:tcBorders>
                    <w:tl2br w:val="nil"/>
                    <w:tr2bl w:val="nil"/>
                  </w:tcBorders>
                  <w:noWrap w:val="0"/>
                  <w:vAlign w:val="center"/>
                </w:tcPr>
                <w:p w14:paraId="7B06C0E5">
                  <w:pPr>
                    <w:kinsoku w:val="0"/>
                    <w:overflowPunct w:val="0"/>
                    <w:autoSpaceDE w:val="0"/>
                    <w:autoSpaceDN w:val="0"/>
                    <w:jc w:val="center"/>
                    <w:rPr>
                      <w:rFonts w:hint="eastAsia"/>
                      <w:b/>
                      <w:bCs/>
                      <w:color w:val="auto"/>
                      <w:kern w:val="0"/>
                      <w:szCs w:val="21"/>
                      <w:highlight w:val="none"/>
                    </w:rPr>
                  </w:pPr>
                  <w:r>
                    <w:rPr>
                      <w:rFonts w:hint="eastAsia"/>
                      <w:b/>
                      <w:bCs/>
                      <w:color w:val="auto"/>
                      <w:kern w:val="0"/>
                      <w:szCs w:val="21"/>
                      <w:highlight w:val="none"/>
                    </w:rPr>
                    <w:t>核算方法</w:t>
                  </w:r>
                </w:p>
              </w:tc>
            </w:tr>
            <w:tr w14:paraId="6727B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48" w:type="dxa"/>
                  <w:vMerge w:val="restart"/>
                  <w:tcBorders>
                    <w:tl2br w:val="nil"/>
                    <w:tr2bl w:val="nil"/>
                  </w:tcBorders>
                  <w:noWrap w:val="0"/>
                  <w:vAlign w:val="center"/>
                </w:tcPr>
                <w:p w14:paraId="1A3146E4">
                  <w:pPr>
                    <w:kinsoku w:val="0"/>
                    <w:overflowPunct w:val="0"/>
                    <w:autoSpaceDE w:val="0"/>
                    <w:autoSpaceDN w:val="0"/>
                    <w:jc w:val="center"/>
                    <w:rPr>
                      <w:color w:val="auto"/>
                      <w:kern w:val="0"/>
                      <w:szCs w:val="21"/>
                      <w:highlight w:val="none"/>
                    </w:rPr>
                  </w:pPr>
                  <w:r>
                    <w:rPr>
                      <w:rFonts w:hint="eastAsia"/>
                      <w:color w:val="auto"/>
                      <w:kern w:val="0"/>
                      <w:szCs w:val="21"/>
                      <w:highlight w:val="none"/>
                    </w:rPr>
                    <w:t>废气</w:t>
                  </w:r>
                </w:p>
              </w:tc>
              <w:tc>
                <w:tcPr>
                  <w:tcW w:w="1099" w:type="dxa"/>
                  <w:tcBorders>
                    <w:tl2br w:val="nil"/>
                    <w:tr2bl w:val="nil"/>
                  </w:tcBorders>
                  <w:noWrap w:val="0"/>
                  <w:vAlign w:val="center"/>
                </w:tcPr>
                <w:p w14:paraId="5E669D93">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清洗废气</w:t>
                  </w:r>
                </w:p>
              </w:tc>
              <w:tc>
                <w:tcPr>
                  <w:tcW w:w="1328" w:type="dxa"/>
                  <w:tcBorders>
                    <w:tl2br w:val="nil"/>
                    <w:tr2bl w:val="nil"/>
                  </w:tcBorders>
                  <w:noWrap w:val="0"/>
                  <w:vAlign w:val="center"/>
                </w:tcPr>
                <w:p w14:paraId="6BF13399">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非甲烷总烃</w:t>
                  </w:r>
                </w:p>
              </w:tc>
              <w:tc>
                <w:tcPr>
                  <w:tcW w:w="1010" w:type="dxa"/>
                  <w:tcBorders>
                    <w:tl2br w:val="nil"/>
                    <w:tr2bl w:val="nil"/>
                  </w:tcBorders>
                  <w:noWrap w:val="0"/>
                  <w:vAlign w:val="center"/>
                </w:tcPr>
                <w:p w14:paraId="7E64DECA">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2.33</w:t>
                  </w:r>
                </w:p>
                <w:p w14:paraId="00AC2509">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color w:val="auto"/>
                      <w:sz w:val="21"/>
                      <w:szCs w:val="21"/>
                      <w:highlight w:val="none"/>
                    </w:rPr>
                    <w:t>mg/m</w:t>
                  </w:r>
                  <w:r>
                    <w:rPr>
                      <w:color w:val="auto"/>
                      <w:sz w:val="21"/>
                      <w:szCs w:val="21"/>
                      <w:highlight w:val="none"/>
                      <w:vertAlign w:val="superscript"/>
                    </w:rPr>
                    <w:t>3</w:t>
                  </w:r>
                </w:p>
              </w:tc>
              <w:tc>
                <w:tcPr>
                  <w:tcW w:w="758" w:type="dxa"/>
                  <w:gridSpan w:val="2"/>
                  <w:tcBorders>
                    <w:tl2br w:val="nil"/>
                    <w:tr2bl w:val="nil"/>
                  </w:tcBorders>
                  <w:noWrap w:val="0"/>
                  <w:vAlign w:val="center"/>
                </w:tcPr>
                <w:p w14:paraId="31B39FE0">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0.012</w:t>
                  </w:r>
                  <w:r>
                    <w:rPr>
                      <w:color w:val="auto"/>
                      <w:kern w:val="0"/>
                      <w:sz w:val="21"/>
                      <w:szCs w:val="21"/>
                      <w:highlight w:val="none"/>
                    </w:rPr>
                    <w:t>kg/h</w:t>
                  </w:r>
                </w:p>
              </w:tc>
              <w:tc>
                <w:tcPr>
                  <w:tcW w:w="773" w:type="dxa"/>
                  <w:tcBorders>
                    <w:tl2br w:val="nil"/>
                    <w:tr2bl w:val="nil"/>
                  </w:tcBorders>
                  <w:noWrap w:val="0"/>
                  <w:vAlign w:val="center"/>
                </w:tcPr>
                <w:p w14:paraId="17A4463C">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0.032</w:t>
                  </w:r>
                </w:p>
              </w:tc>
              <w:tc>
                <w:tcPr>
                  <w:tcW w:w="891" w:type="dxa"/>
                  <w:tcBorders>
                    <w:tl2br w:val="nil"/>
                    <w:tr2bl w:val="nil"/>
                  </w:tcBorders>
                  <w:noWrap w:val="0"/>
                  <w:vAlign w:val="center"/>
                </w:tcPr>
                <w:p w14:paraId="68589AE8">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w:t>
                  </w:r>
                </w:p>
                <w:p w14:paraId="02103640">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vertAlign w:val="superscript"/>
                      <w:lang w:val="en-US" w:eastAsia="zh-CN"/>
                    </w:rPr>
                    <w:t>3</w:t>
                  </w:r>
                </w:p>
              </w:tc>
              <w:tc>
                <w:tcPr>
                  <w:tcW w:w="1509" w:type="dxa"/>
                  <w:vMerge w:val="restart"/>
                  <w:tcBorders>
                    <w:tl2br w:val="nil"/>
                    <w:tr2bl w:val="nil"/>
                  </w:tcBorders>
                  <w:noWrap w:val="0"/>
                  <w:vAlign w:val="center"/>
                </w:tcPr>
                <w:p w14:paraId="318E3184">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企业2023年日常监测报告</w:t>
                  </w:r>
                </w:p>
              </w:tc>
            </w:tr>
            <w:tr w14:paraId="5D94A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48" w:type="dxa"/>
                  <w:vMerge w:val="continue"/>
                  <w:tcBorders>
                    <w:tl2br w:val="nil"/>
                    <w:tr2bl w:val="nil"/>
                  </w:tcBorders>
                  <w:noWrap w:val="0"/>
                  <w:vAlign w:val="center"/>
                </w:tcPr>
                <w:p w14:paraId="5828D9CE">
                  <w:pPr>
                    <w:kinsoku w:val="0"/>
                    <w:overflowPunct w:val="0"/>
                    <w:autoSpaceDE w:val="0"/>
                    <w:autoSpaceDN w:val="0"/>
                    <w:jc w:val="center"/>
                    <w:rPr>
                      <w:rFonts w:hint="eastAsia"/>
                      <w:color w:val="auto"/>
                      <w:kern w:val="0"/>
                      <w:szCs w:val="21"/>
                      <w:highlight w:val="none"/>
                    </w:rPr>
                  </w:pPr>
                </w:p>
              </w:tc>
              <w:tc>
                <w:tcPr>
                  <w:tcW w:w="1099" w:type="dxa"/>
                  <w:tcBorders>
                    <w:tl2br w:val="nil"/>
                    <w:tr2bl w:val="nil"/>
                  </w:tcBorders>
                  <w:noWrap w:val="0"/>
                  <w:vAlign w:val="center"/>
                </w:tcPr>
                <w:p w14:paraId="41FEE850">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烘干废气</w:t>
                  </w:r>
                </w:p>
              </w:tc>
              <w:tc>
                <w:tcPr>
                  <w:tcW w:w="1328" w:type="dxa"/>
                  <w:tcBorders>
                    <w:tl2br w:val="nil"/>
                    <w:tr2bl w:val="nil"/>
                  </w:tcBorders>
                  <w:noWrap w:val="0"/>
                  <w:vAlign w:val="center"/>
                </w:tcPr>
                <w:p w14:paraId="4098BC31">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非甲烷总烃</w:t>
                  </w:r>
                </w:p>
              </w:tc>
              <w:tc>
                <w:tcPr>
                  <w:tcW w:w="1010" w:type="dxa"/>
                  <w:tcBorders>
                    <w:tl2br w:val="nil"/>
                    <w:tr2bl w:val="nil"/>
                  </w:tcBorders>
                  <w:noWrap w:val="0"/>
                  <w:vAlign w:val="center"/>
                </w:tcPr>
                <w:p w14:paraId="37D1E901">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3.70</w:t>
                  </w:r>
                </w:p>
                <w:p w14:paraId="455E68A3">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mg/m</w:t>
                  </w:r>
                  <w:r>
                    <w:rPr>
                      <w:rFonts w:hint="eastAsia" w:ascii="Times New Roman" w:hAnsi="Times New Roman" w:eastAsia="宋体" w:cs="Times New Roman"/>
                      <w:color w:val="auto"/>
                      <w:kern w:val="0"/>
                      <w:szCs w:val="21"/>
                      <w:highlight w:val="none"/>
                      <w:vertAlign w:val="superscript"/>
                    </w:rPr>
                    <w:t>3</w:t>
                  </w:r>
                </w:p>
              </w:tc>
              <w:tc>
                <w:tcPr>
                  <w:tcW w:w="758" w:type="dxa"/>
                  <w:gridSpan w:val="2"/>
                  <w:tcBorders>
                    <w:tl2br w:val="nil"/>
                    <w:tr2bl w:val="nil"/>
                  </w:tcBorders>
                  <w:noWrap w:val="0"/>
                  <w:vAlign w:val="center"/>
                </w:tcPr>
                <w:p w14:paraId="53BC98CD">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0.006</w:t>
                  </w:r>
                  <w:r>
                    <w:rPr>
                      <w:rFonts w:hint="eastAsia" w:ascii="Times New Roman" w:hAnsi="Times New Roman" w:eastAsia="宋体" w:cs="Times New Roman"/>
                      <w:color w:val="auto"/>
                      <w:kern w:val="0"/>
                      <w:szCs w:val="21"/>
                      <w:highlight w:val="none"/>
                    </w:rPr>
                    <w:t>kg/h</w:t>
                  </w:r>
                </w:p>
              </w:tc>
              <w:tc>
                <w:tcPr>
                  <w:tcW w:w="773" w:type="dxa"/>
                  <w:tcBorders>
                    <w:tl2br w:val="nil"/>
                    <w:tr2bl w:val="nil"/>
                  </w:tcBorders>
                  <w:noWrap w:val="0"/>
                  <w:vAlign w:val="center"/>
                </w:tcPr>
                <w:p w14:paraId="08C4311A">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0.016</w:t>
                  </w:r>
                </w:p>
              </w:tc>
              <w:tc>
                <w:tcPr>
                  <w:tcW w:w="891" w:type="dxa"/>
                  <w:tcBorders>
                    <w:tl2br w:val="nil"/>
                    <w:tr2bl w:val="nil"/>
                  </w:tcBorders>
                  <w:noWrap w:val="0"/>
                  <w:vAlign w:val="center"/>
                </w:tcPr>
                <w:p w14:paraId="101D6744">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w:t>
                  </w:r>
                </w:p>
                <w:p w14:paraId="26C9902B">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vertAlign w:val="superscript"/>
                      <w:lang w:val="en-US" w:eastAsia="zh-CN"/>
                    </w:rPr>
                    <w:t>3</w:t>
                  </w:r>
                </w:p>
              </w:tc>
              <w:tc>
                <w:tcPr>
                  <w:tcW w:w="1509" w:type="dxa"/>
                  <w:vMerge w:val="continue"/>
                  <w:tcBorders>
                    <w:tl2br w:val="nil"/>
                    <w:tr2bl w:val="nil"/>
                  </w:tcBorders>
                  <w:noWrap w:val="0"/>
                  <w:vAlign w:val="center"/>
                </w:tcPr>
                <w:p w14:paraId="1086C81E">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p>
              </w:tc>
            </w:tr>
            <w:tr w14:paraId="11894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4663320B">
                  <w:pPr>
                    <w:kinsoku w:val="0"/>
                    <w:overflowPunct w:val="0"/>
                    <w:autoSpaceDE w:val="0"/>
                    <w:autoSpaceDN w:val="0"/>
                    <w:jc w:val="center"/>
                    <w:rPr>
                      <w:rFonts w:hint="eastAsia"/>
                      <w:color w:val="auto"/>
                      <w:kern w:val="0"/>
                      <w:szCs w:val="21"/>
                      <w:highlight w:val="none"/>
                    </w:rPr>
                  </w:pPr>
                </w:p>
              </w:tc>
              <w:tc>
                <w:tcPr>
                  <w:tcW w:w="1099" w:type="dxa"/>
                  <w:vMerge w:val="restart"/>
                  <w:tcBorders>
                    <w:tl2br w:val="nil"/>
                    <w:tr2bl w:val="nil"/>
                  </w:tcBorders>
                  <w:noWrap w:val="0"/>
                  <w:vAlign w:val="center"/>
                </w:tcPr>
                <w:p w14:paraId="128D508C">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油泥处置废气</w:t>
                  </w:r>
                </w:p>
              </w:tc>
              <w:tc>
                <w:tcPr>
                  <w:tcW w:w="1328" w:type="dxa"/>
                  <w:tcBorders>
                    <w:tl2br w:val="nil"/>
                    <w:tr2bl w:val="nil"/>
                  </w:tcBorders>
                  <w:noWrap w:val="0"/>
                  <w:vAlign w:val="center"/>
                </w:tcPr>
                <w:p w14:paraId="4D6474A0">
                  <w:pPr>
                    <w:keepNext w:val="0"/>
                    <w:keepLines w:val="0"/>
                    <w:widowControl/>
                    <w:suppressLineNumbers w:val="0"/>
                    <w:jc w:val="left"/>
                    <w:rPr>
                      <w:rFonts w:hint="eastAsia" w:ascii="Times New Roman" w:hAnsi="Times New Roman" w:eastAsia="宋体" w:cs="Times New Roman"/>
                      <w:color w:val="auto"/>
                      <w:kern w:val="0"/>
                      <w:szCs w:val="21"/>
                      <w:highlight w:val="none"/>
                    </w:rPr>
                  </w:pPr>
                  <w:r>
                    <w:rPr>
                      <w:rFonts w:hint="eastAsia" w:ascii="宋体" w:hAnsi="宋体" w:eastAsia="宋体" w:cs="宋体"/>
                      <w:color w:val="auto"/>
                      <w:kern w:val="0"/>
                      <w:sz w:val="22"/>
                      <w:szCs w:val="22"/>
                      <w:highlight w:val="none"/>
                      <w:lang w:val="en-US" w:eastAsia="zh-CN" w:bidi="ar"/>
                    </w:rPr>
                    <w:t>非甲烷总烃</w:t>
                  </w:r>
                </w:p>
              </w:tc>
              <w:tc>
                <w:tcPr>
                  <w:tcW w:w="1010" w:type="dxa"/>
                  <w:tcBorders>
                    <w:tl2br w:val="nil"/>
                    <w:tr2bl w:val="nil"/>
                  </w:tcBorders>
                  <w:noWrap w:val="0"/>
                  <w:vAlign w:val="center"/>
                </w:tcPr>
                <w:p w14:paraId="3245291F">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13.70</w:t>
                  </w:r>
                </w:p>
                <w:p w14:paraId="0C9CE38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mg/m</w:t>
                  </w:r>
                  <w:r>
                    <w:rPr>
                      <w:rFonts w:hint="eastAsia" w:ascii="Times New Roman" w:hAnsi="Times New Roman" w:eastAsia="宋体" w:cs="Times New Roman"/>
                      <w:color w:val="auto"/>
                      <w:kern w:val="0"/>
                      <w:szCs w:val="21"/>
                      <w:highlight w:val="none"/>
                      <w:vertAlign w:val="superscript"/>
                    </w:rPr>
                    <w:t>3</w:t>
                  </w:r>
                </w:p>
              </w:tc>
              <w:tc>
                <w:tcPr>
                  <w:tcW w:w="758" w:type="dxa"/>
                  <w:gridSpan w:val="2"/>
                  <w:tcBorders>
                    <w:tl2br w:val="nil"/>
                    <w:tr2bl w:val="nil"/>
                  </w:tcBorders>
                  <w:noWrap w:val="0"/>
                  <w:vAlign w:val="center"/>
                </w:tcPr>
                <w:p w14:paraId="4B73D208">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0.07</w:t>
                  </w:r>
                  <w:r>
                    <w:rPr>
                      <w:rFonts w:hint="eastAsia" w:ascii="Times New Roman" w:hAnsi="Times New Roman" w:eastAsia="宋体" w:cs="Times New Roman"/>
                      <w:color w:val="auto"/>
                      <w:kern w:val="0"/>
                      <w:szCs w:val="21"/>
                      <w:highlight w:val="none"/>
                    </w:rPr>
                    <w:t>kg/h</w:t>
                  </w:r>
                </w:p>
              </w:tc>
              <w:tc>
                <w:tcPr>
                  <w:tcW w:w="773" w:type="dxa"/>
                  <w:tcBorders>
                    <w:tl2br w:val="nil"/>
                    <w:tr2bl w:val="nil"/>
                  </w:tcBorders>
                  <w:noWrap w:val="0"/>
                  <w:vAlign w:val="center"/>
                </w:tcPr>
                <w:p w14:paraId="0FB8A8D2">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0.185</w:t>
                  </w:r>
                </w:p>
              </w:tc>
              <w:tc>
                <w:tcPr>
                  <w:tcW w:w="891" w:type="dxa"/>
                  <w:tcBorders>
                    <w:tl2br w:val="nil"/>
                    <w:tr2bl w:val="nil"/>
                  </w:tcBorders>
                  <w:noWrap w:val="0"/>
                  <w:vAlign w:val="center"/>
                </w:tcPr>
                <w:p w14:paraId="784DAC17">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120</w:t>
                  </w:r>
                </w:p>
                <w:p w14:paraId="00A0DA9F">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vertAlign w:val="superscript"/>
                      <w:lang w:val="en-US" w:eastAsia="zh-CN"/>
                    </w:rPr>
                    <w:t>3</w:t>
                  </w:r>
                </w:p>
              </w:tc>
              <w:tc>
                <w:tcPr>
                  <w:tcW w:w="1509" w:type="dxa"/>
                  <w:vMerge w:val="restart"/>
                  <w:tcBorders>
                    <w:tl2br w:val="nil"/>
                    <w:tr2bl w:val="nil"/>
                  </w:tcBorders>
                  <w:noWrap w:val="0"/>
                  <w:vAlign w:val="center"/>
                </w:tcPr>
                <w:p w14:paraId="06A1D10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企业2022年验收监测报告</w:t>
                  </w:r>
                </w:p>
              </w:tc>
            </w:tr>
            <w:tr w14:paraId="060E0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7679AE1D">
                  <w:pPr>
                    <w:kinsoku w:val="0"/>
                    <w:overflowPunct w:val="0"/>
                    <w:autoSpaceDE w:val="0"/>
                    <w:autoSpaceDN w:val="0"/>
                    <w:spacing w:line="240" w:lineRule="auto"/>
                    <w:jc w:val="center"/>
                    <w:rPr>
                      <w:color w:val="auto"/>
                      <w:highlight w:val="none"/>
                    </w:rPr>
                  </w:pPr>
                </w:p>
              </w:tc>
              <w:tc>
                <w:tcPr>
                  <w:tcW w:w="1099" w:type="dxa"/>
                  <w:vMerge w:val="continue"/>
                  <w:tcBorders>
                    <w:tl2br w:val="nil"/>
                    <w:tr2bl w:val="nil"/>
                  </w:tcBorders>
                  <w:noWrap w:val="0"/>
                  <w:vAlign w:val="center"/>
                </w:tcPr>
                <w:p w14:paraId="2C84377C">
                  <w:pPr>
                    <w:kinsoku w:val="0"/>
                    <w:overflowPunct w:val="0"/>
                    <w:autoSpaceDE w:val="0"/>
                    <w:autoSpaceDN w:val="0"/>
                    <w:spacing w:line="240" w:lineRule="auto"/>
                    <w:jc w:val="center"/>
                    <w:rPr>
                      <w:color w:val="auto"/>
                      <w:highlight w:val="none"/>
                    </w:rPr>
                  </w:pPr>
                </w:p>
              </w:tc>
              <w:tc>
                <w:tcPr>
                  <w:tcW w:w="1328" w:type="dxa"/>
                  <w:tcBorders>
                    <w:tl2br w:val="nil"/>
                    <w:tr2bl w:val="nil"/>
                  </w:tcBorders>
                  <w:noWrap w:val="0"/>
                  <w:vAlign w:val="center"/>
                </w:tcPr>
                <w:p w14:paraId="35D575FC">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color w:val="auto"/>
                      <w:highlight w:val="none"/>
                    </w:rPr>
                    <w:t>臭气浓度</w:t>
                  </w:r>
                </w:p>
              </w:tc>
              <w:tc>
                <w:tcPr>
                  <w:tcW w:w="3432" w:type="dxa"/>
                  <w:gridSpan w:val="5"/>
                  <w:tcBorders>
                    <w:tl2br w:val="nil"/>
                    <w:tr2bl w:val="nil"/>
                  </w:tcBorders>
                  <w:noWrap w:val="0"/>
                  <w:vAlign w:val="center"/>
                </w:tcPr>
                <w:p w14:paraId="757B67B0">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977（无量纲）</w:t>
                  </w:r>
                </w:p>
              </w:tc>
              <w:tc>
                <w:tcPr>
                  <w:tcW w:w="1509" w:type="dxa"/>
                  <w:vMerge w:val="continue"/>
                  <w:tcBorders>
                    <w:tl2br w:val="nil"/>
                    <w:tr2bl w:val="nil"/>
                  </w:tcBorders>
                  <w:noWrap w:val="0"/>
                  <w:vAlign w:val="center"/>
                </w:tcPr>
                <w:p w14:paraId="24FFFBA8">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r>
            <w:tr w14:paraId="4205F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38D9ABD6">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099" w:type="dxa"/>
                  <w:vMerge w:val="continue"/>
                  <w:tcBorders>
                    <w:tl2br w:val="nil"/>
                    <w:tr2bl w:val="nil"/>
                  </w:tcBorders>
                  <w:noWrap w:val="0"/>
                  <w:vAlign w:val="center"/>
                </w:tcPr>
                <w:p w14:paraId="1B17D526">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233E13FC">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color w:val="auto"/>
                      <w:highlight w:val="none"/>
                    </w:rPr>
                    <w:t>氨</w:t>
                  </w:r>
                </w:p>
              </w:tc>
              <w:tc>
                <w:tcPr>
                  <w:tcW w:w="1010" w:type="dxa"/>
                  <w:tcBorders>
                    <w:tl2br w:val="nil"/>
                    <w:tr2bl w:val="nil"/>
                  </w:tcBorders>
                  <w:noWrap w:val="0"/>
                  <w:vAlign w:val="center"/>
                </w:tcPr>
                <w:p w14:paraId="37D95BAD">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0.71</w:t>
                  </w:r>
                </w:p>
              </w:tc>
              <w:tc>
                <w:tcPr>
                  <w:tcW w:w="758" w:type="dxa"/>
                  <w:gridSpan w:val="2"/>
                  <w:tcBorders>
                    <w:tl2br w:val="nil"/>
                    <w:tr2bl w:val="nil"/>
                  </w:tcBorders>
                  <w:noWrap w:val="0"/>
                  <w:vAlign w:val="center"/>
                </w:tcPr>
                <w:p w14:paraId="71DB9119">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0.004</w:t>
                  </w:r>
                </w:p>
              </w:tc>
              <w:tc>
                <w:tcPr>
                  <w:tcW w:w="773" w:type="dxa"/>
                  <w:tcBorders>
                    <w:tl2br w:val="nil"/>
                    <w:tr2bl w:val="nil"/>
                  </w:tcBorders>
                  <w:noWrap w:val="0"/>
                  <w:vAlign w:val="center"/>
                </w:tcPr>
                <w:p w14:paraId="26FD68CE">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891" w:type="dxa"/>
                  <w:tcBorders>
                    <w:tl2br w:val="nil"/>
                    <w:tr2bl w:val="nil"/>
                  </w:tcBorders>
                  <w:noWrap w:val="0"/>
                  <w:vAlign w:val="center"/>
                </w:tcPr>
                <w:p w14:paraId="521AC9D6">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509" w:type="dxa"/>
                  <w:vMerge w:val="continue"/>
                  <w:tcBorders>
                    <w:tl2br w:val="nil"/>
                    <w:tr2bl w:val="nil"/>
                  </w:tcBorders>
                  <w:noWrap w:val="0"/>
                  <w:vAlign w:val="center"/>
                </w:tcPr>
                <w:p w14:paraId="0E0E2689">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r>
            <w:tr w14:paraId="5C3C5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48" w:type="dxa"/>
                  <w:vMerge w:val="continue"/>
                  <w:tcBorders>
                    <w:tl2br w:val="nil"/>
                    <w:tr2bl w:val="nil"/>
                  </w:tcBorders>
                  <w:noWrap w:val="0"/>
                  <w:vAlign w:val="center"/>
                </w:tcPr>
                <w:p w14:paraId="1D880B9A">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099" w:type="dxa"/>
                  <w:vMerge w:val="continue"/>
                  <w:tcBorders>
                    <w:tl2br w:val="nil"/>
                    <w:tr2bl w:val="nil"/>
                  </w:tcBorders>
                  <w:noWrap w:val="0"/>
                  <w:vAlign w:val="center"/>
                </w:tcPr>
                <w:p w14:paraId="13A7E5F5">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01B6379">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r>
                    <w:rPr>
                      <w:rFonts w:hint="eastAsia"/>
                      <w:color w:val="auto"/>
                      <w:highlight w:val="none"/>
                    </w:rPr>
                    <w:t>硫化氢</w:t>
                  </w:r>
                </w:p>
              </w:tc>
              <w:tc>
                <w:tcPr>
                  <w:tcW w:w="1010" w:type="dxa"/>
                  <w:tcBorders>
                    <w:tl2br w:val="nil"/>
                    <w:tr2bl w:val="nil"/>
                  </w:tcBorders>
                  <w:noWrap w:val="0"/>
                  <w:vAlign w:val="center"/>
                </w:tcPr>
                <w:p w14:paraId="1851048D">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0.15</w:t>
                  </w:r>
                </w:p>
              </w:tc>
              <w:tc>
                <w:tcPr>
                  <w:tcW w:w="758" w:type="dxa"/>
                  <w:gridSpan w:val="2"/>
                  <w:tcBorders>
                    <w:tl2br w:val="nil"/>
                    <w:tr2bl w:val="nil"/>
                  </w:tcBorders>
                  <w:noWrap w:val="0"/>
                  <w:vAlign w:val="center"/>
                </w:tcPr>
                <w:p w14:paraId="11E770A6">
                  <w:pPr>
                    <w:kinsoku w:val="0"/>
                    <w:overflowPunct w:val="0"/>
                    <w:autoSpaceDE w:val="0"/>
                    <w:autoSpaceDN w:val="0"/>
                    <w:spacing w:line="240"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0.001</w:t>
                  </w:r>
                </w:p>
              </w:tc>
              <w:tc>
                <w:tcPr>
                  <w:tcW w:w="773" w:type="dxa"/>
                  <w:tcBorders>
                    <w:tl2br w:val="nil"/>
                    <w:tr2bl w:val="nil"/>
                  </w:tcBorders>
                  <w:noWrap w:val="0"/>
                  <w:vAlign w:val="center"/>
                </w:tcPr>
                <w:p w14:paraId="1FA4C487">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891" w:type="dxa"/>
                  <w:tcBorders>
                    <w:tl2br w:val="nil"/>
                    <w:tr2bl w:val="nil"/>
                  </w:tcBorders>
                  <w:noWrap w:val="0"/>
                  <w:vAlign w:val="center"/>
                </w:tcPr>
                <w:p w14:paraId="34FE0151">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c>
                <w:tcPr>
                  <w:tcW w:w="1509" w:type="dxa"/>
                  <w:vMerge w:val="continue"/>
                  <w:tcBorders>
                    <w:tl2br w:val="nil"/>
                    <w:tr2bl w:val="nil"/>
                  </w:tcBorders>
                  <w:noWrap w:val="0"/>
                  <w:vAlign w:val="center"/>
                </w:tcPr>
                <w:p w14:paraId="7D3C942C">
                  <w:pPr>
                    <w:kinsoku w:val="0"/>
                    <w:overflowPunct w:val="0"/>
                    <w:autoSpaceDE w:val="0"/>
                    <w:autoSpaceDN w:val="0"/>
                    <w:spacing w:line="240" w:lineRule="auto"/>
                    <w:jc w:val="center"/>
                    <w:rPr>
                      <w:rFonts w:hint="eastAsia" w:ascii="Times New Roman" w:hAnsi="Times New Roman" w:eastAsia="宋体" w:cs="Times New Roman"/>
                      <w:color w:val="auto"/>
                      <w:kern w:val="0"/>
                      <w:szCs w:val="21"/>
                      <w:highlight w:val="none"/>
                    </w:rPr>
                  </w:pPr>
                </w:p>
              </w:tc>
            </w:tr>
            <w:tr w14:paraId="01183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restart"/>
                  <w:tcBorders>
                    <w:tl2br w:val="nil"/>
                    <w:tr2bl w:val="nil"/>
                  </w:tcBorders>
                  <w:noWrap w:val="0"/>
                  <w:vAlign w:val="center"/>
                </w:tcPr>
                <w:p w14:paraId="2B551B74">
                  <w:pPr>
                    <w:kinsoku w:val="0"/>
                    <w:overflowPunct w:val="0"/>
                    <w:autoSpaceDE w:val="0"/>
                    <w:autoSpaceDN w:val="0"/>
                    <w:jc w:val="center"/>
                    <w:rPr>
                      <w:color w:val="auto"/>
                      <w:kern w:val="0"/>
                      <w:szCs w:val="21"/>
                      <w:highlight w:val="none"/>
                    </w:rPr>
                  </w:pPr>
                  <w:r>
                    <w:rPr>
                      <w:rFonts w:hint="eastAsia"/>
                      <w:color w:val="auto"/>
                      <w:kern w:val="0"/>
                      <w:szCs w:val="21"/>
                      <w:highlight w:val="none"/>
                    </w:rPr>
                    <w:t>废水</w:t>
                  </w:r>
                </w:p>
              </w:tc>
              <w:tc>
                <w:tcPr>
                  <w:tcW w:w="1099" w:type="dxa"/>
                  <w:vMerge w:val="restart"/>
                  <w:tcBorders>
                    <w:tl2br w:val="nil"/>
                    <w:tr2bl w:val="nil"/>
                  </w:tcBorders>
                  <w:noWrap w:val="0"/>
                  <w:vAlign w:val="center"/>
                </w:tcPr>
                <w:p w14:paraId="2E38A64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生活污水</w:t>
                  </w:r>
                </w:p>
              </w:tc>
              <w:tc>
                <w:tcPr>
                  <w:tcW w:w="1328" w:type="dxa"/>
                  <w:tcBorders>
                    <w:tl2br w:val="nil"/>
                    <w:tr2bl w:val="nil"/>
                  </w:tcBorders>
                  <w:noWrap w:val="0"/>
                  <w:vAlign w:val="center"/>
                </w:tcPr>
                <w:p w14:paraId="0B6E6F88">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pH值</w:t>
                  </w:r>
                </w:p>
              </w:tc>
              <w:tc>
                <w:tcPr>
                  <w:tcW w:w="1010" w:type="dxa"/>
                  <w:tcBorders>
                    <w:tl2br w:val="nil"/>
                    <w:tr2bl w:val="nil"/>
                  </w:tcBorders>
                  <w:noWrap w:val="0"/>
                  <w:vAlign w:val="center"/>
                </w:tcPr>
                <w:p w14:paraId="6763955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7.8</w:t>
                  </w:r>
                </w:p>
              </w:tc>
              <w:tc>
                <w:tcPr>
                  <w:tcW w:w="758" w:type="dxa"/>
                  <w:gridSpan w:val="2"/>
                  <w:tcBorders>
                    <w:tl2br w:val="nil"/>
                    <w:tr2bl w:val="nil"/>
                  </w:tcBorders>
                  <w:noWrap w:val="0"/>
                  <w:vAlign w:val="center"/>
                </w:tcPr>
                <w:p w14:paraId="52605B6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5B02C0D2">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tcBorders>
                    <w:tl2br w:val="nil"/>
                    <w:tr2bl w:val="nil"/>
                  </w:tcBorders>
                  <w:noWrap w:val="0"/>
                  <w:vAlign w:val="center"/>
                </w:tcPr>
                <w:p w14:paraId="1176359A">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6～9</w:t>
                  </w:r>
                </w:p>
              </w:tc>
              <w:tc>
                <w:tcPr>
                  <w:tcW w:w="1509" w:type="dxa"/>
                  <w:vMerge w:val="restart"/>
                  <w:tcBorders>
                    <w:tl2br w:val="nil"/>
                    <w:tr2bl w:val="nil"/>
                  </w:tcBorders>
                  <w:noWrap w:val="0"/>
                  <w:vAlign w:val="center"/>
                </w:tcPr>
                <w:p w14:paraId="7A5EA505">
                  <w:pPr>
                    <w:kinsoku w:val="0"/>
                    <w:overflowPunct w:val="0"/>
                    <w:autoSpaceDE w:val="0"/>
                    <w:autoSpaceDN w:val="0"/>
                    <w:jc w:val="center"/>
                    <w:rPr>
                      <w:rFonts w:hint="eastAsia" w:eastAsia="宋体"/>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企业2022年验收监测报告</w:t>
                  </w:r>
                </w:p>
              </w:tc>
            </w:tr>
            <w:tr w14:paraId="424FC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7C91BB4F">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4D1702D7">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5829CD0">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COD</w:t>
                  </w:r>
                </w:p>
              </w:tc>
              <w:tc>
                <w:tcPr>
                  <w:tcW w:w="1010" w:type="dxa"/>
                  <w:tcBorders>
                    <w:tl2br w:val="nil"/>
                    <w:tr2bl w:val="nil"/>
                  </w:tcBorders>
                  <w:noWrap w:val="0"/>
                  <w:vAlign w:val="center"/>
                </w:tcPr>
                <w:p w14:paraId="10ECCE46">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116</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1F3ACF75">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0A895980">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0.123</w:t>
                  </w:r>
                </w:p>
              </w:tc>
              <w:tc>
                <w:tcPr>
                  <w:tcW w:w="891" w:type="dxa"/>
                  <w:tcBorders>
                    <w:tl2br w:val="nil"/>
                    <w:tr2bl w:val="nil"/>
                  </w:tcBorders>
                  <w:noWrap w:val="0"/>
                  <w:vAlign w:val="center"/>
                </w:tcPr>
                <w:p w14:paraId="0B8052DC">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500</w:t>
                  </w:r>
                </w:p>
              </w:tc>
              <w:tc>
                <w:tcPr>
                  <w:tcW w:w="1509" w:type="dxa"/>
                  <w:vMerge w:val="continue"/>
                  <w:tcBorders>
                    <w:tl2br w:val="nil"/>
                    <w:tr2bl w:val="nil"/>
                  </w:tcBorders>
                  <w:noWrap w:val="0"/>
                  <w:vAlign w:val="center"/>
                </w:tcPr>
                <w:p w14:paraId="15A142A0">
                  <w:pPr>
                    <w:kinsoku w:val="0"/>
                    <w:overflowPunct w:val="0"/>
                    <w:autoSpaceDE w:val="0"/>
                    <w:autoSpaceDN w:val="0"/>
                    <w:jc w:val="center"/>
                    <w:rPr>
                      <w:color w:val="auto"/>
                      <w:highlight w:val="none"/>
                    </w:rPr>
                  </w:pPr>
                </w:p>
              </w:tc>
            </w:tr>
            <w:tr w14:paraId="7F74E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1256DFD6">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0EE87DB4">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32F3A31">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BOD</w:t>
                  </w:r>
                  <w:r>
                    <w:rPr>
                      <w:rFonts w:hint="eastAsia" w:ascii="Times New Roman" w:hAnsi="Times New Roman" w:eastAsia="宋体" w:cs="Times New Roman"/>
                      <w:color w:val="auto"/>
                      <w:kern w:val="0"/>
                      <w:szCs w:val="21"/>
                      <w:highlight w:val="none"/>
                      <w:vertAlign w:val="subscript"/>
                      <w:lang w:val="en-US" w:eastAsia="zh-CN"/>
                    </w:rPr>
                    <w:t>5</w:t>
                  </w:r>
                </w:p>
              </w:tc>
              <w:tc>
                <w:tcPr>
                  <w:tcW w:w="1010" w:type="dxa"/>
                  <w:tcBorders>
                    <w:tl2br w:val="nil"/>
                    <w:tr2bl w:val="nil"/>
                  </w:tcBorders>
                  <w:noWrap w:val="0"/>
                  <w:vAlign w:val="center"/>
                </w:tcPr>
                <w:p w14:paraId="7D5EA2AA">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35.5</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661F94BB">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7C42DA5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0.038</w:t>
                  </w:r>
                </w:p>
              </w:tc>
              <w:tc>
                <w:tcPr>
                  <w:tcW w:w="891" w:type="dxa"/>
                  <w:tcBorders>
                    <w:tl2br w:val="nil"/>
                    <w:tr2bl w:val="nil"/>
                  </w:tcBorders>
                  <w:noWrap w:val="0"/>
                  <w:vAlign w:val="center"/>
                </w:tcPr>
                <w:p w14:paraId="32AB0FCD">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300</w:t>
                  </w:r>
                </w:p>
              </w:tc>
              <w:tc>
                <w:tcPr>
                  <w:tcW w:w="1509" w:type="dxa"/>
                  <w:vMerge w:val="continue"/>
                  <w:tcBorders>
                    <w:tl2br w:val="nil"/>
                    <w:tr2bl w:val="nil"/>
                  </w:tcBorders>
                  <w:noWrap w:val="0"/>
                  <w:vAlign w:val="center"/>
                </w:tcPr>
                <w:p w14:paraId="0AAEDE0D">
                  <w:pPr>
                    <w:kinsoku w:val="0"/>
                    <w:overflowPunct w:val="0"/>
                    <w:autoSpaceDE w:val="0"/>
                    <w:autoSpaceDN w:val="0"/>
                    <w:jc w:val="center"/>
                    <w:rPr>
                      <w:color w:val="auto"/>
                      <w:highlight w:val="none"/>
                    </w:rPr>
                  </w:pPr>
                </w:p>
              </w:tc>
            </w:tr>
            <w:tr w14:paraId="1C3BF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06FB4E58">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4FC0D9F8">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40791ABE">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SS</w:t>
                  </w:r>
                </w:p>
              </w:tc>
              <w:tc>
                <w:tcPr>
                  <w:tcW w:w="1010" w:type="dxa"/>
                  <w:tcBorders>
                    <w:tl2br w:val="nil"/>
                    <w:tr2bl w:val="nil"/>
                  </w:tcBorders>
                  <w:noWrap w:val="0"/>
                  <w:vAlign w:val="center"/>
                </w:tcPr>
                <w:p w14:paraId="00391DB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11</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7BB232A1">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6F822D6D">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0.012</w:t>
                  </w:r>
                </w:p>
              </w:tc>
              <w:tc>
                <w:tcPr>
                  <w:tcW w:w="891" w:type="dxa"/>
                  <w:tcBorders>
                    <w:tl2br w:val="nil"/>
                    <w:tr2bl w:val="nil"/>
                  </w:tcBorders>
                  <w:noWrap w:val="0"/>
                  <w:vAlign w:val="center"/>
                </w:tcPr>
                <w:p w14:paraId="4925D59E">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400</w:t>
                  </w:r>
                </w:p>
              </w:tc>
              <w:tc>
                <w:tcPr>
                  <w:tcW w:w="1509" w:type="dxa"/>
                  <w:vMerge w:val="continue"/>
                  <w:tcBorders>
                    <w:tl2br w:val="nil"/>
                    <w:tr2bl w:val="nil"/>
                  </w:tcBorders>
                  <w:noWrap w:val="0"/>
                  <w:vAlign w:val="center"/>
                </w:tcPr>
                <w:p w14:paraId="4564A5A2">
                  <w:pPr>
                    <w:kinsoku w:val="0"/>
                    <w:overflowPunct w:val="0"/>
                    <w:autoSpaceDE w:val="0"/>
                    <w:autoSpaceDN w:val="0"/>
                    <w:jc w:val="center"/>
                    <w:rPr>
                      <w:color w:val="auto"/>
                      <w:highlight w:val="none"/>
                    </w:rPr>
                  </w:pPr>
                </w:p>
              </w:tc>
            </w:tr>
            <w:tr w14:paraId="356E6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544B8777">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0DBD8FC5">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099514E2">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氨氮</w:t>
                  </w:r>
                </w:p>
              </w:tc>
              <w:tc>
                <w:tcPr>
                  <w:tcW w:w="1010" w:type="dxa"/>
                  <w:tcBorders>
                    <w:tl2br w:val="nil"/>
                    <w:tr2bl w:val="nil"/>
                  </w:tcBorders>
                  <w:noWrap w:val="0"/>
                  <w:vAlign w:val="center"/>
                </w:tcPr>
                <w:p w14:paraId="309F8FF7">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3.738</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6C689C72">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6F6872D5">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0.004</w:t>
                  </w:r>
                </w:p>
              </w:tc>
              <w:tc>
                <w:tcPr>
                  <w:tcW w:w="891" w:type="dxa"/>
                  <w:tcBorders>
                    <w:tl2br w:val="nil"/>
                    <w:tr2bl w:val="nil"/>
                  </w:tcBorders>
                  <w:noWrap w:val="0"/>
                  <w:vAlign w:val="center"/>
                </w:tcPr>
                <w:p w14:paraId="521904FE">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45</w:t>
                  </w:r>
                </w:p>
              </w:tc>
              <w:tc>
                <w:tcPr>
                  <w:tcW w:w="1509" w:type="dxa"/>
                  <w:vMerge w:val="continue"/>
                  <w:tcBorders>
                    <w:tl2br w:val="nil"/>
                    <w:tr2bl w:val="nil"/>
                  </w:tcBorders>
                  <w:noWrap w:val="0"/>
                  <w:vAlign w:val="center"/>
                </w:tcPr>
                <w:p w14:paraId="2D28A7FD">
                  <w:pPr>
                    <w:kinsoku w:val="0"/>
                    <w:overflowPunct w:val="0"/>
                    <w:autoSpaceDE w:val="0"/>
                    <w:autoSpaceDN w:val="0"/>
                    <w:jc w:val="center"/>
                    <w:rPr>
                      <w:color w:val="auto"/>
                      <w:highlight w:val="none"/>
                    </w:rPr>
                  </w:pPr>
                </w:p>
              </w:tc>
            </w:tr>
            <w:tr w14:paraId="6B83A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48" w:type="dxa"/>
                  <w:vMerge w:val="continue"/>
                  <w:tcBorders>
                    <w:tl2br w:val="nil"/>
                    <w:tr2bl w:val="nil"/>
                  </w:tcBorders>
                  <w:noWrap w:val="0"/>
                  <w:vAlign w:val="center"/>
                </w:tcPr>
                <w:p w14:paraId="56920344">
                  <w:pPr>
                    <w:kinsoku w:val="0"/>
                    <w:overflowPunct w:val="0"/>
                    <w:autoSpaceDE w:val="0"/>
                    <w:autoSpaceDN w:val="0"/>
                    <w:jc w:val="center"/>
                    <w:rPr>
                      <w:color w:val="auto"/>
                      <w:highlight w:val="none"/>
                    </w:rPr>
                  </w:pPr>
                </w:p>
              </w:tc>
              <w:tc>
                <w:tcPr>
                  <w:tcW w:w="1099" w:type="dxa"/>
                  <w:vMerge w:val="continue"/>
                  <w:tcBorders>
                    <w:tl2br w:val="nil"/>
                    <w:tr2bl w:val="nil"/>
                  </w:tcBorders>
                  <w:noWrap w:val="0"/>
                  <w:vAlign w:val="center"/>
                </w:tcPr>
                <w:p w14:paraId="40FDCCFD">
                  <w:pPr>
                    <w:kinsoku w:val="0"/>
                    <w:overflowPunct w:val="0"/>
                    <w:autoSpaceDE w:val="0"/>
                    <w:autoSpaceDN w:val="0"/>
                    <w:jc w:val="center"/>
                    <w:rPr>
                      <w:rFonts w:hint="eastAsia" w:ascii="Times New Roman" w:hAnsi="Times New Roman" w:eastAsia="宋体" w:cs="Times New Roman"/>
                      <w:color w:val="auto"/>
                      <w:kern w:val="0"/>
                      <w:szCs w:val="21"/>
                      <w:highlight w:val="none"/>
                    </w:rPr>
                  </w:pPr>
                </w:p>
              </w:tc>
              <w:tc>
                <w:tcPr>
                  <w:tcW w:w="1328" w:type="dxa"/>
                  <w:tcBorders>
                    <w:tl2br w:val="nil"/>
                    <w:tr2bl w:val="nil"/>
                  </w:tcBorders>
                  <w:noWrap w:val="0"/>
                  <w:vAlign w:val="center"/>
                </w:tcPr>
                <w:p w14:paraId="2CFB77C0">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动植物油</w:t>
                  </w:r>
                </w:p>
              </w:tc>
              <w:tc>
                <w:tcPr>
                  <w:tcW w:w="1010" w:type="dxa"/>
                  <w:tcBorders>
                    <w:tl2br w:val="nil"/>
                    <w:tr2bl w:val="nil"/>
                  </w:tcBorders>
                  <w:noWrap w:val="0"/>
                  <w:vAlign w:val="center"/>
                </w:tcPr>
                <w:p w14:paraId="1A65B40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0.70</w:t>
                  </w:r>
                  <w:r>
                    <w:rPr>
                      <w:rFonts w:hint="default" w:ascii="Times New Roman" w:hAnsi="Times New Roman" w:eastAsia="宋体" w:cs="Times New Roman"/>
                      <w:color w:val="auto"/>
                      <w:kern w:val="0"/>
                      <w:szCs w:val="21"/>
                      <w:highlight w:val="none"/>
                    </w:rPr>
                    <w:t>mg/L</w:t>
                  </w:r>
                </w:p>
              </w:tc>
              <w:tc>
                <w:tcPr>
                  <w:tcW w:w="758" w:type="dxa"/>
                  <w:gridSpan w:val="2"/>
                  <w:tcBorders>
                    <w:tl2br w:val="nil"/>
                    <w:tr2bl w:val="nil"/>
                  </w:tcBorders>
                  <w:noWrap w:val="0"/>
                  <w:vAlign w:val="center"/>
                </w:tcPr>
                <w:p w14:paraId="75028735">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773" w:type="dxa"/>
                  <w:tcBorders>
                    <w:tl2br w:val="nil"/>
                    <w:tr2bl w:val="nil"/>
                  </w:tcBorders>
                  <w:noWrap w:val="0"/>
                  <w:vAlign w:val="center"/>
                </w:tcPr>
                <w:p w14:paraId="44A0E08B">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0.0007</w:t>
                  </w:r>
                </w:p>
              </w:tc>
              <w:tc>
                <w:tcPr>
                  <w:tcW w:w="891" w:type="dxa"/>
                  <w:tcBorders>
                    <w:tl2br w:val="nil"/>
                    <w:tr2bl w:val="nil"/>
                  </w:tcBorders>
                  <w:noWrap w:val="0"/>
                  <w:vAlign w:val="center"/>
                </w:tcPr>
                <w:p w14:paraId="226D7F31">
                  <w:pPr>
                    <w:kinsoku w:val="0"/>
                    <w:overflowPunct w:val="0"/>
                    <w:autoSpaceDE w:val="0"/>
                    <w:autoSpaceDN w:val="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100</w:t>
                  </w:r>
                </w:p>
              </w:tc>
              <w:tc>
                <w:tcPr>
                  <w:tcW w:w="1509" w:type="dxa"/>
                  <w:vMerge w:val="continue"/>
                  <w:tcBorders>
                    <w:tl2br w:val="nil"/>
                    <w:tr2bl w:val="nil"/>
                  </w:tcBorders>
                  <w:noWrap w:val="0"/>
                  <w:vAlign w:val="center"/>
                </w:tcPr>
                <w:p w14:paraId="66D880F7">
                  <w:pPr>
                    <w:kinsoku w:val="0"/>
                    <w:overflowPunct w:val="0"/>
                    <w:autoSpaceDE w:val="0"/>
                    <w:autoSpaceDN w:val="0"/>
                    <w:jc w:val="center"/>
                    <w:rPr>
                      <w:color w:val="auto"/>
                      <w:highlight w:val="none"/>
                    </w:rPr>
                  </w:pPr>
                </w:p>
              </w:tc>
            </w:tr>
            <w:tr w14:paraId="5711D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restart"/>
                  <w:tcBorders>
                    <w:tl2br w:val="nil"/>
                    <w:tr2bl w:val="nil"/>
                  </w:tcBorders>
                  <w:noWrap w:val="0"/>
                  <w:vAlign w:val="center"/>
                </w:tcPr>
                <w:p w14:paraId="70C49151">
                  <w:pPr>
                    <w:kinsoku w:val="0"/>
                    <w:overflowPunct w:val="0"/>
                    <w:autoSpaceDE w:val="0"/>
                    <w:autoSpaceDN w:val="0"/>
                    <w:jc w:val="center"/>
                    <w:rPr>
                      <w:color w:val="auto"/>
                      <w:kern w:val="0"/>
                      <w:szCs w:val="21"/>
                      <w:highlight w:val="none"/>
                    </w:rPr>
                  </w:pPr>
                  <w:r>
                    <w:rPr>
                      <w:rFonts w:hint="eastAsia"/>
                      <w:color w:val="auto"/>
                      <w:kern w:val="0"/>
                      <w:szCs w:val="21"/>
                      <w:highlight w:val="none"/>
                    </w:rPr>
                    <w:t>噪声</w:t>
                  </w:r>
                </w:p>
              </w:tc>
              <w:tc>
                <w:tcPr>
                  <w:tcW w:w="1099" w:type="dxa"/>
                  <w:tcBorders>
                    <w:tl2br w:val="nil"/>
                    <w:tr2bl w:val="nil"/>
                  </w:tcBorders>
                  <w:noWrap w:val="0"/>
                  <w:vAlign w:val="center"/>
                </w:tcPr>
                <w:p w14:paraId="41C45DC5">
                  <w:pPr>
                    <w:kinsoku w:val="0"/>
                    <w:overflowPunct w:val="0"/>
                    <w:autoSpaceDE w:val="0"/>
                    <w:autoSpaceDN w:val="0"/>
                    <w:jc w:val="center"/>
                    <w:rPr>
                      <w:color w:val="auto"/>
                      <w:kern w:val="0"/>
                      <w:szCs w:val="21"/>
                      <w:highlight w:val="none"/>
                    </w:rPr>
                  </w:pPr>
                  <w:r>
                    <w:rPr>
                      <w:rFonts w:hint="eastAsia"/>
                      <w:color w:val="auto"/>
                      <w:kern w:val="0"/>
                      <w:szCs w:val="21"/>
                      <w:highlight w:val="none"/>
                    </w:rPr>
                    <w:t>厂界东侧</w:t>
                  </w:r>
                </w:p>
              </w:tc>
              <w:tc>
                <w:tcPr>
                  <w:tcW w:w="1328" w:type="dxa"/>
                  <w:vMerge w:val="restart"/>
                  <w:tcBorders>
                    <w:tl2br w:val="nil"/>
                    <w:tr2bl w:val="nil"/>
                  </w:tcBorders>
                  <w:noWrap w:val="0"/>
                  <w:vAlign w:val="center"/>
                </w:tcPr>
                <w:p w14:paraId="057BAFCF">
                  <w:pPr>
                    <w:kinsoku w:val="0"/>
                    <w:overflowPunct w:val="0"/>
                    <w:autoSpaceDE w:val="0"/>
                    <w:autoSpaceDN w:val="0"/>
                    <w:jc w:val="center"/>
                    <w:rPr>
                      <w:color w:val="auto"/>
                      <w:highlight w:val="none"/>
                    </w:rPr>
                  </w:pPr>
                  <w:r>
                    <w:rPr>
                      <w:rFonts w:hint="eastAsia"/>
                      <w:color w:val="auto"/>
                      <w:highlight w:val="none"/>
                    </w:rPr>
                    <w:t>噪声 LeqdB</w:t>
                  </w:r>
                </w:p>
                <w:p w14:paraId="3E54C5D1">
                  <w:pPr>
                    <w:kinsoku w:val="0"/>
                    <w:overflowPunct w:val="0"/>
                    <w:autoSpaceDE w:val="0"/>
                    <w:autoSpaceDN w:val="0"/>
                    <w:jc w:val="center"/>
                    <w:rPr>
                      <w:color w:val="auto"/>
                      <w:kern w:val="0"/>
                      <w:szCs w:val="21"/>
                      <w:highlight w:val="none"/>
                    </w:rPr>
                  </w:pPr>
                  <w:r>
                    <w:rPr>
                      <w:rFonts w:hint="eastAsia"/>
                      <w:color w:val="auto"/>
                      <w:highlight w:val="none"/>
                    </w:rPr>
                    <w:t>（A）</w:t>
                  </w:r>
                </w:p>
              </w:tc>
              <w:tc>
                <w:tcPr>
                  <w:tcW w:w="1180" w:type="dxa"/>
                  <w:gridSpan w:val="2"/>
                  <w:tcBorders>
                    <w:tl2br w:val="nil"/>
                    <w:tr2bl w:val="nil"/>
                  </w:tcBorders>
                  <w:noWrap w:val="0"/>
                  <w:vAlign w:val="center"/>
                </w:tcPr>
                <w:p w14:paraId="10C510F9">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64</w:t>
                  </w:r>
                </w:p>
              </w:tc>
              <w:tc>
                <w:tcPr>
                  <w:tcW w:w="1361" w:type="dxa"/>
                  <w:gridSpan w:val="2"/>
                  <w:tcBorders>
                    <w:tl2br w:val="nil"/>
                    <w:tr2bl w:val="nil"/>
                  </w:tcBorders>
                  <w:noWrap w:val="0"/>
                  <w:vAlign w:val="center"/>
                </w:tcPr>
                <w:p w14:paraId="5808B8F4">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restart"/>
                  <w:tcBorders>
                    <w:tl2br w:val="nil"/>
                    <w:tr2bl w:val="nil"/>
                  </w:tcBorders>
                  <w:noWrap w:val="0"/>
                  <w:vAlign w:val="center"/>
                </w:tcPr>
                <w:p w14:paraId="408C4E0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65/55</w:t>
                  </w:r>
                </w:p>
              </w:tc>
              <w:tc>
                <w:tcPr>
                  <w:tcW w:w="1509" w:type="dxa"/>
                  <w:vMerge w:val="restart"/>
                  <w:tcBorders>
                    <w:tl2br w:val="nil"/>
                    <w:tr2bl w:val="nil"/>
                  </w:tcBorders>
                  <w:noWrap w:val="0"/>
                  <w:vAlign w:val="center"/>
                </w:tcPr>
                <w:p w14:paraId="042F1F5D">
                  <w:pPr>
                    <w:kinsoku w:val="0"/>
                    <w:overflowPunct w:val="0"/>
                    <w:autoSpaceDE w:val="0"/>
                    <w:autoSpaceDN w:val="0"/>
                    <w:rPr>
                      <w:rFonts w:hint="eastAsia"/>
                      <w:color w:val="auto"/>
                      <w:kern w:val="0"/>
                      <w:szCs w:val="21"/>
                      <w:highlight w:val="none"/>
                    </w:rPr>
                  </w:pPr>
                  <w:r>
                    <w:rPr>
                      <w:rFonts w:hint="eastAsia"/>
                      <w:color w:val="auto"/>
                      <w:kern w:val="0"/>
                      <w:szCs w:val="21"/>
                      <w:highlight w:val="none"/>
                    </w:rPr>
                    <w:t>企业2023年</w:t>
                  </w:r>
                  <w:r>
                    <w:rPr>
                      <w:rFonts w:hint="eastAsia"/>
                      <w:color w:val="auto"/>
                      <w:kern w:val="0"/>
                      <w:szCs w:val="21"/>
                      <w:highlight w:val="none"/>
                      <w:lang w:eastAsia="zh-CN"/>
                    </w:rPr>
                    <w:t>日常</w:t>
                  </w:r>
                  <w:r>
                    <w:rPr>
                      <w:rFonts w:hint="eastAsia"/>
                      <w:color w:val="auto"/>
                      <w:kern w:val="0"/>
                      <w:szCs w:val="21"/>
                      <w:highlight w:val="none"/>
                    </w:rPr>
                    <w:t>监测报告</w:t>
                  </w:r>
                </w:p>
              </w:tc>
            </w:tr>
            <w:tr w14:paraId="5BDD8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4652C96D">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7BBF8153">
                  <w:pPr>
                    <w:kinsoku w:val="0"/>
                    <w:overflowPunct w:val="0"/>
                    <w:autoSpaceDE w:val="0"/>
                    <w:autoSpaceDN w:val="0"/>
                    <w:jc w:val="center"/>
                    <w:rPr>
                      <w:color w:val="auto"/>
                      <w:kern w:val="0"/>
                      <w:szCs w:val="21"/>
                      <w:highlight w:val="none"/>
                    </w:rPr>
                  </w:pPr>
                  <w:r>
                    <w:rPr>
                      <w:rFonts w:hint="eastAsia"/>
                      <w:color w:val="auto"/>
                      <w:kern w:val="0"/>
                      <w:szCs w:val="21"/>
                      <w:highlight w:val="none"/>
                    </w:rPr>
                    <w:t>厂界南侧</w:t>
                  </w:r>
                </w:p>
              </w:tc>
              <w:tc>
                <w:tcPr>
                  <w:tcW w:w="1328" w:type="dxa"/>
                  <w:vMerge w:val="continue"/>
                  <w:tcBorders>
                    <w:tl2br w:val="nil"/>
                    <w:tr2bl w:val="nil"/>
                  </w:tcBorders>
                  <w:noWrap w:val="0"/>
                  <w:vAlign w:val="center"/>
                </w:tcPr>
                <w:p w14:paraId="12BF8D48">
                  <w:pPr>
                    <w:kinsoku w:val="0"/>
                    <w:overflowPunct w:val="0"/>
                    <w:autoSpaceDE w:val="0"/>
                    <w:autoSpaceDN w:val="0"/>
                    <w:jc w:val="center"/>
                    <w:rPr>
                      <w:color w:val="auto"/>
                      <w:kern w:val="0"/>
                      <w:szCs w:val="21"/>
                      <w:highlight w:val="none"/>
                    </w:rPr>
                  </w:pPr>
                </w:p>
              </w:tc>
              <w:tc>
                <w:tcPr>
                  <w:tcW w:w="1180" w:type="dxa"/>
                  <w:gridSpan w:val="2"/>
                  <w:tcBorders>
                    <w:tl2br w:val="nil"/>
                    <w:tr2bl w:val="nil"/>
                  </w:tcBorders>
                  <w:noWrap w:val="0"/>
                  <w:vAlign w:val="center"/>
                </w:tcPr>
                <w:p w14:paraId="4CF319D0">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62</w:t>
                  </w:r>
                </w:p>
              </w:tc>
              <w:tc>
                <w:tcPr>
                  <w:tcW w:w="1361" w:type="dxa"/>
                  <w:gridSpan w:val="2"/>
                  <w:tcBorders>
                    <w:tl2br w:val="nil"/>
                    <w:tr2bl w:val="nil"/>
                  </w:tcBorders>
                  <w:noWrap w:val="0"/>
                  <w:vAlign w:val="center"/>
                </w:tcPr>
                <w:p w14:paraId="67BC7913">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continue"/>
                  <w:tcBorders>
                    <w:tl2br w:val="nil"/>
                    <w:tr2bl w:val="nil"/>
                  </w:tcBorders>
                  <w:noWrap w:val="0"/>
                  <w:vAlign w:val="center"/>
                </w:tcPr>
                <w:p w14:paraId="556EB0E4">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p>
              </w:tc>
              <w:tc>
                <w:tcPr>
                  <w:tcW w:w="1509" w:type="dxa"/>
                  <w:vMerge w:val="continue"/>
                  <w:tcBorders>
                    <w:tl2br w:val="nil"/>
                    <w:tr2bl w:val="nil"/>
                  </w:tcBorders>
                  <w:noWrap w:val="0"/>
                  <w:vAlign w:val="center"/>
                </w:tcPr>
                <w:p w14:paraId="5D8B0EAC">
                  <w:pPr>
                    <w:kinsoku w:val="0"/>
                    <w:overflowPunct w:val="0"/>
                    <w:autoSpaceDE w:val="0"/>
                    <w:autoSpaceDN w:val="0"/>
                    <w:jc w:val="center"/>
                    <w:rPr>
                      <w:color w:val="auto"/>
                      <w:kern w:val="0"/>
                      <w:szCs w:val="21"/>
                      <w:highlight w:val="none"/>
                    </w:rPr>
                  </w:pPr>
                </w:p>
              </w:tc>
            </w:tr>
            <w:tr w14:paraId="7408C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5781BE0C">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22EA97C6">
                  <w:pPr>
                    <w:kinsoku w:val="0"/>
                    <w:overflowPunct w:val="0"/>
                    <w:autoSpaceDE w:val="0"/>
                    <w:autoSpaceDN w:val="0"/>
                    <w:jc w:val="center"/>
                    <w:rPr>
                      <w:color w:val="auto"/>
                      <w:kern w:val="0"/>
                      <w:szCs w:val="21"/>
                      <w:highlight w:val="none"/>
                    </w:rPr>
                  </w:pPr>
                  <w:r>
                    <w:rPr>
                      <w:rFonts w:hint="eastAsia"/>
                      <w:color w:val="auto"/>
                      <w:kern w:val="0"/>
                      <w:szCs w:val="21"/>
                      <w:highlight w:val="none"/>
                    </w:rPr>
                    <w:t>厂界西侧</w:t>
                  </w:r>
                </w:p>
              </w:tc>
              <w:tc>
                <w:tcPr>
                  <w:tcW w:w="1328" w:type="dxa"/>
                  <w:vMerge w:val="continue"/>
                  <w:tcBorders>
                    <w:tl2br w:val="nil"/>
                    <w:tr2bl w:val="nil"/>
                  </w:tcBorders>
                  <w:noWrap w:val="0"/>
                  <w:vAlign w:val="center"/>
                </w:tcPr>
                <w:p w14:paraId="2D240661">
                  <w:pPr>
                    <w:kinsoku w:val="0"/>
                    <w:overflowPunct w:val="0"/>
                    <w:autoSpaceDE w:val="0"/>
                    <w:autoSpaceDN w:val="0"/>
                    <w:jc w:val="center"/>
                    <w:rPr>
                      <w:color w:val="auto"/>
                      <w:kern w:val="0"/>
                      <w:szCs w:val="21"/>
                      <w:highlight w:val="none"/>
                    </w:rPr>
                  </w:pPr>
                </w:p>
              </w:tc>
              <w:tc>
                <w:tcPr>
                  <w:tcW w:w="1180" w:type="dxa"/>
                  <w:gridSpan w:val="2"/>
                  <w:tcBorders>
                    <w:tl2br w:val="nil"/>
                    <w:tr2bl w:val="nil"/>
                  </w:tcBorders>
                  <w:noWrap w:val="0"/>
                  <w:vAlign w:val="center"/>
                </w:tcPr>
                <w:p w14:paraId="7A330F8D">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62</w:t>
                  </w:r>
                </w:p>
              </w:tc>
              <w:tc>
                <w:tcPr>
                  <w:tcW w:w="1361" w:type="dxa"/>
                  <w:gridSpan w:val="2"/>
                  <w:tcBorders>
                    <w:tl2br w:val="nil"/>
                    <w:tr2bl w:val="nil"/>
                  </w:tcBorders>
                  <w:noWrap w:val="0"/>
                  <w:vAlign w:val="center"/>
                </w:tcPr>
                <w:p w14:paraId="6198DD3A">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continue"/>
                  <w:tcBorders>
                    <w:tl2br w:val="nil"/>
                    <w:tr2bl w:val="nil"/>
                  </w:tcBorders>
                  <w:noWrap w:val="0"/>
                  <w:vAlign w:val="center"/>
                </w:tcPr>
                <w:p w14:paraId="0FDCB6C2">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p>
              </w:tc>
              <w:tc>
                <w:tcPr>
                  <w:tcW w:w="1509" w:type="dxa"/>
                  <w:vMerge w:val="continue"/>
                  <w:tcBorders>
                    <w:tl2br w:val="nil"/>
                    <w:tr2bl w:val="nil"/>
                  </w:tcBorders>
                  <w:noWrap w:val="0"/>
                  <w:vAlign w:val="center"/>
                </w:tcPr>
                <w:p w14:paraId="22FCF742">
                  <w:pPr>
                    <w:kinsoku w:val="0"/>
                    <w:overflowPunct w:val="0"/>
                    <w:autoSpaceDE w:val="0"/>
                    <w:autoSpaceDN w:val="0"/>
                    <w:jc w:val="center"/>
                    <w:rPr>
                      <w:color w:val="auto"/>
                      <w:kern w:val="0"/>
                      <w:szCs w:val="21"/>
                      <w:highlight w:val="none"/>
                    </w:rPr>
                  </w:pPr>
                </w:p>
              </w:tc>
            </w:tr>
            <w:tr w14:paraId="5D24E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1AC41058">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00370737">
                  <w:pPr>
                    <w:kinsoku w:val="0"/>
                    <w:overflowPunct w:val="0"/>
                    <w:autoSpaceDE w:val="0"/>
                    <w:autoSpaceDN w:val="0"/>
                    <w:jc w:val="center"/>
                    <w:rPr>
                      <w:color w:val="auto"/>
                      <w:kern w:val="0"/>
                      <w:szCs w:val="21"/>
                      <w:highlight w:val="none"/>
                    </w:rPr>
                  </w:pPr>
                  <w:r>
                    <w:rPr>
                      <w:rFonts w:hint="eastAsia"/>
                      <w:color w:val="auto"/>
                      <w:kern w:val="0"/>
                      <w:szCs w:val="21"/>
                      <w:highlight w:val="none"/>
                    </w:rPr>
                    <w:t>厂界北侧</w:t>
                  </w:r>
                </w:p>
              </w:tc>
              <w:tc>
                <w:tcPr>
                  <w:tcW w:w="1328" w:type="dxa"/>
                  <w:vMerge w:val="continue"/>
                  <w:tcBorders>
                    <w:tl2br w:val="nil"/>
                    <w:tr2bl w:val="nil"/>
                  </w:tcBorders>
                  <w:noWrap w:val="0"/>
                  <w:vAlign w:val="center"/>
                </w:tcPr>
                <w:p w14:paraId="5C0994FB">
                  <w:pPr>
                    <w:kinsoku w:val="0"/>
                    <w:overflowPunct w:val="0"/>
                    <w:autoSpaceDE w:val="0"/>
                    <w:autoSpaceDN w:val="0"/>
                    <w:jc w:val="center"/>
                    <w:rPr>
                      <w:color w:val="auto"/>
                      <w:kern w:val="0"/>
                      <w:szCs w:val="21"/>
                      <w:highlight w:val="none"/>
                    </w:rPr>
                  </w:pPr>
                </w:p>
              </w:tc>
              <w:tc>
                <w:tcPr>
                  <w:tcW w:w="1180" w:type="dxa"/>
                  <w:gridSpan w:val="2"/>
                  <w:tcBorders>
                    <w:tl2br w:val="nil"/>
                    <w:tr2bl w:val="nil"/>
                  </w:tcBorders>
                  <w:noWrap w:val="0"/>
                  <w:vAlign w:val="center"/>
                </w:tcPr>
                <w:p w14:paraId="4A3A0F15">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59</w:t>
                  </w:r>
                </w:p>
              </w:tc>
              <w:tc>
                <w:tcPr>
                  <w:tcW w:w="1361" w:type="dxa"/>
                  <w:gridSpan w:val="2"/>
                  <w:tcBorders>
                    <w:tl2br w:val="nil"/>
                    <w:tr2bl w:val="nil"/>
                  </w:tcBorders>
                  <w:noWrap w:val="0"/>
                  <w:vAlign w:val="center"/>
                </w:tcPr>
                <w:p w14:paraId="4557787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891" w:type="dxa"/>
                  <w:vMerge w:val="continue"/>
                  <w:tcBorders>
                    <w:tl2br w:val="nil"/>
                    <w:tr2bl w:val="nil"/>
                  </w:tcBorders>
                  <w:noWrap w:val="0"/>
                  <w:vAlign w:val="center"/>
                </w:tcPr>
                <w:p w14:paraId="240F9D0E">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p>
              </w:tc>
              <w:tc>
                <w:tcPr>
                  <w:tcW w:w="1509" w:type="dxa"/>
                  <w:vMerge w:val="continue"/>
                  <w:tcBorders>
                    <w:tl2br w:val="nil"/>
                    <w:tr2bl w:val="nil"/>
                  </w:tcBorders>
                  <w:noWrap w:val="0"/>
                  <w:vAlign w:val="center"/>
                </w:tcPr>
                <w:p w14:paraId="08F087C3">
                  <w:pPr>
                    <w:kinsoku w:val="0"/>
                    <w:overflowPunct w:val="0"/>
                    <w:autoSpaceDE w:val="0"/>
                    <w:autoSpaceDN w:val="0"/>
                    <w:jc w:val="center"/>
                    <w:rPr>
                      <w:color w:val="auto"/>
                      <w:kern w:val="0"/>
                      <w:szCs w:val="21"/>
                      <w:highlight w:val="none"/>
                    </w:rPr>
                  </w:pPr>
                </w:p>
              </w:tc>
            </w:tr>
            <w:tr w14:paraId="6D73B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restart"/>
                  <w:tcBorders>
                    <w:tl2br w:val="nil"/>
                    <w:tr2bl w:val="nil"/>
                  </w:tcBorders>
                  <w:noWrap w:val="0"/>
                  <w:vAlign w:val="center"/>
                </w:tcPr>
                <w:p w14:paraId="12F6E240">
                  <w:pPr>
                    <w:kinsoku w:val="0"/>
                    <w:overflowPunct w:val="0"/>
                    <w:autoSpaceDE w:val="0"/>
                    <w:autoSpaceDN w:val="0"/>
                    <w:jc w:val="center"/>
                    <w:rPr>
                      <w:color w:val="auto"/>
                      <w:kern w:val="0"/>
                      <w:szCs w:val="21"/>
                      <w:highlight w:val="none"/>
                    </w:rPr>
                  </w:pPr>
                  <w:r>
                    <w:rPr>
                      <w:rFonts w:hint="eastAsia"/>
                      <w:color w:val="auto"/>
                      <w:kern w:val="0"/>
                      <w:szCs w:val="21"/>
                      <w:highlight w:val="none"/>
                    </w:rPr>
                    <w:t>固体废物</w:t>
                  </w:r>
                </w:p>
              </w:tc>
              <w:tc>
                <w:tcPr>
                  <w:tcW w:w="1099" w:type="dxa"/>
                  <w:tcBorders>
                    <w:tl2br w:val="nil"/>
                    <w:tr2bl w:val="nil"/>
                  </w:tcBorders>
                  <w:noWrap w:val="0"/>
                  <w:vAlign w:val="center"/>
                </w:tcPr>
                <w:p w14:paraId="11D6FDE4">
                  <w:pPr>
                    <w:kinsoku w:val="0"/>
                    <w:overflowPunct w:val="0"/>
                    <w:autoSpaceDE w:val="0"/>
                    <w:autoSpaceDN w:val="0"/>
                    <w:jc w:val="center"/>
                    <w:rPr>
                      <w:color w:val="auto"/>
                      <w:kern w:val="0"/>
                      <w:szCs w:val="21"/>
                      <w:highlight w:val="none"/>
                    </w:rPr>
                  </w:pPr>
                  <w:r>
                    <w:rPr>
                      <w:rFonts w:hint="eastAsia"/>
                      <w:color w:val="auto"/>
                      <w:kern w:val="0"/>
                      <w:szCs w:val="21"/>
                      <w:highlight w:val="none"/>
                    </w:rPr>
                    <w:t>一般固废</w:t>
                  </w:r>
                </w:p>
              </w:tc>
              <w:tc>
                <w:tcPr>
                  <w:tcW w:w="1328" w:type="dxa"/>
                  <w:tcBorders>
                    <w:tl2br w:val="nil"/>
                    <w:tr2bl w:val="nil"/>
                  </w:tcBorders>
                  <w:noWrap w:val="0"/>
                  <w:vAlign w:val="center"/>
                </w:tcPr>
                <w:p w14:paraId="618FC762">
                  <w:pPr>
                    <w:kinsoku w:val="0"/>
                    <w:overflowPunct w:val="0"/>
                    <w:autoSpaceDE w:val="0"/>
                    <w:autoSpaceDN w:val="0"/>
                    <w:jc w:val="center"/>
                    <w:rPr>
                      <w:rFonts w:hint="eastAsia" w:eastAsia="宋体"/>
                      <w:color w:val="auto"/>
                      <w:kern w:val="0"/>
                      <w:szCs w:val="21"/>
                      <w:highlight w:val="none"/>
                      <w:lang w:eastAsia="zh-CN"/>
                    </w:rPr>
                  </w:pPr>
                  <w:r>
                    <w:rPr>
                      <w:rFonts w:hint="eastAsia"/>
                      <w:color w:val="auto"/>
                      <w:kern w:val="0"/>
                      <w:szCs w:val="21"/>
                      <w:highlight w:val="none"/>
                      <w:lang w:eastAsia="zh-CN"/>
                    </w:rPr>
                    <w:t>食堂油脂</w:t>
                  </w:r>
                </w:p>
              </w:tc>
              <w:tc>
                <w:tcPr>
                  <w:tcW w:w="2541" w:type="dxa"/>
                  <w:gridSpan w:val="4"/>
                  <w:tcBorders>
                    <w:tl2br w:val="nil"/>
                    <w:tr2bl w:val="nil"/>
                  </w:tcBorders>
                  <w:noWrap w:val="0"/>
                  <w:vAlign w:val="center"/>
                </w:tcPr>
                <w:p w14:paraId="2FED9BC8">
                  <w:pPr>
                    <w:kinsoku w:val="0"/>
                    <w:overflowPunct w:val="0"/>
                    <w:autoSpaceDE w:val="0"/>
                    <w:autoSpaceDN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0.04</w:t>
                  </w:r>
                </w:p>
              </w:tc>
              <w:tc>
                <w:tcPr>
                  <w:tcW w:w="2400" w:type="dxa"/>
                  <w:gridSpan w:val="2"/>
                  <w:vMerge w:val="restart"/>
                  <w:tcBorders>
                    <w:tl2br w:val="nil"/>
                    <w:tr2bl w:val="nil"/>
                  </w:tcBorders>
                  <w:noWrap w:val="0"/>
                  <w:vAlign w:val="center"/>
                </w:tcPr>
                <w:p w14:paraId="6F74AAD0">
                  <w:pPr>
                    <w:widowControl/>
                    <w:jc w:val="left"/>
                    <w:rPr>
                      <w:color w:val="auto"/>
                      <w:kern w:val="0"/>
                      <w:szCs w:val="21"/>
                      <w:highlight w:val="none"/>
                    </w:rPr>
                  </w:pPr>
                  <w:r>
                    <w:rPr>
                      <w:rFonts w:hint="eastAsia"/>
                      <w:color w:val="auto"/>
                      <w:kern w:val="0"/>
                      <w:szCs w:val="21"/>
                      <w:highlight w:val="none"/>
                    </w:rPr>
                    <w:t>企业提供生产资料</w:t>
                  </w:r>
                </w:p>
              </w:tc>
            </w:tr>
            <w:tr w14:paraId="6C5E5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4A982C91">
                  <w:pPr>
                    <w:kinsoku w:val="0"/>
                    <w:overflowPunct w:val="0"/>
                    <w:autoSpaceDE w:val="0"/>
                    <w:autoSpaceDN w:val="0"/>
                    <w:jc w:val="center"/>
                    <w:rPr>
                      <w:color w:val="auto"/>
                      <w:kern w:val="0"/>
                      <w:szCs w:val="21"/>
                      <w:highlight w:val="none"/>
                    </w:rPr>
                  </w:pPr>
                </w:p>
              </w:tc>
              <w:tc>
                <w:tcPr>
                  <w:tcW w:w="1099" w:type="dxa"/>
                  <w:vMerge w:val="restart"/>
                  <w:tcBorders>
                    <w:tl2br w:val="nil"/>
                    <w:tr2bl w:val="nil"/>
                  </w:tcBorders>
                  <w:noWrap w:val="0"/>
                  <w:vAlign w:val="center"/>
                </w:tcPr>
                <w:p w14:paraId="4A592070">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危险废物</w:t>
                  </w:r>
                </w:p>
              </w:tc>
              <w:tc>
                <w:tcPr>
                  <w:tcW w:w="1328" w:type="dxa"/>
                  <w:tcBorders>
                    <w:tl2br w:val="nil"/>
                    <w:tr2bl w:val="nil"/>
                  </w:tcBorders>
                  <w:noWrap w:val="0"/>
                  <w:vAlign w:val="center"/>
                </w:tcPr>
                <w:p w14:paraId="6378DFE8">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气浮渣</w:t>
                  </w:r>
                </w:p>
              </w:tc>
              <w:tc>
                <w:tcPr>
                  <w:tcW w:w="2541" w:type="dxa"/>
                  <w:gridSpan w:val="4"/>
                  <w:tcBorders>
                    <w:tl2br w:val="nil"/>
                    <w:tr2bl w:val="nil"/>
                  </w:tcBorders>
                  <w:noWrap w:val="0"/>
                  <w:vAlign w:val="center"/>
                </w:tcPr>
                <w:p w14:paraId="7041D6B8">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0.145</w:t>
                  </w:r>
                </w:p>
              </w:tc>
              <w:tc>
                <w:tcPr>
                  <w:tcW w:w="2400" w:type="dxa"/>
                  <w:gridSpan w:val="2"/>
                  <w:vMerge w:val="continue"/>
                  <w:tcBorders>
                    <w:tl2br w:val="nil"/>
                    <w:tr2bl w:val="nil"/>
                  </w:tcBorders>
                  <w:noWrap w:val="0"/>
                  <w:vAlign w:val="center"/>
                </w:tcPr>
                <w:p w14:paraId="453EAD8C">
                  <w:pPr>
                    <w:kinsoku w:val="0"/>
                    <w:overflowPunct w:val="0"/>
                    <w:autoSpaceDE w:val="0"/>
                    <w:autoSpaceDN w:val="0"/>
                    <w:jc w:val="center"/>
                    <w:rPr>
                      <w:color w:val="auto"/>
                      <w:kern w:val="0"/>
                      <w:szCs w:val="21"/>
                      <w:highlight w:val="none"/>
                    </w:rPr>
                  </w:pPr>
                </w:p>
              </w:tc>
            </w:tr>
            <w:tr w14:paraId="60A94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48" w:type="dxa"/>
                  <w:vMerge w:val="continue"/>
                  <w:tcBorders>
                    <w:tl2br w:val="nil"/>
                    <w:tr2bl w:val="nil"/>
                  </w:tcBorders>
                  <w:noWrap w:val="0"/>
                  <w:vAlign w:val="center"/>
                </w:tcPr>
                <w:p w14:paraId="1D7DD258">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38F6543A">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3DC99B2C">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含油污泥</w:t>
                  </w:r>
                </w:p>
              </w:tc>
              <w:tc>
                <w:tcPr>
                  <w:tcW w:w="2541" w:type="dxa"/>
                  <w:gridSpan w:val="4"/>
                  <w:tcBorders>
                    <w:tl2br w:val="nil"/>
                    <w:tr2bl w:val="nil"/>
                  </w:tcBorders>
                  <w:noWrap w:val="0"/>
                  <w:vAlign w:val="top"/>
                </w:tcPr>
                <w:p w14:paraId="780086EF">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3158.06</w:t>
                  </w:r>
                </w:p>
              </w:tc>
              <w:tc>
                <w:tcPr>
                  <w:tcW w:w="2400" w:type="dxa"/>
                  <w:gridSpan w:val="2"/>
                  <w:vMerge w:val="continue"/>
                  <w:tcBorders>
                    <w:tl2br w:val="nil"/>
                    <w:tr2bl w:val="nil"/>
                  </w:tcBorders>
                  <w:noWrap w:val="0"/>
                  <w:vAlign w:val="center"/>
                </w:tcPr>
                <w:p w14:paraId="0F06179A">
                  <w:pPr>
                    <w:kinsoku w:val="0"/>
                    <w:overflowPunct w:val="0"/>
                    <w:autoSpaceDE w:val="0"/>
                    <w:autoSpaceDN w:val="0"/>
                    <w:jc w:val="center"/>
                    <w:rPr>
                      <w:color w:val="auto"/>
                      <w:kern w:val="0"/>
                      <w:szCs w:val="21"/>
                      <w:highlight w:val="none"/>
                    </w:rPr>
                  </w:pPr>
                </w:p>
              </w:tc>
            </w:tr>
            <w:tr w14:paraId="4E737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62C33D05">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589FDF72">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592E8D2A">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废包装材料</w:t>
                  </w:r>
                </w:p>
              </w:tc>
              <w:tc>
                <w:tcPr>
                  <w:tcW w:w="2541" w:type="dxa"/>
                  <w:gridSpan w:val="4"/>
                  <w:tcBorders>
                    <w:tl2br w:val="nil"/>
                    <w:tr2bl w:val="nil"/>
                  </w:tcBorders>
                  <w:noWrap w:val="0"/>
                  <w:vAlign w:val="top"/>
                </w:tcPr>
                <w:p w14:paraId="23528332">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1501.52</w:t>
                  </w:r>
                </w:p>
              </w:tc>
              <w:tc>
                <w:tcPr>
                  <w:tcW w:w="2400" w:type="dxa"/>
                  <w:gridSpan w:val="2"/>
                  <w:vMerge w:val="continue"/>
                  <w:tcBorders>
                    <w:tl2br w:val="nil"/>
                    <w:tr2bl w:val="nil"/>
                  </w:tcBorders>
                  <w:noWrap w:val="0"/>
                  <w:vAlign w:val="center"/>
                </w:tcPr>
                <w:p w14:paraId="73B0B276">
                  <w:pPr>
                    <w:kinsoku w:val="0"/>
                    <w:overflowPunct w:val="0"/>
                    <w:autoSpaceDE w:val="0"/>
                    <w:autoSpaceDN w:val="0"/>
                    <w:jc w:val="center"/>
                    <w:rPr>
                      <w:color w:val="auto"/>
                      <w:kern w:val="0"/>
                      <w:szCs w:val="21"/>
                      <w:highlight w:val="none"/>
                    </w:rPr>
                  </w:pPr>
                </w:p>
              </w:tc>
            </w:tr>
            <w:tr w14:paraId="1328C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tcBorders>
                    <w:tl2br w:val="nil"/>
                    <w:tr2bl w:val="nil"/>
                  </w:tcBorders>
                  <w:noWrap w:val="0"/>
                  <w:vAlign w:val="center"/>
                </w:tcPr>
                <w:p w14:paraId="72AE61C5">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04CCFE77">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27C42DC1">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废活性炭</w:t>
                  </w:r>
                </w:p>
              </w:tc>
              <w:tc>
                <w:tcPr>
                  <w:tcW w:w="2541" w:type="dxa"/>
                  <w:gridSpan w:val="4"/>
                  <w:tcBorders>
                    <w:tl2br w:val="nil"/>
                    <w:tr2bl w:val="nil"/>
                  </w:tcBorders>
                  <w:noWrap w:val="0"/>
                  <w:vAlign w:val="top"/>
                </w:tcPr>
                <w:p w14:paraId="48D947C7">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w:t>
                  </w:r>
                </w:p>
              </w:tc>
              <w:tc>
                <w:tcPr>
                  <w:tcW w:w="2400" w:type="dxa"/>
                  <w:gridSpan w:val="2"/>
                  <w:vMerge w:val="continue"/>
                  <w:tcBorders>
                    <w:tl2br w:val="nil"/>
                    <w:tr2bl w:val="nil"/>
                  </w:tcBorders>
                  <w:noWrap w:val="0"/>
                  <w:vAlign w:val="center"/>
                </w:tcPr>
                <w:p w14:paraId="6CA90B41">
                  <w:pPr>
                    <w:kinsoku w:val="0"/>
                    <w:overflowPunct w:val="0"/>
                    <w:autoSpaceDE w:val="0"/>
                    <w:autoSpaceDN w:val="0"/>
                    <w:jc w:val="center"/>
                    <w:rPr>
                      <w:color w:val="auto"/>
                      <w:kern w:val="0"/>
                      <w:szCs w:val="21"/>
                      <w:highlight w:val="none"/>
                    </w:rPr>
                  </w:pPr>
                </w:p>
              </w:tc>
            </w:tr>
            <w:tr w14:paraId="4B841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tcBorders>
                    <w:tl2br w:val="nil"/>
                    <w:tr2bl w:val="nil"/>
                  </w:tcBorders>
                  <w:noWrap w:val="0"/>
                  <w:vAlign w:val="center"/>
                </w:tcPr>
                <w:p w14:paraId="5F70920E">
                  <w:pPr>
                    <w:kinsoku w:val="0"/>
                    <w:overflowPunct w:val="0"/>
                    <w:autoSpaceDE w:val="0"/>
                    <w:autoSpaceDN w:val="0"/>
                    <w:jc w:val="center"/>
                    <w:rPr>
                      <w:color w:val="auto"/>
                      <w:kern w:val="0"/>
                      <w:szCs w:val="21"/>
                      <w:highlight w:val="none"/>
                    </w:rPr>
                  </w:pPr>
                </w:p>
              </w:tc>
              <w:tc>
                <w:tcPr>
                  <w:tcW w:w="1099" w:type="dxa"/>
                  <w:vMerge w:val="continue"/>
                  <w:tcBorders>
                    <w:tl2br w:val="nil"/>
                    <w:tr2bl w:val="nil"/>
                  </w:tcBorders>
                  <w:noWrap w:val="0"/>
                  <w:vAlign w:val="center"/>
                </w:tcPr>
                <w:p w14:paraId="11F5F114">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p>
              </w:tc>
              <w:tc>
                <w:tcPr>
                  <w:tcW w:w="1328" w:type="dxa"/>
                  <w:tcBorders>
                    <w:tl2br w:val="nil"/>
                    <w:tr2bl w:val="nil"/>
                  </w:tcBorders>
                  <w:noWrap w:val="0"/>
                  <w:vAlign w:val="top"/>
                </w:tcPr>
                <w:p w14:paraId="0273F57C">
                  <w:pPr>
                    <w:kinsoku w:val="0"/>
                    <w:overflowPunct w:val="0"/>
                    <w:autoSpaceDE w:val="0"/>
                    <w:autoSpaceDN w:val="0"/>
                    <w:jc w:val="center"/>
                    <w:rPr>
                      <w:rFonts w:hint="default"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废UV灯管</w:t>
                  </w:r>
                </w:p>
              </w:tc>
              <w:tc>
                <w:tcPr>
                  <w:tcW w:w="2541" w:type="dxa"/>
                  <w:gridSpan w:val="4"/>
                  <w:tcBorders>
                    <w:tl2br w:val="nil"/>
                    <w:tr2bl w:val="nil"/>
                  </w:tcBorders>
                  <w:noWrap w:val="0"/>
                  <w:vAlign w:val="top"/>
                </w:tcPr>
                <w:p w14:paraId="65BD6C23">
                  <w:pPr>
                    <w:kinsoku w:val="0"/>
                    <w:overflowPunct w:val="0"/>
                    <w:autoSpaceDE w:val="0"/>
                    <w:autoSpaceDN w:val="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0.003</w:t>
                  </w:r>
                </w:p>
              </w:tc>
              <w:tc>
                <w:tcPr>
                  <w:tcW w:w="2400" w:type="dxa"/>
                  <w:gridSpan w:val="2"/>
                  <w:vMerge w:val="continue"/>
                  <w:tcBorders>
                    <w:tl2br w:val="nil"/>
                    <w:tr2bl w:val="nil"/>
                  </w:tcBorders>
                  <w:noWrap w:val="0"/>
                  <w:vAlign w:val="center"/>
                </w:tcPr>
                <w:p w14:paraId="7D059034">
                  <w:pPr>
                    <w:kinsoku w:val="0"/>
                    <w:overflowPunct w:val="0"/>
                    <w:autoSpaceDE w:val="0"/>
                    <w:autoSpaceDN w:val="0"/>
                    <w:jc w:val="center"/>
                    <w:rPr>
                      <w:color w:val="auto"/>
                      <w:kern w:val="0"/>
                      <w:szCs w:val="21"/>
                      <w:highlight w:val="none"/>
                    </w:rPr>
                  </w:pPr>
                </w:p>
              </w:tc>
            </w:tr>
            <w:tr w14:paraId="6DD57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48" w:type="dxa"/>
                  <w:vMerge w:val="continue"/>
                  <w:tcBorders>
                    <w:tl2br w:val="nil"/>
                    <w:tr2bl w:val="nil"/>
                  </w:tcBorders>
                  <w:noWrap w:val="0"/>
                  <w:vAlign w:val="center"/>
                </w:tcPr>
                <w:p w14:paraId="457A7CB5">
                  <w:pPr>
                    <w:kinsoku w:val="0"/>
                    <w:overflowPunct w:val="0"/>
                    <w:autoSpaceDE w:val="0"/>
                    <w:autoSpaceDN w:val="0"/>
                    <w:jc w:val="center"/>
                    <w:rPr>
                      <w:color w:val="auto"/>
                      <w:kern w:val="0"/>
                      <w:szCs w:val="21"/>
                      <w:highlight w:val="none"/>
                    </w:rPr>
                  </w:pPr>
                </w:p>
              </w:tc>
              <w:tc>
                <w:tcPr>
                  <w:tcW w:w="1099" w:type="dxa"/>
                  <w:tcBorders>
                    <w:tl2br w:val="nil"/>
                    <w:tr2bl w:val="nil"/>
                  </w:tcBorders>
                  <w:noWrap w:val="0"/>
                  <w:vAlign w:val="center"/>
                </w:tcPr>
                <w:p w14:paraId="71A65111">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生活垃圾</w:t>
                  </w:r>
                </w:p>
              </w:tc>
              <w:tc>
                <w:tcPr>
                  <w:tcW w:w="1328" w:type="dxa"/>
                  <w:tcBorders>
                    <w:tl2br w:val="nil"/>
                    <w:tr2bl w:val="nil"/>
                  </w:tcBorders>
                  <w:noWrap w:val="0"/>
                  <w:vAlign w:val="center"/>
                </w:tcPr>
                <w:p w14:paraId="72A3FE99">
                  <w:pPr>
                    <w:kinsoku w:val="0"/>
                    <w:overflowPunct w:val="0"/>
                    <w:autoSpaceDE w:val="0"/>
                    <w:autoSpaceDN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w:t>
                  </w:r>
                </w:p>
              </w:tc>
              <w:tc>
                <w:tcPr>
                  <w:tcW w:w="2541" w:type="dxa"/>
                  <w:gridSpan w:val="4"/>
                  <w:tcBorders>
                    <w:tl2br w:val="nil"/>
                    <w:tr2bl w:val="nil"/>
                  </w:tcBorders>
                  <w:noWrap w:val="0"/>
                  <w:vAlign w:val="center"/>
                </w:tcPr>
                <w:p w14:paraId="4D674B08">
                  <w:pPr>
                    <w:kinsoku w:val="0"/>
                    <w:overflowPunct w:val="0"/>
                    <w:autoSpaceDE w:val="0"/>
                    <w:autoSpaceDN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15.2</w:t>
                  </w:r>
                </w:p>
              </w:tc>
              <w:tc>
                <w:tcPr>
                  <w:tcW w:w="2400" w:type="dxa"/>
                  <w:gridSpan w:val="2"/>
                  <w:vMerge w:val="continue"/>
                  <w:tcBorders>
                    <w:tl2br w:val="nil"/>
                    <w:tr2bl w:val="nil"/>
                  </w:tcBorders>
                  <w:noWrap w:val="0"/>
                  <w:vAlign w:val="center"/>
                </w:tcPr>
                <w:p w14:paraId="371E44BE">
                  <w:pPr>
                    <w:kinsoku w:val="0"/>
                    <w:overflowPunct w:val="0"/>
                    <w:autoSpaceDE w:val="0"/>
                    <w:autoSpaceDN w:val="0"/>
                    <w:jc w:val="center"/>
                    <w:rPr>
                      <w:color w:val="auto"/>
                      <w:kern w:val="0"/>
                      <w:szCs w:val="21"/>
                      <w:highlight w:val="none"/>
                    </w:rPr>
                  </w:pPr>
                </w:p>
              </w:tc>
            </w:tr>
            <w:tr w14:paraId="616B1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016" w:type="dxa"/>
                  <w:gridSpan w:val="9"/>
                  <w:tcBorders>
                    <w:tl2br w:val="nil"/>
                    <w:tr2bl w:val="nil"/>
                  </w:tcBorders>
                  <w:noWrap w:val="0"/>
                  <w:vAlign w:val="center"/>
                </w:tcPr>
                <w:p w14:paraId="5786FDC8">
                  <w:pPr>
                    <w:bidi w:val="0"/>
                    <w:rPr>
                      <w:color w:val="auto"/>
                      <w:highlight w:val="none"/>
                    </w:rPr>
                  </w:pPr>
                  <w:r>
                    <w:rPr>
                      <w:rFonts w:hint="eastAsia"/>
                      <w:color w:val="auto"/>
                      <w:highlight w:val="none"/>
                    </w:rPr>
                    <w:t>注：1、工况负荷按</w:t>
                  </w:r>
                  <w:r>
                    <w:rPr>
                      <w:rFonts w:hint="eastAsia"/>
                      <w:color w:val="auto"/>
                      <w:highlight w:val="none"/>
                      <w:lang w:val="en-US" w:eastAsia="zh-CN"/>
                    </w:rPr>
                    <w:t>80</w:t>
                  </w:r>
                  <w:r>
                    <w:rPr>
                      <w:rFonts w:hint="eastAsia"/>
                      <w:color w:val="auto"/>
                      <w:highlight w:val="none"/>
                    </w:rPr>
                    <w:t>%计；</w:t>
                  </w:r>
                </w:p>
                <w:p w14:paraId="111C93DE">
                  <w:pPr>
                    <w:bidi w:val="0"/>
                    <w:rPr>
                      <w:color w:val="auto"/>
                      <w:highlight w:val="none"/>
                    </w:rPr>
                  </w:pPr>
                  <w:r>
                    <w:rPr>
                      <w:rFonts w:hint="eastAsia"/>
                      <w:color w:val="auto"/>
                      <w:highlight w:val="none"/>
                    </w:rPr>
                    <w:t>2、排放量按每天工作</w:t>
                  </w:r>
                  <w:r>
                    <w:rPr>
                      <w:rFonts w:hint="eastAsia"/>
                      <w:color w:val="auto"/>
                      <w:highlight w:val="none"/>
                      <w:lang w:val="en-US" w:eastAsia="zh-CN"/>
                    </w:rPr>
                    <w:t>8</w:t>
                  </w:r>
                  <w:r>
                    <w:rPr>
                      <w:rFonts w:hint="eastAsia"/>
                      <w:color w:val="auto"/>
                      <w:highlight w:val="none"/>
                    </w:rPr>
                    <w:t>h，年工作</w:t>
                  </w:r>
                  <w:r>
                    <w:rPr>
                      <w:rFonts w:hint="eastAsia"/>
                      <w:color w:val="auto"/>
                      <w:highlight w:val="none"/>
                      <w:lang w:val="en-US" w:eastAsia="zh-CN"/>
                    </w:rPr>
                    <w:t>330</w:t>
                  </w:r>
                  <w:r>
                    <w:rPr>
                      <w:rFonts w:hint="eastAsia"/>
                      <w:color w:val="auto"/>
                      <w:highlight w:val="none"/>
                    </w:rPr>
                    <w:t>天计算。</w:t>
                  </w:r>
                </w:p>
              </w:tc>
            </w:tr>
          </w:tbl>
          <w:p w14:paraId="49A9C5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与项目有关的环境问题及整改措施</w:t>
            </w:r>
          </w:p>
          <w:p w14:paraId="6C16BF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原有项目已通过建设项目竣工环保验收，已办理排污许可手续，突发环境事件应急预案已在宝鸡市环境保护局</w:t>
            </w:r>
            <w:r>
              <w:rPr>
                <w:rFonts w:hint="eastAsia" w:cs="Times New Roman"/>
                <w:color w:val="auto"/>
                <w:kern w:val="2"/>
                <w:sz w:val="24"/>
                <w:szCs w:val="24"/>
                <w:highlight w:val="none"/>
                <w:lang w:val="en-US" w:eastAsia="zh-CN" w:bidi="ar-SA"/>
              </w:rPr>
              <w:t>凤翔</w:t>
            </w:r>
            <w:r>
              <w:rPr>
                <w:rFonts w:hint="default" w:ascii="Times New Roman" w:hAnsi="Times New Roman" w:eastAsia="宋体" w:cs="Times New Roman"/>
                <w:color w:val="auto"/>
                <w:kern w:val="2"/>
                <w:sz w:val="24"/>
                <w:szCs w:val="24"/>
                <w:highlight w:val="none"/>
                <w:lang w:val="en-US" w:eastAsia="zh-CN" w:bidi="ar-SA"/>
              </w:rPr>
              <w:t>分局进行备案，各污染防治设施正常运行，企业自行监测严格落实，各废气达标排放、噪声达标排放，固废妥当处理</w:t>
            </w:r>
            <w:r>
              <w:rPr>
                <w:rFonts w:hint="eastAsia" w:cs="Times New Roman"/>
                <w:color w:val="auto"/>
                <w:kern w:val="2"/>
                <w:sz w:val="24"/>
                <w:szCs w:val="24"/>
                <w:highlight w:val="none"/>
                <w:lang w:val="en-US" w:eastAsia="zh-CN" w:bidi="ar-SA"/>
              </w:rPr>
              <w:t>。</w:t>
            </w:r>
          </w:p>
          <w:p w14:paraId="13A119BE">
            <w:pPr>
              <w:numPr>
                <w:ilvl w:val="0"/>
                <w:numId w:val="13"/>
              </w:numPr>
              <w:overflowPunct w:val="0"/>
              <w:adjustRightInd w:val="0"/>
              <w:spacing w:line="360" w:lineRule="auto"/>
              <w:ind w:firstLine="480" w:firstLineChars="200"/>
              <w:rPr>
                <w:bCs/>
                <w:color w:val="auto"/>
                <w:sz w:val="24"/>
                <w:highlight w:val="none"/>
              </w:rPr>
            </w:pPr>
            <w:r>
              <w:rPr>
                <w:rFonts w:hint="eastAsia"/>
                <w:bCs/>
                <w:color w:val="auto"/>
                <w:sz w:val="24"/>
                <w:highlight w:val="none"/>
              </w:rPr>
              <w:t>存在问题</w:t>
            </w:r>
          </w:p>
          <w:p w14:paraId="7AD21B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通过</w:t>
            </w:r>
            <w:r>
              <w:rPr>
                <w:rFonts w:hint="eastAsia" w:cs="Times New Roman"/>
                <w:color w:val="auto"/>
                <w:kern w:val="2"/>
                <w:sz w:val="24"/>
                <w:szCs w:val="24"/>
                <w:highlight w:val="none"/>
                <w:lang w:val="en-US" w:eastAsia="zh-CN" w:bidi="ar-SA"/>
              </w:rPr>
              <w:t>现场勘查</w:t>
            </w:r>
            <w:r>
              <w:rPr>
                <w:rFonts w:hint="default" w:ascii="Times New Roman" w:hAnsi="Times New Roman" w:eastAsia="宋体" w:cs="Times New Roman"/>
                <w:color w:val="auto"/>
                <w:kern w:val="2"/>
                <w:sz w:val="24"/>
                <w:szCs w:val="24"/>
                <w:highlight w:val="none"/>
                <w:lang w:val="en-US" w:eastAsia="zh-CN" w:bidi="ar-SA"/>
              </w:rPr>
              <w:t>，现有项目存在的主要环境问题为</w:t>
            </w:r>
            <w:r>
              <w:rPr>
                <w:rFonts w:hint="eastAsia" w:ascii="Times New Roman" w:hAnsi="Times New Roman" w:eastAsia="宋体" w:cs="Times New Roman"/>
                <w:color w:val="auto"/>
                <w:kern w:val="2"/>
                <w:sz w:val="24"/>
                <w:szCs w:val="24"/>
                <w:highlight w:val="none"/>
                <w:lang w:val="en-US" w:eastAsia="zh-CN" w:bidi="ar-SA"/>
              </w:rPr>
              <w:t>油泥暂存区域未进行封闭式暂存，存放区域</w:t>
            </w:r>
            <w:r>
              <w:rPr>
                <w:rFonts w:hint="eastAsia" w:cs="Times New Roman"/>
                <w:color w:val="auto"/>
                <w:kern w:val="2"/>
                <w:sz w:val="24"/>
                <w:szCs w:val="24"/>
                <w:highlight w:val="none"/>
                <w:lang w:val="en-US" w:eastAsia="zh-CN" w:bidi="ar-SA"/>
              </w:rPr>
              <w:t>仅进行棚化处理，</w:t>
            </w:r>
            <w:r>
              <w:rPr>
                <w:rFonts w:hint="eastAsia" w:ascii="Times New Roman" w:hAnsi="Times New Roman" w:eastAsia="宋体" w:cs="Times New Roman"/>
                <w:color w:val="auto"/>
                <w:kern w:val="2"/>
                <w:sz w:val="24"/>
                <w:szCs w:val="24"/>
                <w:highlight w:val="none"/>
                <w:lang w:val="en-US" w:eastAsia="zh-CN" w:bidi="ar-SA"/>
              </w:rPr>
              <w:t>四周未进行围挡，</w:t>
            </w:r>
            <w:r>
              <w:rPr>
                <w:rFonts w:hint="default" w:ascii="Times New Roman" w:hAnsi="Times New Roman" w:eastAsia="宋体" w:cs="Times New Roman"/>
                <w:color w:val="auto"/>
                <w:kern w:val="2"/>
                <w:sz w:val="24"/>
                <w:szCs w:val="24"/>
                <w:highlight w:val="none"/>
                <w:lang w:val="en-US" w:eastAsia="zh-CN" w:bidi="ar-SA"/>
              </w:rPr>
              <w:t>导致</w:t>
            </w:r>
            <w:r>
              <w:rPr>
                <w:rFonts w:hint="eastAsia" w:ascii="Times New Roman" w:hAnsi="Times New Roman" w:eastAsia="宋体" w:cs="Times New Roman"/>
                <w:color w:val="auto"/>
                <w:kern w:val="2"/>
                <w:sz w:val="24"/>
                <w:szCs w:val="24"/>
                <w:highlight w:val="none"/>
                <w:lang w:val="en-US" w:eastAsia="zh-CN" w:bidi="ar-SA"/>
              </w:rPr>
              <w:t>有异味产生</w:t>
            </w:r>
            <w:r>
              <w:rPr>
                <w:rFonts w:hint="default" w:ascii="Times New Roman" w:hAnsi="Times New Roman" w:eastAsia="宋体" w:cs="Times New Roman"/>
                <w:color w:val="auto"/>
                <w:kern w:val="2"/>
                <w:sz w:val="24"/>
                <w:szCs w:val="24"/>
                <w:highlight w:val="none"/>
                <w:lang w:val="en-US" w:eastAsia="zh-CN" w:bidi="ar-SA"/>
              </w:rPr>
              <w:t>。</w:t>
            </w:r>
          </w:p>
          <w:p w14:paraId="5E3CF5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“以新带老”措施</w:t>
            </w:r>
          </w:p>
          <w:p w14:paraId="792C8C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针对现有项目存在的环境问题，本次环评提出的“以新代老”整改措施为：结合本次扩建，对油泥暂存区域进行重新设计，将</w:t>
            </w:r>
            <w:r>
              <w:rPr>
                <w:rFonts w:hint="eastAsia" w:ascii="Times New Roman" w:hAnsi="Times New Roman" w:eastAsia="宋体" w:cs="Times New Roman"/>
                <w:color w:val="auto"/>
                <w:kern w:val="2"/>
                <w:sz w:val="24"/>
                <w:szCs w:val="24"/>
                <w:highlight w:val="none"/>
                <w:lang w:val="en-US" w:eastAsia="zh-CN" w:bidi="ar-SA"/>
              </w:rPr>
              <w:t>现有棚式存放区</w:t>
            </w:r>
            <w:r>
              <w:rPr>
                <w:rFonts w:hint="default" w:ascii="Times New Roman" w:hAnsi="Times New Roman" w:eastAsia="宋体" w:cs="Times New Roman"/>
                <w:color w:val="auto"/>
                <w:kern w:val="2"/>
                <w:sz w:val="24"/>
                <w:szCs w:val="24"/>
                <w:highlight w:val="none"/>
                <w:lang w:val="en-US" w:eastAsia="zh-CN" w:bidi="ar-SA"/>
              </w:rPr>
              <w:t>改造成封闭</w:t>
            </w:r>
            <w:r>
              <w:rPr>
                <w:rFonts w:hint="eastAsia" w:ascii="Times New Roman" w:hAnsi="Times New Roman" w:eastAsia="宋体" w:cs="Times New Roman"/>
                <w:color w:val="auto"/>
                <w:kern w:val="2"/>
                <w:sz w:val="24"/>
                <w:szCs w:val="24"/>
                <w:highlight w:val="none"/>
                <w:lang w:val="en-US" w:eastAsia="zh-CN" w:bidi="ar-SA"/>
              </w:rPr>
              <w:t>存放间</w:t>
            </w:r>
            <w:r>
              <w:rPr>
                <w:rFonts w:hint="default" w:ascii="Times New Roman" w:hAnsi="Times New Roman" w:eastAsia="宋体" w:cs="Times New Roman"/>
                <w:color w:val="auto"/>
                <w:kern w:val="2"/>
                <w:sz w:val="24"/>
                <w:szCs w:val="24"/>
                <w:highlight w:val="none"/>
                <w:lang w:val="en-US" w:eastAsia="zh-CN" w:bidi="ar-SA"/>
              </w:rPr>
              <w:t>，确保</w:t>
            </w:r>
            <w:r>
              <w:rPr>
                <w:rFonts w:hint="eastAsia" w:ascii="Times New Roman" w:hAnsi="Times New Roman" w:eastAsia="宋体" w:cs="Times New Roman"/>
                <w:color w:val="auto"/>
                <w:kern w:val="2"/>
                <w:sz w:val="24"/>
                <w:szCs w:val="24"/>
                <w:highlight w:val="none"/>
                <w:lang w:val="en-US" w:eastAsia="zh-CN" w:bidi="ar-SA"/>
              </w:rPr>
              <w:t>油泥</w:t>
            </w:r>
            <w:r>
              <w:rPr>
                <w:rFonts w:hint="default" w:ascii="Times New Roman" w:hAnsi="Times New Roman" w:eastAsia="宋体" w:cs="Times New Roman"/>
                <w:color w:val="auto"/>
                <w:kern w:val="2"/>
                <w:sz w:val="24"/>
                <w:szCs w:val="24"/>
                <w:highlight w:val="none"/>
                <w:lang w:val="en-US" w:eastAsia="zh-CN" w:bidi="ar-SA"/>
              </w:rPr>
              <w:t>全部位于封闭间内</w:t>
            </w:r>
            <w:r>
              <w:rPr>
                <w:rFonts w:hint="eastAsia" w:cs="Times New Roman"/>
                <w:color w:val="auto"/>
                <w:kern w:val="2"/>
                <w:sz w:val="24"/>
                <w:szCs w:val="24"/>
                <w:highlight w:val="none"/>
                <w:lang w:val="en-US" w:eastAsia="zh-CN" w:bidi="ar-SA"/>
              </w:rPr>
              <w:t>，并将油泥采用专用桶收集，并做好收集桶密封，减少异味的产生，同时对封闭间内进行定期喷除臭剂，去除异味</w:t>
            </w:r>
            <w:r>
              <w:rPr>
                <w:rFonts w:hint="eastAsia" w:ascii="Times New Roman" w:hAnsi="Times New Roman" w:eastAsia="宋体" w:cs="Times New Roman"/>
                <w:color w:val="auto"/>
                <w:kern w:val="2"/>
                <w:sz w:val="24"/>
                <w:szCs w:val="24"/>
                <w:highlight w:val="none"/>
                <w:lang w:val="en-US" w:eastAsia="zh-CN" w:bidi="ar-SA"/>
              </w:rPr>
              <w:t>。</w:t>
            </w:r>
          </w:p>
          <w:p w14:paraId="3FC70E4B">
            <w:pPr>
              <w:pStyle w:val="34"/>
              <w:ind w:left="0" w:leftChars="0" w:firstLine="0" w:firstLineChars="0"/>
              <w:rPr>
                <w:rFonts w:hint="default" w:ascii="Times New Roman" w:hAnsi="Times New Roman" w:cs="Times New Roman"/>
                <w:color w:val="auto"/>
                <w:highlight w:val="none"/>
              </w:rPr>
            </w:pPr>
          </w:p>
          <w:p w14:paraId="1C782406">
            <w:pPr>
              <w:rPr>
                <w:rFonts w:hint="default"/>
                <w:color w:val="auto"/>
                <w:highlight w:val="none"/>
              </w:rPr>
            </w:pPr>
          </w:p>
        </w:tc>
      </w:tr>
    </w:tbl>
    <w:p w14:paraId="0AF1111F">
      <w:pPr>
        <w:pStyle w:val="30"/>
        <w:jc w:val="center"/>
        <w:rPr>
          <w:rFonts w:ascii="黑体" w:hAnsi="黑体" w:eastAsia="黑体"/>
          <w:snapToGrid w:val="0"/>
          <w:color w:val="auto"/>
          <w:sz w:val="21"/>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5A8A2F2">
      <w:pPr>
        <w:pStyle w:val="30"/>
        <w:adjustRightInd w:val="0"/>
        <w:snapToGrid w:val="0"/>
        <w:spacing w:before="0" w:beforeAutospacing="0" w:after="0" w:afterAutospacing="0" w:line="14" w:lineRule="auto"/>
        <w:jc w:val="center"/>
        <w:outlineLvl w:val="9"/>
        <w:rPr>
          <w:rFonts w:hint="eastAsia" w:ascii="黑体" w:hAnsi="黑体" w:eastAsia="黑体"/>
          <w:snapToGrid w:val="0"/>
          <w:color w:val="auto"/>
          <w:sz w:val="21"/>
          <w:szCs w:val="21"/>
          <w:highlight w:val="none"/>
        </w:rPr>
      </w:pPr>
    </w:p>
    <w:p w14:paraId="72CFC295">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33" w:name="_Toc13996"/>
      <w:bookmarkStart w:id="34" w:name="_Toc6209"/>
      <w:bookmarkStart w:id="35" w:name="_Toc7315"/>
      <w:bookmarkStart w:id="36" w:name="_Toc237"/>
      <w:r>
        <w:rPr>
          <w:rFonts w:hint="eastAsia" w:ascii="黑体" w:hAnsi="黑体" w:eastAsia="黑体"/>
          <w:snapToGrid w:val="0"/>
          <w:color w:val="auto"/>
          <w:sz w:val="30"/>
          <w:szCs w:val="30"/>
          <w:highlight w:val="none"/>
        </w:rPr>
        <w:t>三、区域环境质量现状、环境保护目标及评价标准</w:t>
      </w:r>
      <w:bookmarkEnd w:id="33"/>
      <w:bookmarkEnd w:id="34"/>
      <w:bookmarkEnd w:id="35"/>
      <w:bookmarkEnd w:id="36"/>
    </w:p>
    <w:tbl>
      <w:tblPr>
        <w:tblStyle w:val="35"/>
        <w:tblW w:w="94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623"/>
      </w:tblGrid>
      <w:tr w14:paraId="0483B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0B2EF1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区域</w:t>
            </w:r>
          </w:p>
          <w:p w14:paraId="1ED3D68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环境</w:t>
            </w:r>
          </w:p>
          <w:p w14:paraId="2ED9DB38">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质量</w:t>
            </w:r>
          </w:p>
          <w:p w14:paraId="4B9ADE31">
            <w:pPr>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现状</w:t>
            </w:r>
          </w:p>
        </w:tc>
        <w:tc>
          <w:tcPr>
            <w:tcW w:w="8623" w:type="dxa"/>
            <w:vAlign w:val="center"/>
          </w:tcPr>
          <w:p w14:paraId="271ED0E6">
            <w:pPr>
              <w:keepNext/>
              <w:keepLines/>
              <w:widowControl/>
              <w:adjustRightInd w:val="0"/>
              <w:snapToGrid w:val="0"/>
              <w:spacing w:line="360" w:lineRule="auto"/>
              <w:ind w:firstLine="482" w:firstLineChars="200"/>
              <w:jc w:val="left"/>
              <w:outlineLvl w:val="1"/>
              <w:rPr>
                <w:b/>
                <w:bCs/>
                <w:color w:val="auto"/>
                <w:sz w:val="24"/>
                <w:szCs w:val="24"/>
                <w:highlight w:val="none"/>
              </w:rPr>
            </w:pPr>
            <w:bookmarkStart w:id="37" w:name="_Toc7522"/>
            <w:bookmarkStart w:id="38" w:name="_Toc7336"/>
            <w:r>
              <w:rPr>
                <w:b/>
                <w:bCs/>
                <w:color w:val="auto"/>
                <w:sz w:val="24"/>
                <w:szCs w:val="24"/>
                <w:highlight w:val="none"/>
              </w:rPr>
              <w:t>一、区域环境质量现状</w:t>
            </w:r>
            <w:bookmarkEnd w:id="37"/>
            <w:bookmarkEnd w:id="38"/>
          </w:p>
          <w:p w14:paraId="43A1E99A">
            <w:pPr>
              <w:keepNext/>
              <w:keepLines/>
              <w:widowControl/>
              <w:adjustRightInd w:val="0"/>
              <w:snapToGrid w:val="0"/>
              <w:spacing w:line="360" w:lineRule="auto"/>
              <w:ind w:firstLine="482" w:firstLineChars="200"/>
              <w:jc w:val="left"/>
              <w:outlineLvl w:val="1"/>
              <w:rPr>
                <w:b/>
                <w:bCs/>
                <w:color w:val="auto"/>
                <w:sz w:val="24"/>
                <w:szCs w:val="24"/>
                <w:highlight w:val="none"/>
              </w:rPr>
            </w:pPr>
            <w:bookmarkStart w:id="39" w:name="_Toc24867"/>
            <w:bookmarkStart w:id="40" w:name="_Toc9147"/>
            <w:r>
              <w:rPr>
                <w:b/>
                <w:bCs/>
                <w:color w:val="auto"/>
                <w:sz w:val="24"/>
                <w:szCs w:val="24"/>
                <w:highlight w:val="none"/>
              </w:rPr>
              <w:t>1</w:t>
            </w:r>
            <w:r>
              <w:rPr>
                <w:rFonts w:hint="eastAsia"/>
                <w:b/>
                <w:bCs/>
                <w:color w:val="auto"/>
                <w:sz w:val="24"/>
                <w:szCs w:val="24"/>
                <w:highlight w:val="none"/>
                <w:lang w:val="en-US" w:eastAsia="zh-CN"/>
              </w:rPr>
              <w:t>.</w:t>
            </w:r>
            <w:r>
              <w:rPr>
                <w:b/>
                <w:bCs/>
                <w:color w:val="auto"/>
                <w:sz w:val="24"/>
                <w:szCs w:val="24"/>
                <w:highlight w:val="none"/>
              </w:rPr>
              <w:t>环境空气质量现状</w:t>
            </w:r>
            <w:bookmarkEnd w:id="39"/>
            <w:bookmarkEnd w:id="40"/>
          </w:p>
          <w:p w14:paraId="3332125A">
            <w:pPr>
              <w:pStyle w:val="200"/>
              <w:ind w:firstLine="480"/>
              <w:rPr>
                <w:color w:val="auto"/>
                <w:highlight w:val="none"/>
              </w:rPr>
            </w:pPr>
            <w:r>
              <w:rPr>
                <w:rFonts w:hint="eastAsia"/>
                <w:color w:val="auto"/>
                <w:highlight w:val="none"/>
              </w:rPr>
              <w:t>根据</w:t>
            </w:r>
            <w:r>
              <w:rPr>
                <w:rFonts w:hint="eastAsia"/>
                <w:color w:val="auto"/>
                <w:highlight w:val="none"/>
                <w:lang w:val="en-US" w:eastAsia="zh-CN"/>
              </w:rPr>
              <w:t>宝鸡市</w:t>
            </w:r>
            <w:r>
              <w:rPr>
                <w:rFonts w:hint="eastAsia"/>
                <w:color w:val="auto"/>
                <w:highlight w:val="none"/>
              </w:rPr>
              <w:t>生态环境</w:t>
            </w:r>
            <w:r>
              <w:rPr>
                <w:rFonts w:hint="eastAsia"/>
                <w:color w:val="auto"/>
                <w:highlight w:val="none"/>
                <w:lang w:val="en-US" w:eastAsia="zh-CN"/>
              </w:rPr>
              <w:t>局</w:t>
            </w:r>
            <w:r>
              <w:rPr>
                <w:rFonts w:hint="eastAsia"/>
                <w:color w:val="auto"/>
                <w:highlight w:val="none"/>
              </w:rPr>
              <w:t>发布的</w:t>
            </w:r>
            <w:r>
              <w:rPr>
                <w:rFonts w:hint="eastAsia"/>
                <w:color w:val="auto"/>
                <w:highlight w:val="none"/>
                <w:lang w:val="en-US" w:eastAsia="zh-CN"/>
              </w:rPr>
              <w:t>2024年1月-12月的宝鸡市空气质量状况</w:t>
            </w:r>
            <w:r>
              <w:rPr>
                <w:rFonts w:hint="eastAsia"/>
                <w:color w:val="auto"/>
                <w:highlight w:val="none"/>
              </w:rPr>
              <w:t>，</w:t>
            </w:r>
            <w:r>
              <w:rPr>
                <w:rFonts w:hint="eastAsia"/>
                <w:color w:val="auto"/>
                <w:highlight w:val="none"/>
                <w:lang w:val="en-US" w:eastAsia="zh-CN"/>
              </w:rPr>
              <w:t>宝鸡市凤翔区</w:t>
            </w:r>
            <w:r>
              <w:rPr>
                <w:rFonts w:hint="eastAsia"/>
                <w:color w:val="auto"/>
                <w:highlight w:val="none"/>
              </w:rPr>
              <w:t>1-1</w:t>
            </w:r>
            <w:r>
              <w:rPr>
                <w:rFonts w:hint="eastAsia"/>
                <w:color w:val="auto"/>
                <w:highlight w:val="none"/>
                <w:lang w:val="en-US" w:eastAsia="zh-CN"/>
              </w:rPr>
              <w:t>2</w:t>
            </w:r>
            <w:r>
              <w:rPr>
                <w:rFonts w:hint="eastAsia"/>
                <w:color w:val="auto"/>
                <w:highlight w:val="none"/>
              </w:rPr>
              <w:t>月环境空气质量见表3-1。</w:t>
            </w:r>
          </w:p>
          <w:p w14:paraId="4F0E79A7">
            <w:pPr>
              <w:pStyle w:val="186"/>
              <w:rPr>
                <w:rFonts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表3-1宝鸡市凤翔区2023年空气质量现状评价</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59"/>
              <w:gridCol w:w="2125"/>
              <w:gridCol w:w="1601"/>
              <w:gridCol w:w="1601"/>
              <w:gridCol w:w="1403"/>
            </w:tblGrid>
            <w:tr w14:paraId="153BB0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43855FBA">
                  <w:pPr>
                    <w:pStyle w:val="126"/>
                    <w:spacing w:line="240" w:lineRule="auto"/>
                    <w:rPr>
                      <w:b/>
                      <w:bCs/>
                      <w:color w:val="auto"/>
                      <w:sz w:val="21"/>
                      <w:szCs w:val="21"/>
                      <w:highlight w:val="none"/>
                      <w:lang w:bidi="ar-BH"/>
                    </w:rPr>
                  </w:pPr>
                  <w:r>
                    <w:rPr>
                      <w:b/>
                      <w:bCs/>
                      <w:color w:val="auto"/>
                      <w:sz w:val="21"/>
                      <w:szCs w:val="21"/>
                      <w:highlight w:val="none"/>
                      <w:lang w:bidi="ar-BH"/>
                    </w:rPr>
                    <w:t>污染物</w:t>
                  </w:r>
                </w:p>
              </w:tc>
              <w:tc>
                <w:tcPr>
                  <w:tcW w:w="1733" w:type="dxa"/>
                  <w:vAlign w:val="center"/>
                </w:tcPr>
                <w:p w14:paraId="03AB7871">
                  <w:pPr>
                    <w:pStyle w:val="126"/>
                    <w:spacing w:line="240" w:lineRule="auto"/>
                    <w:rPr>
                      <w:b/>
                      <w:bCs/>
                      <w:color w:val="auto"/>
                      <w:sz w:val="21"/>
                      <w:szCs w:val="21"/>
                      <w:highlight w:val="none"/>
                      <w:lang w:bidi="ar-BH"/>
                    </w:rPr>
                  </w:pPr>
                  <w:r>
                    <w:rPr>
                      <w:b/>
                      <w:bCs/>
                      <w:color w:val="auto"/>
                      <w:sz w:val="21"/>
                      <w:szCs w:val="21"/>
                      <w:highlight w:val="none"/>
                      <w:lang w:bidi="ar-BH"/>
                    </w:rPr>
                    <w:t>年评价指标</w:t>
                  </w:r>
                </w:p>
              </w:tc>
              <w:tc>
                <w:tcPr>
                  <w:tcW w:w="1305" w:type="dxa"/>
                  <w:vAlign w:val="center"/>
                </w:tcPr>
                <w:p w14:paraId="6E001C8C">
                  <w:pPr>
                    <w:pStyle w:val="126"/>
                    <w:spacing w:line="240" w:lineRule="auto"/>
                    <w:rPr>
                      <w:b/>
                      <w:bCs/>
                      <w:color w:val="auto"/>
                      <w:sz w:val="21"/>
                      <w:szCs w:val="21"/>
                      <w:highlight w:val="none"/>
                      <w:lang w:bidi="ar-BH"/>
                    </w:rPr>
                  </w:pPr>
                  <w:r>
                    <w:rPr>
                      <w:b/>
                      <w:bCs/>
                      <w:color w:val="auto"/>
                      <w:sz w:val="21"/>
                      <w:szCs w:val="21"/>
                      <w:highlight w:val="none"/>
                      <w:lang w:bidi="ar-BH"/>
                    </w:rPr>
                    <w:t>现状浓度/（μg/m</w:t>
                  </w:r>
                  <w:r>
                    <w:rPr>
                      <w:b/>
                      <w:bCs/>
                      <w:color w:val="auto"/>
                      <w:sz w:val="21"/>
                      <w:szCs w:val="21"/>
                      <w:highlight w:val="none"/>
                      <w:vertAlign w:val="superscript"/>
                      <w:lang w:bidi="ar-BH"/>
                    </w:rPr>
                    <w:t>3</w:t>
                  </w:r>
                  <w:r>
                    <w:rPr>
                      <w:b/>
                      <w:bCs/>
                      <w:color w:val="auto"/>
                      <w:sz w:val="21"/>
                      <w:szCs w:val="21"/>
                      <w:highlight w:val="none"/>
                      <w:lang w:bidi="ar-BH"/>
                    </w:rPr>
                    <w:t>）</w:t>
                  </w:r>
                </w:p>
              </w:tc>
              <w:tc>
                <w:tcPr>
                  <w:tcW w:w="1305" w:type="dxa"/>
                  <w:vAlign w:val="center"/>
                </w:tcPr>
                <w:p w14:paraId="2FF63A10">
                  <w:pPr>
                    <w:pStyle w:val="126"/>
                    <w:spacing w:line="240" w:lineRule="auto"/>
                    <w:rPr>
                      <w:b/>
                      <w:bCs/>
                      <w:color w:val="auto"/>
                      <w:sz w:val="21"/>
                      <w:szCs w:val="21"/>
                      <w:highlight w:val="none"/>
                      <w:lang w:bidi="ar-BH"/>
                    </w:rPr>
                  </w:pPr>
                  <w:r>
                    <w:rPr>
                      <w:b/>
                      <w:bCs/>
                      <w:color w:val="auto"/>
                      <w:sz w:val="21"/>
                      <w:szCs w:val="21"/>
                      <w:highlight w:val="none"/>
                      <w:lang w:bidi="ar-BH"/>
                    </w:rPr>
                    <w:t>标准值/（μg/m</w:t>
                  </w:r>
                  <w:r>
                    <w:rPr>
                      <w:b/>
                      <w:bCs/>
                      <w:color w:val="auto"/>
                      <w:sz w:val="21"/>
                      <w:szCs w:val="21"/>
                      <w:highlight w:val="none"/>
                      <w:vertAlign w:val="superscript"/>
                      <w:lang w:bidi="ar-BH"/>
                    </w:rPr>
                    <w:t>3</w:t>
                  </w:r>
                  <w:r>
                    <w:rPr>
                      <w:b/>
                      <w:bCs/>
                      <w:color w:val="auto"/>
                      <w:sz w:val="21"/>
                      <w:szCs w:val="21"/>
                      <w:highlight w:val="none"/>
                      <w:lang w:bidi="ar-BH"/>
                    </w:rPr>
                    <w:t>）</w:t>
                  </w:r>
                </w:p>
              </w:tc>
              <w:tc>
                <w:tcPr>
                  <w:tcW w:w="1144" w:type="dxa"/>
                  <w:vAlign w:val="center"/>
                </w:tcPr>
                <w:p w14:paraId="4C80422D">
                  <w:pPr>
                    <w:pStyle w:val="126"/>
                    <w:spacing w:line="240" w:lineRule="auto"/>
                    <w:rPr>
                      <w:b/>
                      <w:bCs/>
                      <w:color w:val="auto"/>
                      <w:sz w:val="21"/>
                      <w:szCs w:val="21"/>
                      <w:highlight w:val="none"/>
                      <w:lang w:bidi="ar-BH"/>
                    </w:rPr>
                  </w:pPr>
                  <w:r>
                    <w:rPr>
                      <w:b/>
                      <w:bCs/>
                      <w:color w:val="auto"/>
                      <w:sz w:val="21"/>
                      <w:szCs w:val="21"/>
                      <w:highlight w:val="none"/>
                      <w:lang w:bidi="ar-BH"/>
                    </w:rPr>
                    <w:t>达标情况</w:t>
                  </w:r>
                </w:p>
              </w:tc>
            </w:tr>
            <w:tr w14:paraId="3015BB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7AEC9507">
                  <w:pPr>
                    <w:pStyle w:val="126"/>
                    <w:spacing w:line="240" w:lineRule="auto"/>
                    <w:rPr>
                      <w:bCs/>
                      <w:color w:val="auto"/>
                      <w:sz w:val="21"/>
                      <w:szCs w:val="21"/>
                      <w:highlight w:val="none"/>
                      <w:lang w:bidi="ar-BH"/>
                    </w:rPr>
                  </w:pPr>
                  <w:r>
                    <w:rPr>
                      <w:bCs/>
                      <w:color w:val="auto"/>
                      <w:sz w:val="21"/>
                      <w:szCs w:val="21"/>
                      <w:highlight w:val="none"/>
                      <w:lang w:bidi="ar"/>
                    </w:rPr>
                    <w:t>PM</w:t>
                  </w:r>
                  <w:r>
                    <w:rPr>
                      <w:bCs/>
                      <w:color w:val="auto"/>
                      <w:sz w:val="21"/>
                      <w:szCs w:val="21"/>
                      <w:highlight w:val="none"/>
                      <w:vertAlign w:val="subscript"/>
                      <w:lang w:bidi="ar"/>
                    </w:rPr>
                    <w:t>2.5</w:t>
                  </w:r>
                </w:p>
              </w:tc>
              <w:tc>
                <w:tcPr>
                  <w:tcW w:w="1733" w:type="dxa"/>
                  <w:vAlign w:val="center"/>
                </w:tcPr>
                <w:p w14:paraId="21F53F51">
                  <w:pPr>
                    <w:pStyle w:val="126"/>
                    <w:spacing w:line="240" w:lineRule="auto"/>
                    <w:rPr>
                      <w:bCs/>
                      <w:color w:val="auto"/>
                      <w:sz w:val="21"/>
                      <w:szCs w:val="21"/>
                      <w:highlight w:val="none"/>
                      <w:lang w:bidi="ar-BH"/>
                    </w:rPr>
                  </w:pPr>
                  <w:r>
                    <w:rPr>
                      <w:color w:val="auto"/>
                      <w:sz w:val="21"/>
                      <w:szCs w:val="21"/>
                      <w:highlight w:val="none"/>
                      <w:lang w:bidi="ar"/>
                    </w:rPr>
                    <w:t>年均质量浓度</w:t>
                  </w:r>
                </w:p>
              </w:tc>
              <w:tc>
                <w:tcPr>
                  <w:tcW w:w="1305" w:type="dxa"/>
                  <w:vAlign w:val="center"/>
                </w:tcPr>
                <w:p w14:paraId="4171FF11">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34</w:t>
                  </w:r>
                </w:p>
              </w:tc>
              <w:tc>
                <w:tcPr>
                  <w:tcW w:w="1305" w:type="dxa"/>
                  <w:vAlign w:val="center"/>
                </w:tcPr>
                <w:p w14:paraId="1E63EF8C">
                  <w:pPr>
                    <w:pStyle w:val="126"/>
                    <w:spacing w:line="240" w:lineRule="auto"/>
                    <w:rPr>
                      <w:color w:val="auto"/>
                      <w:sz w:val="21"/>
                      <w:szCs w:val="21"/>
                      <w:highlight w:val="none"/>
                      <w:lang w:bidi="ar"/>
                    </w:rPr>
                  </w:pPr>
                  <w:r>
                    <w:rPr>
                      <w:color w:val="auto"/>
                      <w:sz w:val="21"/>
                      <w:szCs w:val="21"/>
                      <w:highlight w:val="none"/>
                      <w:lang w:bidi="ar"/>
                    </w:rPr>
                    <w:t>35</w:t>
                  </w:r>
                </w:p>
              </w:tc>
              <w:tc>
                <w:tcPr>
                  <w:tcW w:w="1144" w:type="dxa"/>
                  <w:vAlign w:val="center"/>
                </w:tcPr>
                <w:p w14:paraId="495E438F">
                  <w:pPr>
                    <w:pStyle w:val="126"/>
                    <w:spacing w:line="240" w:lineRule="auto"/>
                    <w:rPr>
                      <w:color w:val="auto"/>
                      <w:sz w:val="21"/>
                      <w:szCs w:val="21"/>
                      <w:highlight w:val="none"/>
                      <w:lang w:bidi="ar"/>
                    </w:rPr>
                  </w:pPr>
                  <w:r>
                    <w:rPr>
                      <w:color w:val="auto"/>
                      <w:sz w:val="21"/>
                      <w:szCs w:val="21"/>
                      <w:highlight w:val="none"/>
                      <w:lang w:bidi="ar"/>
                    </w:rPr>
                    <w:t>达标</w:t>
                  </w:r>
                </w:p>
              </w:tc>
            </w:tr>
            <w:tr w14:paraId="206D85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43F07974">
                  <w:pPr>
                    <w:pStyle w:val="126"/>
                    <w:spacing w:line="240" w:lineRule="auto"/>
                    <w:rPr>
                      <w:bCs/>
                      <w:color w:val="auto"/>
                      <w:sz w:val="21"/>
                      <w:szCs w:val="21"/>
                      <w:highlight w:val="none"/>
                      <w:lang w:bidi="ar-BH"/>
                    </w:rPr>
                  </w:pPr>
                  <w:r>
                    <w:rPr>
                      <w:bCs/>
                      <w:color w:val="auto"/>
                      <w:sz w:val="21"/>
                      <w:szCs w:val="21"/>
                      <w:highlight w:val="none"/>
                      <w:lang w:bidi="ar"/>
                    </w:rPr>
                    <w:t>PM</w:t>
                  </w:r>
                  <w:r>
                    <w:rPr>
                      <w:bCs/>
                      <w:color w:val="auto"/>
                      <w:sz w:val="21"/>
                      <w:szCs w:val="21"/>
                      <w:highlight w:val="none"/>
                      <w:vertAlign w:val="subscript"/>
                      <w:lang w:bidi="ar"/>
                    </w:rPr>
                    <w:t>10</w:t>
                  </w:r>
                </w:p>
              </w:tc>
              <w:tc>
                <w:tcPr>
                  <w:tcW w:w="1733" w:type="dxa"/>
                  <w:vAlign w:val="center"/>
                </w:tcPr>
                <w:p w14:paraId="33F234ED">
                  <w:pPr>
                    <w:pStyle w:val="126"/>
                    <w:spacing w:line="240" w:lineRule="auto"/>
                    <w:rPr>
                      <w:bCs/>
                      <w:color w:val="auto"/>
                      <w:sz w:val="21"/>
                      <w:szCs w:val="21"/>
                      <w:highlight w:val="none"/>
                      <w:lang w:bidi="ar-BH"/>
                    </w:rPr>
                  </w:pPr>
                  <w:r>
                    <w:rPr>
                      <w:color w:val="auto"/>
                      <w:sz w:val="21"/>
                      <w:szCs w:val="21"/>
                      <w:highlight w:val="none"/>
                      <w:lang w:bidi="ar"/>
                    </w:rPr>
                    <w:t>年均质量浓度</w:t>
                  </w:r>
                </w:p>
              </w:tc>
              <w:tc>
                <w:tcPr>
                  <w:tcW w:w="1305" w:type="dxa"/>
                  <w:vAlign w:val="center"/>
                </w:tcPr>
                <w:p w14:paraId="0C80C572">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62</w:t>
                  </w:r>
                </w:p>
              </w:tc>
              <w:tc>
                <w:tcPr>
                  <w:tcW w:w="1305" w:type="dxa"/>
                  <w:vAlign w:val="center"/>
                </w:tcPr>
                <w:p w14:paraId="272B56C4">
                  <w:pPr>
                    <w:pStyle w:val="126"/>
                    <w:spacing w:line="240" w:lineRule="auto"/>
                    <w:rPr>
                      <w:color w:val="auto"/>
                      <w:sz w:val="21"/>
                      <w:szCs w:val="21"/>
                      <w:highlight w:val="none"/>
                      <w:lang w:bidi="ar"/>
                    </w:rPr>
                  </w:pPr>
                  <w:r>
                    <w:rPr>
                      <w:color w:val="auto"/>
                      <w:sz w:val="21"/>
                      <w:szCs w:val="21"/>
                      <w:highlight w:val="none"/>
                      <w:lang w:bidi="ar"/>
                    </w:rPr>
                    <w:t>70</w:t>
                  </w:r>
                </w:p>
              </w:tc>
              <w:tc>
                <w:tcPr>
                  <w:tcW w:w="1144" w:type="dxa"/>
                  <w:vAlign w:val="center"/>
                </w:tcPr>
                <w:p w14:paraId="5291F0D5">
                  <w:pPr>
                    <w:pStyle w:val="126"/>
                    <w:spacing w:line="240" w:lineRule="auto"/>
                    <w:rPr>
                      <w:color w:val="auto"/>
                      <w:sz w:val="21"/>
                      <w:szCs w:val="21"/>
                      <w:highlight w:val="none"/>
                      <w:lang w:bidi="ar"/>
                    </w:rPr>
                  </w:pPr>
                  <w:r>
                    <w:rPr>
                      <w:color w:val="auto"/>
                      <w:sz w:val="21"/>
                      <w:szCs w:val="21"/>
                      <w:highlight w:val="none"/>
                      <w:lang w:bidi="ar"/>
                    </w:rPr>
                    <w:t>达标</w:t>
                  </w:r>
                </w:p>
              </w:tc>
            </w:tr>
            <w:tr w14:paraId="1329D2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4C3440F6">
                  <w:pPr>
                    <w:pStyle w:val="126"/>
                    <w:spacing w:line="240" w:lineRule="auto"/>
                    <w:rPr>
                      <w:bCs/>
                      <w:color w:val="auto"/>
                      <w:sz w:val="21"/>
                      <w:szCs w:val="21"/>
                      <w:highlight w:val="none"/>
                      <w:lang w:bidi="ar-BH"/>
                    </w:rPr>
                  </w:pPr>
                  <w:r>
                    <w:rPr>
                      <w:bCs/>
                      <w:color w:val="auto"/>
                      <w:sz w:val="21"/>
                      <w:szCs w:val="21"/>
                      <w:highlight w:val="none"/>
                      <w:lang w:bidi="ar"/>
                    </w:rPr>
                    <w:t>SO</w:t>
                  </w:r>
                  <w:r>
                    <w:rPr>
                      <w:bCs/>
                      <w:color w:val="auto"/>
                      <w:sz w:val="21"/>
                      <w:szCs w:val="21"/>
                      <w:highlight w:val="none"/>
                      <w:vertAlign w:val="subscript"/>
                      <w:lang w:bidi="ar"/>
                    </w:rPr>
                    <w:t>2</w:t>
                  </w:r>
                </w:p>
              </w:tc>
              <w:tc>
                <w:tcPr>
                  <w:tcW w:w="1733" w:type="dxa"/>
                  <w:vAlign w:val="center"/>
                </w:tcPr>
                <w:p w14:paraId="0E0B9777">
                  <w:pPr>
                    <w:pStyle w:val="126"/>
                    <w:spacing w:line="240" w:lineRule="auto"/>
                    <w:rPr>
                      <w:bCs/>
                      <w:color w:val="auto"/>
                      <w:sz w:val="21"/>
                      <w:szCs w:val="21"/>
                      <w:highlight w:val="none"/>
                      <w:lang w:bidi="ar-BH"/>
                    </w:rPr>
                  </w:pPr>
                  <w:r>
                    <w:rPr>
                      <w:color w:val="auto"/>
                      <w:sz w:val="21"/>
                      <w:szCs w:val="21"/>
                      <w:highlight w:val="none"/>
                      <w:lang w:bidi="ar"/>
                    </w:rPr>
                    <w:t>年均质量浓度</w:t>
                  </w:r>
                </w:p>
              </w:tc>
              <w:tc>
                <w:tcPr>
                  <w:tcW w:w="1305" w:type="dxa"/>
                  <w:vAlign w:val="center"/>
                </w:tcPr>
                <w:p w14:paraId="6FCA45AF">
                  <w:pPr>
                    <w:pStyle w:val="126"/>
                    <w:spacing w:line="240" w:lineRule="auto"/>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8</w:t>
                  </w:r>
                </w:p>
              </w:tc>
              <w:tc>
                <w:tcPr>
                  <w:tcW w:w="1305" w:type="dxa"/>
                  <w:vAlign w:val="center"/>
                </w:tcPr>
                <w:p w14:paraId="596AA1A4">
                  <w:pPr>
                    <w:pStyle w:val="126"/>
                    <w:spacing w:line="240" w:lineRule="auto"/>
                    <w:rPr>
                      <w:color w:val="auto"/>
                      <w:sz w:val="21"/>
                      <w:szCs w:val="21"/>
                      <w:highlight w:val="none"/>
                      <w:lang w:bidi="ar"/>
                    </w:rPr>
                  </w:pPr>
                  <w:r>
                    <w:rPr>
                      <w:color w:val="auto"/>
                      <w:sz w:val="21"/>
                      <w:szCs w:val="21"/>
                      <w:highlight w:val="none"/>
                      <w:lang w:bidi="ar"/>
                    </w:rPr>
                    <w:t>60</w:t>
                  </w:r>
                </w:p>
              </w:tc>
              <w:tc>
                <w:tcPr>
                  <w:tcW w:w="1144" w:type="dxa"/>
                  <w:vAlign w:val="center"/>
                </w:tcPr>
                <w:p w14:paraId="073EE264">
                  <w:pPr>
                    <w:pStyle w:val="126"/>
                    <w:spacing w:line="240" w:lineRule="auto"/>
                    <w:rPr>
                      <w:color w:val="auto"/>
                      <w:sz w:val="21"/>
                      <w:szCs w:val="21"/>
                      <w:highlight w:val="none"/>
                      <w:lang w:bidi="ar"/>
                    </w:rPr>
                  </w:pPr>
                  <w:r>
                    <w:rPr>
                      <w:color w:val="auto"/>
                      <w:sz w:val="21"/>
                      <w:szCs w:val="21"/>
                      <w:highlight w:val="none"/>
                      <w:lang w:bidi="ar"/>
                    </w:rPr>
                    <w:t>达标</w:t>
                  </w:r>
                </w:p>
              </w:tc>
            </w:tr>
            <w:tr w14:paraId="76DC7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6550059F">
                  <w:pPr>
                    <w:pStyle w:val="126"/>
                    <w:spacing w:line="240" w:lineRule="auto"/>
                    <w:rPr>
                      <w:bCs/>
                      <w:color w:val="auto"/>
                      <w:sz w:val="21"/>
                      <w:szCs w:val="21"/>
                      <w:highlight w:val="none"/>
                      <w:lang w:bidi="ar"/>
                    </w:rPr>
                  </w:pPr>
                  <w:r>
                    <w:rPr>
                      <w:bCs/>
                      <w:color w:val="auto"/>
                      <w:sz w:val="21"/>
                      <w:szCs w:val="21"/>
                      <w:highlight w:val="none"/>
                      <w:lang w:bidi="ar"/>
                    </w:rPr>
                    <w:t>NO</w:t>
                  </w:r>
                  <w:r>
                    <w:rPr>
                      <w:bCs/>
                      <w:color w:val="auto"/>
                      <w:sz w:val="21"/>
                      <w:szCs w:val="21"/>
                      <w:highlight w:val="none"/>
                      <w:vertAlign w:val="subscript"/>
                      <w:lang w:bidi="ar"/>
                    </w:rPr>
                    <w:t>2</w:t>
                  </w:r>
                </w:p>
              </w:tc>
              <w:tc>
                <w:tcPr>
                  <w:tcW w:w="1733" w:type="dxa"/>
                  <w:vAlign w:val="center"/>
                </w:tcPr>
                <w:p w14:paraId="32ADDCDB">
                  <w:pPr>
                    <w:pStyle w:val="126"/>
                    <w:spacing w:line="240" w:lineRule="auto"/>
                    <w:rPr>
                      <w:color w:val="auto"/>
                      <w:sz w:val="21"/>
                      <w:szCs w:val="21"/>
                      <w:highlight w:val="none"/>
                      <w:lang w:bidi="ar"/>
                    </w:rPr>
                  </w:pPr>
                  <w:r>
                    <w:rPr>
                      <w:color w:val="auto"/>
                      <w:sz w:val="21"/>
                      <w:szCs w:val="21"/>
                      <w:highlight w:val="none"/>
                      <w:lang w:bidi="ar"/>
                    </w:rPr>
                    <w:t>年均质量浓度</w:t>
                  </w:r>
                </w:p>
              </w:tc>
              <w:tc>
                <w:tcPr>
                  <w:tcW w:w="1305" w:type="dxa"/>
                  <w:vAlign w:val="center"/>
                </w:tcPr>
                <w:p w14:paraId="3B588E1F">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18</w:t>
                  </w:r>
                </w:p>
              </w:tc>
              <w:tc>
                <w:tcPr>
                  <w:tcW w:w="1305" w:type="dxa"/>
                  <w:vAlign w:val="center"/>
                </w:tcPr>
                <w:p w14:paraId="3E1BAC8D">
                  <w:pPr>
                    <w:pStyle w:val="126"/>
                    <w:spacing w:line="240" w:lineRule="auto"/>
                    <w:rPr>
                      <w:color w:val="auto"/>
                      <w:sz w:val="21"/>
                      <w:szCs w:val="21"/>
                      <w:highlight w:val="none"/>
                      <w:lang w:bidi="ar"/>
                    </w:rPr>
                  </w:pPr>
                  <w:r>
                    <w:rPr>
                      <w:color w:val="auto"/>
                      <w:sz w:val="21"/>
                      <w:szCs w:val="21"/>
                      <w:highlight w:val="none"/>
                      <w:lang w:bidi="ar"/>
                    </w:rPr>
                    <w:t>40</w:t>
                  </w:r>
                </w:p>
              </w:tc>
              <w:tc>
                <w:tcPr>
                  <w:tcW w:w="1144" w:type="dxa"/>
                  <w:vAlign w:val="center"/>
                </w:tcPr>
                <w:p w14:paraId="681C31FD">
                  <w:pPr>
                    <w:pStyle w:val="126"/>
                    <w:spacing w:line="240" w:lineRule="auto"/>
                    <w:rPr>
                      <w:color w:val="auto"/>
                      <w:sz w:val="21"/>
                      <w:szCs w:val="21"/>
                      <w:highlight w:val="none"/>
                      <w:lang w:bidi="ar"/>
                    </w:rPr>
                  </w:pPr>
                  <w:r>
                    <w:rPr>
                      <w:color w:val="auto"/>
                      <w:sz w:val="21"/>
                      <w:szCs w:val="21"/>
                      <w:highlight w:val="none"/>
                      <w:lang w:bidi="ar"/>
                    </w:rPr>
                    <w:t>达标</w:t>
                  </w:r>
                </w:p>
              </w:tc>
            </w:tr>
            <w:tr w14:paraId="6F1E77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2A901971">
                  <w:pPr>
                    <w:pStyle w:val="126"/>
                    <w:spacing w:line="240" w:lineRule="auto"/>
                    <w:rPr>
                      <w:bCs/>
                      <w:color w:val="auto"/>
                      <w:sz w:val="21"/>
                      <w:szCs w:val="21"/>
                      <w:highlight w:val="none"/>
                      <w:lang w:bidi="ar-BH"/>
                    </w:rPr>
                  </w:pPr>
                  <w:r>
                    <w:rPr>
                      <w:color w:val="auto"/>
                      <w:sz w:val="21"/>
                      <w:szCs w:val="21"/>
                      <w:highlight w:val="none"/>
                    </w:rPr>
                    <w:t>CO</w:t>
                  </w:r>
                  <w:r>
                    <w:rPr>
                      <w:rFonts w:hint="eastAsia"/>
                      <w:color w:val="auto"/>
                      <w:sz w:val="21"/>
                      <w:szCs w:val="21"/>
                      <w:highlight w:val="none"/>
                    </w:rPr>
                    <w:t>第95百分位浓度</w:t>
                  </w:r>
                </w:p>
              </w:tc>
              <w:tc>
                <w:tcPr>
                  <w:tcW w:w="1733" w:type="dxa"/>
                  <w:vAlign w:val="center"/>
                </w:tcPr>
                <w:p w14:paraId="32496110">
                  <w:pPr>
                    <w:pStyle w:val="126"/>
                    <w:spacing w:line="240" w:lineRule="auto"/>
                    <w:rPr>
                      <w:bCs/>
                      <w:color w:val="auto"/>
                      <w:sz w:val="21"/>
                      <w:szCs w:val="21"/>
                      <w:highlight w:val="none"/>
                      <w:lang w:bidi="ar-BH"/>
                    </w:rPr>
                  </w:pPr>
                  <w:r>
                    <w:rPr>
                      <w:rFonts w:hint="eastAsia"/>
                      <w:bCs/>
                      <w:color w:val="auto"/>
                      <w:sz w:val="21"/>
                      <w:szCs w:val="21"/>
                      <w:highlight w:val="none"/>
                      <w:lang w:bidi="ar-BH"/>
                    </w:rPr>
                    <w:t>24小时平均质量浓度</w:t>
                  </w:r>
                </w:p>
              </w:tc>
              <w:tc>
                <w:tcPr>
                  <w:tcW w:w="1305" w:type="dxa"/>
                  <w:vAlign w:val="center"/>
                </w:tcPr>
                <w:p w14:paraId="4EE786D5">
                  <w:pPr>
                    <w:pStyle w:val="126"/>
                    <w:spacing w:line="240" w:lineRule="auto"/>
                    <w:rPr>
                      <w:rFonts w:hint="default" w:eastAsia="宋体"/>
                      <w:color w:val="auto"/>
                      <w:sz w:val="21"/>
                      <w:szCs w:val="21"/>
                      <w:highlight w:val="none"/>
                      <w:lang w:val="en-US" w:eastAsia="zh-CN" w:bidi="ar"/>
                    </w:rPr>
                  </w:pPr>
                  <w:r>
                    <w:rPr>
                      <w:color w:val="auto"/>
                      <w:sz w:val="21"/>
                      <w:szCs w:val="21"/>
                      <w:highlight w:val="none"/>
                      <w:lang w:bidi="ar"/>
                    </w:rPr>
                    <w:t>1</w:t>
                  </w:r>
                  <w:r>
                    <w:rPr>
                      <w:rFonts w:hint="eastAsia"/>
                      <w:color w:val="auto"/>
                      <w:sz w:val="21"/>
                      <w:szCs w:val="21"/>
                      <w:highlight w:val="none"/>
                      <w:lang w:val="en-US" w:eastAsia="zh-CN" w:bidi="ar"/>
                    </w:rPr>
                    <w:t>400</w:t>
                  </w:r>
                </w:p>
              </w:tc>
              <w:tc>
                <w:tcPr>
                  <w:tcW w:w="1305" w:type="dxa"/>
                  <w:vAlign w:val="center"/>
                </w:tcPr>
                <w:p w14:paraId="58673C48">
                  <w:pPr>
                    <w:pStyle w:val="126"/>
                    <w:spacing w:line="240" w:lineRule="auto"/>
                    <w:rPr>
                      <w:color w:val="auto"/>
                      <w:sz w:val="21"/>
                      <w:szCs w:val="21"/>
                      <w:highlight w:val="none"/>
                      <w:lang w:bidi="ar"/>
                    </w:rPr>
                  </w:pPr>
                  <w:r>
                    <w:rPr>
                      <w:color w:val="auto"/>
                      <w:sz w:val="21"/>
                      <w:szCs w:val="21"/>
                      <w:highlight w:val="none"/>
                      <w:lang w:bidi="ar"/>
                    </w:rPr>
                    <w:t>4000</w:t>
                  </w:r>
                </w:p>
              </w:tc>
              <w:tc>
                <w:tcPr>
                  <w:tcW w:w="1144" w:type="dxa"/>
                  <w:vAlign w:val="center"/>
                </w:tcPr>
                <w:p w14:paraId="7B2805C4">
                  <w:pPr>
                    <w:pStyle w:val="126"/>
                    <w:spacing w:line="240" w:lineRule="auto"/>
                    <w:rPr>
                      <w:color w:val="auto"/>
                      <w:sz w:val="21"/>
                      <w:szCs w:val="21"/>
                      <w:highlight w:val="none"/>
                      <w:lang w:bidi="ar"/>
                    </w:rPr>
                  </w:pPr>
                  <w:r>
                    <w:rPr>
                      <w:color w:val="auto"/>
                      <w:sz w:val="21"/>
                      <w:szCs w:val="21"/>
                      <w:highlight w:val="none"/>
                      <w:lang w:bidi="ar"/>
                    </w:rPr>
                    <w:t>达标</w:t>
                  </w:r>
                </w:p>
              </w:tc>
            </w:tr>
            <w:tr w14:paraId="675AB0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3" w:type="dxa"/>
                  <w:vAlign w:val="center"/>
                </w:tcPr>
                <w:p w14:paraId="0B20A5F4">
                  <w:pPr>
                    <w:pStyle w:val="126"/>
                    <w:spacing w:line="240" w:lineRule="auto"/>
                    <w:rPr>
                      <w:bCs/>
                      <w:color w:val="auto"/>
                      <w:sz w:val="21"/>
                      <w:szCs w:val="21"/>
                      <w:highlight w:val="none"/>
                      <w:lang w:bidi="ar-BH"/>
                    </w:rPr>
                  </w:pPr>
                  <w:r>
                    <w:rPr>
                      <w:color w:val="auto"/>
                      <w:sz w:val="21"/>
                      <w:szCs w:val="21"/>
                      <w:highlight w:val="none"/>
                    </w:rPr>
                    <w:t>O</w:t>
                  </w:r>
                  <w:r>
                    <w:rPr>
                      <w:color w:val="auto"/>
                      <w:sz w:val="21"/>
                      <w:szCs w:val="21"/>
                      <w:highlight w:val="none"/>
                      <w:vertAlign w:val="subscript"/>
                    </w:rPr>
                    <w:t>3</w:t>
                  </w:r>
                  <w:r>
                    <w:rPr>
                      <w:rFonts w:hint="eastAsia"/>
                      <w:color w:val="auto"/>
                      <w:sz w:val="21"/>
                      <w:szCs w:val="21"/>
                      <w:highlight w:val="none"/>
                    </w:rPr>
                    <w:t>第90百分位浓度</w:t>
                  </w:r>
                </w:p>
              </w:tc>
              <w:tc>
                <w:tcPr>
                  <w:tcW w:w="1733" w:type="dxa"/>
                  <w:vAlign w:val="center"/>
                </w:tcPr>
                <w:p w14:paraId="6E1E4AAB">
                  <w:pPr>
                    <w:pStyle w:val="126"/>
                    <w:spacing w:line="240" w:lineRule="auto"/>
                    <w:rPr>
                      <w:bCs/>
                      <w:color w:val="auto"/>
                      <w:sz w:val="21"/>
                      <w:szCs w:val="21"/>
                      <w:highlight w:val="none"/>
                      <w:lang w:bidi="ar-BH"/>
                    </w:rPr>
                  </w:pPr>
                  <w:r>
                    <w:rPr>
                      <w:rFonts w:hint="eastAsia"/>
                      <w:color w:val="auto"/>
                      <w:sz w:val="21"/>
                      <w:szCs w:val="21"/>
                      <w:highlight w:val="none"/>
                    </w:rPr>
                    <w:t>日最大</w:t>
                  </w:r>
                  <w:r>
                    <w:rPr>
                      <w:color w:val="auto"/>
                      <w:sz w:val="21"/>
                      <w:szCs w:val="21"/>
                      <w:highlight w:val="none"/>
                    </w:rPr>
                    <w:t>8h平均质量浓度</w:t>
                  </w:r>
                </w:p>
              </w:tc>
              <w:tc>
                <w:tcPr>
                  <w:tcW w:w="1305" w:type="dxa"/>
                  <w:vAlign w:val="center"/>
                </w:tcPr>
                <w:p w14:paraId="71DE463F">
                  <w:pPr>
                    <w:pStyle w:val="126"/>
                    <w:spacing w:line="240" w:lineRule="auto"/>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137</w:t>
                  </w:r>
                </w:p>
              </w:tc>
              <w:tc>
                <w:tcPr>
                  <w:tcW w:w="1305" w:type="dxa"/>
                  <w:vAlign w:val="center"/>
                </w:tcPr>
                <w:p w14:paraId="3018C9A5">
                  <w:pPr>
                    <w:pStyle w:val="126"/>
                    <w:spacing w:line="240" w:lineRule="auto"/>
                    <w:rPr>
                      <w:color w:val="auto"/>
                      <w:sz w:val="21"/>
                      <w:szCs w:val="21"/>
                      <w:highlight w:val="none"/>
                      <w:lang w:bidi="ar"/>
                    </w:rPr>
                  </w:pPr>
                  <w:r>
                    <w:rPr>
                      <w:color w:val="auto"/>
                      <w:sz w:val="21"/>
                      <w:szCs w:val="21"/>
                      <w:highlight w:val="none"/>
                      <w:lang w:bidi="ar"/>
                    </w:rPr>
                    <w:t>160</w:t>
                  </w:r>
                </w:p>
              </w:tc>
              <w:tc>
                <w:tcPr>
                  <w:tcW w:w="1144" w:type="dxa"/>
                  <w:vAlign w:val="center"/>
                </w:tcPr>
                <w:p w14:paraId="24EEEF0C">
                  <w:pPr>
                    <w:pStyle w:val="126"/>
                    <w:spacing w:line="240" w:lineRule="auto"/>
                    <w:rPr>
                      <w:color w:val="auto"/>
                      <w:sz w:val="21"/>
                      <w:szCs w:val="21"/>
                      <w:highlight w:val="none"/>
                      <w:lang w:bidi="ar"/>
                    </w:rPr>
                  </w:pPr>
                  <w:r>
                    <w:rPr>
                      <w:color w:val="auto"/>
                      <w:sz w:val="21"/>
                      <w:szCs w:val="21"/>
                      <w:highlight w:val="none"/>
                      <w:lang w:bidi="ar"/>
                    </w:rPr>
                    <w:t>达标</w:t>
                  </w:r>
                </w:p>
              </w:tc>
            </w:tr>
          </w:tbl>
          <w:p w14:paraId="55F1A892">
            <w:pPr>
              <w:pStyle w:val="200"/>
              <w:ind w:firstLine="480"/>
              <w:rPr>
                <w:rFonts w:hint="eastAsia"/>
                <w:color w:val="auto"/>
                <w:highlight w:val="none"/>
              </w:rPr>
            </w:pPr>
            <w:r>
              <w:rPr>
                <w:rFonts w:hint="eastAsia"/>
                <w:color w:val="auto"/>
                <w:highlight w:val="none"/>
              </w:rPr>
              <w:t>由表可知，</w:t>
            </w:r>
            <w:r>
              <w:rPr>
                <w:rFonts w:hint="eastAsia"/>
                <w:color w:val="auto"/>
                <w:highlight w:val="none"/>
                <w:lang w:val="en-US" w:eastAsia="zh-CN"/>
              </w:rPr>
              <w:t>宝鸡市凤翔区</w:t>
            </w:r>
            <w:r>
              <w:rPr>
                <w:rFonts w:hint="eastAsia"/>
                <w:color w:val="auto"/>
                <w:highlight w:val="none"/>
              </w:rPr>
              <w:t>大气环境中基本污染物浓度均满足《环境空气质量标准》（GB3095-2012）中</w:t>
            </w:r>
            <w:r>
              <w:rPr>
                <w:rFonts w:hint="eastAsia"/>
                <w:color w:val="auto"/>
                <w:highlight w:val="none"/>
                <w:lang w:val="en-US" w:eastAsia="zh-CN"/>
              </w:rPr>
              <w:t>二</w:t>
            </w:r>
            <w:r>
              <w:rPr>
                <w:rFonts w:hint="eastAsia"/>
                <w:color w:val="auto"/>
                <w:highlight w:val="none"/>
              </w:rPr>
              <w:t>级标准，故项目所在区域为达标区。</w:t>
            </w:r>
          </w:p>
          <w:p w14:paraId="24C7BAB9">
            <w:pPr>
              <w:adjustRightInd w:val="0"/>
              <w:snapToGrid w:val="0"/>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2.地表水环境质量现状</w:t>
            </w:r>
          </w:p>
          <w:p w14:paraId="0149E460">
            <w:pPr>
              <w:pStyle w:val="200"/>
              <w:numPr>
                <w:ilvl w:val="0"/>
                <w:numId w:val="0"/>
              </w:numPr>
              <w:ind w:firstLine="480" w:firstLineChars="200"/>
              <w:rPr>
                <w:rFonts w:hint="eastAsia" w:ascii="Times New Roman" w:hAnsi="Times New Roman" w:eastAsia="宋体" w:cs="宋体"/>
                <w:color w:val="auto"/>
                <w:kern w:val="0"/>
                <w:sz w:val="24"/>
                <w:szCs w:val="21"/>
                <w:highlight w:val="none"/>
                <w:lang w:val="en-US" w:eastAsia="zh-CN" w:bidi="ar-SA"/>
              </w:rPr>
            </w:pPr>
            <w:r>
              <w:rPr>
                <w:rFonts w:hint="eastAsia" w:ascii="Times New Roman" w:hAnsi="Times New Roman" w:eastAsia="宋体" w:cs="宋体"/>
                <w:color w:val="auto"/>
                <w:kern w:val="0"/>
                <w:sz w:val="24"/>
                <w:szCs w:val="21"/>
                <w:highlight w:val="none"/>
                <w:lang w:val="en-US" w:eastAsia="zh-CN" w:bidi="ar-SA"/>
              </w:rPr>
              <w:t>扩建项目不新增生活污水；本项目运营期生产废水最终交由危废资质单位合理处置不外排。故本项目对地表水不产生影响，因此地表水环境质量不予监测评价。</w:t>
            </w:r>
          </w:p>
          <w:p w14:paraId="60DD6BBD">
            <w:pPr>
              <w:adjustRightInd w:val="0"/>
              <w:snapToGrid w:val="0"/>
              <w:spacing w:line="360" w:lineRule="auto"/>
              <w:ind w:firstLine="482" w:firstLineChars="200"/>
              <w:rPr>
                <w:b/>
                <w:bCs/>
                <w:color w:val="auto"/>
                <w:sz w:val="24"/>
                <w:szCs w:val="24"/>
                <w:highlight w:val="none"/>
              </w:rPr>
            </w:pPr>
            <w:r>
              <w:rPr>
                <w:rFonts w:hint="eastAsia"/>
                <w:b/>
                <w:bCs/>
                <w:color w:val="auto"/>
                <w:sz w:val="24"/>
                <w:szCs w:val="24"/>
                <w:highlight w:val="none"/>
              </w:rPr>
              <w:t>3</w:t>
            </w:r>
            <w:r>
              <w:rPr>
                <w:rFonts w:hint="eastAsia"/>
                <w:b/>
                <w:bCs/>
                <w:color w:val="auto"/>
                <w:sz w:val="24"/>
                <w:szCs w:val="24"/>
                <w:highlight w:val="none"/>
                <w:lang w:val="en-US" w:eastAsia="zh-CN"/>
              </w:rPr>
              <w:t>.</w:t>
            </w:r>
            <w:r>
              <w:rPr>
                <w:rFonts w:hint="eastAsia"/>
                <w:b/>
                <w:bCs/>
                <w:color w:val="auto"/>
                <w:sz w:val="24"/>
                <w:szCs w:val="24"/>
                <w:highlight w:val="none"/>
              </w:rPr>
              <w:t>声环境质量现状</w:t>
            </w:r>
          </w:p>
          <w:p w14:paraId="7A7AA0B3">
            <w:pPr>
              <w:adjustRightInd w:val="0"/>
              <w:snapToGrid w:val="0"/>
              <w:spacing w:line="360" w:lineRule="auto"/>
              <w:ind w:firstLine="480" w:firstLineChars="200"/>
              <w:jc w:val="left"/>
              <w:rPr>
                <w:b/>
                <w:color w:val="auto"/>
                <w:sz w:val="24"/>
                <w:szCs w:val="24"/>
                <w:highlight w:val="none"/>
              </w:rPr>
            </w:pPr>
            <w:r>
              <w:rPr>
                <w:rFonts w:hint="eastAsia"/>
                <w:color w:val="auto"/>
                <w:sz w:val="24"/>
                <w:highlight w:val="none"/>
              </w:rPr>
              <w:t>根据现场调查，项目周边50m范围内无声环境保护目标，本次环评不进行声环境调查。</w:t>
            </w:r>
          </w:p>
          <w:p w14:paraId="7E5FF0BA">
            <w:pPr>
              <w:adjustRightInd w:val="0"/>
              <w:snapToGrid w:val="0"/>
              <w:spacing w:line="360" w:lineRule="auto"/>
              <w:ind w:firstLine="482" w:firstLineChars="200"/>
              <w:outlineLvl w:val="1"/>
              <w:rPr>
                <w:rFonts w:hint="eastAsia"/>
                <w:b/>
                <w:color w:val="auto"/>
                <w:sz w:val="24"/>
                <w:szCs w:val="24"/>
                <w:highlight w:val="none"/>
              </w:rPr>
            </w:pPr>
            <w:bookmarkStart w:id="41" w:name="_Toc23902"/>
            <w:bookmarkStart w:id="42" w:name="_Toc18383"/>
            <w:r>
              <w:rPr>
                <w:rFonts w:hint="eastAsia"/>
                <w:b/>
                <w:color w:val="auto"/>
                <w:sz w:val="24"/>
                <w:szCs w:val="24"/>
                <w:highlight w:val="none"/>
              </w:rPr>
              <w:t>4</w:t>
            </w:r>
            <w:r>
              <w:rPr>
                <w:rFonts w:hint="eastAsia"/>
                <w:b/>
                <w:color w:val="auto"/>
                <w:sz w:val="24"/>
                <w:szCs w:val="24"/>
                <w:highlight w:val="none"/>
                <w:lang w:val="en-US" w:eastAsia="zh-CN"/>
              </w:rPr>
              <w:t>.</w:t>
            </w:r>
            <w:r>
              <w:rPr>
                <w:rFonts w:hint="eastAsia"/>
                <w:b/>
                <w:color w:val="auto"/>
                <w:sz w:val="24"/>
                <w:szCs w:val="24"/>
                <w:highlight w:val="none"/>
              </w:rPr>
              <w:t>地下水环境质量现状</w:t>
            </w:r>
            <w:bookmarkEnd w:id="41"/>
            <w:bookmarkEnd w:id="42"/>
          </w:p>
          <w:p w14:paraId="137AAEF7">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本扩建项目依托原有</w:t>
            </w:r>
            <w:r>
              <w:rPr>
                <w:rFonts w:hint="eastAsia" w:ascii="Times New Roman" w:hAnsi="Times New Roman" w:eastAsia="宋体" w:cs="Times New Roman"/>
                <w:color w:val="auto"/>
                <w:sz w:val="24"/>
                <w:highlight w:val="none"/>
                <w:lang w:eastAsia="zh-CN"/>
              </w:rPr>
              <w:t>综合用房</w:t>
            </w:r>
            <w:r>
              <w:rPr>
                <w:rFonts w:hint="eastAsia" w:ascii="Times New Roman" w:hAnsi="Times New Roman" w:eastAsia="宋体" w:cs="Times New Roman"/>
                <w:color w:val="auto"/>
                <w:sz w:val="24"/>
                <w:highlight w:val="none"/>
              </w:rPr>
              <w:t>进行内部改造，项目不新增占地，不涉及土建工程。为了查明本项目库房附近地下水环境质量，本次评价</w:t>
            </w:r>
            <w:r>
              <w:rPr>
                <w:rFonts w:hint="eastAsia" w:cs="Times New Roman"/>
                <w:color w:val="auto"/>
                <w:sz w:val="24"/>
                <w:highlight w:val="none"/>
                <w:lang w:val="en-US" w:eastAsia="zh-CN"/>
              </w:rPr>
              <w:t>采用</w:t>
            </w:r>
            <w:r>
              <w:rPr>
                <w:rFonts w:hint="eastAsia" w:ascii="Times New Roman" w:hAnsi="Times New Roman" w:eastAsia="宋体" w:cs="Times New Roman"/>
                <w:color w:val="auto"/>
                <w:sz w:val="24"/>
                <w:highlight w:val="none"/>
                <w:lang w:val="en-US" w:eastAsia="zh-CN"/>
              </w:rPr>
              <w:t>本公司</w:t>
            </w:r>
            <w:r>
              <w:rPr>
                <w:rFonts w:hint="eastAsia" w:ascii="Times New Roman" w:hAnsi="Times New Roman" w:eastAsia="宋体" w:cs="Times New Roman"/>
                <w:color w:val="auto"/>
                <w:sz w:val="24"/>
                <w:highlight w:val="none"/>
              </w:rPr>
              <w:t>厂区周围</w:t>
            </w:r>
            <w:r>
              <w:rPr>
                <w:rFonts w:hint="eastAsia" w:ascii="Times New Roman" w:hAnsi="Times New Roman" w:eastAsia="宋体" w:cs="Times New Roman"/>
                <w:color w:val="auto"/>
                <w:sz w:val="24"/>
                <w:highlight w:val="none"/>
                <w:lang w:eastAsia="zh-CN"/>
              </w:rPr>
              <w:t>及厂区内</w:t>
            </w:r>
            <w:r>
              <w:rPr>
                <w:rFonts w:hint="eastAsia"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rPr>
              <w:t>处监测点位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分别为1#马家半坡村水井</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2#高咀头村水井</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3#西坡村水井</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4#东岭冶炼水井、5#小海子村水井、</w:t>
            </w:r>
            <w:r>
              <w:rPr>
                <w:rFonts w:hint="eastAsia" w:ascii="Times New Roman" w:hAnsi="Times New Roman" w:eastAsia="宋体" w:cs="Times New Roman"/>
                <w:color w:val="auto"/>
                <w:sz w:val="24"/>
                <w:highlight w:val="none"/>
                <w:lang w:eastAsia="zh-CN"/>
              </w:rPr>
              <w:t>厂区内</w:t>
            </w:r>
            <w:r>
              <w:rPr>
                <w:rFonts w:hint="eastAsia" w:ascii="Times New Roman" w:hAnsi="Times New Roman" w:eastAsia="宋体" w:cs="Times New Roman"/>
                <w:color w:val="auto"/>
                <w:sz w:val="24"/>
                <w:highlight w:val="none"/>
              </w:rPr>
              <w:t>位于</w:t>
            </w:r>
            <w:r>
              <w:rPr>
                <w:rFonts w:hint="eastAsia" w:ascii="Times New Roman" w:hAnsi="Times New Roman" w:eastAsia="宋体" w:cs="Times New Roman"/>
                <w:color w:val="auto"/>
                <w:sz w:val="24"/>
                <w:highlight w:val="none"/>
                <w:lang w:eastAsia="zh-CN"/>
              </w:rPr>
              <w:t>本项目北侧、东北侧</w:t>
            </w:r>
            <w:r>
              <w:rPr>
                <w:rFonts w:hint="eastAsia" w:ascii="Times New Roman" w:hAnsi="Times New Roman" w:eastAsia="宋体" w:cs="Times New Roman"/>
                <w:color w:val="auto"/>
                <w:sz w:val="24"/>
                <w:highlight w:val="none"/>
              </w:rPr>
              <w:t>、西</w:t>
            </w:r>
            <w:r>
              <w:rPr>
                <w:rFonts w:hint="eastAsia" w:ascii="Times New Roman" w:hAnsi="Times New Roman" w:eastAsia="宋体" w:cs="Times New Roman"/>
                <w:color w:val="auto"/>
                <w:sz w:val="24"/>
                <w:highlight w:val="none"/>
                <w:lang w:eastAsia="zh-CN"/>
              </w:rPr>
              <w:t>北</w:t>
            </w:r>
            <w:r>
              <w:rPr>
                <w:rFonts w:hint="eastAsia" w:ascii="Times New Roman" w:hAnsi="Times New Roman" w:eastAsia="宋体" w:cs="Times New Roman"/>
                <w:color w:val="auto"/>
                <w:sz w:val="24"/>
                <w:highlight w:val="none"/>
              </w:rPr>
              <w:t>侧</w:t>
            </w:r>
            <w:r>
              <w:rPr>
                <w:rFonts w:hint="eastAsia" w:ascii="Times New Roman" w:hAnsi="Times New Roman" w:eastAsia="宋体" w:cs="Times New Roman"/>
                <w:color w:val="auto"/>
                <w:sz w:val="24"/>
                <w:highlight w:val="none"/>
                <w:lang w:eastAsia="zh-CN"/>
              </w:rPr>
              <w:t>三</w:t>
            </w:r>
            <w:r>
              <w:rPr>
                <w:rFonts w:hint="eastAsia" w:ascii="Times New Roman" w:hAnsi="Times New Roman" w:eastAsia="宋体" w:cs="Times New Roman"/>
                <w:color w:val="auto"/>
                <w:sz w:val="24"/>
                <w:highlight w:val="none"/>
              </w:rPr>
              <w:t>处监测点</w:t>
            </w:r>
            <w:r>
              <w:rPr>
                <w:rFonts w:hint="eastAsia" w:ascii="Times New Roman" w:hAnsi="Times New Roman" w:eastAsia="宋体" w:cs="Times New Roman"/>
                <w:color w:val="auto"/>
                <w:sz w:val="24"/>
                <w:highlight w:val="none"/>
                <w:lang w:eastAsia="zh-CN"/>
              </w:rPr>
              <w:t>，监测数据。监测单位为陕西国源环境检测技术有限公司，监测结果见表</w:t>
            </w:r>
            <w:r>
              <w:rPr>
                <w:rFonts w:hint="eastAsia" w:ascii="Times New Roman" w:hAnsi="Times New Roman" w:eastAsia="宋体" w:cs="Times New Roman"/>
                <w:color w:val="auto"/>
                <w:sz w:val="24"/>
                <w:highlight w:val="none"/>
                <w:lang w:val="en-US" w:eastAsia="zh-CN"/>
              </w:rPr>
              <w:t>3-2、3-3，</w:t>
            </w:r>
            <w:r>
              <w:rPr>
                <w:rFonts w:hint="eastAsia" w:ascii="Times New Roman" w:hAnsi="Times New Roman" w:eastAsia="宋体" w:cs="Times New Roman"/>
                <w:color w:val="auto"/>
                <w:sz w:val="24"/>
                <w:highlight w:val="none"/>
                <w:lang w:eastAsia="zh-CN"/>
              </w:rPr>
              <w:t>具体布点图详见图</w:t>
            </w:r>
            <w:r>
              <w:rPr>
                <w:rFonts w:hint="eastAsia" w:ascii="Times New Roman" w:hAnsi="Times New Roman" w:eastAsia="宋体" w:cs="Times New Roman"/>
                <w:color w:val="auto"/>
                <w:sz w:val="24"/>
                <w:highlight w:val="none"/>
                <w:lang w:val="en-US" w:eastAsia="zh-CN"/>
              </w:rPr>
              <w:t>3-1、3-2</w:t>
            </w:r>
            <w:r>
              <w:rPr>
                <w:rFonts w:hint="eastAsia" w:ascii="Times New Roman" w:hAnsi="Times New Roman" w:eastAsia="宋体" w:cs="Times New Roman"/>
                <w:color w:val="auto"/>
                <w:sz w:val="24"/>
                <w:highlight w:val="none"/>
                <w:lang w:eastAsia="zh-CN"/>
              </w:rPr>
              <w:t>，监测报告见附件9。</w:t>
            </w:r>
          </w:p>
          <w:p w14:paraId="721C5151">
            <w:pPr>
              <w:widowControl/>
              <w:spacing w:line="240" w:lineRule="auto"/>
              <w:ind w:firstLine="422" w:firstLineChars="200"/>
              <w:jc w:val="center"/>
              <w:rPr>
                <w:rFonts w:hint="default"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表3-2地下水环境质量现状监测结果统计单位：（mg/L）</w:t>
            </w:r>
          </w:p>
          <w:tbl>
            <w:tblPr>
              <w:tblStyle w:val="35"/>
              <w:tblW w:w="85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1068"/>
              <w:gridCol w:w="881"/>
              <w:gridCol w:w="1059"/>
              <w:gridCol w:w="919"/>
              <w:gridCol w:w="1205"/>
              <w:gridCol w:w="881"/>
              <w:gridCol w:w="976"/>
            </w:tblGrid>
            <w:tr w14:paraId="40319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tblHeader/>
                <w:jc w:val="center"/>
              </w:trPr>
              <w:tc>
                <w:tcPr>
                  <w:tcW w:w="1528" w:type="dxa"/>
                  <w:vMerge w:val="restart"/>
                  <w:tcBorders>
                    <w:top w:val="single" w:color="auto" w:sz="12" w:space="0"/>
                    <w:bottom w:val="single" w:color="auto" w:sz="6" w:space="0"/>
                    <w:tl2br w:val="single" w:color="auto" w:sz="12" w:space="0"/>
                  </w:tcBorders>
                  <w:noWrap w:val="0"/>
                  <w:vAlign w:val="center"/>
                </w:tcPr>
                <w:p w14:paraId="53697A3F">
                  <w:pPr>
                    <w:spacing w:line="240" w:lineRule="auto"/>
                    <w:ind w:firstLine="422"/>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点位</w:t>
                  </w:r>
                </w:p>
                <w:p w14:paraId="28550805">
                  <w:pPr>
                    <w:spacing w:line="240" w:lineRule="auto"/>
                    <w:ind w:firstLine="0" w:firstLineChars="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项目</w:t>
                  </w:r>
                </w:p>
              </w:tc>
              <w:tc>
                <w:tcPr>
                  <w:tcW w:w="1949" w:type="dxa"/>
                  <w:gridSpan w:val="2"/>
                  <w:noWrap w:val="0"/>
                  <w:vAlign w:val="center"/>
                </w:tcPr>
                <w:p w14:paraId="2AE2277F">
                  <w:pPr>
                    <w:spacing w:line="240" w:lineRule="auto"/>
                    <w:ind w:firstLine="0" w:firstLineChars="0"/>
                    <w:jc w:val="center"/>
                    <w:rPr>
                      <w:rFonts w:ascii="Times New Roman" w:hAnsi="Times New Roman"/>
                      <w:b/>
                      <w:bCs/>
                      <w:color w:val="auto"/>
                      <w:kern w:val="2"/>
                      <w:sz w:val="21"/>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1#马家半坡村水井</w:t>
                  </w:r>
                </w:p>
              </w:tc>
              <w:tc>
                <w:tcPr>
                  <w:tcW w:w="1978" w:type="dxa"/>
                  <w:gridSpan w:val="2"/>
                  <w:noWrap w:val="0"/>
                  <w:vAlign w:val="center"/>
                </w:tcPr>
                <w:p w14:paraId="70E86589">
                  <w:pPr>
                    <w:spacing w:line="240" w:lineRule="auto"/>
                    <w:ind w:firstLine="0" w:firstLineChars="0"/>
                    <w:jc w:val="center"/>
                    <w:rPr>
                      <w:rFonts w:ascii="Times New Roman" w:hAnsi="Times New Roman"/>
                      <w:b/>
                      <w:bCs/>
                      <w:color w:val="auto"/>
                      <w:kern w:val="2"/>
                      <w:sz w:val="21"/>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2#高咀头村水井</w:t>
                  </w:r>
                </w:p>
              </w:tc>
              <w:tc>
                <w:tcPr>
                  <w:tcW w:w="2086" w:type="dxa"/>
                  <w:gridSpan w:val="2"/>
                  <w:noWrap w:val="0"/>
                  <w:vAlign w:val="center"/>
                </w:tcPr>
                <w:p w14:paraId="04B75DF4">
                  <w:pPr>
                    <w:spacing w:line="240" w:lineRule="auto"/>
                    <w:ind w:firstLine="0" w:firstLineChars="0"/>
                    <w:jc w:val="center"/>
                    <w:rPr>
                      <w:rFonts w:ascii="Times New Roman" w:hAnsi="Times New Roman"/>
                      <w:b/>
                      <w:bCs/>
                      <w:color w:val="auto"/>
                      <w:kern w:val="2"/>
                      <w:sz w:val="21"/>
                      <w:szCs w:val="21"/>
                      <w:highlight w:val="none"/>
                    </w:rPr>
                  </w:pPr>
                  <w:r>
                    <w:rPr>
                      <w:rFonts w:hint="eastAsia" w:ascii="Times New Roman" w:hAnsi="Times New Roman" w:eastAsia="宋体" w:cs="Times New Roman"/>
                      <w:b/>
                      <w:bCs/>
                      <w:color w:val="auto"/>
                      <w:sz w:val="21"/>
                      <w:szCs w:val="21"/>
                      <w:highlight w:val="none"/>
                      <w:vertAlign w:val="baseline"/>
                      <w:lang w:val="en-US" w:eastAsia="zh-CN"/>
                    </w:rPr>
                    <w:t>3#西坡村水井</w:t>
                  </w:r>
                </w:p>
              </w:tc>
              <w:tc>
                <w:tcPr>
                  <w:tcW w:w="976" w:type="dxa"/>
                  <w:noWrap w:val="0"/>
                  <w:vAlign w:val="center"/>
                </w:tcPr>
                <w:p w14:paraId="3C30EACE">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w:t>
                  </w:r>
                </w:p>
              </w:tc>
            </w:tr>
            <w:tr w14:paraId="07552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blHeader/>
                <w:jc w:val="center"/>
              </w:trPr>
              <w:tc>
                <w:tcPr>
                  <w:tcW w:w="1528" w:type="dxa"/>
                  <w:vMerge w:val="continue"/>
                  <w:tcBorders>
                    <w:top w:val="single" w:color="auto" w:sz="6" w:space="0"/>
                    <w:bottom w:val="single" w:color="auto" w:sz="6" w:space="0"/>
                    <w:tl2br w:val="single" w:color="auto" w:sz="12" w:space="0"/>
                  </w:tcBorders>
                  <w:noWrap w:val="0"/>
                  <w:vAlign w:val="center"/>
                </w:tcPr>
                <w:p w14:paraId="5672840C">
                  <w:pPr>
                    <w:spacing w:line="240" w:lineRule="auto"/>
                    <w:ind w:firstLine="0" w:firstLineChars="0"/>
                    <w:jc w:val="center"/>
                    <w:rPr>
                      <w:rFonts w:ascii="Times New Roman" w:hAnsi="Times New Roman"/>
                      <w:b/>
                      <w:color w:val="auto"/>
                      <w:kern w:val="2"/>
                      <w:sz w:val="21"/>
                      <w:szCs w:val="21"/>
                      <w:highlight w:val="none"/>
                    </w:rPr>
                  </w:pPr>
                </w:p>
              </w:tc>
              <w:tc>
                <w:tcPr>
                  <w:tcW w:w="1068" w:type="dxa"/>
                  <w:noWrap w:val="0"/>
                  <w:vAlign w:val="center"/>
                </w:tcPr>
                <w:p w14:paraId="4A304EB8">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881" w:type="dxa"/>
                  <w:noWrap w:val="0"/>
                  <w:vAlign w:val="center"/>
                </w:tcPr>
                <w:p w14:paraId="43E9CF57">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059" w:type="dxa"/>
                  <w:noWrap w:val="0"/>
                  <w:vAlign w:val="center"/>
                </w:tcPr>
                <w:p w14:paraId="01325359">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919" w:type="dxa"/>
                  <w:noWrap w:val="0"/>
                  <w:vAlign w:val="center"/>
                </w:tcPr>
                <w:p w14:paraId="73E4313E">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205" w:type="dxa"/>
                  <w:noWrap w:val="0"/>
                  <w:vAlign w:val="center"/>
                </w:tcPr>
                <w:p w14:paraId="0B149872">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881" w:type="dxa"/>
                  <w:noWrap w:val="0"/>
                  <w:vAlign w:val="center"/>
                </w:tcPr>
                <w:p w14:paraId="69AD3100">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976" w:type="dxa"/>
                  <w:noWrap w:val="0"/>
                  <w:vAlign w:val="center"/>
                </w:tcPr>
                <w:p w14:paraId="62E75623">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Ⅲ类</w:t>
                  </w:r>
                </w:p>
              </w:tc>
            </w:tr>
            <w:tr w14:paraId="79987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tcBorders>
                    <w:top w:val="single" w:color="auto" w:sz="6" w:space="0"/>
                  </w:tcBorders>
                  <w:noWrap w:val="0"/>
                  <w:vAlign w:val="center"/>
                </w:tcPr>
                <w:p w14:paraId="70136D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钾</w:t>
                  </w:r>
                </w:p>
              </w:tc>
              <w:tc>
                <w:tcPr>
                  <w:tcW w:w="1068" w:type="dxa"/>
                  <w:noWrap w:val="0"/>
                  <w:tcMar>
                    <w:left w:w="51" w:type="dxa"/>
                    <w:right w:w="51" w:type="dxa"/>
                  </w:tcMar>
                  <w:vAlign w:val="center"/>
                </w:tcPr>
                <w:p w14:paraId="3140D5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0.449</w:t>
                  </w:r>
                </w:p>
              </w:tc>
              <w:tc>
                <w:tcPr>
                  <w:tcW w:w="881" w:type="dxa"/>
                  <w:noWrap w:val="0"/>
                  <w:tcMar>
                    <w:left w:w="51" w:type="dxa"/>
                    <w:right w:w="51" w:type="dxa"/>
                  </w:tcMar>
                  <w:vAlign w:val="center"/>
                </w:tcPr>
                <w:p w14:paraId="13DDE7A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649D8E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eastAsia"/>
                      <w:color w:val="auto"/>
                      <w:sz w:val="21"/>
                      <w:szCs w:val="21"/>
                      <w:highlight w:val="none"/>
                      <w:lang w:val="en-US" w:eastAsia="zh-CN"/>
                    </w:rPr>
                    <w:t>1.95</w:t>
                  </w:r>
                </w:p>
              </w:tc>
              <w:tc>
                <w:tcPr>
                  <w:tcW w:w="919" w:type="dxa"/>
                  <w:noWrap w:val="0"/>
                  <w:vAlign w:val="center"/>
                </w:tcPr>
                <w:p w14:paraId="2B9BE8C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68E832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0.96</w:t>
                  </w:r>
                </w:p>
              </w:tc>
              <w:tc>
                <w:tcPr>
                  <w:tcW w:w="881" w:type="dxa"/>
                  <w:noWrap w:val="0"/>
                  <w:vAlign w:val="center"/>
                </w:tcPr>
                <w:p w14:paraId="53D6E1F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1AE9D56F">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713A7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7413E1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钠</w:t>
                  </w:r>
                </w:p>
              </w:tc>
              <w:tc>
                <w:tcPr>
                  <w:tcW w:w="1068" w:type="dxa"/>
                  <w:noWrap w:val="0"/>
                  <w:tcMar>
                    <w:left w:w="51" w:type="dxa"/>
                    <w:right w:w="51" w:type="dxa"/>
                  </w:tcMar>
                  <w:vAlign w:val="center"/>
                </w:tcPr>
                <w:p w14:paraId="7606C0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28.5</w:t>
                  </w:r>
                </w:p>
              </w:tc>
              <w:tc>
                <w:tcPr>
                  <w:tcW w:w="881" w:type="dxa"/>
                  <w:noWrap w:val="0"/>
                  <w:tcMar>
                    <w:left w:w="51" w:type="dxa"/>
                    <w:right w:w="51" w:type="dxa"/>
                  </w:tcMar>
                  <w:vAlign w:val="center"/>
                </w:tcPr>
                <w:p w14:paraId="1A37474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781421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28.05</w:t>
                  </w:r>
                </w:p>
              </w:tc>
              <w:tc>
                <w:tcPr>
                  <w:tcW w:w="919" w:type="dxa"/>
                  <w:noWrap w:val="0"/>
                  <w:vAlign w:val="center"/>
                </w:tcPr>
                <w:p w14:paraId="430C095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2E0D16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48.69</w:t>
                  </w:r>
                </w:p>
              </w:tc>
              <w:tc>
                <w:tcPr>
                  <w:tcW w:w="881" w:type="dxa"/>
                  <w:noWrap w:val="0"/>
                  <w:vAlign w:val="center"/>
                </w:tcPr>
                <w:p w14:paraId="204A98C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3621827">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8D2A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70D7CB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钙</w:t>
                  </w:r>
                </w:p>
              </w:tc>
              <w:tc>
                <w:tcPr>
                  <w:tcW w:w="1068" w:type="dxa"/>
                  <w:noWrap w:val="0"/>
                  <w:tcMar>
                    <w:left w:w="51" w:type="dxa"/>
                    <w:right w:w="51" w:type="dxa"/>
                  </w:tcMar>
                  <w:vAlign w:val="center"/>
                </w:tcPr>
                <w:p w14:paraId="7A03C1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35.0</w:t>
                  </w:r>
                </w:p>
              </w:tc>
              <w:tc>
                <w:tcPr>
                  <w:tcW w:w="881" w:type="dxa"/>
                  <w:noWrap w:val="0"/>
                  <w:tcMar>
                    <w:left w:w="51" w:type="dxa"/>
                    <w:right w:w="51" w:type="dxa"/>
                  </w:tcMar>
                  <w:vAlign w:val="center"/>
                </w:tcPr>
                <w:p w14:paraId="01CB7BE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2F74FA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68.46</w:t>
                  </w:r>
                </w:p>
              </w:tc>
              <w:tc>
                <w:tcPr>
                  <w:tcW w:w="919" w:type="dxa"/>
                  <w:noWrap w:val="0"/>
                  <w:vAlign w:val="center"/>
                </w:tcPr>
                <w:p w14:paraId="2D4CE82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31825D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60.73</w:t>
                  </w:r>
                </w:p>
              </w:tc>
              <w:tc>
                <w:tcPr>
                  <w:tcW w:w="881" w:type="dxa"/>
                  <w:noWrap w:val="0"/>
                  <w:vAlign w:val="center"/>
                </w:tcPr>
                <w:p w14:paraId="01456A6E">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E327448">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363B0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6F9DCD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镁</w:t>
                  </w:r>
                </w:p>
              </w:tc>
              <w:tc>
                <w:tcPr>
                  <w:tcW w:w="1068" w:type="dxa"/>
                  <w:noWrap w:val="0"/>
                  <w:tcMar>
                    <w:left w:w="51" w:type="dxa"/>
                    <w:right w:w="51" w:type="dxa"/>
                  </w:tcMar>
                  <w:vAlign w:val="center"/>
                </w:tcPr>
                <w:p w14:paraId="30EFEB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17.9</w:t>
                  </w:r>
                </w:p>
              </w:tc>
              <w:tc>
                <w:tcPr>
                  <w:tcW w:w="881" w:type="dxa"/>
                  <w:noWrap w:val="0"/>
                  <w:tcMar>
                    <w:left w:w="51" w:type="dxa"/>
                    <w:right w:w="51" w:type="dxa"/>
                  </w:tcMar>
                  <w:vAlign w:val="center"/>
                </w:tcPr>
                <w:p w14:paraId="667FFCD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0C180B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32.20</w:t>
                  </w:r>
                </w:p>
              </w:tc>
              <w:tc>
                <w:tcPr>
                  <w:tcW w:w="919" w:type="dxa"/>
                  <w:noWrap w:val="0"/>
                  <w:vAlign w:val="center"/>
                </w:tcPr>
                <w:p w14:paraId="43AF1AB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06115C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23.58</w:t>
                  </w:r>
                </w:p>
              </w:tc>
              <w:tc>
                <w:tcPr>
                  <w:tcW w:w="881" w:type="dxa"/>
                  <w:noWrap w:val="0"/>
                  <w:vAlign w:val="center"/>
                </w:tcPr>
                <w:p w14:paraId="665A250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6CD45C6C">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0C42A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700D8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碳酸根</w:t>
                  </w:r>
                </w:p>
              </w:tc>
              <w:tc>
                <w:tcPr>
                  <w:tcW w:w="1068" w:type="dxa"/>
                  <w:noWrap w:val="0"/>
                  <w:tcMar>
                    <w:left w:w="51" w:type="dxa"/>
                    <w:right w:w="51" w:type="dxa"/>
                  </w:tcMar>
                  <w:vAlign w:val="center"/>
                </w:tcPr>
                <w:p w14:paraId="37BBCF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ND5</w:t>
                  </w:r>
                </w:p>
              </w:tc>
              <w:tc>
                <w:tcPr>
                  <w:tcW w:w="881" w:type="dxa"/>
                  <w:noWrap w:val="0"/>
                  <w:tcMar>
                    <w:left w:w="51" w:type="dxa"/>
                    <w:right w:w="51" w:type="dxa"/>
                  </w:tcMar>
                  <w:vAlign w:val="center"/>
                </w:tcPr>
                <w:p w14:paraId="23E3AAFE">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61ED13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ND5</w:t>
                  </w:r>
                </w:p>
              </w:tc>
              <w:tc>
                <w:tcPr>
                  <w:tcW w:w="919" w:type="dxa"/>
                  <w:noWrap w:val="0"/>
                  <w:vAlign w:val="center"/>
                </w:tcPr>
                <w:p w14:paraId="55A71B5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217EB3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ND5</w:t>
                  </w:r>
                </w:p>
              </w:tc>
              <w:tc>
                <w:tcPr>
                  <w:tcW w:w="881" w:type="dxa"/>
                  <w:noWrap w:val="0"/>
                  <w:vAlign w:val="center"/>
                </w:tcPr>
                <w:p w14:paraId="7BE99EF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7CC98349">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29157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75311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重碳酸根</w:t>
                  </w:r>
                </w:p>
              </w:tc>
              <w:tc>
                <w:tcPr>
                  <w:tcW w:w="1068" w:type="dxa"/>
                  <w:noWrap w:val="0"/>
                  <w:tcMar>
                    <w:left w:w="51" w:type="dxa"/>
                    <w:right w:w="51" w:type="dxa"/>
                  </w:tcMar>
                  <w:vAlign w:val="center"/>
                </w:tcPr>
                <w:p w14:paraId="7ABBA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217</w:t>
                  </w:r>
                </w:p>
              </w:tc>
              <w:tc>
                <w:tcPr>
                  <w:tcW w:w="881" w:type="dxa"/>
                  <w:noWrap w:val="0"/>
                  <w:tcMar>
                    <w:left w:w="51" w:type="dxa"/>
                    <w:right w:w="51" w:type="dxa"/>
                  </w:tcMar>
                  <w:vAlign w:val="center"/>
                </w:tcPr>
                <w:p w14:paraId="112282A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966E4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333</w:t>
                  </w:r>
                </w:p>
              </w:tc>
              <w:tc>
                <w:tcPr>
                  <w:tcW w:w="919" w:type="dxa"/>
                  <w:noWrap w:val="0"/>
                  <w:vAlign w:val="center"/>
                </w:tcPr>
                <w:p w14:paraId="32A271D7">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1205" w:type="dxa"/>
                  <w:noWrap w:val="0"/>
                  <w:vAlign w:val="center"/>
                </w:tcPr>
                <w:p w14:paraId="22C14D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389</w:t>
                  </w:r>
                </w:p>
              </w:tc>
              <w:tc>
                <w:tcPr>
                  <w:tcW w:w="881" w:type="dxa"/>
                  <w:noWrap w:val="0"/>
                  <w:vAlign w:val="center"/>
                </w:tcPr>
                <w:p w14:paraId="0DCC68D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E5B0FC7">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94D4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E7EB3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氯化物</w:t>
                  </w:r>
                </w:p>
              </w:tc>
              <w:tc>
                <w:tcPr>
                  <w:tcW w:w="1068" w:type="dxa"/>
                  <w:noWrap w:val="0"/>
                  <w:tcMar>
                    <w:left w:w="51" w:type="dxa"/>
                    <w:right w:w="51" w:type="dxa"/>
                  </w:tcMar>
                  <w:vAlign w:val="center"/>
                </w:tcPr>
                <w:p w14:paraId="55D125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ND10</w:t>
                  </w:r>
                </w:p>
              </w:tc>
              <w:tc>
                <w:tcPr>
                  <w:tcW w:w="881" w:type="dxa"/>
                  <w:noWrap w:val="0"/>
                  <w:tcMar>
                    <w:left w:w="51" w:type="dxa"/>
                    <w:right w:w="51" w:type="dxa"/>
                  </w:tcMar>
                  <w:vAlign w:val="center"/>
                </w:tcPr>
                <w:p w14:paraId="2912C57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3645A6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29.1</w:t>
                  </w:r>
                </w:p>
              </w:tc>
              <w:tc>
                <w:tcPr>
                  <w:tcW w:w="919" w:type="dxa"/>
                  <w:noWrap w:val="0"/>
                  <w:vAlign w:val="center"/>
                </w:tcPr>
                <w:p w14:paraId="4E108DA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0.12</w:t>
                  </w:r>
                </w:p>
              </w:tc>
              <w:tc>
                <w:tcPr>
                  <w:tcW w:w="1205" w:type="dxa"/>
                  <w:noWrap w:val="0"/>
                  <w:vAlign w:val="center"/>
                </w:tcPr>
                <w:p w14:paraId="7A514C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18.7</w:t>
                  </w:r>
                </w:p>
              </w:tc>
              <w:tc>
                <w:tcPr>
                  <w:tcW w:w="881" w:type="dxa"/>
                  <w:noWrap w:val="0"/>
                  <w:vAlign w:val="center"/>
                </w:tcPr>
                <w:p w14:paraId="5F7C77E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0.07</w:t>
                  </w:r>
                </w:p>
              </w:tc>
              <w:tc>
                <w:tcPr>
                  <w:tcW w:w="976" w:type="dxa"/>
                  <w:noWrap w:val="0"/>
                  <w:vAlign w:val="center"/>
                </w:tcPr>
                <w:p w14:paraId="4D3DC77E">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25F50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BEF92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硫酸盐</w:t>
                  </w:r>
                </w:p>
              </w:tc>
              <w:tc>
                <w:tcPr>
                  <w:tcW w:w="1068" w:type="dxa"/>
                  <w:noWrap w:val="0"/>
                  <w:tcMar>
                    <w:left w:w="51" w:type="dxa"/>
                    <w:right w:w="51" w:type="dxa"/>
                  </w:tcMar>
                  <w:vAlign w:val="center"/>
                </w:tcPr>
                <w:p w14:paraId="03DAE9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62</w:t>
                  </w:r>
                </w:p>
              </w:tc>
              <w:tc>
                <w:tcPr>
                  <w:tcW w:w="881" w:type="dxa"/>
                  <w:noWrap w:val="0"/>
                  <w:tcMar>
                    <w:left w:w="51" w:type="dxa"/>
                    <w:right w:w="51" w:type="dxa"/>
                  </w:tcMar>
                  <w:vAlign w:val="center"/>
                </w:tcPr>
                <w:p w14:paraId="6414ACF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0.25</w:t>
                  </w:r>
                </w:p>
              </w:tc>
              <w:tc>
                <w:tcPr>
                  <w:tcW w:w="1059" w:type="dxa"/>
                  <w:noWrap w:val="0"/>
                  <w:tcMar>
                    <w:left w:w="51" w:type="dxa"/>
                    <w:right w:w="51" w:type="dxa"/>
                  </w:tcMar>
                  <w:vAlign w:val="center"/>
                </w:tcPr>
                <w:p w14:paraId="261AB3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21.2</w:t>
                  </w:r>
                </w:p>
              </w:tc>
              <w:tc>
                <w:tcPr>
                  <w:tcW w:w="919" w:type="dxa"/>
                  <w:noWrap w:val="0"/>
                  <w:vAlign w:val="center"/>
                </w:tcPr>
                <w:p w14:paraId="78FF9F8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0.08</w:t>
                  </w:r>
                </w:p>
              </w:tc>
              <w:tc>
                <w:tcPr>
                  <w:tcW w:w="1205" w:type="dxa"/>
                  <w:noWrap w:val="0"/>
                  <w:vAlign w:val="center"/>
                </w:tcPr>
                <w:p w14:paraId="173908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18.1</w:t>
                  </w:r>
                </w:p>
              </w:tc>
              <w:tc>
                <w:tcPr>
                  <w:tcW w:w="881" w:type="dxa"/>
                  <w:noWrap w:val="0"/>
                  <w:vAlign w:val="center"/>
                </w:tcPr>
                <w:p w14:paraId="67D651C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0.07</w:t>
                  </w:r>
                </w:p>
              </w:tc>
              <w:tc>
                <w:tcPr>
                  <w:tcW w:w="976" w:type="dxa"/>
                  <w:noWrap w:val="0"/>
                  <w:vAlign w:val="center"/>
                </w:tcPr>
                <w:p w14:paraId="5F106D1C">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00F0E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528" w:type="dxa"/>
                  <w:noWrap w:val="0"/>
                  <w:vAlign w:val="center"/>
                </w:tcPr>
                <w:p w14:paraId="022EE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068" w:type="dxa"/>
                  <w:noWrap w:val="0"/>
                  <w:tcMar>
                    <w:left w:w="51" w:type="dxa"/>
                    <w:right w:w="51" w:type="dxa"/>
                  </w:tcMar>
                  <w:vAlign w:val="center"/>
                </w:tcPr>
                <w:p w14:paraId="5E28AE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7.30</w:t>
                  </w:r>
                </w:p>
              </w:tc>
              <w:tc>
                <w:tcPr>
                  <w:tcW w:w="881" w:type="dxa"/>
                  <w:noWrap w:val="0"/>
                  <w:tcMar>
                    <w:left w:w="51" w:type="dxa"/>
                    <w:right w:w="51" w:type="dxa"/>
                  </w:tcMar>
                  <w:vAlign w:val="center"/>
                </w:tcPr>
                <w:p w14:paraId="04C4280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w:t>
                  </w:r>
                </w:p>
              </w:tc>
              <w:tc>
                <w:tcPr>
                  <w:tcW w:w="1059" w:type="dxa"/>
                  <w:noWrap w:val="0"/>
                  <w:tcMar>
                    <w:left w:w="51" w:type="dxa"/>
                    <w:right w:w="51" w:type="dxa"/>
                  </w:tcMar>
                  <w:vAlign w:val="center"/>
                </w:tcPr>
                <w:p w14:paraId="79A9A2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8.00</w:t>
                  </w:r>
                </w:p>
              </w:tc>
              <w:tc>
                <w:tcPr>
                  <w:tcW w:w="919" w:type="dxa"/>
                  <w:noWrap w:val="0"/>
                  <w:vAlign w:val="center"/>
                </w:tcPr>
                <w:p w14:paraId="3C0DF42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0.67</w:t>
                  </w:r>
                </w:p>
              </w:tc>
              <w:tc>
                <w:tcPr>
                  <w:tcW w:w="1205" w:type="dxa"/>
                  <w:noWrap w:val="0"/>
                  <w:vAlign w:val="center"/>
                </w:tcPr>
                <w:p w14:paraId="2EFF1D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7.99</w:t>
                  </w:r>
                </w:p>
              </w:tc>
              <w:tc>
                <w:tcPr>
                  <w:tcW w:w="881" w:type="dxa"/>
                  <w:noWrap w:val="0"/>
                  <w:vAlign w:val="center"/>
                </w:tcPr>
                <w:p w14:paraId="67B94EA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0.66</w:t>
                  </w:r>
                </w:p>
              </w:tc>
              <w:tc>
                <w:tcPr>
                  <w:tcW w:w="976" w:type="dxa"/>
                  <w:noWrap w:val="0"/>
                  <w:vAlign w:val="center"/>
                </w:tcPr>
                <w:p w14:paraId="69598F39">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6.5</w:t>
                  </w:r>
                  <w:r>
                    <w:rPr>
                      <w:rFonts w:hint="eastAsia"/>
                      <w:color w:val="auto"/>
                      <w:sz w:val="21"/>
                      <w:szCs w:val="21"/>
                      <w:highlight w:val="none"/>
                      <w:lang w:val="en-US" w:eastAsia="zh-CN"/>
                    </w:rPr>
                    <w:t>-</w:t>
                  </w:r>
                  <w:r>
                    <w:rPr>
                      <w:rFonts w:ascii="Times New Roman" w:hAnsi="Times New Roman"/>
                      <w:color w:val="auto"/>
                      <w:sz w:val="21"/>
                      <w:szCs w:val="21"/>
                      <w:highlight w:val="none"/>
                    </w:rPr>
                    <w:t>8.5</w:t>
                  </w:r>
                </w:p>
              </w:tc>
            </w:tr>
            <w:tr w14:paraId="4FA5E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710D41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氨氮</w:t>
                  </w:r>
                </w:p>
              </w:tc>
              <w:tc>
                <w:tcPr>
                  <w:tcW w:w="1068" w:type="dxa"/>
                  <w:noWrap w:val="0"/>
                  <w:tcMar>
                    <w:left w:w="51" w:type="dxa"/>
                    <w:right w:w="51" w:type="dxa"/>
                  </w:tcMar>
                  <w:vAlign w:val="center"/>
                </w:tcPr>
                <w:p w14:paraId="099CDB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ND0.025</w:t>
                  </w:r>
                </w:p>
              </w:tc>
              <w:tc>
                <w:tcPr>
                  <w:tcW w:w="881" w:type="dxa"/>
                  <w:noWrap w:val="0"/>
                  <w:tcMar>
                    <w:left w:w="51" w:type="dxa"/>
                    <w:right w:w="51" w:type="dxa"/>
                  </w:tcMar>
                  <w:vAlign w:val="center"/>
                </w:tcPr>
                <w:p w14:paraId="3FB83EA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0F9D67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ND0.025</w:t>
                  </w:r>
                </w:p>
              </w:tc>
              <w:tc>
                <w:tcPr>
                  <w:tcW w:w="919" w:type="dxa"/>
                  <w:noWrap w:val="0"/>
                  <w:vAlign w:val="center"/>
                </w:tcPr>
                <w:p w14:paraId="199BD16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34AB33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ND0.025</w:t>
                  </w:r>
                </w:p>
              </w:tc>
              <w:tc>
                <w:tcPr>
                  <w:tcW w:w="881" w:type="dxa"/>
                  <w:noWrap w:val="0"/>
                  <w:vAlign w:val="center"/>
                </w:tcPr>
                <w:p w14:paraId="502EF75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655551D8">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color w:val="auto"/>
                      <w:sz w:val="21"/>
                      <w:szCs w:val="21"/>
                      <w:highlight w:val="none"/>
                      <w:lang w:val="en-US" w:eastAsia="zh-CN"/>
                    </w:rPr>
                    <w:t>5</w:t>
                  </w:r>
                </w:p>
              </w:tc>
            </w:tr>
            <w:tr w14:paraId="00DE7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6B59DE3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总硬度</w:t>
                  </w:r>
                </w:p>
              </w:tc>
              <w:tc>
                <w:tcPr>
                  <w:tcW w:w="1068" w:type="dxa"/>
                  <w:noWrap w:val="0"/>
                  <w:tcMar>
                    <w:left w:w="51" w:type="dxa"/>
                    <w:right w:w="51" w:type="dxa"/>
                  </w:tcMar>
                  <w:vAlign w:val="center"/>
                </w:tcPr>
                <w:p w14:paraId="38EEB1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236</w:t>
                  </w:r>
                </w:p>
              </w:tc>
              <w:tc>
                <w:tcPr>
                  <w:tcW w:w="881" w:type="dxa"/>
                  <w:noWrap w:val="0"/>
                  <w:tcMar>
                    <w:left w:w="51" w:type="dxa"/>
                    <w:right w:w="51" w:type="dxa"/>
                  </w:tcMar>
                  <w:vAlign w:val="center"/>
                </w:tcPr>
                <w:p w14:paraId="0F204C5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0.52</w:t>
                  </w:r>
                </w:p>
              </w:tc>
              <w:tc>
                <w:tcPr>
                  <w:tcW w:w="1059" w:type="dxa"/>
                  <w:noWrap w:val="0"/>
                  <w:tcMar>
                    <w:left w:w="51" w:type="dxa"/>
                    <w:right w:w="51" w:type="dxa"/>
                  </w:tcMar>
                  <w:vAlign w:val="center"/>
                </w:tcPr>
                <w:p w14:paraId="0D08C03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295</w:t>
                  </w:r>
                </w:p>
              </w:tc>
              <w:tc>
                <w:tcPr>
                  <w:tcW w:w="919" w:type="dxa"/>
                  <w:noWrap w:val="0"/>
                  <w:vAlign w:val="center"/>
                </w:tcPr>
                <w:p w14:paraId="45D46E96">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0.66</w:t>
                  </w:r>
                </w:p>
              </w:tc>
              <w:tc>
                <w:tcPr>
                  <w:tcW w:w="1205" w:type="dxa"/>
                  <w:noWrap w:val="0"/>
                  <w:vAlign w:val="center"/>
                </w:tcPr>
                <w:p w14:paraId="3C8932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247</w:t>
                  </w:r>
                </w:p>
              </w:tc>
              <w:tc>
                <w:tcPr>
                  <w:tcW w:w="881" w:type="dxa"/>
                  <w:noWrap w:val="0"/>
                  <w:vAlign w:val="center"/>
                </w:tcPr>
                <w:p w14:paraId="04E73C6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0.55</w:t>
                  </w:r>
                </w:p>
              </w:tc>
              <w:tc>
                <w:tcPr>
                  <w:tcW w:w="976" w:type="dxa"/>
                  <w:noWrap w:val="0"/>
                  <w:vAlign w:val="center"/>
                </w:tcPr>
                <w:p w14:paraId="7E97CB8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r>
            <w:tr w14:paraId="69B84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B8FADE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溶解性总固体</w:t>
                  </w:r>
                </w:p>
              </w:tc>
              <w:tc>
                <w:tcPr>
                  <w:tcW w:w="1068" w:type="dxa"/>
                  <w:noWrap w:val="0"/>
                  <w:tcMar>
                    <w:left w:w="51" w:type="dxa"/>
                    <w:right w:w="51" w:type="dxa"/>
                  </w:tcMar>
                  <w:vAlign w:val="center"/>
                </w:tcPr>
                <w:p w14:paraId="73BA98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567</w:t>
                  </w:r>
                </w:p>
              </w:tc>
              <w:tc>
                <w:tcPr>
                  <w:tcW w:w="881" w:type="dxa"/>
                  <w:noWrap w:val="0"/>
                  <w:tcMar>
                    <w:left w:w="51" w:type="dxa"/>
                    <w:right w:w="51" w:type="dxa"/>
                  </w:tcMar>
                  <w:vAlign w:val="center"/>
                </w:tcPr>
                <w:p w14:paraId="7020A0B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0.57</w:t>
                  </w:r>
                </w:p>
              </w:tc>
              <w:tc>
                <w:tcPr>
                  <w:tcW w:w="1059" w:type="dxa"/>
                  <w:noWrap w:val="0"/>
                  <w:tcMar>
                    <w:left w:w="51" w:type="dxa"/>
                    <w:right w:w="51" w:type="dxa"/>
                  </w:tcMar>
                  <w:vAlign w:val="center"/>
                </w:tcPr>
                <w:p w14:paraId="2FDCB4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412</w:t>
                  </w:r>
                </w:p>
              </w:tc>
              <w:tc>
                <w:tcPr>
                  <w:tcW w:w="919" w:type="dxa"/>
                  <w:noWrap w:val="0"/>
                  <w:vAlign w:val="center"/>
                </w:tcPr>
                <w:p w14:paraId="09D0E8B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0.41</w:t>
                  </w:r>
                </w:p>
              </w:tc>
              <w:tc>
                <w:tcPr>
                  <w:tcW w:w="1205" w:type="dxa"/>
                  <w:noWrap w:val="0"/>
                  <w:vAlign w:val="center"/>
                </w:tcPr>
                <w:p w14:paraId="0FD7C5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356</w:t>
                  </w:r>
                </w:p>
              </w:tc>
              <w:tc>
                <w:tcPr>
                  <w:tcW w:w="881" w:type="dxa"/>
                  <w:noWrap w:val="0"/>
                  <w:vAlign w:val="center"/>
                </w:tcPr>
                <w:p w14:paraId="647AAEDF">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0.36</w:t>
                  </w:r>
                </w:p>
              </w:tc>
              <w:tc>
                <w:tcPr>
                  <w:tcW w:w="976" w:type="dxa"/>
                  <w:noWrap w:val="0"/>
                  <w:vAlign w:val="center"/>
                </w:tcPr>
                <w:p w14:paraId="20D983F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r>
            <w:tr w14:paraId="42DF4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52DEA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color w:val="auto"/>
                      <w:sz w:val="21"/>
                      <w:szCs w:val="21"/>
                      <w:highlight w:val="none"/>
                      <w:lang w:val="en-US" w:eastAsia="zh-CN"/>
                    </w:rPr>
                    <w:t>挥发</w:t>
                  </w:r>
                  <w:r>
                    <w:rPr>
                      <w:rFonts w:hint="eastAsia"/>
                      <w:color w:val="auto"/>
                      <w:sz w:val="21"/>
                      <w:szCs w:val="21"/>
                      <w:highlight w:val="none"/>
                      <w:lang w:val="en-US" w:eastAsia="zh-CN"/>
                    </w:rPr>
                    <w:t>性</w:t>
                  </w:r>
                  <w:r>
                    <w:rPr>
                      <w:rFonts w:hint="default"/>
                      <w:color w:val="auto"/>
                      <w:sz w:val="21"/>
                      <w:szCs w:val="21"/>
                      <w:highlight w:val="none"/>
                      <w:lang w:val="en-US" w:eastAsia="zh-CN"/>
                    </w:rPr>
                    <w:t>酚</w:t>
                  </w:r>
                  <w:r>
                    <w:rPr>
                      <w:rFonts w:hint="eastAsia"/>
                      <w:color w:val="auto"/>
                      <w:sz w:val="21"/>
                      <w:szCs w:val="21"/>
                      <w:highlight w:val="none"/>
                      <w:lang w:val="en-US" w:eastAsia="zh-CN"/>
                    </w:rPr>
                    <w:t>类</w:t>
                  </w:r>
                </w:p>
              </w:tc>
              <w:tc>
                <w:tcPr>
                  <w:tcW w:w="1068" w:type="dxa"/>
                  <w:noWrap w:val="0"/>
                  <w:tcMar>
                    <w:left w:w="51" w:type="dxa"/>
                    <w:right w:w="51" w:type="dxa"/>
                  </w:tcMar>
                  <w:vAlign w:val="center"/>
                </w:tcPr>
                <w:p w14:paraId="4A91BA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881" w:type="dxa"/>
                  <w:noWrap w:val="0"/>
                  <w:tcMar>
                    <w:left w:w="51" w:type="dxa"/>
                    <w:right w:w="51" w:type="dxa"/>
                  </w:tcMar>
                  <w:vAlign w:val="center"/>
                </w:tcPr>
                <w:p w14:paraId="36C3095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38B185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919" w:type="dxa"/>
                  <w:noWrap w:val="0"/>
                  <w:vAlign w:val="center"/>
                </w:tcPr>
                <w:p w14:paraId="66A84D9A">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50472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881" w:type="dxa"/>
                  <w:noWrap w:val="0"/>
                  <w:vAlign w:val="center"/>
                </w:tcPr>
                <w:p w14:paraId="4785D6C9">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976" w:type="dxa"/>
                  <w:noWrap w:val="0"/>
                  <w:vAlign w:val="center"/>
                </w:tcPr>
                <w:p w14:paraId="15422AF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r>
            <w:tr w14:paraId="6B7F7C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F165F3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铬（六价）</w:t>
                  </w:r>
                </w:p>
              </w:tc>
              <w:tc>
                <w:tcPr>
                  <w:tcW w:w="1068" w:type="dxa"/>
                  <w:noWrap w:val="0"/>
                  <w:tcMar>
                    <w:left w:w="51" w:type="dxa"/>
                    <w:right w:w="51" w:type="dxa"/>
                  </w:tcMar>
                  <w:vAlign w:val="center"/>
                </w:tcPr>
                <w:p w14:paraId="44B6CC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eastAsia" w:ascii="Times New Roman" w:hAnsi="Times New Roman" w:eastAsia="宋体" w:cs="Times New Roman"/>
                      <w:i w:val="0"/>
                      <w:color w:val="auto"/>
                      <w:kern w:val="0"/>
                      <w:sz w:val="21"/>
                      <w:szCs w:val="21"/>
                      <w:highlight w:val="none"/>
                      <w:u w:val="none"/>
                      <w:lang w:val="en-US" w:eastAsia="zh-CN" w:bidi="ar"/>
                    </w:rPr>
                    <w:t>14</w:t>
                  </w:r>
                </w:p>
              </w:tc>
              <w:tc>
                <w:tcPr>
                  <w:tcW w:w="881" w:type="dxa"/>
                  <w:noWrap w:val="0"/>
                  <w:tcMar>
                    <w:left w:w="51" w:type="dxa"/>
                    <w:right w:w="51" w:type="dxa"/>
                  </w:tcMar>
                  <w:vAlign w:val="center"/>
                </w:tcPr>
                <w:p w14:paraId="7F23F64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0.28</w:t>
                  </w:r>
                </w:p>
              </w:tc>
              <w:tc>
                <w:tcPr>
                  <w:tcW w:w="1059" w:type="dxa"/>
                  <w:noWrap w:val="0"/>
                  <w:tcMar>
                    <w:left w:w="51" w:type="dxa"/>
                    <w:right w:w="51" w:type="dxa"/>
                  </w:tcMar>
                  <w:vAlign w:val="center"/>
                </w:tcPr>
                <w:p w14:paraId="3443D0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ND0.004</w:t>
                  </w:r>
                </w:p>
              </w:tc>
              <w:tc>
                <w:tcPr>
                  <w:tcW w:w="919" w:type="dxa"/>
                  <w:noWrap w:val="0"/>
                  <w:vAlign w:val="center"/>
                </w:tcPr>
                <w:p w14:paraId="6BC5D389">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552EA1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0.014</w:t>
                  </w:r>
                </w:p>
              </w:tc>
              <w:tc>
                <w:tcPr>
                  <w:tcW w:w="881" w:type="dxa"/>
                  <w:noWrap w:val="0"/>
                  <w:vAlign w:val="center"/>
                </w:tcPr>
                <w:p w14:paraId="3FFA8531">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0.28</w:t>
                  </w:r>
                </w:p>
              </w:tc>
              <w:tc>
                <w:tcPr>
                  <w:tcW w:w="976" w:type="dxa"/>
                  <w:noWrap w:val="0"/>
                  <w:vAlign w:val="center"/>
                </w:tcPr>
                <w:p w14:paraId="532A4E8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3DA5E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5EAEF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铁</w:t>
                  </w:r>
                </w:p>
              </w:tc>
              <w:tc>
                <w:tcPr>
                  <w:tcW w:w="1068" w:type="dxa"/>
                  <w:noWrap w:val="0"/>
                  <w:tcMar>
                    <w:left w:w="51" w:type="dxa"/>
                    <w:right w:w="51" w:type="dxa"/>
                  </w:tcMar>
                  <w:vAlign w:val="center"/>
                </w:tcPr>
                <w:p w14:paraId="561E48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881" w:type="dxa"/>
                  <w:noWrap w:val="0"/>
                  <w:tcMar>
                    <w:left w:w="51" w:type="dxa"/>
                    <w:right w:w="51" w:type="dxa"/>
                  </w:tcMar>
                  <w:vAlign w:val="center"/>
                </w:tcPr>
                <w:p w14:paraId="61D4192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05097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919" w:type="dxa"/>
                  <w:noWrap w:val="0"/>
                  <w:vAlign w:val="center"/>
                </w:tcPr>
                <w:p w14:paraId="4760C5D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4F0491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881" w:type="dxa"/>
                  <w:noWrap w:val="0"/>
                  <w:vAlign w:val="center"/>
                </w:tcPr>
                <w:p w14:paraId="6A755C2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82D087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r>
            <w:tr w14:paraId="6D3B9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1B0CA9F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锰</w:t>
                  </w:r>
                </w:p>
              </w:tc>
              <w:tc>
                <w:tcPr>
                  <w:tcW w:w="1068" w:type="dxa"/>
                  <w:noWrap w:val="0"/>
                  <w:tcMar>
                    <w:left w:w="51" w:type="dxa"/>
                    <w:right w:w="51" w:type="dxa"/>
                  </w:tcMar>
                  <w:vAlign w:val="center"/>
                </w:tcPr>
                <w:p w14:paraId="397745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881" w:type="dxa"/>
                  <w:noWrap w:val="0"/>
                  <w:tcMar>
                    <w:left w:w="51" w:type="dxa"/>
                    <w:right w:w="51" w:type="dxa"/>
                  </w:tcMar>
                  <w:vAlign w:val="center"/>
                </w:tcPr>
                <w:p w14:paraId="139E823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1CF5D7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919" w:type="dxa"/>
                  <w:noWrap w:val="0"/>
                  <w:vAlign w:val="center"/>
                </w:tcPr>
                <w:p w14:paraId="5EF33F4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102723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881" w:type="dxa"/>
                  <w:noWrap w:val="0"/>
                  <w:vAlign w:val="center"/>
                </w:tcPr>
                <w:p w14:paraId="38A4F4E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5F03BC3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74553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CD0B23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p>
              </w:tc>
              <w:tc>
                <w:tcPr>
                  <w:tcW w:w="1068" w:type="dxa"/>
                  <w:noWrap w:val="0"/>
                  <w:tcMar>
                    <w:left w:w="51" w:type="dxa"/>
                    <w:right w:w="51" w:type="dxa"/>
                  </w:tcMar>
                  <w:vAlign w:val="center"/>
                </w:tcPr>
                <w:p w14:paraId="0BC499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tcMar>
                    <w:left w:w="51" w:type="dxa"/>
                    <w:right w:w="51" w:type="dxa"/>
                  </w:tcMar>
                  <w:vAlign w:val="center"/>
                </w:tcPr>
                <w:p w14:paraId="50156D5F">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AC89B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919" w:type="dxa"/>
                  <w:noWrap w:val="0"/>
                  <w:vAlign w:val="center"/>
                </w:tcPr>
                <w:p w14:paraId="26E40E9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764F16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vAlign w:val="center"/>
                </w:tcPr>
                <w:p w14:paraId="5D79A91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291E82D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003EE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F9F203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p>
              </w:tc>
              <w:tc>
                <w:tcPr>
                  <w:tcW w:w="1068" w:type="dxa"/>
                  <w:noWrap w:val="0"/>
                  <w:tcMar>
                    <w:left w:w="51" w:type="dxa"/>
                    <w:right w:w="51" w:type="dxa"/>
                  </w:tcMar>
                  <w:vAlign w:val="center"/>
                </w:tcPr>
                <w:p w14:paraId="6FD6EE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0.16</w:t>
                  </w:r>
                </w:p>
              </w:tc>
              <w:tc>
                <w:tcPr>
                  <w:tcW w:w="881" w:type="dxa"/>
                  <w:noWrap w:val="0"/>
                  <w:tcMar>
                    <w:left w:w="51" w:type="dxa"/>
                    <w:right w:w="51" w:type="dxa"/>
                  </w:tcMar>
                  <w:vAlign w:val="center"/>
                </w:tcPr>
                <w:p w14:paraId="685F506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0.16</w:t>
                  </w:r>
                </w:p>
              </w:tc>
              <w:tc>
                <w:tcPr>
                  <w:tcW w:w="1059" w:type="dxa"/>
                  <w:noWrap w:val="0"/>
                  <w:tcMar>
                    <w:left w:w="51" w:type="dxa"/>
                    <w:right w:w="51" w:type="dxa"/>
                  </w:tcMar>
                  <w:vAlign w:val="center"/>
                </w:tcPr>
                <w:p w14:paraId="48A5D1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919" w:type="dxa"/>
                  <w:noWrap w:val="0"/>
                  <w:vAlign w:val="center"/>
                </w:tcPr>
                <w:p w14:paraId="48A7881D">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04866D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vAlign w:val="center"/>
                </w:tcPr>
                <w:p w14:paraId="52241596">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3C30EF8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36374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A5D0EC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铅</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7F0E11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881" w:type="dxa"/>
                  <w:noWrap w:val="0"/>
                  <w:tcMar>
                    <w:left w:w="51" w:type="dxa"/>
                    <w:right w:w="51" w:type="dxa"/>
                  </w:tcMar>
                  <w:vAlign w:val="center"/>
                </w:tcPr>
                <w:p w14:paraId="2E73A1C7">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14503B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919" w:type="dxa"/>
                  <w:noWrap w:val="0"/>
                  <w:vAlign w:val="center"/>
                </w:tcPr>
                <w:p w14:paraId="4E847CE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13055E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881" w:type="dxa"/>
                  <w:noWrap w:val="0"/>
                  <w:vAlign w:val="center"/>
                </w:tcPr>
                <w:p w14:paraId="0A09CA2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41A0222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p>
              </w:tc>
            </w:tr>
            <w:tr w14:paraId="6B2AB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02F892F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镉</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494A12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881" w:type="dxa"/>
                  <w:noWrap w:val="0"/>
                  <w:tcMar>
                    <w:left w:w="51" w:type="dxa"/>
                    <w:right w:w="51" w:type="dxa"/>
                  </w:tcMar>
                  <w:vAlign w:val="center"/>
                </w:tcPr>
                <w:p w14:paraId="457D7DD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31174F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919" w:type="dxa"/>
                  <w:noWrap w:val="0"/>
                  <w:vAlign w:val="center"/>
                </w:tcPr>
                <w:p w14:paraId="33E192E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41D422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881" w:type="dxa"/>
                  <w:noWrap w:val="0"/>
                  <w:vAlign w:val="center"/>
                </w:tcPr>
                <w:p w14:paraId="0A32991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7D032D7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05</w:t>
                  </w:r>
                </w:p>
              </w:tc>
            </w:tr>
            <w:tr w14:paraId="24BE9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593775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00982A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881" w:type="dxa"/>
                  <w:noWrap w:val="0"/>
                  <w:tcMar>
                    <w:left w:w="51" w:type="dxa"/>
                    <w:right w:w="51" w:type="dxa"/>
                  </w:tcMar>
                  <w:vAlign w:val="center"/>
                </w:tcPr>
                <w:p w14:paraId="17CDC1AA">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0.05</w:t>
                  </w:r>
                </w:p>
              </w:tc>
              <w:tc>
                <w:tcPr>
                  <w:tcW w:w="1059" w:type="dxa"/>
                  <w:noWrap w:val="0"/>
                  <w:tcMar>
                    <w:left w:w="51" w:type="dxa"/>
                    <w:right w:w="51" w:type="dxa"/>
                  </w:tcMar>
                  <w:vAlign w:val="center"/>
                </w:tcPr>
                <w:p w14:paraId="07A921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919" w:type="dxa"/>
                  <w:noWrap w:val="0"/>
                  <w:vAlign w:val="center"/>
                </w:tcPr>
                <w:p w14:paraId="4018ED89">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546C00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881" w:type="dxa"/>
                  <w:noWrap w:val="0"/>
                  <w:vAlign w:val="center"/>
                </w:tcPr>
                <w:p w14:paraId="2CA92D5C">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976" w:type="dxa"/>
                  <w:noWrap w:val="0"/>
                  <w:vAlign w:val="center"/>
                </w:tcPr>
                <w:p w14:paraId="6147350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r>
            <w:tr w14:paraId="705B4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01CABE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砷</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068" w:type="dxa"/>
                  <w:noWrap w:val="0"/>
                  <w:tcMar>
                    <w:left w:w="51" w:type="dxa"/>
                    <w:right w:w="51" w:type="dxa"/>
                  </w:tcMar>
                  <w:vAlign w:val="center"/>
                </w:tcPr>
                <w:p w14:paraId="662CFD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881" w:type="dxa"/>
                  <w:noWrap w:val="0"/>
                  <w:tcMar>
                    <w:left w:w="51" w:type="dxa"/>
                    <w:right w:w="51" w:type="dxa"/>
                  </w:tcMar>
                  <w:vAlign w:val="center"/>
                </w:tcPr>
                <w:p w14:paraId="2382A62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393542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919" w:type="dxa"/>
                  <w:noWrap w:val="0"/>
                  <w:vAlign w:val="center"/>
                </w:tcPr>
                <w:p w14:paraId="31057CC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205" w:type="dxa"/>
                  <w:noWrap w:val="0"/>
                  <w:vAlign w:val="center"/>
                </w:tcPr>
                <w:p w14:paraId="1E33ED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881" w:type="dxa"/>
                  <w:noWrap w:val="0"/>
                  <w:vAlign w:val="center"/>
                </w:tcPr>
                <w:p w14:paraId="2A571707">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76" w:type="dxa"/>
                  <w:noWrap w:val="0"/>
                  <w:vAlign w:val="center"/>
                </w:tcPr>
                <w:p w14:paraId="206F2A0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1</w:t>
                  </w:r>
                </w:p>
              </w:tc>
            </w:tr>
            <w:tr w14:paraId="75DB8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BE9791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氰化物</w:t>
                  </w:r>
                </w:p>
              </w:tc>
              <w:tc>
                <w:tcPr>
                  <w:tcW w:w="1068" w:type="dxa"/>
                  <w:noWrap w:val="0"/>
                  <w:tcMar>
                    <w:left w:w="51" w:type="dxa"/>
                    <w:right w:w="51" w:type="dxa"/>
                  </w:tcMar>
                  <w:vAlign w:val="center"/>
                </w:tcPr>
                <w:p w14:paraId="4E27DA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881" w:type="dxa"/>
                  <w:noWrap w:val="0"/>
                  <w:tcMar>
                    <w:left w:w="51" w:type="dxa"/>
                    <w:right w:w="51" w:type="dxa"/>
                  </w:tcMar>
                  <w:vAlign w:val="center"/>
                </w:tcPr>
                <w:p w14:paraId="56D943F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558AE1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919" w:type="dxa"/>
                  <w:noWrap w:val="0"/>
                  <w:vAlign w:val="center"/>
                </w:tcPr>
                <w:p w14:paraId="6ADA87B8">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1205" w:type="dxa"/>
                  <w:noWrap w:val="0"/>
                  <w:vAlign w:val="center"/>
                </w:tcPr>
                <w:p w14:paraId="485B45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881" w:type="dxa"/>
                  <w:noWrap w:val="0"/>
                  <w:vAlign w:val="center"/>
                </w:tcPr>
                <w:p w14:paraId="77180638">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w:t>
                  </w:r>
                </w:p>
              </w:tc>
              <w:tc>
                <w:tcPr>
                  <w:tcW w:w="976" w:type="dxa"/>
                  <w:noWrap w:val="0"/>
                  <w:vAlign w:val="center"/>
                </w:tcPr>
                <w:p w14:paraId="4CE6AD8A">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sz w:val="21"/>
                      <w:szCs w:val="21"/>
                      <w:highlight w:val="none"/>
                      <w:lang w:val="en-US" w:eastAsia="zh-CN"/>
                    </w:rPr>
                    <w:t>0.05</w:t>
                  </w:r>
                </w:p>
              </w:tc>
            </w:tr>
            <w:tr w14:paraId="2123D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610E06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硝酸盐（氮）</w:t>
                  </w:r>
                </w:p>
              </w:tc>
              <w:tc>
                <w:tcPr>
                  <w:tcW w:w="1068" w:type="dxa"/>
                  <w:noWrap w:val="0"/>
                  <w:tcMar>
                    <w:left w:w="51" w:type="dxa"/>
                    <w:right w:w="51" w:type="dxa"/>
                  </w:tcMar>
                  <w:vAlign w:val="center"/>
                </w:tcPr>
                <w:p w14:paraId="52F06F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2.5</w:t>
                  </w:r>
                </w:p>
              </w:tc>
              <w:tc>
                <w:tcPr>
                  <w:tcW w:w="881" w:type="dxa"/>
                  <w:noWrap w:val="0"/>
                  <w:tcMar>
                    <w:left w:w="51" w:type="dxa"/>
                    <w:right w:w="51" w:type="dxa"/>
                  </w:tcMar>
                  <w:vAlign w:val="center"/>
                </w:tcPr>
                <w:p w14:paraId="364466E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0.13</w:t>
                  </w:r>
                </w:p>
              </w:tc>
              <w:tc>
                <w:tcPr>
                  <w:tcW w:w="1059" w:type="dxa"/>
                  <w:noWrap w:val="0"/>
                  <w:tcMar>
                    <w:left w:w="51" w:type="dxa"/>
                    <w:right w:w="51" w:type="dxa"/>
                  </w:tcMar>
                  <w:vAlign w:val="center"/>
                </w:tcPr>
                <w:p w14:paraId="7C0103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0.95</w:t>
                  </w:r>
                </w:p>
              </w:tc>
              <w:tc>
                <w:tcPr>
                  <w:tcW w:w="919" w:type="dxa"/>
                  <w:noWrap w:val="0"/>
                  <w:vAlign w:val="center"/>
                </w:tcPr>
                <w:p w14:paraId="6D50894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1205" w:type="dxa"/>
                  <w:noWrap w:val="0"/>
                  <w:vAlign w:val="center"/>
                </w:tcPr>
                <w:p w14:paraId="208456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1.03</w:t>
                  </w:r>
                </w:p>
              </w:tc>
              <w:tc>
                <w:tcPr>
                  <w:tcW w:w="881" w:type="dxa"/>
                  <w:noWrap w:val="0"/>
                  <w:vAlign w:val="center"/>
                </w:tcPr>
                <w:p w14:paraId="7F8838E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976" w:type="dxa"/>
                  <w:noWrap w:val="0"/>
                  <w:vAlign w:val="center"/>
                </w:tcPr>
                <w:p w14:paraId="374ADFF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eastAsia" w:cs="Times New Roman"/>
                      <w:color w:val="auto"/>
                      <w:sz w:val="21"/>
                      <w:szCs w:val="21"/>
                      <w:highlight w:val="none"/>
                      <w:lang w:val="en-US" w:eastAsia="zh-CN"/>
                    </w:rPr>
                    <w:t>.0</w:t>
                  </w:r>
                </w:p>
              </w:tc>
            </w:tr>
            <w:tr w14:paraId="76274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48B0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亚硝酸盐</w:t>
                  </w:r>
                  <w:r>
                    <w:rPr>
                      <w:rFonts w:hint="default" w:ascii="Times New Roman" w:hAnsi="Times New Roman" w:eastAsia="宋体" w:cs="Times New Roman"/>
                      <w:color w:val="auto"/>
                      <w:sz w:val="21"/>
                      <w:szCs w:val="21"/>
                      <w:highlight w:val="none"/>
                      <w:lang w:val="en-US" w:eastAsia="zh-CN"/>
                    </w:rPr>
                    <w:t>（氮）</w:t>
                  </w:r>
                </w:p>
              </w:tc>
              <w:tc>
                <w:tcPr>
                  <w:tcW w:w="1068" w:type="dxa"/>
                  <w:noWrap w:val="0"/>
                  <w:tcMar>
                    <w:left w:w="51" w:type="dxa"/>
                    <w:right w:w="51" w:type="dxa"/>
                  </w:tcMar>
                  <w:vAlign w:val="center"/>
                </w:tcPr>
                <w:p w14:paraId="48EFA7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009</w:t>
                  </w:r>
                </w:p>
              </w:tc>
              <w:tc>
                <w:tcPr>
                  <w:tcW w:w="881" w:type="dxa"/>
                  <w:noWrap w:val="0"/>
                  <w:tcMar>
                    <w:left w:w="51" w:type="dxa"/>
                    <w:right w:w="51" w:type="dxa"/>
                  </w:tcMar>
                  <w:vAlign w:val="center"/>
                </w:tcPr>
                <w:p w14:paraId="22F6902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0.01</w:t>
                  </w:r>
                </w:p>
              </w:tc>
              <w:tc>
                <w:tcPr>
                  <w:tcW w:w="1059" w:type="dxa"/>
                  <w:noWrap w:val="0"/>
                  <w:tcMar>
                    <w:left w:w="51" w:type="dxa"/>
                    <w:right w:w="51" w:type="dxa"/>
                  </w:tcMar>
                  <w:vAlign w:val="center"/>
                </w:tcPr>
                <w:p w14:paraId="384E74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919" w:type="dxa"/>
                  <w:noWrap w:val="0"/>
                  <w:vAlign w:val="center"/>
                </w:tcPr>
                <w:p w14:paraId="777A87F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05" w:type="dxa"/>
                  <w:noWrap w:val="0"/>
                  <w:vAlign w:val="center"/>
                </w:tcPr>
                <w:p w14:paraId="050265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881" w:type="dxa"/>
                  <w:noWrap w:val="0"/>
                  <w:vAlign w:val="center"/>
                </w:tcPr>
                <w:p w14:paraId="7985CB9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7F8C065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5195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AC843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耗氧量</w:t>
                  </w:r>
                </w:p>
              </w:tc>
              <w:tc>
                <w:tcPr>
                  <w:tcW w:w="1068" w:type="dxa"/>
                  <w:noWrap w:val="0"/>
                  <w:tcMar>
                    <w:left w:w="51" w:type="dxa"/>
                    <w:right w:w="51" w:type="dxa"/>
                  </w:tcMar>
                  <w:vAlign w:val="center"/>
                </w:tcPr>
                <w:p w14:paraId="7AD08D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29</w:t>
                  </w:r>
                </w:p>
              </w:tc>
              <w:tc>
                <w:tcPr>
                  <w:tcW w:w="881" w:type="dxa"/>
                  <w:noWrap w:val="0"/>
                  <w:tcMar>
                    <w:left w:w="51" w:type="dxa"/>
                    <w:right w:w="51" w:type="dxa"/>
                  </w:tcMar>
                  <w:vAlign w:val="center"/>
                </w:tcPr>
                <w:p w14:paraId="5BF0907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w:t>
                  </w:r>
                </w:p>
              </w:tc>
              <w:tc>
                <w:tcPr>
                  <w:tcW w:w="1059" w:type="dxa"/>
                  <w:noWrap w:val="0"/>
                  <w:tcMar>
                    <w:left w:w="51" w:type="dxa"/>
                    <w:right w:w="51" w:type="dxa"/>
                  </w:tcMar>
                  <w:vAlign w:val="center"/>
                </w:tcPr>
                <w:p w14:paraId="019364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eastAsia"/>
                      <w:color w:val="auto"/>
                      <w:sz w:val="21"/>
                      <w:szCs w:val="21"/>
                      <w:highlight w:val="none"/>
                      <w:lang w:val="en-US" w:eastAsia="zh-CN"/>
                    </w:rPr>
                    <w:t>0.46</w:t>
                  </w:r>
                </w:p>
              </w:tc>
              <w:tc>
                <w:tcPr>
                  <w:tcW w:w="919" w:type="dxa"/>
                  <w:noWrap w:val="0"/>
                  <w:vAlign w:val="center"/>
                </w:tcPr>
                <w:p w14:paraId="0343F41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0.15</w:t>
                  </w:r>
                </w:p>
              </w:tc>
              <w:tc>
                <w:tcPr>
                  <w:tcW w:w="1205" w:type="dxa"/>
                  <w:noWrap w:val="0"/>
                  <w:vAlign w:val="center"/>
                </w:tcPr>
                <w:p w14:paraId="0EBB53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0.55</w:t>
                  </w:r>
                </w:p>
              </w:tc>
              <w:tc>
                <w:tcPr>
                  <w:tcW w:w="881" w:type="dxa"/>
                  <w:noWrap w:val="0"/>
                  <w:vAlign w:val="center"/>
                </w:tcPr>
                <w:p w14:paraId="4256AEC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0.18</w:t>
                  </w:r>
                </w:p>
              </w:tc>
              <w:tc>
                <w:tcPr>
                  <w:tcW w:w="976" w:type="dxa"/>
                  <w:noWrap w:val="0"/>
                  <w:vAlign w:val="center"/>
                </w:tcPr>
                <w:p w14:paraId="2AD0538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4C5CE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528" w:type="dxa"/>
                  <w:noWrap w:val="0"/>
                  <w:vAlign w:val="center"/>
                </w:tcPr>
                <w:p w14:paraId="6B709A3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总大肠菌群</w:t>
                  </w:r>
                  <w:r>
                    <w:rPr>
                      <w:rFonts w:hint="default" w:ascii="Times New Roman" w:hAnsi="Times New Roman" w:eastAsia="宋体" w:cs="Times New Roman"/>
                      <w:color w:val="auto"/>
                      <w:sz w:val="21"/>
                      <w:szCs w:val="21"/>
                      <w:highlight w:val="none"/>
                      <w:lang w:val="en-US" w:eastAsia="zh-CN"/>
                    </w:rPr>
                    <w:t>MPN/100mL</w:t>
                  </w:r>
                </w:p>
              </w:tc>
              <w:tc>
                <w:tcPr>
                  <w:tcW w:w="1068" w:type="dxa"/>
                  <w:noWrap w:val="0"/>
                  <w:tcMar>
                    <w:left w:w="51" w:type="dxa"/>
                    <w:right w:w="51" w:type="dxa"/>
                  </w:tcMar>
                  <w:vAlign w:val="center"/>
                </w:tcPr>
                <w:p w14:paraId="6991B6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未检出</w:t>
                  </w:r>
                </w:p>
              </w:tc>
              <w:tc>
                <w:tcPr>
                  <w:tcW w:w="881" w:type="dxa"/>
                  <w:noWrap w:val="0"/>
                  <w:tcMar>
                    <w:left w:w="51" w:type="dxa"/>
                    <w:right w:w="51" w:type="dxa"/>
                  </w:tcMar>
                  <w:vAlign w:val="center"/>
                </w:tcPr>
                <w:p w14:paraId="7DE5FBE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59" w:type="dxa"/>
                  <w:noWrap w:val="0"/>
                  <w:tcMar>
                    <w:left w:w="51" w:type="dxa"/>
                    <w:right w:w="51" w:type="dxa"/>
                  </w:tcMar>
                  <w:vAlign w:val="center"/>
                </w:tcPr>
                <w:p w14:paraId="205B9F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919" w:type="dxa"/>
                  <w:noWrap w:val="0"/>
                  <w:vAlign w:val="center"/>
                </w:tcPr>
                <w:p w14:paraId="479C1E69">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w:t>
                  </w:r>
                </w:p>
              </w:tc>
              <w:tc>
                <w:tcPr>
                  <w:tcW w:w="1205" w:type="dxa"/>
                  <w:noWrap w:val="0"/>
                  <w:vAlign w:val="center"/>
                </w:tcPr>
                <w:p w14:paraId="642A98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w:t>
                  </w:r>
                </w:p>
              </w:tc>
              <w:tc>
                <w:tcPr>
                  <w:tcW w:w="881" w:type="dxa"/>
                  <w:noWrap w:val="0"/>
                  <w:vAlign w:val="center"/>
                </w:tcPr>
                <w:p w14:paraId="7298B81F">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w:t>
                  </w:r>
                </w:p>
              </w:tc>
              <w:tc>
                <w:tcPr>
                  <w:tcW w:w="976" w:type="dxa"/>
                  <w:noWrap w:val="0"/>
                  <w:vAlign w:val="center"/>
                </w:tcPr>
                <w:p w14:paraId="4AA844E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3F919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528" w:type="dxa"/>
                  <w:noWrap w:val="0"/>
                  <w:vAlign w:val="center"/>
                </w:tcPr>
                <w:p w14:paraId="0AD68DB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细菌总数</w:t>
                  </w:r>
                  <w:r>
                    <w:rPr>
                      <w:rFonts w:hint="eastAsia" w:ascii="Times New Roman" w:hAnsi="Times New Roman" w:eastAsia="宋体" w:cs="Times New Roman"/>
                      <w:color w:val="auto"/>
                      <w:sz w:val="21"/>
                      <w:szCs w:val="21"/>
                      <w:highlight w:val="none"/>
                      <w:lang w:val="en-US" w:eastAsia="zh-CN"/>
                    </w:rPr>
                    <w:t>CFU/mL</w:t>
                  </w:r>
                </w:p>
              </w:tc>
              <w:tc>
                <w:tcPr>
                  <w:tcW w:w="1068" w:type="dxa"/>
                  <w:noWrap w:val="0"/>
                  <w:tcMar>
                    <w:left w:w="51" w:type="dxa"/>
                    <w:right w:w="51" w:type="dxa"/>
                  </w:tcMar>
                  <w:vAlign w:val="center"/>
                </w:tcPr>
                <w:p w14:paraId="65460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64</w:t>
                  </w:r>
                </w:p>
              </w:tc>
              <w:tc>
                <w:tcPr>
                  <w:tcW w:w="881" w:type="dxa"/>
                  <w:noWrap w:val="0"/>
                  <w:tcMar>
                    <w:left w:w="51" w:type="dxa"/>
                    <w:right w:w="51" w:type="dxa"/>
                  </w:tcMar>
                  <w:vAlign w:val="center"/>
                </w:tcPr>
                <w:p w14:paraId="3F68C13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0.64</w:t>
                  </w:r>
                </w:p>
              </w:tc>
              <w:tc>
                <w:tcPr>
                  <w:tcW w:w="1059" w:type="dxa"/>
                  <w:noWrap w:val="0"/>
                  <w:tcMar>
                    <w:left w:w="51" w:type="dxa"/>
                    <w:right w:w="51" w:type="dxa"/>
                  </w:tcMar>
                  <w:vAlign w:val="center"/>
                </w:tcPr>
                <w:p w14:paraId="3DC6DF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16</w:t>
                  </w:r>
                </w:p>
              </w:tc>
              <w:tc>
                <w:tcPr>
                  <w:tcW w:w="919" w:type="dxa"/>
                  <w:noWrap w:val="0"/>
                  <w:vAlign w:val="center"/>
                </w:tcPr>
                <w:p w14:paraId="3F2FBE2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0.16</w:t>
                  </w:r>
                </w:p>
              </w:tc>
              <w:tc>
                <w:tcPr>
                  <w:tcW w:w="1205" w:type="dxa"/>
                  <w:noWrap w:val="0"/>
                  <w:vAlign w:val="center"/>
                </w:tcPr>
                <w:p w14:paraId="0C9091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24</w:t>
                  </w:r>
                </w:p>
              </w:tc>
              <w:tc>
                <w:tcPr>
                  <w:tcW w:w="881" w:type="dxa"/>
                  <w:noWrap w:val="0"/>
                  <w:vAlign w:val="center"/>
                </w:tcPr>
                <w:p w14:paraId="626A6B8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0.24</w:t>
                  </w:r>
                </w:p>
              </w:tc>
              <w:tc>
                <w:tcPr>
                  <w:tcW w:w="976" w:type="dxa"/>
                  <w:noWrap w:val="0"/>
                  <w:vAlign w:val="center"/>
                </w:tcPr>
                <w:p w14:paraId="573342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35DAB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30C6F64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石油类</w:t>
                  </w:r>
                </w:p>
              </w:tc>
              <w:tc>
                <w:tcPr>
                  <w:tcW w:w="1068" w:type="dxa"/>
                  <w:noWrap w:val="0"/>
                  <w:tcMar>
                    <w:left w:w="51" w:type="dxa"/>
                    <w:right w:w="51" w:type="dxa"/>
                  </w:tcMar>
                  <w:vAlign w:val="center"/>
                </w:tcPr>
                <w:p w14:paraId="3B7F5F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0.03</w:t>
                  </w:r>
                </w:p>
              </w:tc>
              <w:tc>
                <w:tcPr>
                  <w:tcW w:w="881" w:type="dxa"/>
                  <w:noWrap w:val="0"/>
                  <w:tcMar>
                    <w:left w:w="51" w:type="dxa"/>
                    <w:right w:w="51" w:type="dxa"/>
                  </w:tcMar>
                  <w:vAlign w:val="center"/>
                </w:tcPr>
                <w:p w14:paraId="52108FB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0.6</w:t>
                  </w:r>
                </w:p>
              </w:tc>
              <w:tc>
                <w:tcPr>
                  <w:tcW w:w="1059" w:type="dxa"/>
                  <w:noWrap w:val="0"/>
                  <w:tcMar>
                    <w:left w:w="51" w:type="dxa"/>
                    <w:right w:w="51" w:type="dxa"/>
                  </w:tcMar>
                  <w:vAlign w:val="center"/>
                </w:tcPr>
                <w:p w14:paraId="798CCF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919" w:type="dxa"/>
                  <w:noWrap w:val="0"/>
                  <w:vAlign w:val="center"/>
                </w:tcPr>
                <w:p w14:paraId="2F060875">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1205" w:type="dxa"/>
                  <w:noWrap w:val="0"/>
                  <w:vAlign w:val="center"/>
                </w:tcPr>
                <w:p w14:paraId="312C6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881" w:type="dxa"/>
                  <w:noWrap w:val="0"/>
                  <w:vAlign w:val="center"/>
                </w:tcPr>
                <w:p w14:paraId="1FCB492E">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976" w:type="dxa"/>
                  <w:noWrap w:val="0"/>
                  <w:vAlign w:val="center"/>
                </w:tcPr>
                <w:p w14:paraId="56835DB4">
                  <w:pPr>
                    <w:spacing w:line="240" w:lineRule="auto"/>
                    <w:ind w:firstLine="0" w:firstLine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0.05</w:t>
                  </w:r>
                </w:p>
              </w:tc>
            </w:tr>
            <w:tr w14:paraId="4CC55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4444560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苯</w:t>
                  </w:r>
                </w:p>
              </w:tc>
              <w:tc>
                <w:tcPr>
                  <w:tcW w:w="1068" w:type="dxa"/>
                  <w:noWrap w:val="0"/>
                  <w:tcMar>
                    <w:left w:w="51" w:type="dxa"/>
                    <w:right w:w="51" w:type="dxa"/>
                  </w:tcMar>
                  <w:vAlign w:val="center"/>
                </w:tcPr>
                <w:p w14:paraId="754E78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tcMar>
                    <w:left w:w="51" w:type="dxa"/>
                    <w:right w:w="51" w:type="dxa"/>
                  </w:tcMar>
                  <w:vAlign w:val="center"/>
                </w:tcPr>
                <w:p w14:paraId="2116BF4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281161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919" w:type="dxa"/>
                  <w:noWrap w:val="0"/>
                  <w:vAlign w:val="center"/>
                </w:tcPr>
                <w:p w14:paraId="2DD8875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1205" w:type="dxa"/>
                  <w:noWrap w:val="0"/>
                  <w:vAlign w:val="center"/>
                </w:tcPr>
                <w:p w14:paraId="37FA0F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vAlign w:val="center"/>
                </w:tcPr>
                <w:p w14:paraId="6C91240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976" w:type="dxa"/>
                  <w:noWrap w:val="0"/>
                  <w:vAlign w:val="center"/>
                </w:tcPr>
                <w:p w14:paraId="1D19CEEB">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3A300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1528" w:type="dxa"/>
                  <w:noWrap w:val="0"/>
                  <w:vAlign w:val="center"/>
                </w:tcPr>
                <w:p w14:paraId="25A636D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甲苯</w:t>
                  </w:r>
                </w:p>
              </w:tc>
              <w:tc>
                <w:tcPr>
                  <w:tcW w:w="1068" w:type="dxa"/>
                  <w:noWrap w:val="0"/>
                  <w:tcMar>
                    <w:left w:w="51" w:type="dxa"/>
                    <w:right w:w="51" w:type="dxa"/>
                  </w:tcMar>
                  <w:vAlign w:val="center"/>
                </w:tcPr>
                <w:p w14:paraId="3575460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881" w:type="dxa"/>
                  <w:noWrap w:val="0"/>
                  <w:tcMar>
                    <w:left w:w="51" w:type="dxa"/>
                    <w:right w:w="51" w:type="dxa"/>
                  </w:tcMar>
                  <w:vAlign w:val="center"/>
                </w:tcPr>
                <w:p w14:paraId="0E118B64">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3537582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919" w:type="dxa"/>
                  <w:noWrap w:val="0"/>
                  <w:vAlign w:val="center"/>
                </w:tcPr>
                <w:p w14:paraId="6104CE7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05" w:type="dxa"/>
                  <w:noWrap w:val="0"/>
                  <w:vAlign w:val="center"/>
                </w:tcPr>
                <w:p w14:paraId="7F82C05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881" w:type="dxa"/>
                  <w:noWrap w:val="0"/>
                  <w:vAlign w:val="center"/>
                </w:tcPr>
                <w:p w14:paraId="6EAEC13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1E74C3C3">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700</w:t>
                  </w:r>
                </w:p>
              </w:tc>
            </w:tr>
            <w:tr w14:paraId="6325C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28" w:type="dxa"/>
                  <w:noWrap w:val="0"/>
                  <w:vAlign w:val="center"/>
                </w:tcPr>
                <w:p w14:paraId="3CE4357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硫化物</w:t>
                  </w:r>
                </w:p>
              </w:tc>
              <w:tc>
                <w:tcPr>
                  <w:tcW w:w="1068" w:type="dxa"/>
                  <w:noWrap w:val="0"/>
                  <w:tcMar>
                    <w:left w:w="51" w:type="dxa"/>
                    <w:right w:w="51" w:type="dxa"/>
                  </w:tcMar>
                  <w:vAlign w:val="center"/>
                </w:tcPr>
                <w:p w14:paraId="55B739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tcMar>
                    <w:left w:w="51" w:type="dxa"/>
                    <w:right w:w="51" w:type="dxa"/>
                  </w:tcMar>
                  <w:vAlign w:val="center"/>
                </w:tcPr>
                <w:p w14:paraId="221F128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059" w:type="dxa"/>
                  <w:noWrap w:val="0"/>
                  <w:tcMar>
                    <w:left w:w="51" w:type="dxa"/>
                    <w:right w:w="51" w:type="dxa"/>
                  </w:tcMar>
                  <w:vAlign w:val="center"/>
                </w:tcPr>
                <w:p w14:paraId="77A3F9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919" w:type="dxa"/>
                  <w:noWrap w:val="0"/>
                  <w:vAlign w:val="center"/>
                </w:tcPr>
                <w:p w14:paraId="0B73D20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205" w:type="dxa"/>
                  <w:noWrap w:val="0"/>
                  <w:vAlign w:val="center"/>
                </w:tcPr>
                <w:p w14:paraId="06CE4C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881" w:type="dxa"/>
                  <w:noWrap w:val="0"/>
                  <w:vAlign w:val="center"/>
                </w:tcPr>
                <w:p w14:paraId="17BD25F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976" w:type="dxa"/>
                  <w:noWrap w:val="0"/>
                  <w:vAlign w:val="center"/>
                </w:tcPr>
                <w:p w14:paraId="3729443F">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02</w:t>
                  </w:r>
                </w:p>
              </w:tc>
            </w:tr>
          </w:tbl>
          <w:p w14:paraId="2EC80B19">
            <w:pPr>
              <w:widowControl/>
              <w:spacing w:line="240" w:lineRule="auto"/>
              <w:ind w:firstLine="422" w:firstLineChars="200"/>
              <w:jc w:val="center"/>
              <w:rPr>
                <w:rFonts w:hint="default"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续表3-2地下水环境质量现状监测结果统计单位：（mg/L）</w:t>
            </w:r>
          </w:p>
          <w:tbl>
            <w:tblPr>
              <w:tblStyle w:val="35"/>
              <w:tblW w:w="82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4"/>
              <w:gridCol w:w="1191"/>
              <w:gridCol w:w="1367"/>
              <w:gridCol w:w="1366"/>
              <w:gridCol w:w="1376"/>
              <w:gridCol w:w="1024"/>
            </w:tblGrid>
            <w:tr w14:paraId="0B15A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blHeader/>
                <w:jc w:val="center"/>
              </w:trPr>
              <w:tc>
                <w:tcPr>
                  <w:tcW w:w="1914" w:type="dxa"/>
                  <w:vMerge w:val="restart"/>
                  <w:tcBorders>
                    <w:top w:val="single" w:color="auto" w:sz="12" w:space="0"/>
                    <w:bottom w:val="single" w:color="auto" w:sz="6" w:space="0"/>
                    <w:tl2br w:val="single" w:color="auto" w:sz="12" w:space="0"/>
                  </w:tcBorders>
                  <w:noWrap w:val="0"/>
                  <w:vAlign w:val="center"/>
                </w:tcPr>
                <w:p w14:paraId="7B4D0C59">
                  <w:pPr>
                    <w:spacing w:line="240" w:lineRule="auto"/>
                    <w:ind w:firstLine="422"/>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点位</w:t>
                  </w:r>
                </w:p>
                <w:p w14:paraId="3934DC0A">
                  <w:pPr>
                    <w:spacing w:line="240" w:lineRule="auto"/>
                    <w:ind w:firstLine="0" w:firstLineChars="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项目</w:t>
                  </w:r>
                </w:p>
              </w:tc>
              <w:tc>
                <w:tcPr>
                  <w:tcW w:w="2558" w:type="dxa"/>
                  <w:gridSpan w:val="2"/>
                  <w:noWrap w:val="0"/>
                  <w:vAlign w:val="center"/>
                </w:tcPr>
                <w:p w14:paraId="21D8A660">
                  <w:pPr>
                    <w:spacing w:line="240" w:lineRule="auto"/>
                    <w:ind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4#东岭冶炼水井</w:t>
                  </w:r>
                </w:p>
              </w:tc>
              <w:tc>
                <w:tcPr>
                  <w:tcW w:w="2742" w:type="dxa"/>
                  <w:gridSpan w:val="2"/>
                  <w:noWrap w:val="0"/>
                  <w:vAlign w:val="center"/>
                </w:tcPr>
                <w:p w14:paraId="08D0F66E">
                  <w:pPr>
                    <w:spacing w:line="240" w:lineRule="auto"/>
                    <w:ind w:firstLine="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5#小海子村水井</w:t>
                  </w:r>
                </w:p>
              </w:tc>
              <w:tc>
                <w:tcPr>
                  <w:tcW w:w="1024" w:type="dxa"/>
                  <w:noWrap w:val="0"/>
                  <w:vAlign w:val="center"/>
                </w:tcPr>
                <w:p w14:paraId="7F46152C">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w:t>
                  </w:r>
                </w:p>
              </w:tc>
            </w:tr>
            <w:tr w14:paraId="6D2A3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blHeader/>
                <w:jc w:val="center"/>
              </w:trPr>
              <w:tc>
                <w:tcPr>
                  <w:tcW w:w="1914" w:type="dxa"/>
                  <w:vMerge w:val="continue"/>
                  <w:tcBorders>
                    <w:top w:val="single" w:color="auto" w:sz="6" w:space="0"/>
                    <w:bottom w:val="single" w:color="auto" w:sz="6" w:space="0"/>
                    <w:tl2br w:val="single" w:color="auto" w:sz="12" w:space="0"/>
                  </w:tcBorders>
                  <w:noWrap w:val="0"/>
                  <w:vAlign w:val="center"/>
                </w:tcPr>
                <w:p w14:paraId="3155D6F9">
                  <w:pPr>
                    <w:spacing w:line="240" w:lineRule="auto"/>
                    <w:ind w:firstLine="0" w:firstLineChars="0"/>
                    <w:jc w:val="center"/>
                    <w:rPr>
                      <w:rFonts w:ascii="Times New Roman" w:hAnsi="Times New Roman"/>
                      <w:b/>
                      <w:color w:val="auto"/>
                      <w:kern w:val="2"/>
                      <w:sz w:val="21"/>
                      <w:szCs w:val="21"/>
                      <w:highlight w:val="none"/>
                    </w:rPr>
                  </w:pPr>
                </w:p>
              </w:tc>
              <w:tc>
                <w:tcPr>
                  <w:tcW w:w="1191" w:type="dxa"/>
                  <w:noWrap w:val="0"/>
                  <w:vAlign w:val="center"/>
                </w:tcPr>
                <w:p w14:paraId="3AEB576B">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1367" w:type="dxa"/>
                  <w:noWrap w:val="0"/>
                  <w:vAlign w:val="center"/>
                </w:tcPr>
                <w:p w14:paraId="325C0F65">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366" w:type="dxa"/>
                  <w:noWrap w:val="0"/>
                  <w:vAlign w:val="center"/>
                </w:tcPr>
                <w:p w14:paraId="3627C01C">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监测结果</w:t>
                  </w:r>
                </w:p>
              </w:tc>
              <w:tc>
                <w:tcPr>
                  <w:tcW w:w="1376" w:type="dxa"/>
                  <w:noWrap w:val="0"/>
                  <w:vAlign w:val="center"/>
                </w:tcPr>
                <w:p w14:paraId="79066E79">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标准指数</w:t>
                  </w:r>
                </w:p>
              </w:tc>
              <w:tc>
                <w:tcPr>
                  <w:tcW w:w="1024" w:type="dxa"/>
                  <w:noWrap w:val="0"/>
                  <w:vAlign w:val="center"/>
                </w:tcPr>
                <w:p w14:paraId="4844B526">
                  <w:pPr>
                    <w:spacing w:line="240" w:lineRule="auto"/>
                    <w:ind w:firstLine="0" w:firstLineChars="0"/>
                    <w:jc w:val="center"/>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Ⅲ类</w:t>
                  </w:r>
                </w:p>
              </w:tc>
            </w:tr>
            <w:tr w14:paraId="3F4C4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tcBorders>
                    <w:top w:val="single" w:color="auto" w:sz="6" w:space="0"/>
                  </w:tcBorders>
                  <w:noWrap w:val="0"/>
                  <w:vAlign w:val="center"/>
                </w:tcPr>
                <w:p w14:paraId="332C69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钾</w:t>
                  </w:r>
                </w:p>
              </w:tc>
              <w:tc>
                <w:tcPr>
                  <w:tcW w:w="1191" w:type="dxa"/>
                  <w:noWrap w:val="0"/>
                  <w:vAlign w:val="center"/>
                </w:tcPr>
                <w:p w14:paraId="105B22C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2.03</w:t>
                  </w:r>
                </w:p>
              </w:tc>
              <w:tc>
                <w:tcPr>
                  <w:tcW w:w="1367" w:type="dxa"/>
                  <w:noWrap w:val="0"/>
                  <w:vAlign w:val="center"/>
                </w:tcPr>
                <w:p w14:paraId="4F301D0F">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2A9068AA">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1.18</w:t>
                  </w:r>
                </w:p>
              </w:tc>
              <w:tc>
                <w:tcPr>
                  <w:tcW w:w="1376" w:type="dxa"/>
                  <w:noWrap w:val="0"/>
                  <w:vAlign w:val="center"/>
                </w:tcPr>
                <w:p w14:paraId="4D214A93">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367CD1B0">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F24F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9C39E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钠</w:t>
                  </w:r>
                </w:p>
              </w:tc>
              <w:tc>
                <w:tcPr>
                  <w:tcW w:w="1191" w:type="dxa"/>
                  <w:noWrap w:val="0"/>
                  <w:vAlign w:val="center"/>
                </w:tcPr>
                <w:p w14:paraId="088B5ABC">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47.00</w:t>
                  </w:r>
                </w:p>
              </w:tc>
              <w:tc>
                <w:tcPr>
                  <w:tcW w:w="1367" w:type="dxa"/>
                  <w:noWrap w:val="0"/>
                  <w:vAlign w:val="center"/>
                </w:tcPr>
                <w:p w14:paraId="6442BCC2">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5E482A93">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55.01</w:t>
                  </w:r>
                </w:p>
              </w:tc>
              <w:tc>
                <w:tcPr>
                  <w:tcW w:w="1376" w:type="dxa"/>
                  <w:noWrap w:val="0"/>
                  <w:vAlign w:val="center"/>
                </w:tcPr>
                <w:p w14:paraId="4ECFB9D2">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7D44CB88">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2BA83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61731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钙</w:t>
                  </w:r>
                </w:p>
              </w:tc>
              <w:tc>
                <w:tcPr>
                  <w:tcW w:w="1191" w:type="dxa"/>
                  <w:noWrap w:val="0"/>
                  <w:vAlign w:val="center"/>
                </w:tcPr>
                <w:p w14:paraId="7E99BB7E">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59.54</w:t>
                  </w:r>
                </w:p>
              </w:tc>
              <w:tc>
                <w:tcPr>
                  <w:tcW w:w="1367" w:type="dxa"/>
                  <w:noWrap w:val="0"/>
                  <w:vAlign w:val="center"/>
                </w:tcPr>
                <w:p w14:paraId="5CA24CA7">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1D721C4D">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62.12</w:t>
                  </w:r>
                </w:p>
              </w:tc>
              <w:tc>
                <w:tcPr>
                  <w:tcW w:w="1376" w:type="dxa"/>
                  <w:noWrap w:val="0"/>
                  <w:vAlign w:val="center"/>
                </w:tcPr>
                <w:p w14:paraId="7452D228">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6AC7BFC4">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274C7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76B393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镁</w:t>
                  </w:r>
                </w:p>
              </w:tc>
              <w:tc>
                <w:tcPr>
                  <w:tcW w:w="1191" w:type="dxa"/>
                  <w:noWrap w:val="0"/>
                  <w:vAlign w:val="center"/>
                </w:tcPr>
                <w:p w14:paraId="4622AAD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23.98</w:t>
                  </w:r>
                </w:p>
              </w:tc>
              <w:tc>
                <w:tcPr>
                  <w:tcW w:w="1367" w:type="dxa"/>
                  <w:noWrap w:val="0"/>
                  <w:vAlign w:val="center"/>
                </w:tcPr>
                <w:p w14:paraId="5E06F023">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651C98D4">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42.64</w:t>
                  </w:r>
                </w:p>
              </w:tc>
              <w:tc>
                <w:tcPr>
                  <w:tcW w:w="1376" w:type="dxa"/>
                  <w:noWrap w:val="0"/>
                  <w:vAlign w:val="center"/>
                </w:tcPr>
                <w:p w14:paraId="4C9132EF">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61A3A998">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71383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5E818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碳酸根</w:t>
                  </w:r>
                </w:p>
              </w:tc>
              <w:tc>
                <w:tcPr>
                  <w:tcW w:w="1191" w:type="dxa"/>
                  <w:noWrap w:val="0"/>
                  <w:vAlign w:val="center"/>
                </w:tcPr>
                <w:p w14:paraId="16010FF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ND5</w:t>
                  </w:r>
                </w:p>
              </w:tc>
              <w:tc>
                <w:tcPr>
                  <w:tcW w:w="1367" w:type="dxa"/>
                  <w:noWrap w:val="0"/>
                  <w:vAlign w:val="center"/>
                </w:tcPr>
                <w:p w14:paraId="0123AFB2">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4A075225">
                  <w:pPr>
                    <w:spacing w:line="240" w:lineRule="auto"/>
                    <w:ind w:firstLine="0" w:firstLineChars="0"/>
                    <w:jc w:val="center"/>
                    <w:rPr>
                      <w:rFonts w:hint="eastAsia" w:eastAsia="宋体"/>
                      <w:color w:val="auto"/>
                      <w:kern w:val="0"/>
                      <w:sz w:val="21"/>
                      <w:szCs w:val="21"/>
                      <w:highlight w:val="none"/>
                      <w:lang w:val="en-US" w:eastAsia="zh-CN"/>
                    </w:rPr>
                  </w:pPr>
                  <w:r>
                    <w:rPr>
                      <w:rFonts w:hint="eastAsia" w:ascii="Times New Roman" w:hAnsi="Times New Roman"/>
                      <w:color w:val="auto"/>
                      <w:sz w:val="21"/>
                      <w:szCs w:val="21"/>
                      <w:highlight w:val="none"/>
                      <w:lang w:val="en-US" w:eastAsia="zh-CN"/>
                    </w:rPr>
                    <w:t>ND5</w:t>
                  </w:r>
                </w:p>
              </w:tc>
              <w:tc>
                <w:tcPr>
                  <w:tcW w:w="1376" w:type="dxa"/>
                  <w:noWrap w:val="0"/>
                  <w:vAlign w:val="center"/>
                </w:tcPr>
                <w:p w14:paraId="7C114116">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45B09701">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1A3E9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19DD23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重碳酸根</w:t>
                  </w:r>
                </w:p>
              </w:tc>
              <w:tc>
                <w:tcPr>
                  <w:tcW w:w="1191" w:type="dxa"/>
                  <w:noWrap w:val="0"/>
                  <w:vAlign w:val="center"/>
                </w:tcPr>
                <w:p w14:paraId="56872853">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352</w:t>
                  </w:r>
                </w:p>
              </w:tc>
              <w:tc>
                <w:tcPr>
                  <w:tcW w:w="1367" w:type="dxa"/>
                  <w:noWrap w:val="0"/>
                  <w:vAlign w:val="center"/>
                </w:tcPr>
                <w:p w14:paraId="443D27DE">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366" w:type="dxa"/>
                  <w:noWrap w:val="0"/>
                  <w:vAlign w:val="center"/>
                </w:tcPr>
                <w:p w14:paraId="3450E2DB">
                  <w:pPr>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478</w:t>
                  </w:r>
                </w:p>
              </w:tc>
              <w:tc>
                <w:tcPr>
                  <w:tcW w:w="1376" w:type="dxa"/>
                  <w:noWrap w:val="0"/>
                  <w:vAlign w:val="center"/>
                </w:tcPr>
                <w:p w14:paraId="1EBF9D48">
                  <w:pPr>
                    <w:spacing w:line="240" w:lineRule="auto"/>
                    <w:ind w:firstLine="0" w:firstLineChars="0"/>
                    <w:jc w:val="center"/>
                    <w:rPr>
                      <w:color w:val="auto"/>
                      <w:kern w:val="0"/>
                      <w:sz w:val="21"/>
                      <w:szCs w:val="21"/>
                      <w:highlight w:val="none"/>
                    </w:rPr>
                  </w:pPr>
                  <w:r>
                    <w:rPr>
                      <w:rFonts w:hint="eastAsia"/>
                      <w:color w:val="auto"/>
                      <w:sz w:val="21"/>
                      <w:szCs w:val="21"/>
                      <w:highlight w:val="none"/>
                      <w:lang w:val="en-US" w:eastAsia="zh-CN"/>
                    </w:rPr>
                    <w:t>/</w:t>
                  </w:r>
                </w:p>
              </w:tc>
              <w:tc>
                <w:tcPr>
                  <w:tcW w:w="1024" w:type="dxa"/>
                  <w:noWrap w:val="0"/>
                  <w:vAlign w:val="center"/>
                </w:tcPr>
                <w:p w14:paraId="411625FC">
                  <w:pPr>
                    <w:spacing w:line="240" w:lineRule="auto"/>
                    <w:ind w:firstLine="0" w:firstLineChars="0"/>
                    <w:jc w:val="center"/>
                    <w:rPr>
                      <w:color w:val="auto"/>
                      <w:kern w:val="0"/>
                      <w:sz w:val="21"/>
                      <w:szCs w:val="21"/>
                      <w:highlight w:val="none"/>
                    </w:rPr>
                  </w:pPr>
                  <w:r>
                    <w:rPr>
                      <w:color w:val="auto"/>
                      <w:kern w:val="0"/>
                      <w:sz w:val="21"/>
                      <w:szCs w:val="21"/>
                      <w:highlight w:val="none"/>
                    </w:rPr>
                    <w:t>/</w:t>
                  </w:r>
                </w:p>
              </w:tc>
            </w:tr>
            <w:tr w14:paraId="4B7AE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C99CA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氯化物</w:t>
                  </w:r>
                </w:p>
              </w:tc>
              <w:tc>
                <w:tcPr>
                  <w:tcW w:w="1191" w:type="dxa"/>
                  <w:noWrap w:val="0"/>
                  <w:vAlign w:val="center"/>
                </w:tcPr>
                <w:p w14:paraId="10D53BB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14.2</w:t>
                  </w:r>
                </w:p>
              </w:tc>
              <w:tc>
                <w:tcPr>
                  <w:tcW w:w="1367" w:type="dxa"/>
                  <w:noWrap w:val="0"/>
                  <w:vAlign w:val="center"/>
                </w:tcPr>
                <w:p w14:paraId="61C35DB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0.06</w:t>
                  </w:r>
                </w:p>
              </w:tc>
              <w:tc>
                <w:tcPr>
                  <w:tcW w:w="1366" w:type="dxa"/>
                  <w:noWrap w:val="0"/>
                  <w:vAlign w:val="center"/>
                </w:tcPr>
                <w:p w14:paraId="1FFBD50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40.2</w:t>
                  </w:r>
                </w:p>
              </w:tc>
              <w:tc>
                <w:tcPr>
                  <w:tcW w:w="1376" w:type="dxa"/>
                  <w:noWrap w:val="0"/>
                  <w:vAlign w:val="center"/>
                </w:tcPr>
                <w:p w14:paraId="08ABD46C">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0.16</w:t>
                  </w:r>
                </w:p>
              </w:tc>
              <w:tc>
                <w:tcPr>
                  <w:tcW w:w="1024" w:type="dxa"/>
                  <w:noWrap w:val="0"/>
                  <w:vAlign w:val="center"/>
                </w:tcPr>
                <w:p w14:paraId="70019C54">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55E28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D5D9D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硫酸盐</w:t>
                  </w:r>
                </w:p>
              </w:tc>
              <w:tc>
                <w:tcPr>
                  <w:tcW w:w="1191" w:type="dxa"/>
                  <w:noWrap w:val="0"/>
                  <w:vAlign w:val="center"/>
                </w:tcPr>
                <w:p w14:paraId="5B95194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11.6</w:t>
                  </w:r>
                </w:p>
              </w:tc>
              <w:tc>
                <w:tcPr>
                  <w:tcW w:w="1367" w:type="dxa"/>
                  <w:noWrap w:val="0"/>
                  <w:vAlign w:val="center"/>
                </w:tcPr>
                <w:p w14:paraId="6CCDE47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0.05</w:t>
                  </w:r>
                </w:p>
              </w:tc>
              <w:tc>
                <w:tcPr>
                  <w:tcW w:w="1366" w:type="dxa"/>
                  <w:noWrap w:val="0"/>
                  <w:vAlign w:val="center"/>
                </w:tcPr>
                <w:p w14:paraId="10DAF3E1">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23.2</w:t>
                  </w:r>
                </w:p>
              </w:tc>
              <w:tc>
                <w:tcPr>
                  <w:tcW w:w="1376" w:type="dxa"/>
                  <w:noWrap w:val="0"/>
                  <w:vAlign w:val="center"/>
                </w:tcPr>
                <w:p w14:paraId="1E65795F">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0.09</w:t>
                  </w:r>
                </w:p>
              </w:tc>
              <w:tc>
                <w:tcPr>
                  <w:tcW w:w="1024" w:type="dxa"/>
                  <w:noWrap w:val="0"/>
                  <w:vAlign w:val="center"/>
                </w:tcPr>
                <w:p w14:paraId="3F7D47E5">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kern w:val="0"/>
                      <w:sz w:val="21"/>
                      <w:szCs w:val="21"/>
                      <w:highlight w:val="none"/>
                      <w:lang w:val="en-US" w:eastAsia="zh-CN"/>
                    </w:rPr>
                    <w:t>250</w:t>
                  </w:r>
                </w:p>
              </w:tc>
            </w:tr>
            <w:tr w14:paraId="7D193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914" w:type="dxa"/>
                  <w:noWrap w:val="0"/>
                  <w:vAlign w:val="center"/>
                </w:tcPr>
                <w:p w14:paraId="1C9700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191" w:type="dxa"/>
                  <w:noWrap w:val="0"/>
                  <w:vAlign w:val="center"/>
                </w:tcPr>
                <w:p w14:paraId="370D4B7A">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7.95</w:t>
                  </w:r>
                </w:p>
              </w:tc>
              <w:tc>
                <w:tcPr>
                  <w:tcW w:w="1367" w:type="dxa"/>
                  <w:noWrap w:val="0"/>
                  <w:vAlign w:val="center"/>
                </w:tcPr>
                <w:p w14:paraId="5027F44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0.63</w:t>
                  </w:r>
                </w:p>
              </w:tc>
              <w:tc>
                <w:tcPr>
                  <w:tcW w:w="1366" w:type="dxa"/>
                  <w:noWrap w:val="0"/>
                  <w:vAlign w:val="center"/>
                </w:tcPr>
                <w:p w14:paraId="470172B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7.92</w:t>
                  </w:r>
                </w:p>
              </w:tc>
              <w:tc>
                <w:tcPr>
                  <w:tcW w:w="1376" w:type="dxa"/>
                  <w:noWrap w:val="0"/>
                  <w:vAlign w:val="center"/>
                </w:tcPr>
                <w:p w14:paraId="50F940BB">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0.61</w:t>
                  </w:r>
                </w:p>
              </w:tc>
              <w:tc>
                <w:tcPr>
                  <w:tcW w:w="1024" w:type="dxa"/>
                  <w:noWrap w:val="0"/>
                  <w:vAlign w:val="center"/>
                </w:tcPr>
                <w:p w14:paraId="6191BB97">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6.5</w:t>
                  </w:r>
                  <w:r>
                    <w:rPr>
                      <w:rFonts w:hint="eastAsia"/>
                      <w:color w:val="auto"/>
                      <w:sz w:val="21"/>
                      <w:szCs w:val="21"/>
                      <w:highlight w:val="none"/>
                      <w:lang w:val="en-US" w:eastAsia="zh-CN"/>
                    </w:rPr>
                    <w:t>-</w:t>
                  </w:r>
                  <w:r>
                    <w:rPr>
                      <w:rFonts w:ascii="Times New Roman" w:hAnsi="Times New Roman"/>
                      <w:color w:val="auto"/>
                      <w:sz w:val="21"/>
                      <w:szCs w:val="21"/>
                      <w:highlight w:val="none"/>
                    </w:rPr>
                    <w:t>8.5</w:t>
                  </w:r>
                </w:p>
              </w:tc>
            </w:tr>
            <w:tr w14:paraId="2FC2C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A7474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氨氮</w:t>
                  </w:r>
                </w:p>
              </w:tc>
              <w:tc>
                <w:tcPr>
                  <w:tcW w:w="1191" w:type="dxa"/>
                  <w:noWrap w:val="0"/>
                  <w:vAlign w:val="center"/>
                </w:tcPr>
                <w:p w14:paraId="3A671562">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ND0.025</w:t>
                  </w:r>
                </w:p>
              </w:tc>
              <w:tc>
                <w:tcPr>
                  <w:tcW w:w="1367" w:type="dxa"/>
                  <w:noWrap w:val="0"/>
                  <w:vAlign w:val="center"/>
                </w:tcPr>
                <w:p w14:paraId="4FF2768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7B107A29">
                  <w:pPr>
                    <w:spacing w:line="240" w:lineRule="auto"/>
                    <w:ind w:firstLine="0" w:firstLineChars="0"/>
                    <w:jc w:val="center"/>
                    <w:rPr>
                      <w:rFonts w:ascii="Times New Roman" w:hAnsi="Times New Roman"/>
                      <w:color w:val="auto"/>
                      <w:sz w:val="21"/>
                      <w:szCs w:val="21"/>
                      <w:highlight w:val="none"/>
                    </w:rPr>
                  </w:pPr>
                  <w:r>
                    <w:rPr>
                      <w:rFonts w:hint="eastAsia"/>
                      <w:color w:val="auto"/>
                      <w:sz w:val="21"/>
                      <w:szCs w:val="21"/>
                      <w:highlight w:val="none"/>
                      <w:lang w:val="en-US" w:eastAsia="zh-CN"/>
                    </w:rPr>
                    <w:t>ND0.025</w:t>
                  </w:r>
                </w:p>
              </w:tc>
              <w:tc>
                <w:tcPr>
                  <w:tcW w:w="1376" w:type="dxa"/>
                  <w:noWrap w:val="0"/>
                  <w:vAlign w:val="center"/>
                </w:tcPr>
                <w:p w14:paraId="078ED7B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61BB90E6">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w:t>
                  </w:r>
                  <w:r>
                    <w:rPr>
                      <w:rFonts w:hint="eastAsia"/>
                      <w:color w:val="auto"/>
                      <w:sz w:val="21"/>
                      <w:szCs w:val="21"/>
                      <w:highlight w:val="none"/>
                      <w:lang w:val="en-US" w:eastAsia="zh-CN"/>
                    </w:rPr>
                    <w:t>5</w:t>
                  </w:r>
                </w:p>
              </w:tc>
            </w:tr>
            <w:tr w14:paraId="1054B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3EDCC2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总硬度</w:t>
                  </w:r>
                </w:p>
              </w:tc>
              <w:tc>
                <w:tcPr>
                  <w:tcW w:w="1191" w:type="dxa"/>
                  <w:noWrap w:val="0"/>
                  <w:vAlign w:val="center"/>
                </w:tcPr>
                <w:p w14:paraId="75E31E66">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224</w:t>
                  </w:r>
                </w:p>
              </w:tc>
              <w:tc>
                <w:tcPr>
                  <w:tcW w:w="1367" w:type="dxa"/>
                  <w:noWrap w:val="0"/>
                  <w:vAlign w:val="center"/>
                </w:tcPr>
                <w:p w14:paraId="483317C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0.50</w:t>
                  </w:r>
                </w:p>
              </w:tc>
              <w:tc>
                <w:tcPr>
                  <w:tcW w:w="1366" w:type="dxa"/>
                  <w:noWrap w:val="0"/>
                  <w:vAlign w:val="center"/>
                </w:tcPr>
                <w:p w14:paraId="4449BDCC">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354</w:t>
                  </w:r>
                </w:p>
              </w:tc>
              <w:tc>
                <w:tcPr>
                  <w:tcW w:w="1376" w:type="dxa"/>
                  <w:noWrap w:val="0"/>
                  <w:vAlign w:val="center"/>
                </w:tcPr>
                <w:p w14:paraId="665324F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0.79</w:t>
                  </w:r>
                </w:p>
              </w:tc>
              <w:tc>
                <w:tcPr>
                  <w:tcW w:w="1024" w:type="dxa"/>
                  <w:noWrap w:val="0"/>
                  <w:vAlign w:val="center"/>
                </w:tcPr>
                <w:p w14:paraId="620C05E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r>
            <w:tr w14:paraId="5F1AA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667D96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溶解性总固体</w:t>
                  </w:r>
                </w:p>
              </w:tc>
              <w:tc>
                <w:tcPr>
                  <w:tcW w:w="1191" w:type="dxa"/>
                  <w:noWrap w:val="0"/>
                  <w:vAlign w:val="center"/>
                </w:tcPr>
                <w:p w14:paraId="2C601B4C">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302</w:t>
                  </w:r>
                </w:p>
              </w:tc>
              <w:tc>
                <w:tcPr>
                  <w:tcW w:w="1367" w:type="dxa"/>
                  <w:noWrap w:val="0"/>
                  <w:vAlign w:val="center"/>
                </w:tcPr>
                <w:p w14:paraId="0D766CC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w:t>
                  </w:r>
                </w:p>
              </w:tc>
              <w:tc>
                <w:tcPr>
                  <w:tcW w:w="1366" w:type="dxa"/>
                  <w:noWrap w:val="0"/>
                  <w:vAlign w:val="center"/>
                </w:tcPr>
                <w:p w14:paraId="0574716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521</w:t>
                  </w:r>
                </w:p>
              </w:tc>
              <w:tc>
                <w:tcPr>
                  <w:tcW w:w="1376" w:type="dxa"/>
                  <w:noWrap w:val="0"/>
                  <w:vAlign w:val="center"/>
                </w:tcPr>
                <w:p w14:paraId="0C3FD17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0.52</w:t>
                  </w:r>
                </w:p>
              </w:tc>
              <w:tc>
                <w:tcPr>
                  <w:tcW w:w="1024" w:type="dxa"/>
                  <w:noWrap w:val="0"/>
                  <w:vAlign w:val="center"/>
                </w:tcPr>
                <w:p w14:paraId="250B834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r>
            <w:tr w14:paraId="322A4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62890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color w:val="auto"/>
                      <w:sz w:val="21"/>
                      <w:szCs w:val="21"/>
                      <w:highlight w:val="none"/>
                      <w:lang w:val="en-US" w:eastAsia="zh-CN"/>
                    </w:rPr>
                    <w:t>挥发</w:t>
                  </w:r>
                  <w:r>
                    <w:rPr>
                      <w:rFonts w:hint="eastAsia"/>
                      <w:color w:val="auto"/>
                      <w:sz w:val="21"/>
                      <w:szCs w:val="21"/>
                      <w:highlight w:val="none"/>
                      <w:lang w:val="en-US" w:eastAsia="zh-CN"/>
                    </w:rPr>
                    <w:t>性</w:t>
                  </w:r>
                  <w:r>
                    <w:rPr>
                      <w:rFonts w:hint="default"/>
                      <w:color w:val="auto"/>
                      <w:sz w:val="21"/>
                      <w:szCs w:val="21"/>
                      <w:highlight w:val="none"/>
                      <w:lang w:val="en-US" w:eastAsia="zh-CN"/>
                    </w:rPr>
                    <w:t>酚</w:t>
                  </w:r>
                  <w:r>
                    <w:rPr>
                      <w:rFonts w:hint="eastAsia"/>
                      <w:color w:val="auto"/>
                      <w:sz w:val="21"/>
                      <w:szCs w:val="21"/>
                      <w:highlight w:val="none"/>
                      <w:lang w:val="en-US" w:eastAsia="zh-CN"/>
                    </w:rPr>
                    <w:t>类</w:t>
                  </w:r>
                </w:p>
              </w:tc>
              <w:tc>
                <w:tcPr>
                  <w:tcW w:w="1191" w:type="dxa"/>
                  <w:noWrap w:val="0"/>
                  <w:vAlign w:val="center"/>
                </w:tcPr>
                <w:p w14:paraId="7CBF74C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1367" w:type="dxa"/>
                  <w:noWrap w:val="0"/>
                  <w:vAlign w:val="center"/>
                </w:tcPr>
                <w:p w14:paraId="75C703F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C9F52A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w:t>
                  </w:r>
                  <w:r>
                    <w:rPr>
                      <w:rFonts w:hint="eastAsia" w:cs="Times New Roman"/>
                      <w:i w:val="0"/>
                      <w:color w:val="auto"/>
                      <w:kern w:val="0"/>
                      <w:sz w:val="21"/>
                      <w:szCs w:val="21"/>
                      <w:highlight w:val="none"/>
                      <w:u w:val="none"/>
                      <w:lang w:val="en-US" w:eastAsia="zh-CN" w:bidi="ar"/>
                    </w:rPr>
                    <w:t>03</w:t>
                  </w:r>
                </w:p>
              </w:tc>
              <w:tc>
                <w:tcPr>
                  <w:tcW w:w="1376" w:type="dxa"/>
                  <w:noWrap w:val="0"/>
                  <w:vAlign w:val="center"/>
                </w:tcPr>
                <w:p w14:paraId="2BA1A18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CE9196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r>
            <w:tr w14:paraId="0AC95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23E714F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铬（六价）</w:t>
                  </w:r>
                </w:p>
              </w:tc>
              <w:tc>
                <w:tcPr>
                  <w:tcW w:w="1191" w:type="dxa"/>
                  <w:noWrap w:val="0"/>
                  <w:vAlign w:val="center"/>
                </w:tcPr>
                <w:p w14:paraId="3F5E7D5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ND0.004</w:t>
                  </w:r>
                </w:p>
              </w:tc>
              <w:tc>
                <w:tcPr>
                  <w:tcW w:w="1367" w:type="dxa"/>
                  <w:noWrap w:val="0"/>
                  <w:vAlign w:val="center"/>
                </w:tcPr>
                <w:p w14:paraId="54D071E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42BF55A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0.019</w:t>
                  </w:r>
                </w:p>
              </w:tc>
              <w:tc>
                <w:tcPr>
                  <w:tcW w:w="1376" w:type="dxa"/>
                  <w:noWrap w:val="0"/>
                  <w:vAlign w:val="center"/>
                </w:tcPr>
                <w:p w14:paraId="1766942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w:t>
                  </w:r>
                </w:p>
              </w:tc>
              <w:tc>
                <w:tcPr>
                  <w:tcW w:w="1024" w:type="dxa"/>
                  <w:noWrap w:val="0"/>
                  <w:vAlign w:val="center"/>
                </w:tcPr>
                <w:p w14:paraId="5F41009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0FA89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8175C0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铁</w:t>
                  </w:r>
                </w:p>
              </w:tc>
              <w:tc>
                <w:tcPr>
                  <w:tcW w:w="1191" w:type="dxa"/>
                  <w:noWrap w:val="0"/>
                  <w:vAlign w:val="center"/>
                </w:tcPr>
                <w:p w14:paraId="1D6300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1367" w:type="dxa"/>
                  <w:noWrap w:val="0"/>
                  <w:vAlign w:val="center"/>
                </w:tcPr>
                <w:p w14:paraId="6BE8BED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11EEF0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cs="Times New Roman"/>
                      <w:i w:val="0"/>
                      <w:color w:val="auto"/>
                      <w:kern w:val="0"/>
                      <w:sz w:val="21"/>
                      <w:szCs w:val="21"/>
                      <w:highlight w:val="none"/>
                      <w:u w:val="none"/>
                      <w:lang w:val="en-US" w:eastAsia="zh-CN" w:bidi="ar"/>
                    </w:rPr>
                    <w:t>03</w:t>
                  </w:r>
                </w:p>
              </w:tc>
              <w:tc>
                <w:tcPr>
                  <w:tcW w:w="1376" w:type="dxa"/>
                  <w:noWrap w:val="0"/>
                  <w:vAlign w:val="center"/>
                </w:tcPr>
                <w:p w14:paraId="5829F1B7">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635E604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r>
            <w:tr w14:paraId="4541C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45A3EE1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锰</w:t>
                  </w:r>
                </w:p>
              </w:tc>
              <w:tc>
                <w:tcPr>
                  <w:tcW w:w="1191" w:type="dxa"/>
                  <w:noWrap w:val="0"/>
                  <w:vAlign w:val="center"/>
                </w:tcPr>
                <w:p w14:paraId="1265EA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67" w:type="dxa"/>
                  <w:noWrap w:val="0"/>
                  <w:vAlign w:val="center"/>
                </w:tcPr>
                <w:p w14:paraId="3E02378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80A8A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76" w:type="dxa"/>
                  <w:noWrap w:val="0"/>
                  <w:vAlign w:val="center"/>
                </w:tcPr>
                <w:p w14:paraId="727A0FD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14688FE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7EC6C7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A8BB9B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w:t>
                  </w:r>
                </w:p>
              </w:tc>
              <w:tc>
                <w:tcPr>
                  <w:tcW w:w="1191" w:type="dxa"/>
                  <w:noWrap w:val="0"/>
                  <w:vAlign w:val="center"/>
                </w:tcPr>
                <w:p w14:paraId="5820C4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67" w:type="dxa"/>
                  <w:noWrap w:val="0"/>
                  <w:vAlign w:val="center"/>
                </w:tcPr>
                <w:p w14:paraId="492F07E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04006D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76" w:type="dxa"/>
                  <w:noWrap w:val="0"/>
                  <w:vAlign w:val="center"/>
                </w:tcPr>
                <w:p w14:paraId="77E0000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54D3330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0AAAE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45A660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p>
              </w:tc>
              <w:tc>
                <w:tcPr>
                  <w:tcW w:w="1191" w:type="dxa"/>
                  <w:noWrap w:val="0"/>
                  <w:vAlign w:val="center"/>
                </w:tcPr>
                <w:p w14:paraId="5B5E9E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67" w:type="dxa"/>
                  <w:noWrap w:val="0"/>
                  <w:vAlign w:val="center"/>
                </w:tcPr>
                <w:p w14:paraId="5E8D14E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BDDC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1376" w:type="dxa"/>
                  <w:noWrap w:val="0"/>
                  <w:vAlign w:val="center"/>
                </w:tcPr>
                <w:p w14:paraId="314E415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1B8A1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6AB46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432C331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铅</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20E747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67" w:type="dxa"/>
                  <w:noWrap w:val="0"/>
                  <w:vAlign w:val="center"/>
                </w:tcPr>
                <w:p w14:paraId="57184714">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10D54B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ND2</w:t>
                  </w:r>
                  <w:r>
                    <w:rPr>
                      <w:rFonts w:hint="eastAsia"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76" w:type="dxa"/>
                  <w:noWrap w:val="0"/>
                  <w:vAlign w:val="center"/>
                </w:tcPr>
                <w:p w14:paraId="45CE1BF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7125B13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p>
              </w:tc>
            </w:tr>
            <w:tr w14:paraId="01D73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133E358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镉</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0181EB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1367" w:type="dxa"/>
                  <w:noWrap w:val="0"/>
                  <w:vAlign w:val="center"/>
                </w:tcPr>
                <w:p w14:paraId="05E2331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01C912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ND0.5</w:t>
                  </w:r>
                </w:p>
              </w:tc>
              <w:tc>
                <w:tcPr>
                  <w:tcW w:w="1376" w:type="dxa"/>
                  <w:noWrap w:val="0"/>
                  <w:vAlign w:val="center"/>
                </w:tcPr>
                <w:p w14:paraId="42DF8BA8">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010B455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05</w:t>
                  </w:r>
                </w:p>
              </w:tc>
            </w:tr>
            <w:tr w14:paraId="77A7D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0A8761B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汞</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5110A2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1367" w:type="dxa"/>
                  <w:noWrap w:val="0"/>
                  <w:vAlign w:val="center"/>
                </w:tcPr>
                <w:p w14:paraId="38A8F649">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5ECBBB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w:t>
                  </w:r>
                  <w:r>
                    <w:rPr>
                      <w:rFonts w:hint="eastAsia" w:ascii="Times New Roman" w:hAnsi="Times New Roman" w:eastAsia="宋体" w:cs="Times New Roman"/>
                      <w:i w:val="0"/>
                      <w:color w:val="auto"/>
                      <w:kern w:val="0"/>
                      <w:sz w:val="21"/>
                      <w:szCs w:val="21"/>
                      <w:highlight w:val="none"/>
                      <w:u w:val="none"/>
                      <w:lang w:val="en-US" w:eastAsia="zh-CN" w:bidi="ar"/>
                    </w:rPr>
                    <w:t>4</w:t>
                  </w:r>
                </w:p>
              </w:tc>
              <w:tc>
                <w:tcPr>
                  <w:tcW w:w="1376" w:type="dxa"/>
                  <w:noWrap w:val="0"/>
                  <w:vAlign w:val="center"/>
                </w:tcPr>
                <w:p w14:paraId="2A0BC6A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289C10B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r>
            <w:tr w14:paraId="1F4FD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5FA8EAE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砷</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µ</w:t>
                  </w:r>
                  <w:r>
                    <w:rPr>
                      <w:rFonts w:hint="default" w:ascii="Times New Roman" w:hAnsi="Times New Roman" w:eastAsia="宋体" w:cs="Times New Roman"/>
                      <w:b w:val="0"/>
                      <w:bCs w:val="0"/>
                      <w:color w:val="auto"/>
                      <w:sz w:val="21"/>
                      <w:szCs w:val="21"/>
                      <w:highlight w:val="none"/>
                    </w:rPr>
                    <w:t>g/L</w:t>
                  </w:r>
                  <w:r>
                    <w:rPr>
                      <w:rFonts w:hint="eastAsia" w:ascii="Times New Roman" w:hAnsi="Times New Roman" w:eastAsia="宋体" w:cs="Times New Roman"/>
                      <w:b w:val="0"/>
                      <w:bCs w:val="0"/>
                      <w:color w:val="auto"/>
                      <w:sz w:val="21"/>
                      <w:szCs w:val="21"/>
                      <w:highlight w:val="none"/>
                      <w:lang w:eastAsia="zh-CN"/>
                    </w:rPr>
                    <w:t>）</w:t>
                  </w:r>
                </w:p>
              </w:tc>
              <w:tc>
                <w:tcPr>
                  <w:tcW w:w="1191" w:type="dxa"/>
                  <w:noWrap w:val="0"/>
                  <w:vAlign w:val="center"/>
                </w:tcPr>
                <w:p w14:paraId="218F09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1367" w:type="dxa"/>
                  <w:noWrap w:val="0"/>
                  <w:vAlign w:val="center"/>
                </w:tcPr>
                <w:p w14:paraId="5092B47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0F739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1376" w:type="dxa"/>
                  <w:noWrap w:val="0"/>
                  <w:vAlign w:val="center"/>
                </w:tcPr>
                <w:p w14:paraId="2F9157C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0F82A95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1</w:t>
                  </w:r>
                </w:p>
              </w:tc>
            </w:tr>
            <w:tr w14:paraId="2DF10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78FDF2B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氰化物</w:t>
                  </w:r>
                </w:p>
              </w:tc>
              <w:tc>
                <w:tcPr>
                  <w:tcW w:w="1191" w:type="dxa"/>
                  <w:noWrap w:val="0"/>
                  <w:vAlign w:val="center"/>
                </w:tcPr>
                <w:p w14:paraId="3C3CF4A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1367" w:type="dxa"/>
                  <w:noWrap w:val="0"/>
                  <w:vAlign w:val="center"/>
                </w:tcPr>
                <w:p w14:paraId="3934FA0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5477D752">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ND0.002</w:t>
                  </w:r>
                </w:p>
              </w:tc>
              <w:tc>
                <w:tcPr>
                  <w:tcW w:w="1376" w:type="dxa"/>
                  <w:noWrap w:val="0"/>
                  <w:vAlign w:val="center"/>
                </w:tcPr>
                <w:p w14:paraId="77DE3BB0">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40541097">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r>
                    <w:rPr>
                      <w:rFonts w:hint="eastAsia"/>
                      <w:color w:val="auto"/>
                      <w:sz w:val="21"/>
                      <w:szCs w:val="21"/>
                      <w:highlight w:val="none"/>
                      <w:lang w:val="en-US" w:eastAsia="zh-CN"/>
                    </w:rPr>
                    <w:t>0.05</w:t>
                  </w:r>
                </w:p>
              </w:tc>
            </w:tr>
            <w:tr w14:paraId="5B5CB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55AD86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硝酸盐（氮）</w:t>
                  </w:r>
                </w:p>
              </w:tc>
              <w:tc>
                <w:tcPr>
                  <w:tcW w:w="1191" w:type="dxa"/>
                  <w:noWrap w:val="0"/>
                  <w:vAlign w:val="center"/>
                </w:tcPr>
                <w:p w14:paraId="789D464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1.15</w:t>
                  </w:r>
                </w:p>
              </w:tc>
              <w:tc>
                <w:tcPr>
                  <w:tcW w:w="1367" w:type="dxa"/>
                  <w:noWrap w:val="0"/>
                  <w:vAlign w:val="center"/>
                </w:tcPr>
                <w:p w14:paraId="7CA9224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366" w:type="dxa"/>
                  <w:noWrap w:val="0"/>
                  <w:vAlign w:val="center"/>
                </w:tcPr>
                <w:p w14:paraId="02506B7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1.24</w:t>
                  </w:r>
                </w:p>
              </w:tc>
              <w:tc>
                <w:tcPr>
                  <w:tcW w:w="1376" w:type="dxa"/>
                  <w:noWrap w:val="0"/>
                  <w:vAlign w:val="center"/>
                </w:tcPr>
                <w:p w14:paraId="0328E80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024" w:type="dxa"/>
                  <w:noWrap w:val="0"/>
                  <w:vAlign w:val="center"/>
                </w:tcPr>
                <w:p w14:paraId="5F472AE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eastAsia" w:cs="Times New Roman"/>
                      <w:color w:val="auto"/>
                      <w:sz w:val="21"/>
                      <w:szCs w:val="21"/>
                      <w:highlight w:val="none"/>
                      <w:lang w:val="en-US" w:eastAsia="zh-CN"/>
                    </w:rPr>
                    <w:t>.0</w:t>
                  </w:r>
                </w:p>
              </w:tc>
            </w:tr>
            <w:tr w14:paraId="7BA3E2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B07AA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亚硝酸盐</w:t>
                  </w:r>
                  <w:r>
                    <w:rPr>
                      <w:rFonts w:hint="default" w:ascii="Times New Roman" w:hAnsi="Times New Roman" w:eastAsia="宋体" w:cs="Times New Roman"/>
                      <w:color w:val="auto"/>
                      <w:sz w:val="21"/>
                      <w:szCs w:val="21"/>
                      <w:highlight w:val="none"/>
                      <w:lang w:val="en-US" w:eastAsia="zh-CN"/>
                    </w:rPr>
                    <w:t>（氮）</w:t>
                  </w:r>
                </w:p>
              </w:tc>
              <w:tc>
                <w:tcPr>
                  <w:tcW w:w="1191" w:type="dxa"/>
                  <w:noWrap w:val="0"/>
                  <w:vAlign w:val="center"/>
                </w:tcPr>
                <w:p w14:paraId="6508CC00">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1367" w:type="dxa"/>
                  <w:noWrap w:val="0"/>
                  <w:vAlign w:val="center"/>
                </w:tcPr>
                <w:p w14:paraId="6712ED9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70ECB24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olor w:val="auto"/>
                      <w:sz w:val="21"/>
                      <w:szCs w:val="21"/>
                      <w:highlight w:val="none"/>
                      <w:lang w:val="en-US" w:eastAsia="zh-CN"/>
                    </w:rPr>
                    <w:t>0.003</w:t>
                  </w:r>
                </w:p>
              </w:tc>
              <w:tc>
                <w:tcPr>
                  <w:tcW w:w="1376" w:type="dxa"/>
                  <w:noWrap w:val="0"/>
                  <w:vAlign w:val="center"/>
                </w:tcPr>
                <w:p w14:paraId="699B04E1">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F191E2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484D2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102117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color w:val="auto"/>
                      <w:sz w:val="21"/>
                      <w:szCs w:val="21"/>
                      <w:highlight w:val="none"/>
                    </w:rPr>
                    <w:t>耗氧量</w:t>
                  </w:r>
                </w:p>
              </w:tc>
              <w:tc>
                <w:tcPr>
                  <w:tcW w:w="1191" w:type="dxa"/>
                  <w:noWrap w:val="0"/>
                  <w:vAlign w:val="center"/>
                </w:tcPr>
                <w:p w14:paraId="0277C38D">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0.52</w:t>
                  </w:r>
                </w:p>
              </w:tc>
              <w:tc>
                <w:tcPr>
                  <w:tcW w:w="1367" w:type="dxa"/>
                  <w:noWrap w:val="0"/>
                  <w:vAlign w:val="center"/>
                </w:tcPr>
                <w:p w14:paraId="155FE01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w:t>
                  </w:r>
                </w:p>
              </w:tc>
              <w:tc>
                <w:tcPr>
                  <w:tcW w:w="1366" w:type="dxa"/>
                  <w:noWrap w:val="0"/>
                  <w:vAlign w:val="center"/>
                </w:tcPr>
                <w:p w14:paraId="727732E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0.29</w:t>
                  </w:r>
                </w:p>
              </w:tc>
              <w:tc>
                <w:tcPr>
                  <w:tcW w:w="1376" w:type="dxa"/>
                  <w:noWrap w:val="0"/>
                  <w:vAlign w:val="center"/>
                </w:tcPr>
                <w:p w14:paraId="01A13992">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024" w:type="dxa"/>
                  <w:noWrap w:val="0"/>
                  <w:vAlign w:val="center"/>
                </w:tcPr>
                <w:p w14:paraId="58376D3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3B0D6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914" w:type="dxa"/>
                  <w:noWrap w:val="0"/>
                  <w:vAlign w:val="center"/>
                </w:tcPr>
                <w:p w14:paraId="3C65474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总大肠菌群</w:t>
                  </w:r>
                  <w:r>
                    <w:rPr>
                      <w:rFonts w:hint="default" w:ascii="Times New Roman" w:hAnsi="Times New Roman" w:eastAsia="宋体" w:cs="Times New Roman"/>
                      <w:color w:val="auto"/>
                      <w:sz w:val="21"/>
                      <w:szCs w:val="21"/>
                      <w:highlight w:val="none"/>
                      <w:lang w:val="en-US" w:eastAsia="zh-CN"/>
                    </w:rPr>
                    <w:t>MPN/100mL</w:t>
                  </w:r>
                </w:p>
              </w:tc>
              <w:tc>
                <w:tcPr>
                  <w:tcW w:w="1191" w:type="dxa"/>
                  <w:noWrap w:val="0"/>
                  <w:vAlign w:val="center"/>
                </w:tcPr>
                <w:p w14:paraId="1C052EEC">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＜2</w:t>
                  </w:r>
                </w:p>
              </w:tc>
              <w:tc>
                <w:tcPr>
                  <w:tcW w:w="1367" w:type="dxa"/>
                  <w:noWrap w:val="0"/>
                  <w:vAlign w:val="center"/>
                </w:tcPr>
                <w:p w14:paraId="2B1CBDF6">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565412F0">
                  <w:pPr>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olor w:val="auto"/>
                      <w:sz w:val="21"/>
                      <w:szCs w:val="21"/>
                      <w:highlight w:val="none"/>
                      <w:lang w:val="en-US" w:eastAsia="zh-CN"/>
                    </w:rPr>
                    <w:t>＜2</w:t>
                  </w:r>
                </w:p>
              </w:tc>
              <w:tc>
                <w:tcPr>
                  <w:tcW w:w="1376" w:type="dxa"/>
                  <w:noWrap w:val="0"/>
                  <w:vAlign w:val="center"/>
                </w:tcPr>
                <w:p w14:paraId="2F51476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668E156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6BC7C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914" w:type="dxa"/>
                  <w:noWrap w:val="0"/>
                  <w:vAlign w:val="center"/>
                </w:tcPr>
                <w:p w14:paraId="20F207D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细菌总数</w:t>
                  </w:r>
                  <w:r>
                    <w:rPr>
                      <w:rFonts w:hint="eastAsia" w:ascii="Times New Roman" w:hAnsi="Times New Roman" w:eastAsia="宋体" w:cs="Times New Roman"/>
                      <w:color w:val="auto"/>
                      <w:sz w:val="21"/>
                      <w:szCs w:val="21"/>
                      <w:highlight w:val="none"/>
                      <w:lang w:val="en-US" w:eastAsia="zh-CN"/>
                    </w:rPr>
                    <w:t>CFU/mL</w:t>
                  </w:r>
                </w:p>
              </w:tc>
              <w:tc>
                <w:tcPr>
                  <w:tcW w:w="1191" w:type="dxa"/>
                  <w:noWrap w:val="0"/>
                  <w:vAlign w:val="center"/>
                </w:tcPr>
                <w:p w14:paraId="496E30E1">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26</w:t>
                  </w:r>
                </w:p>
              </w:tc>
              <w:tc>
                <w:tcPr>
                  <w:tcW w:w="1367" w:type="dxa"/>
                  <w:noWrap w:val="0"/>
                  <w:vAlign w:val="center"/>
                </w:tcPr>
                <w:p w14:paraId="0EB3CC7F">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w:t>
                  </w:r>
                </w:p>
              </w:tc>
              <w:tc>
                <w:tcPr>
                  <w:tcW w:w="1366" w:type="dxa"/>
                  <w:noWrap w:val="0"/>
                  <w:vAlign w:val="center"/>
                </w:tcPr>
                <w:p w14:paraId="197BE77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c>
                <w:tcPr>
                  <w:tcW w:w="1376" w:type="dxa"/>
                  <w:noWrap w:val="0"/>
                  <w:vAlign w:val="center"/>
                </w:tcPr>
                <w:p w14:paraId="72F84BA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0.45</w:t>
                  </w:r>
                </w:p>
              </w:tc>
              <w:tc>
                <w:tcPr>
                  <w:tcW w:w="1024" w:type="dxa"/>
                  <w:noWrap w:val="0"/>
                  <w:vAlign w:val="center"/>
                </w:tcPr>
                <w:p w14:paraId="6365A6D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088A80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75A784A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石油类</w:t>
                  </w:r>
                </w:p>
              </w:tc>
              <w:tc>
                <w:tcPr>
                  <w:tcW w:w="1191" w:type="dxa"/>
                  <w:noWrap w:val="0"/>
                  <w:vAlign w:val="center"/>
                </w:tcPr>
                <w:p w14:paraId="521FFE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67" w:type="dxa"/>
                  <w:noWrap w:val="0"/>
                  <w:vAlign w:val="center"/>
                </w:tcPr>
                <w:p w14:paraId="0CE1C654">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66" w:type="dxa"/>
                  <w:noWrap w:val="0"/>
                  <w:vAlign w:val="center"/>
                </w:tcPr>
                <w:p w14:paraId="26CEE4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cs="Times New Roman"/>
                      <w:i w:val="0"/>
                      <w:color w:val="auto"/>
                      <w:kern w:val="0"/>
                      <w:sz w:val="21"/>
                      <w:szCs w:val="21"/>
                      <w:highlight w:val="none"/>
                      <w:u w:val="none"/>
                      <w:lang w:val="en-US" w:eastAsia="zh-CN" w:bidi="ar"/>
                    </w:rPr>
                    <w:t>0.01</w:t>
                  </w:r>
                </w:p>
              </w:tc>
              <w:tc>
                <w:tcPr>
                  <w:tcW w:w="1376" w:type="dxa"/>
                  <w:noWrap w:val="0"/>
                  <w:vAlign w:val="center"/>
                </w:tcPr>
                <w:p w14:paraId="3878FEE4">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noWrap w:val="0"/>
                  <w:vAlign w:val="center"/>
                </w:tcPr>
                <w:p w14:paraId="33D9CFEC">
                  <w:pPr>
                    <w:spacing w:line="240" w:lineRule="auto"/>
                    <w:ind w:firstLine="0" w:firstLine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0.05</w:t>
                  </w:r>
                </w:p>
              </w:tc>
            </w:tr>
            <w:tr w14:paraId="51331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6B1BB29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苯</w:t>
                  </w:r>
                </w:p>
              </w:tc>
              <w:tc>
                <w:tcPr>
                  <w:tcW w:w="1191" w:type="dxa"/>
                  <w:noWrap w:val="0"/>
                  <w:vAlign w:val="center"/>
                </w:tcPr>
                <w:p w14:paraId="33231F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67" w:type="dxa"/>
                  <w:noWrap w:val="0"/>
                  <w:vAlign w:val="center"/>
                </w:tcPr>
                <w:p w14:paraId="4C5526A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422946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76" w:type="dxa"/>
                  <w:noWrap w:val="0"/>
                  <w:vAlign w:val="center"/>
                </w:tcPr>
                <w:p w14:paraId="4B3E03D8">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6C095F1E">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10.0</w:t>
                  </w:r>
                </w:p>
              </w:tc>
            </w:tr>
            <w:tr w14:paraId="66386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914" w:type="dxa"/>
                  <w:noWrap w:val="0"/>
                  <w:vAlign w:val="center"/>
                </w:tcPr>
                <w:p w14:paraId="367A7A6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甲苯</w:t>
                  </w:r>
                </w:p>
              </w:tc>
              <w:tc>
                <w:tcPr>
                  <w:tcW w:w="1191" w:type="dxa"/>
                  <w:noWrap w:val="0"/>
                  <w:vAlign w:val="center"/>
                </w:tcPr>
                <w:p w14:paraId="593E3A55">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1367" w:type="dxa"/>
                  <w:noWrap w:val="0"/>
                  <w:vAlign w:val="center"/>
                </w:tcPr>
                <w:p w14:paraId="66C41B05">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70C95FE9">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0.006</w:t>
                  </w:r>
                </w:p>
              </w:tc>
              <w:tc>
                <w:tcPr>
                  <w:tcW w:w="1376" w:type="dxa"/>
                  <w:noWrap w:val="0"/>
                  <w:vAlign w:val="center"/>
                </w:tcPr>
                <w:p w14:paraId="62139D47">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77AB5009">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700</w:t>
                  </w:r>
                </w:p>
              </w:tc>
            </w:tr>
            <w:tr w14:paraId="0BFC8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914" w:type="dxa"/>
                  <w:noWrap w:val="0"/>
                  <w:vAlign w:val="center"/>
                </w:tcPr>
                <w:p w14:paraId="6400990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硫化物</w:t>
                  </w:r>
                </w:p>
              </w:tc>
              <w:tc>
                <w:tcPr>
                  <w:tcW w:w="1191" w:type="dxa"/>
                  <w:noWrap w:val="0"/>
                  <w:vAlign w:val="center"/>
                </w:tcPr>
                <w:p w14:paraId="12AD02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67" w:type="dxa"/>
                  <w:noWrap w:val="0"/>
                  <w:vAlign w:val="center"/>
                </w:tcPr>
                <w:p w14:paraId="57DCF142">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366" w:type="dxa"/>
                  <w:noWrap w:val="0"/>
                  <w:vAlign w:val="center"/>
                </w:tcPr>
                <w:p w14:paraId="30BE7C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ascii="Times New Roman" w:hAnsi="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ND</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76" w:type="dxa"/>
                  <w:noWrap w:val="0"/>
                  <w:vAlign w:val="center"/>
                </w:tcPr>
                <w:p w14:paraId="501B3DE9">
                  <w:pPr>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1024" w:type="dxa"/>
                  <w:noWrap w:val="0"/>
                  <w:vAlign w:val="center"/>
                </w:tcPr>
                <w:p w14:paraId="2BCB81BE">
                  <w:pPr>
                    <w:spacing w:line="240" w:lineRule="auto"/>
                    <w:ind w:firstLine="0" w:firstLineChars="0"/>
                    <w:jc w:val="center"/>
                    <w:rPr>
                      <w:rFonts w:ascii="Times New Roman" w:hAnsi="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02</w:t>
                  </w:r>
                </w:p>
              </w:tc>
            </w:tr>
          </w:tbl>
          <w:p w14:paraId="4C7627E0">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表3-3建设项目厂区内地下水环境质量监测结果</w:t>
            </w:r>
          </w:p>
          <w:tbl>
            <w:tblPr>
              <w:tblStyle w:val="36"/>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2118"/>
              <w:gridCol w:w="1613"/>
              <w:gridCol w:w="1838"/>
              <w:gridCol w:w="1450"/>
            </w:tblGrid>
            <w:tr w14:paraId="249E2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438" w:type="dxa"/>
                  <w:tcBorders>
                    <w:tl2br w:val="nil"/>
                    <w:tr2bl w:val="nil"/>
                  </w:tcBorders>
                  <w:noWrap w:val="0"/>
                  <w:vAlign w:val="center"/>
                </w:tcPr>
                <w:p w14:paraId="0D667EE0">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SA"/>
                    </w:rPr>
                    <w:t>监测项目</w:t>
                  </w:r>
                </w:p>
              </w:tc>
              <w:tc>
                <w:tcPr>
                  <w:tcW w:w="2118" w:type="dxa"/>
                  <w:tcBorders>
                    <w:tl2br w:val="nil"/>
                    <w:tr2bl w:val="nil"/>
                  </w:tcBorders>
                  <w:noWrap w:val="0"/>
                  <w:vAlign w:val="center"/>
                </w:tcPr>
                <w:p w14:paraId="750D32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厂内现有废油泥处理车间西南侧</w:t>
                  </w:r>
                </w:p>
              </w:tc>
              <w:tc>
                <w:tcPr>
                  <w:tcW w:w="1613" w:type="dxa"/>
                  <w:tcBorders>
                    <w:tl2br w:val="nil"/>
                    <w:tr2bl w:val="nil"/>
                  </w:tcBorders>
                  <w:noWrap w:val="0"/>
                  <w:vAlign w:val="center"/>
                </w:tcPr>
                <w:p w14:paraId="4C8231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厂内罐区南侧</w:t>
                  </w:r>
                </w:p>
              </w:tc>
              <w:tc>
                <w:tcPr>
                  <w:tcW w:w="1838" w:type="dxa"/>
                  <w:tcBorders>
                    <w:tl2br w:val="nil"/>
                    <w:tr2bl w:val="nil"/>
                  </w:tcBorders>
                  <w:noWrap w:val="0"/>
                  <w:vAlign w:val="center"/>
                </w:tcPr>
                <w:p w14:paraId="6C2FBB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项目北厂界外空地</w:t>
                  </w:r>
                </w:p>
              </w:tc>
              <w:tc>
                <w:tcPr>
                  <w:tcW w:w="1450" w:type="dxa"/>
                  <w:tcBorders>
                    <w:tl2br w:val="nil"/>
                    <w:tr2bl w:val="nil"/>
                  </w:tcBorders>
                  <w:noWrap w:val="0"/>
                  <w:vAlign w:val="center"/>
                </w:tcPr>
                <w:p w14:paraId="30C6686C">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SA"/>
                    </w:rPr>
                    <w:t>单位</w:t>
                  </w:r>
                </w:p>
              </w:tc>
            </w:tr>
            <w:tr w14:paraId="56B7F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012BCE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值</w:t>
                  </w:r>
                </w:p>
              </w:tc>
              <w:tc>
                <w:tcPr>
                  <w:tcW w:w="2118" w:type="dxa"/>
                  <w:tcBorders>
                    <w:tl2br w:val="nil"/>
                    <w:tr2bl w:val="nil"/>
                  </w:tcBorders>
                  <w:noWrap w:val="0"/>
                  <w:vAlign w:val="center"/>
                </w:tcPr>
                <w:p w14:paraId="7CA6D5D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7.18</w:t>
                  </w:r>
                </w:p>
              </w:tc>
              <w:tc>
                <w:tcPr>
                  <w:tcW w:w="1613" w:type="dxa"/>
                  <w:tcBorders>
                    <w:tl2br w:val="nil"/>
                    <w:tr2bl w:val="nil"/>
                  </w:tcBorders>
                  <w:noWrap w:val="0"/>
                  <w:vAlign w:val="center"/>
                </w:tcPr>
                <w:p w14:paraId="096972F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7.22</w:t>
                  </w:r>
                </w:p>
              </w:tc>
              <w:tc>
                <w:tcPr>
                  <w:tcW w:w="1838" w:type="dxa"/>
                  <w:tcBorders>
                    <w:tl2br w:val="nil"/>
                    <w:tr2bl w:val="nil"/>
                  </w:tcBorders>
                  <w:noWrap w:val="0"/>
                  <w:vAlign w:val="center"/>
                </w:tcPr>
                <w:p w14:paraId="0F6B421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kern w:val="2"/>
                      <w:sz w:val="21"/>
                      <w:szCs w:val="21"/>
                      <w:highlight w:val="none"/>
                      <w:vertAlign w:val="baseline"/>
                      <w:lang w:val="en-US" w:eastAsia="zh-CN" w:bidi="ar-SA"/>
                    </w:rPr>
                    <w:t>12</w:t>
                  </w:r>
                </w:p>
              </w:tc>
              <w:tc>
                <w:tcPr>
                  <w:tcW w:w="1450" w:type="dxa"/>
                  <w:tcBorders>
                    <w:tl2br w:val="nil"/>
                    <w:tr2bl w:val="nil"/>
                  </w:tcBorders>
                  <w:noWrap w:val="0"/>
                  <w:vAlign w:val="center"/>
                </w:tcPr>
                <w:p w14:paraId="19C039D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无量纲</w:t>
                  </w:r>
                </w:p>
              </w:tc>
            </w:tr>
            <w:tr w14:paraId="4BF30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DB498E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铁</w:t>
                  </w:r>
                </w:p>
              </w:tc>
              <w:tc>
                <w:tcPr>
                  <w:tcW w:w="2118" w:type="dxa"/>
                  <w:tcBorders>
                    <w:tl2br w:val="nil"/>
                    <w:tr2bl w:val="nil"/>
                  </w:tcBorders>
                  <w:noWrap w:val="0"/>
                  <w:vAlign w:val="center"/>
                </w:tcPr>
                <w:p w14:paraId="6B5020E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0.14</w:t>
                  </w:r>
                </w:p>
              </w:tc>
              <w:tc>
                <w:tcPr>
                  <w:tcW w:w="1613" w:type="dxa"/>
                  <w:tcBorders>
                    <w:tl2br w:val="nil"/>
                    <w:tr2bl w:val="nil"/>
                  </w:tcBorders>
                  <w:noWrap w:val="0"/>
                  <w:vAlign w:val="center"/>
                </w:tcPr>
                <w:p w14:paraId="2F97E87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0.26</w:t>
                  </w:r>
                </w:p>
              </w:tc>
              <w:tc>
                <w:tcPr>
                  <w:tcW w:w="1838" w:type="dxa"/>
                  <w:tcBorders>
                    <w:tl2br w:val="nil"/>
                    <w:tr2bl w:val="nil"/>
                  </w:tcBorders>
                  <w:noWrap w:val="0"/>
                  <w:vAlign w:val="center"/>
                </w:tcPr>
                <w:p w14:paraId="7669FA0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0.26</w:t>
                  </w:r>
                </w:p>
              </w:tc>
              <w:tc>
                <w:tcPr>
                  <w:tcW w:w="1450" w:type="dxa"/>
                  <w:tcBorders>
                    <w:tl2br w:val="nil"/>
                    <w:tr2bl w:val="nil"/>
                  </w:tcBorders>
                  <w:noWrap w:val="0"/>
                  <w:vAlign w:val="center"/>
                </w:tcPr>
                <w:p w14:paraId="18376D8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47AE8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658FB8B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锰</w:t>
                  </w:r>
                </w:p>
              </w:tc>
              <w:tc>
                <w:tcPr>
                  <w:tcW w:w="2118" w:type="dxa"/>
                  <w:tcBorders>
                    <w:tl2br w:val="nil"/>
                    <w:tr2bl w:val="nil"/>
                  </w:tcBorders>
                  <w:noWrap w:val="0"/>
                  <w:vAlign w:val="center"/>
                </w:tcPr>
                <w:p w14:paraId="18F70D6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0.01ND</w:t>
                  </w:r>
                </w:p>
              </w:tc>
              <w:tc>
                <w:tcPr>
                  <w:tcW w:w="1613" w:type="dxa"/>
                  <w:tcBorders>
                    <w:tl2br w:val="nil"/>
                    <w:tr2bl w:val="nil"/>
                  </w:tcBorders>
                  <w:noWrap w:val="0"/>
                  <w:vAlign w:val="center"/>
                </w:tcPr>
                <w:p w14:paraId="7925154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0.01ND</w:t>
                  </w:r>
                </w:p>
              </w:tc>
              <w:tc>
                <w:tcPr>
                  <w:tcW w:w="1838" w:type="dxa"/>
                  <w:tcBorders>
                    <w:tl2br w:val="nil"/>
                    <w:tr2bl w:val="nil"/>
                  </w:tcBorders>
                  <w:noWrap w:val="0"/>
                  <w:vAlign w:val="center"/>
                </w:tcPr>
                <w:p w14:paraId="5DFBFD8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0.01ND</w:t>
                  </w:r>
                </w:p>
              </w:tc>
              <w:tc>
                <w:tcPr>
                  <w:tcW w:w="1450" w:type="dxa"/>
                  <w:tcBorders>
                    <w:tl2br w:val="nil"/>
                    <w:tr2bl w:val="nil"/>
                  </w:tcBorders>
                  <w:noWrap w:val="0"/>
                  <w:vAlign w:val="center"/>
                </w:tcPr>
                <w:p w14:paraId="0D5DDF5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536C0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58D4B6F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铜</w:t>
                  </w:r>
                </w:p>
              </w:tc>
              <w:tc>
                <w:tcPr>
                  <w:tcW w:w="2118" w:type="dxa"/>
                  <w:tcBorders>
                    <w:tl2br w:val="nil"/>
                    <w:tr2bl w:val="nil"/>
                  </w:tcBorders>
                  <w:noWrap w:val="0"/>
                  <w:vAlign w:val="center"/>
                </w:tcPr>
                <w:p w14:paraId="27E22DC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613" w:type="dxa"/>
                  <w:tcBorders>
                    <w:tl2br w:val="nil"/>
                    <w:tr2bl w:val="nil"/>
                  </w:tcBorders>
                  <w:noWrap w:val="0"/>
                  <w:vAlign w:val="center"/>
                </w:tcPr>
                <w:p w14:paraId="7B646C5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838" w:type="dxa"/>
                  <w:tcBorders>
                    <w:tl2br w:val="nil"/>
                    <w:tr2bl w:val="nil"/>
                  </w:tcBorders>
                  <w:noWrap w:val="0"/>
                  <w:vAlign w:val="center"/>
                </w:tcPr>
                <w:p w14:paraId="18D3CE9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450" w:type="dxa"/>
                  <w:tcBorders>
                    <w:tl2br w:val="nil"/>
                    <w:tr2bl w:val="nil"/>
                  </w:tcBorders>
                  <w:noWrap w:val="0"/>
                  <w:vAlign w:val="center"/>
                </w:tcPr>
                <w:p w14:paraId="59E9A4B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3BB01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519301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锌</w:t>
                  </w:r>
                </w:p>
              </w:tc>
              <w:tc>
                <w:tcPr>
                  <w:tcW w:w="2118" w:type="dxa"/>
                  <w:tcBorders>
                    <w:tl2br w:val="nil"/>
                    <w:tr2bl w:val="nil"/>
                  </w:tcBorders>
                  <w:noWrap w:val="0"/>
                  <w:vAlign w:val="center"/>
                </w:tcPr>
                <w:p w14:paraId="388F112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613" w:type="dxa"/>
                  <w:tcBorders>
                    <w:tl2br w:val="nil"/>
                    <w:tr2bl w:val="nil"/>
                  </w:tcBorders>
                  <w:noWrap w:val="0"/>
                  <w:vAlign w:val="center"/>
                </w:tcPr>
                <w:p w14:paraId="3CE121E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838" w:type="dxa"/>
                  <w:tcBorders>
                    <w:tl2br w:val="nil"/>
                    <w:tr2bl w:val="nil"/>
                  </w:tcBorders>
                  <w:noWrap w:val="0"/>
                  <w:vAlign w:val="center"/>
                </w:tcPr>
                <w:p w14:paraId="09E6447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0.05ND</w:t>
                  </w:r>
                </w:p>
              </w:tc>
              <w:tc>
                <w:tcPr>
                  <w:tcW w:w="1450" w:type="dxa"/>
                  <w:tcBorders>
                    <w:tl2br w:val="nil"/>
                    <w:tr2bl w:val="nil"/>
                  </w:tcBorders>
                  <w:noWrap w:val="0"/>
                  <w:vAlign w:val="center"/>
                </w:tcPr>
                <w:p w14:paraId="3B6D44D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5C1BA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710D8C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镍</w:t>
                  </w:r>
                </w:p>
              </w:tc>
              <w:tc>
                <w:tcPr>
                  <w:tcW w:w="2118" w:type="dxa"/>
                  <w:tcBorders>
                    <w:tl2br w:val="nil"/>
                    <w:tr2bl w:val="nil"/>
                  </w:tcBorders>
                  <w:noWrap w:val="0"/>
                  <w:vAlign w:val="center"/>
                </w:tcPr>
                <w:p w14:paraId="6DF8D4C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0.005ND</w:t>
                  </w:r>
                </w:p>
              </w:tc>
              <w:tc>
                <w:tcPr>
                  <w:tcW w:w="1613" w:type="dxa"/>
                  <w:tcBorders>
                    <w:tl2br w:val="nil"/>
                    <w:tr2bl w:val="nil"/>
                  </w:tcBorders>
                  <w:noWrap w:val="0"/>
                  <w:vAlign w:val="center"/>
                </w:tcPr>
                <w:p w14:paraId="67AC83A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0.005ND</w:t>
                  </w:r>
                </w:p>
              </w:tc>
              <w:tc>
                <w:tcPr>
                  <w:tcW w:w="1838" w:type="dxa"/>
                  <w:tcBorders>
                    <w:tl2br w:val="nil"/>
                    <w:tr2bl w:val="nil"/>
                  </w:tcBorders>
                  <w:noWrap w:val="0"/>
                  <w:vAlign w:val="center"/>
                </w:tcPr>
                <w:p w14:paraId="3B2D063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0.005ND</w:t>
                  </w:r>
                </w:p>
              </w:tc>
              <w:tc>
                <w:tcPr>
                  <w:tcW w:w="1450" w:type="dxa"/>
                  <w:tcBorders>
                    <w:tl2br w:val="nil"/>
                    <w:tr2bl w:val="nil"/>
                  </w:tcBorders>
                  <w:noWrap w:val="0"/>
                  <w:vAlign w:val="center"/>
                </w:tcPr>
                <w:p w14:paraId="50A4FA7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752F9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308B1A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挥发酚</w:t>
                  </w:r>
                </w:p>
              </w:tc>
              <w:tc>
                <w:tcPr>
                  <w:tcW w:w="2118" w:type="dxa"/>
                  <w:tcBorders>
                    <w:tl2br w:val="nil"/>
                    <w:tr2bl w:val="nil"/>
                  </w:tcBorders>
                  <w:noWrap w:val="0"/>
                  <w:vAlign w:val="center"/>
                </w:tcPr>
                <w:p w14:paraId="4F09141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0.0003ND</w:t>
                  </w:r>
                </w:p>
              </w:tc>
              <w:tc>
                <w:tcPr>
                  <w:tcW w:w="1613" w:type="dxa"/>
                  <w:tcBorders>
                    <w:tl2br w:val="nil"/>
                    <w:tr2bl w:val="nil"/>
                  </w:tcBorders>
                  <w:noWrap w:val="0"/>
                  <w:vAlign w:val="center"/>
                </w:tcPr>
                <w:p w14:paraId="0E9156B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0.0003ND</w:t>
                  </w:r>
                </w:p>
              </w:tc>
              <w:tc>
                <w:tcPr>
                  <w:tcW w:w="1838" w:type="dxa"/>
                  <w:tcBorders>
                    <w:tl2br w:val="nil"/>
                    <w:tr2bl w:val="nil"/>
                  </w:tcBorders>
                  <w:noWrap w:val="0"/>
                  <w:vAlign w:val="center"/>
                </w:tcPr>
                <w:p w14:paraId="1DCCF4E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0.0003ND</w:t>
                  </w:r>
                </w:p>
              </w:tc>
              <w:tc>
                <w:tcPr>
                  <w:tcW w:w="1450" w:type="dxa"/>
                  <w:tcBorders>
                    <w:tl2br w:val="nil"/>
                    <w:tr2bl w:val="nil"/>
                  </w:tcBorders>
                  <w:noWrap w:val="0"/>
                  <w:vAlign w:val="center"/>
                </w:tcPr>
                <w:p w14:paraId="6F083C7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1DF90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6D8E835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氰化物</w:t>
                  </w:r>
                </w:p>
              </w:tc>
              <w:tc>
                <w:tcPr>
                  <w:tcW w:w="2118" w:type="dxa"/>
                  <w:tcBorders>
                    <w:tl2br w:val="nil"/>
                    <w:tr2bl w:val="nil"/>
                  </w:tcBorders>
                  <w:noWrap w:val="0"/>
                  <w:vAlign w:val="center"/>
                </w:tcPr>
                <w:p w14:paraId="5C7AFBB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0.002ND</w:t>
                  </w:r>
                </w:p>
              </w:tc>
              <w:tc>
                <w:tcPr>
                  <w:tcW w:w="1613" w:type="dxa"/>
                  <w:tcBorders>
                    <w:tl2br w:val="nil"/>
                    <w:tr2bl w:val="nil"/>
                  </w:tcBorders>
                  <w:noWrap w:val="0"/>
                  <w:vAlign w:val="center"/>
                </w:tcPr>
                <w:p w14:paraId="1775427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0.002ND</w:t>
                  </w:r>
                </w:p>
              </w:tc>
              <w:tc>
                <w:tcPr>
                  <w:tcW w:w="1838" w:type="dxa"/>
                  <w:tcBorders>
                    <w:tl2br w:val="nil"/>
                    <w:tr2bl w:val="nil"/>
                  </w:tcBorders>
                  <w:noWrap w:val="0"/>
                  <w:vAlign w:val="center"/>
                </w:tcPr>
                <w:p w14:paraId="1A9424A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0.002ND</w:t>
                  </w:r>
                </w:p>
              </w:tc>
              <w:tc>
                <w:tcPr>
                  <w:tcW w:w="1450" w:type="dxa"/>
                  <w:tcBorders>
                    <w:tl2br w:val="nil"/>
                    <w:tr2bl w:val="nil"/>
                  </w:tcBorders>
                  <w:noWrap w:val="0"/>
                  <w:vAlign w:val="center"/>
                </w:tcPr>
                <w:p w14:paraId="0E206EA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62FBE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3BE4E1E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氟化物</w:t>
                  </w:r>
                </w:p>
              </w:tc>
              <w:tc>
                <w:tcPr>
                  <w:tcW w:w="2118" w:type="dxa"/>
                  <w:tcBorders>
                    <w:tl2br w:val="nil"/>
                    <w:tr2bl w:val="nil"/>
                  </w:tcBorders>
                  <w:noWrap w:val="0"/>
                  <w:vAlign w:val="center"/>
                </w:tcPr>
                <w:p w14:paraId="393AFE7E">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0.9</w:t>
                  </w:r>
                </w:p>
              </w:tc>
              <w:tc>
                <w:tcPr>
                  <w:tcW w:w="1613" w:type="dxa"/>
                  <w:tcBorders>
                    <w:tl2br w:val="nil"/>
                    <w:tr2bl w:val="nil"/>
                  </w:tcBorders>
                  <w:noWrap w:val="0"/>
                  <w:vAlign w:val="center"/>
                </w:tcPr>
                <w:p w14:paraId="7FAAF76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0.9</w:t>
                  </w:r>
                </w:p>
              </w:tc>
              <w:tc>
                <w:tcPr>
                  <w:tcW w:w="1838" w:type="dxa"/>
                  <w:tcBorders>
                    <w:tl2br w:val="nil"/>
                    <w:tr2bl w:val="nil"/>
                  </w:tcBorders>
                  <w:noWrap w:val="0"/>
                  <w:vAlign w:val="center"/>
                </w:tcPr>
                <w:p w14:paraId="49AEB2E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0.9</w:t>
                  </w:r>
                </w:p>
              </w:tc>
              <w:tc>
                <w:tcPr>
                  <w:tcW w:w="1450" w:type="dxa"/>
                  <w:tcBorders>
                    <w:tl2br w:val="nil"/>
                    <w:tr2bl w:val="nil"/>
                  </w:tcBorders>
                  <w:noWrap w:val="0"/>
                  <w:vAlign w:val="center"/>
                </w:tcPr>
                <w:p w14:paraId="5192EDA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3E6AE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4905667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汞</w:t>
                  </w:r>
                </w:p>
              </w:tc>
              <w:tc>
                <w:tcPr>
                  <w:tcW w:w="2118" w:type="dxa"/>
                  <w:tcBorders>
                    <w:tl2br w:val="nil"/>
                    <w:tr2bl w:val="nil"/>
                  </w:tcBorders>
                  <w:noWrap w:val="0"/>
                  <w:vAlign w:val="center"/>
                </w:tcPr>
                <w:p w14:paraId="471F077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0.00054</w:t>
                  </w:r>
                </w:p>
              </w:tc>
              <w:tc>
                <w:tcPr>
                  <w:tcW w:w="1613" w:type="dxa"/>
                  <w:tcBorders>
                    <w:tl2br w:val="nil"/>
                    <w:tr2bl w:val="nil"/>
                  </w:tcBorders>
                  <w:noWrap w:val="0"/>
                  <w:vAlign w:val="center"/>
                </w:tcPr>
                <w:p w14:paraId="187AD66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0.00042</w:t>
                  </w:r>
                </w:p>
              </w:tc>
              <w:tc>
                <w:tcPr>
                  <w:tcW w:w="1838" w:type="dxa"/>
                  <w:tcBorders>
                    <w:tl2br w:val="nil"/>
                    <w:tr2bl w:val="nil"/>
                  </w:tcBorders>
                  <w:noWrap w:val="0"/>
                  <w:vAlign w:val="center"/>
                </w:tcPr>
                <w:p w14:paraId="427D2C5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0.00051</w:t>
                  </w:r>
                </w:p>
              </w:tc>
              <w:tc>
                <w:tcPr>
                  <w:tcW w:w="1450" w:type="dxa"/>
                  <w:tcBorders>
                    <w:tl2br w:val="nil"/>
                    <w:tr2bl w:val="nil"/>
                  </w:tcBorders>
                  <w:noWrap w:val="0"/>
                  <w:vAlign w:val="center"/>
                </w:tcPr>
                <w:p w14:paraId="65A636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20EA4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6289D4E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eastAsia="zh-CN"/>
                    </w:rPr>
                    <w:t>砷</w:t>
                  </w:r>
                </w:p>
              </w:tc>
              <w:tc>
                <w:tcPr>
                  <w:tcW w:w="2118" w:type="dxa"/>
                  <w:tcBorders>
                    <w:tl2br w:val="nil"/>
                    <w:tr2bl w:val="nil"/>
                  </w:tcBorders>
                  <w:noWrap w:val="0"/>
                  <w:vAlign w:val="center"/>
                </w:tcPr>
                <w:p w14:paraId="2BFBB66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0.0007</w:t>
                  </w:r>
                </w:p>
              </w:tc>
              <w:tc>
                <w:tcPr>
                  <w:tcW w:w="1613" w:type="dxa"/>
                  <w:tcBorders>
                    <w:tl2br w:val="nil"/>
                    <w:tr2bl w:val="nil"/>
                  </w:tcBorders>
                  <w:noWrap w:val="0"/>
                  <w:vAlign w:val="center"/>
                </w:tcPr>
                <w:p w14:paraId="7C3AC22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0.0010</w:t>
                  </w:r>
                </w:p>
              </w:tc>
              <w:tc>
                <w:tcPr>
                  <w:tcW w:w="1838" w:type="dxa"/>
                  <w:tcBorders>
                    <w:tl2br w:val="nil"/>
                    <w:tr2bl w:val="nil"/>
                  </w:tcBorders>
                  <w:noWrap w:val="0"/>
                  <w:vAlign w:val="center"/>
                </w:tcPr>
                <w:p w14:paraId="3D520E0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0.0017</w:t>
                  </w:r>
                </w:p>
              </w:tc>
              <w:tc>
                <w:tcPr>
                  <w:tcW w:w="1450" w:type="dxa"/>
                  <w:tcBorders>
                    <w:tl2br w:val="nil"/>
                    <w:tr2bl w:val="nil"/>
                  </w:tcBorders>
                  <w:noWrap w:val="0"/>
                  <w:vAlign w:val="center"/>
                </w:tcPr>
                <w:p w14:paraId="25CE725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688C5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194CE10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铅</w:t>
                  </w:r>
                </w:p>
              </w:tc>
              <w:tc>
                <w:tcPr>
                  <w:tcW w:w="2118" w:type="dxa"/>
                  <w:tcBorders>
                    <w:tl2br w:val="nil"/>
                    <w:tr2bl w:val="nil"/>
                  </w:tcBorders>
                  <w:noWrap w:val="0"/>
                  <w:vAlign w:val="center"/>
                </w:tcPr>
                <w:p w14:paraId="68D525F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0.0025ND</w:t>
                  </w:r>
                </w:p>
              </w:tc>
              <w:tc>
                <w:tcPr>
                  <w:tcW w:w="1613" w:type="dxa"/>
                  <w:tcBorders>
                    <w:tl2br w:val="nil"/>
                    <w:tr2bl w:val="nil"/>
                  </w:tcBorders>
                  <w:noWrap w:val="0"/>
                  <w:vAlign w:val="center"/>
                </w:tcPr>
                <w:p w14:paraId="415C241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0.0025ND</w:t>
                  </w:r>
                </w:p>
              </w:tc>
              <w:tc>
                <w:tcPr>
                  <w:tcW w:w="1838" w:type="dxa"/>
                  <w:tcBorders>
                    <w:tl2br w:val="nil"/>
                    <w:tr2bl w:val="nil"/>
                  </w:tcBorders>
                  <w:noWrap w:val="0"/>
                  <w:vAlign w:val="center"/>
                </w:tcPr>
                <w:p w14:paraId="79298EF0">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0.0025ND</w:t>
                  </w:r>
                </w:p>
              </w:tc>
              <w:tc>
                <w:tcPr>
                  <w:tcW w:w="1450" w:type="dxa"/>
                  <w:tcBorders>
                    <w:tl2br w:val="nil"/>
                    <w:tr2bl w:val="nil"/>
                  </w:tcBorders>
                  <w:noWrap w:val="0"/>
                  <w:vAlign w:val="center"/>
                </w:tcPr>
                <w:p w14:paraId="3AE5CD6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4AD0D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054E35B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镉</w:t>
                  </w:r>
                </w:p>
              </w:tc>
              <w:tc>
                <w:tcPr>
                  <w:tcW w:w="2118" w:type="dxa"/>
                  <w:tcBorders>
                    <w:tl2br w:val="nil"/>
                    <w:tr2bl w:val="nil"/>
                  </w:tcBorders>
                  <w:noWrap w:val="0"/>
                  <w:vAlign w:val="center"/>
                </w:tcPr>
                <w:p w14:paraId="4F70E6F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0.0005ND</w:t>
                  </w:r>
                </w:p>
              </w:tc>
              <w:tc>
                <w:tcPr>
                  <w:tcW w:w="1613" w:type="dxa"/>
                  <w:tcBorders>
                    <w:tl2br w:val="nil"/>
                    <w:tr2bl w:val="nil"/>
                  </w:tcBorders>
                  <w:noWrap w:val="0"/>
                  <w:vAlign w:val="center"/>
                </w:tcPr>
                <w:p w14:paraId="121A045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0.0005ND</w:t>
                  </w:r>
                </w:p>
              </w:tc>
              <w:tc>
                <w:tcPr>
                  <w:tcW w:w="1838" w:type="dxa"/>
                  <w:tcBorders>
                    <w:tl2br w:val="nil"/>
                    <w:tr2bl w:val="nil"/>
                  </w:tcBorders>
                  <w:noWrap w:val="0"/>
                  <w:vAlign w:val="center"/>
                </w:tcPr>
                <w:p w14:paraId="7D10724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0.0005ND</w:t>
                  </w:r>
                </w:p>
              </w:tc>
              <w:tc>
                <w:tcPr>
                  <w:tcW w:w="1450" w:type="dxa"/>
                  <w:tcBorders>
                    <w:tl2br w:val="nil"/>
                    <w:tr2bl w:val="nil"/>
                  </w:tcBorders>
                  <w:noWrap w:val="0"/>
                  <w:vAlign w:val="center"/>
                </w:tcPr>
                <w:p w14:paraId="6282546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5DC0C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438" w:type="dxa"/>
                  <w:tcBorders>
                    <w:tl2br w:val="nil"/>
                    <w:tr2bl w:val="nil"/>
                  </w:tcBorders>
                  <w:noWrap w:val="0"/>
                  <w:vAlign w:val="center"/>
                </w:tcPr>
                <w:p w14:paraId="5377821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铬（六价）</w:t>
                  </w:r>
                </w:p>
              </w:tc>
              <w:tc>
                <w:tcPr>
                  <w:tcW w:w="2118" w:type="dxa"/>
                  <w:tcBorders>
                    <w:tl2br w:val="nil"/>
                    <w:tr2bl w:val="nil"/>
                  </w:tcBorders>
                  <w:noWrap w:val="0"/>
                  <w:vAlign w:val="center"/>
                </w:tcPr>
                <w:p w14:paraId="457687D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0.008</w:t>
                  </w:r>
                </w:p>
              </w:tc>
              <w:tc>
                <w:tcPr>
                  <w:tcW w:w="1613" w:type="dxa"/>
                  <w:tcBorders>
                    <w:tl2br w:val="nil"/>
                    <w:tr2bl w:val="nil"/>
                  </w:tcBorders>
                  <w:noWrap w:val="0"/>
                  <w:vAlign w:val="center"/>
                </w:tcPr>
                <w:p w14:paraId="19B3F20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0.009</w:t>
                  </w:r>
                </w:p>
              </w:tc>
              <w:tc>
                <w:tcPr>
                  <w:tcW w:w="1838" w:type="dxa"/>
                  <w:tcBorders>
                    <w:tl2br w:val="nil"/>
                    <w:tr2bl w:val="nil"/>
                  </w:tcBorders>
                  <w:noWrap w:val="0"/>
                  <w:vAlign w:val="center"/>
                </w:tcPr>
                <w:p w14:paraId="69BAD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0.006</w:t>
                  </w:r>
                </w:p>
              </w:tc>
              <w:tc>
                <w:tcPr>
                  <w:tcW w:w="1450" w:type="dxa"/>
                  <w:tcBorders>
                    <w:tl2br w:val="nil"/>
                    <w:tr2bl w:val="nil"/>
                  </w:tcBorders>
                  <w:noWrap w:val="0"/>
                  <w:vAlign w:val="center"/>
                </w:tcPr>
                <w:p w14:paraId="191792F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r w14:paraId="4E709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38" w:type="dxa"/>
                  <w:tcBorders>
                    <w:tl2br w:val="nil"/>
                    <w:tr2bl w:val="nil"/>
                  </w:tcBorders>
                  <w:noWrap w:val="0"/>
                  <w:vAlign w:val="center"/>
                </w:tcPr>
                <w:p w14:paraId="4BC85B0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石油类</w:t>
                  </w:r>
                </w:p>
              </w:tc>
              <w:tc>
                <w:tcPr>
                  <w:tcW w:w="2118" w:type="dxa"/>
                  <w:tcBorders>
                    <w:tl2br w:val="nil"/>
                    <w:tr2bl w:val="nil"/>
                  </w:tcBorders>
                  <w:noWrap w:val="0"/>
                  <w:vAlign w:val="center"/>
                </w:tcPr>
                <w:p w14:paraId="415D255F">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0.01</w:t>
                  </w:r>
                </w:p>
              </w:tc>
              <w:tc>
                <w:tcPr>
                  <w:tcW w:w="1613" w:type="dxa"/>
                  <w:tcBorders>
                    <w:tl2br w:val="nil"/>
                    <w:tr2bl w:val="nil"/>
                  </w:tcBorders>
                  <w:noWrap w:val="0"/>
                  <w:vAlign w:val="center"/>
                </w:tcPr>
                <w:p w14:paraId="5E659BD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0.02</w:t>
                  </w:r>
                </w:p>
              </w:tc>
              <w:tc>
                <w:tcPr>
                  <w:tcW w:w="1838" w:type="dxa"/>
                  <w:tcBorders>
                    <w:tl2br w:val="nil"/>
                    <w:tr2bl w:val="nil"/>
                  </w:tcBorders>
                  <w:noWrap w:val="0"/>
                  <w:vAlign w:val="center"/>
                </w:tcPr>
                <w:p w14:paraId="42E2F2E5">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0.02</w:t>
                  </w:r>
                </w:p>
              </w:tc>
              <w:tc>
                <w:tcPr>
                  <w:tcW w:w="1450" w:type="dxa"/>
                  <w:tcBorders>
                    <w:tl2br w:val="nil"/>
                    <w:tr2bl w:val="nil"/>
                  </w:tcBorders>
                  <w:noWrap w:val="0"/>
                  <w:vAlign w:val="center"/>
                </w:tcPr>
                <w:p w14:paraId="7BED44F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mg/L</w:t>
                  </w:r>
                </w:p>
              </w:tc>
            </w:tr>
          </w:tbl>
          <w:p w14:paraId="347FFE8D">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p>
          <w:p w14:paraId="24C339BB">
            <w:pPr>
              <w:widowControl/>
              <w:spacing w:line="240" w:lineRule="auto"/>
              <w:jc w:val="center"/>
              <w:rPr>
                <w:rFonts w:hint="eastAsia"/>
                <w:b/>
                <w:bCs/>
                <w:color w:val="auto"/>
                <w:highlight w:val="none"/>
                <w:lang w:eastAsia="zh-CN"/>
              </w:rPr>
            </w:pPr>
          </w:p>
          <w:p w14:paraId="0AA8F594">
            <w:pPr>
              <w:widowControl/>
              <w:spacing w:line="240" w:lineRule="auto"/>
              <w:jc w:val="center"/>
              <w:rPr>
                <w:rFonts w:hint="eastAsia"/>
                <w:b/>
                <w:bCs/>
                <w:color w:val="auto"/>
                <w:highlight w:val="none"/>
                <w:lang w:eastAsia="zh-CN"/>
              </w:rPr>
            </w:pPr>
          </w:p>
          <w:p w14:paraId="4498562B">
            <w:pPr>
              <w:widowControl/>
              <w:spacing w:line="240" w:lineRule="auto"/>
              <w:jc w:val="center"/>
              <w:rPr>
                <w:rFonts w:hint="eastAsia"/>
                <w:b/>
                <w:bCs/>
                <w:color w:val="auto"/>
                <w:highlight w:val="none"/>
                <w:lang w:eastAsia="zh-CN"/>
              </w:rPr>
            </w:pPr>
            <w:r>
              <w:rPr>
                <w:rFonts w:hint="eastAsia"/>
                <w:color w:val="auto"/>
                <w:highlight w:val="none"/>
                <w:lang w:eastAsia="zh-CN"/>
              </w:rPr>
              <w:drawing>
                <wp:anchor distT="0" distB="0" distL="114300" distR="114300" simplePos="0" relativeHeight="251660288" behindDoc="1" locked="0" layoutInCell="1" allowOverlap="1">
                  <wp:simplePos x="0" y="0"/>
                  <wp:positionH relativeFrom="column">
                    <wp:posOffset>-50165</wp:posOffset>
                  </wp:positionH>
                  <wp:positionV relativeFrom="paragraph">
                    <wp:posOffset>-635</wp:posOffset>
                  </wp:positionV>
                  <wp:extent cx="5450840" cy="3776980"/>
                  <wp:effectExtent l="0" t="0" r="16510" b="13970"/>
                  <wp:wrapNone/>
                  <wp:docPr id="54" name="图片 1488" descr="164164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8" descr="1641644380"/>
                          <pic:cNvPicPr>
                            <a:picLocks noChangeAspect="1"/>
                          </pic:cNvPicPr>
                        </pic:nvPicPr>
                        <pic:blipFill>
                          <a:blip r:embed="rId13"/>
                          <a:stretch>
                            <a:fillRect/>
                          </a:stretch>
                        </pic:blipFill>
                        <pic:spPr>
                          <a:xfrm>
                            <a:off x="0" y="0"/>
                            <a:ext cx="5450840" cy="3776980"/>
                          </a:xfrm>
                          <a:prstGeom prst="rect">
                            <a:avLst/>
                          </a:prstGeom>
                          <a:noFill/>
                          <a:ln>
                            <a:noFill/>
                          </a:ln>
                        </pic:spPr>
                      </pic:pic>
                    </a:graphicData>
                  </a:graphic>
                </wp:anchor>
              </w:drawing>
            </w:r>
          </w:p>
          <w:p w14:paraId="1AFB0897">
            <w:pPr>
              <w:widowControl/>
              <w:spacing w:line="240" w:lineRule="auto"/>
              <w:jc w:val="center"/>
              <w:rPr>
                <w:rFonts w:hint="eastAsia"/>
                <w:b/>
                <w:bCs/>
                <w:color w:val="auto"/>
                <w:highlight w:val="none"/>
                <w:lang w:eastAsia="zh-CN"/>
              </w:rPr>
            </w:pPr>
          </w:p>
          <w:p w14:paraId="00CB3536">
            <w:pPr>
              <w:widowControl/>
              <w:spacing w:line="240" w:lineRule="auto"/>
              <w:jc w:val="center"/>
              <w:rPr>
                <w:rFonts w:hint="eastAsia"/>
                <w:b/>
                <w:bCs/>
                <w:color w:val="auto"/>
                <w:highlight w:val="none"/>
                <w:lang w:eastAsia="zh-CN"/>
              </w:rPr>
            </w:pPr>
          </w:p>
          <w:p w14:paraId="61068847">
            <w:pPr>
              <w:widowControl/>
              <w:spacing w:line="240" w:lineRule="auto"/>
              <w:jc w:val="center"/>
              <w:rPr>
                <w:rFonts w:hint="eastAsia"/>
                <w:b/>
                <w:bCs/>
                <w:color w:val="auto"/>
                <w:highlight w:val="none"/>
                <w:lang w:eastAsia="zh-CN"/>
              </w:rPr>
            </w:pPr>
          </w:p>
          <w:p w14:paraId="13BFB6C4">
            <w:pPr>
              <w:widowControl/>
              <w:spacing w:line="240" w:lineRule="auto"/>
              <w:jc w:val="center"/>
              <w:rPr>
                <w:rFonts w:hint="eastAsia"/>
                <w:b/>
                <w:bCs/>
                <w:color w:val="auto"/>
                <w:highlight w:val="none"/>
                <w:lang w:eastAsia="zh-CN"/>
              </w:rPr>
            </w:pPr>
          </w:p>
          <w:p w14:paraId="54F304F5">
            <w:pPr>
              <w:widowControl/>
              <w:spacing w:line="240" w:lineRule="auto"/>
              <w:jc w:val="center"/>
              <w:rPr>
                <w:rFonts w:hint="eastAsia"/>
                <w:b/>
                <w:bCs/>
                <w:color w:val="auto"/>
                <w:highlight w:val="none"/>
                <w:lang w:eastAsia="zh-CN"/>
              </w:rPr>
            </w:pPr>
          </w:p>
          <w:p w14:paraId="42FAC729">
            <w:pPr>
              <w:widowControl/>
              <w:spacing w:line="240" w:lineRule="auto"/>
              <w:jc w:val="center"/>
              <w:rPr>
                <w:rFonts w:hint="eastAsia"/>
                <w:b/>
                <w:bCs/>
                <w:color w:val="auto"/>
                <w:highlight w:val="none"/>
                <w:lang w:eastAsia="zh-CN"/>
              </w:rPr>
            </w:pPr>
          </w:p>
          <w:p w14:paraId="5C0F9DE7">
            <w:pPr>
              <w:widowControl/>
              <w:spacing w:line="240" w:lineRule="auto"/>
              <w:jc w:val="center"/>
              <w:rPr>
                <w:rFonts w:hint="eastAsia"/>
                <w:b/>
                <w:bCs/>
                <w:color w:val="auto"/>
                <w:highlight w:val="none"/>
                <w:lang w:eastAsia="zh-CN"/>
              </w:rPr>
            </w:pPr>
          </w:p>
          <w:p w14:paraId="57825430">
            <w:pPr>
              <w:widowControl/>
              <w:spacing w:line="240" w:lineRule="auto"/>
              <w:jc w:val="center"/>
              <w:rPr>
                <w:rFonts w:hint="eastAsia"/>
                <w:b/>
                <w:bCs/>
                <w:color w:val="auto"/>
                <w:highlight w:val="none"/>
                <w:lang w:eastAsia="zh-CN"/>
              </w:rPr>
            </w:pPr>
          </w:p>
          <w:p w14:paraId="0F781419">
            <w:pPr>
              <w:widowControl/>
              <w:spacing w:line="240" w:lineRule="auto"/>
              <w:jc w:val="center"/>
              <w:rPr>
                <w:rFonts w:hint="eastAsia"/>
                <w:b/>
                <w:bCs/>
                <w:color w:val="auto"/>
                <w:highlight w:val="none"/>
                <w:lang w:eastAsia="zh-CN"/>
              </w:rPr>
            </w:pPr>
          </w:p>
          <w:p w14:paraId="5797B087">
            <w:pPr>
              <w:widowControl/>
              <w:spacing w:line="240" w:lineRule="auto"/>
              <w:jc w:val="center"/>
              <w:rPr>
                <w:rFonts w:hint="eastAsia"/>
                <w:b/>
                <w:bCs/>
                <w:color w:val="auto"/>
                <w:highlight w:val="none"/>
                <w:lang w:eastAsia="zh-CN"/>
              </w:rPr>
            </w:pPr>
          </w:p>
          <w:p w14:paraId="05691DFE">
            <w:pPr>
              <w:widowControl/>
              <w:spacing w:line="240" w:lineRule="auto"/>
              <w:jc w:val="center"/>
              <w:rPr>
                <w:rFonts w:hint="eastAsia"/>
                <w:b/>
                <w:bCs/>
                <w:color w:val="auto"/>
                <w:highlight w:val="none"/>
                <w:lang w:eastAsia="zh-CN"/>
              </w:rPr>
            </w:pPr>
          </w:p>
          <w:p w14:paraId="54FCE6BF">
            <w:pPr>
              <w:widowControl/>
              <w:spacing w:line="240" w:lineRule="auto"/>
              <w:jc w:val="center"/>
              <w:rPr>
                <w:rFonts w:hint="eastAsia"/>
                <w:b/>
                <w:bCs/>
                <w:color w:val="auto"/>
                <w:highlight w:val="none"/>
                <w:lang w:eastAsia="zh-CN"/>
              </w:rPr>
            </w:pPr>
          </w:p>
          <w:p w14:paraId="03C9FCD2">
            <w:pPr>
              <w:widowControl/>
              <w:spacing w:line="240" w:lineRule="auto"/>
              <w:jc w:val="center"/>
              <w:rPr>
                <w:rFonts w:hint="eastAsia"/>
                <w:b/>
                <w:bCs/>
                <w:color w:val="auto"/>
                <w:highlight w:val="none"/>
                <w:lang w:eastAsia="zh-CN"/>
              </w:rPr>
            </w:pPr>
          </w:p>
          <w:p w14:paraId="4CCF2854">
            <w:pPr>
              <w:widowControl/>
              <w:spacing w:line="240" w:lineRule="auto"/>
              <w:jc w:val="center"/>
              <w:rPr>
                <w:rFonts w:hint="eastAsia"/>
                <w:b/>
                <w:bCs/>
                <w:color w:val="auto"/>
                <w:highlight w:val="none"/>
                <w:lang w:eastAsia="zh-CN"/>
              </w:rPr>
            </w:pPr>
          </w:p>
          <w:p w14:paraId="5D19E1DB">
            <w:pPr>
              <w:widowControl/>
              <w:spacing w:line="240" w:lineRule="auto"/>
              <w:jc w:val="center"/>
              <w:rPr>
                <w:rFonts w:hint="eastAsia"/>
                <w:b/>
                <w:bCs/>
                <w:color w:val="auto"/>
                <w:highlight w:val="none"/>
                <w:lang w:eastAsia="zh-CN"/>
              </w:rPr>
            </w:pPr>
          </w:p>
          <w:p w14:paraId="346737C5">
            <w:pPr>
              <w:widowControl/>
              <w:spacing w:line="240" w:lineRule="auto"/>
              <w:jc w:val="center"/>
              <w:rPr>
                <w:rFonts w:hint="eastAsia"/>
                <w:b/>
                <w:bCs/>
                <w:color w:val="auto"/>
                <w:highlight w:val="none"/>
                <w:lang w:eastAsia="zh-CN"/>
              </w:rPr>
            </w:pPr>
          </w:p>
          <w:p w14:paraId="143EB5AF">
            <w:pPr>
              <w:widowControl/>
              <w:spacing w:line="240" w:lineRule="auto"/>
              <w:jc w:val="center"/>
              <w:rPr>
                <w:rFonts w:hint="eastAsia"/>
                <w:b/>
                <w:bCs/>
                <w:color w:val="auto"/>
                <w:highlight w:val="none"/>
                <w:lang w:eastAsia="zh-CN"/>
              </w:rPr>
            </w:pPr>
          </w:p>
          <w:p w14:paraId="46C90093">
            <w:pPr>
              <w:widowControl/>
              <w:spacing w:line="240" w:lineRule="auto"/>
              <w:jc w:val="center"/>
              <w:rPr>
                <w:rFonts w:hint="eastAsia"/>
                <w:b/>
                <w:bCs/>
                <w:color w:val="auto"/>
                <w:highlight w:val="none"/>
                <w:lang w:eastAsia="zh-CN"/>
              </w:rPr>
            </w:pPr>
          </w:p>
          <w:p w14:paraId="46146A5F">
            <w:pPr>
              <w:widowControl/>
              <w:spacing w:line="240" w:lineRule="auto"/>
              <w:jc w:val="center"/>
              <w:rPr>
                <w:rFonts w:hint="eastAsia"/>
                <w:b/>
                <w:bCs/>
                <w:color w:val="auto"/>
                <w:highlight w:val="none"/>
                <w:lang w:eastAsia="zh-CN"/>
              </w:rPr>
            </w:pPr>
          </w:p>
          <w:p w14:paraId="1BA651FF">
            <w:pPr>
              <w:widowControl/>
              <w:spacing w:line="240" w:lineRule="auto"/>
              <w:jc w:val="center"/>
              <w:rPr>
                <w:rFonts w:hint="eastAsia"/>
                <w:b/>
                <w:bCs/>
                <w:color w:val="auto"/>
                <w:highlight w:val="none"/>
                <w:lang w:eastAsia="zh-CN"/>
              </w:rPr>
            </w:pPr>
          </w:p>
          <w:p w14:paraId="23FAC03E">
            <w:pPr>
              <w:widowControl/>
              <w:spacing w:line="240" w:lineRule="auto"/>
              <w:jc w:val="center"/>
              <w:rPr>
                <w:rFonts w:hint="eastAsia"/>
                <w:b/>
                <w:bCs/>
                <w:color w:val="auto"/>
                <w:highlight w:val="none"/>
                <w:lang w:eastAsia="zh-CN"/>
              </w:rPr>
            </w:pPr>
          </w:p>
          <w:p w14:paraId="31AEAABE">
            <w:pPr>
              <w:widowControl/>
              <w:spacing w:line="240" w:lineRule="auto"/>
              <w:jc w:val="center"/>
              <w:rPr>
                <w:rFonts w:hint="eastAsia"/>
                <w:b/>
                <w:bCs/>
                <w:color w:val="auto"/>
                <w:highlight w:val="none"/>
                <w:lang w:eastAsia="zh-CN"/>
              </w:rPr>
            </w:pPr>
          </w:p>
          <w:p w14:paraId="34FDEF1C">
            <w:pPr>
              <w:widowControl/>
              <w:spacing w:line="240" w:lineRule="auto"/>
              <w:jc w:val="center"/>
              <w:rPr>
                <w:rFonts w:hint="eastAsia"/>
                <w:b/>
                <w:bCs/>
                <w:color w:val="auto"/>
                <w:highlight w:val="none"/>
                <w:lang w:eastAsia="zh-CN"/>
              </w:rPr>
            </w:pPr>
          </w:p>
          <w:p w14:paraId="0AF520A4">
            <w:pPr>
              <w:widowControl/>
              <w:spacing w:line="240" w:lineRule="auto"/>
              <w:jc w:val="center"/>
              <w:rPr>
                <w:rFonts w:hint="eastAsia"/>
                <w:b/>
                <w:bCs/>
                <w:color w:val="auto"/>
                <w:highlight w:val="none"/>
                <w:lang w:val="en-US" w:eastAsia="zh-CN"/>
              </w:rPr>
            </w:pPr>
          </w:p>
          <w:p w14:paraId="4F49E969">
            <w:pPr>
              <w:widowControl/>
              <w:spacing w:line="240" w:lineRule="auto"/>
              <w:jc w:val="center"/>
              <w:rPr>
                <w:rFonts w:hint="eastAsia"/>
                <w:b/>
                <w:bCs/>
                <w:color w:val="auto"/>
                <w:highlight w:val="none"/>
                <w:lang w:val="en-US" w:eastAsia="zh-CN"/>
              </w:rPr>
            </w:pPr>
            <w:r>
              <w:rPr>
                <w:rFonts w:hint="eastAsia"/>
                <w:b/>
                <w:bCs/>
                <w:color w:val="auto"/>
                <w:highlight w:val="none"/>
                <w:lang w:val="en-US" w:eastAsia="zh-CN"/>
              </w:rPr>
              <w:t>图3-2厂区内地下水环境质量引用监测点位图</w:t>
            </w:r>
          </w:p>
          <w:p w14:paraId="0825E561">
            <w:pPr>
              <w:pStyle w:val="195"/>
              <w:spacing w:before="116" w:line="360" w:lineRule="auto"/>
              <w:ind w:firstLine="484" w:firstLineChars="200"/>
              <w:jc w:val="both"/>
              <w:rPr>
                <w:color w:val="auto"/>
                <w:spacing w:val="-5"/>
                <w:highlight w:val="none"/>
              </w:rPr>
            </w:pPr>
            <w:r>
              <w:rPr>
                <w:color w:val="auto"/>
                <w:spacing w:val="1"/>
                <w:highlight w:val="none"/>
              </w:rPr>
              <w:t>根据上表数据结果可知，项目地西南侧、西北侧除石油类、高锰酸盐指</w:t>
            </w:r>
            <w:r>
              <w:rPr>
                <w:color w:val="auto"/>
                <w:spacing w:val="-1"/>
                <w:highlight w:val="none"/>
              </w:rPr>
              <w:t>数外，其余监测项目</w:t>
            </w:r>
            <w:r>
              <w:rPr>
                <w:rFonts w:hint="eastAsia"/>
                <w:color w:val="auto"/>
                <w:spacing w:val="-1"/>
                <w:highlight w:val="none"/>
                <w:lang w:eastAsia="zh-CN"/>
              </w:rPr>
              <w:t>均</w:t>
            </w:r>
            <w:r>
              <w:rPr>
                <w:color w:val="auto"/>
                <w:spacing w:val="-1"/>
                <w:highlight w:val="none"/>
              </w:rPr>
              <w:t>符合《地下水质量标准》（</w:t>
            </w:r>
            <w:r>
              <w:rPr>
                <w:rFonts w:ascii="Times New Roman" w:hAnsi="Times New Roman" w:eastAsia="Times New Roman" w:cs="Times New Roman"/>
                <w:color w:val="auto"/>
                <w:spacing w:val="-1"/>
                <w:highlight w:val="none"/>
              </w:rPr>
              <w:t>GB/T14848-2017</w:t>
            </w:r>
            <w:r>
              <w:rPr>
                <w:color w:val="auto"/>
                <w:spacing w:val="-2"/>
                <w:highlight w:val="none"/>
              </w:rPr>
              <w:t>）表</w:t>
            </w:r>
            <w:r>
              <w:rPr>
                <w:rFonts w:ascii="Times New Roman" w:hAnsi="Times New Roman" w:eastAsia="Times New Roman" w:cs="Times New Roman"/>
                <w:color w:val="auto"/>
                <w:spacing w:val="-2"/>
                <w:highlight w:val="none"/>
              </w:rPr>
              <w:t>1</w:t>
            </w:r>
            <w:r>
              <w:rPr>
                <w:color w:val="auto"/>
                <w:spacing w:val="-2"/>
                <w:highlight w:val="none"/>
              </w:rPr>
              <w:t>中</w:t>
            </w:r>
            <w:r>
              <w:rPr>
                <w:color w:val="auto"/>
                <w:spacing w:val="-14"/>
                <w:highlight w:val="none"/>
              </w:rPr>
              <w:t>Ⅲ类标准要求，石油类、高锰酸盐指数在《地下水质量标准》（</w:t>
            </w:r>
            <w:r>
              <w:rPr>
                <w:rFonts w:ascii="Times New Roman" w:hAnsi="Times New Roman" w:eastAsia="Times New Roman" w:cs="Times New Roman"/>
                <w:color w:val="auto"/>
                <w:spacing w:val="-14"/>
                <w:highlight w:val="none"/>
              </w:rPr>
              <w:t>GB/T14848-2017</w:t>
            </w:r>
            <w:r>
              <w:rPr>
                <w:color w:val="auto"/>
                <w:spacing w:val="-14"/>
                <w:highlight w:val="none"/>
              </w:rPr>
              <w:t>）</w:t>
            </w:r>
            <w:r>
              <w:rPr>
                <w:color w:val="auto"/>
                <w:spacing w:val="-5"/>
                <w:highlight w:val="none"/>
              </w:rPr>
              <w:t>表</w:t>
            </w:r>
            <w:r>
              <w:rPr>
                <w:rFonts w:ascii="Times New Roman" w:hAnsi="Times New Roman" w:eastAsia="Times New Roman" w:cs="Times New Roman"/>
                <w:color w:val="auto"/>
                <w:spacing w:val="-5"/>
                <w:highlight w:val="none"/>
              </w:rPr>
              <w:t>1</w:t>
            </w:r>
            <w:r>
              <w:rPr>
                <w:color w:val="auto"/>
                <w:spacing w:val="-5"/>
                <w:highlight w:val="none"/>
              </w:rPr>
              <w:t>中无标准要求，故不予评价。</w:t>
            </w:r>
          </w:p>
          <w:p w14:paraId="6B211D3A">
            <w:pPr>
              <w:pStyle w:val="195"/>
              <w:spacing w:before="116" w:line="360" w:lineRule="auto"/>
              <w:ind w:firstLine="484" w:firstLineChars="200"/>
              <w:jc w:val="both"/>
              <w:rPr>
                <w:rFonts w:hint="eastAsia"/>
                <w:b/>
                <w:bCs/>
                <w:color w:val="auto"/>
                <w:highlight w:val="none"/>
                <w:lang w:eastAsia="zh-CN"/>
              </w:rPr>
            </w:pPr>
            <w:r>
              <w:rPr>
                <w:color w:val="auto"/>
                <w:spacing w:val="1"/>
                <w:highlight w:val="none"/>
              </w:rPr>
              <w:t>综上，经调查监测，项目所在地</w:t>
            </w:r>
            <w:r>
              <w:rPr>
                <w:rFonts w:hint="eastAsia"/>
                <w:color w:val="auto"/>
                <w:spacing w:val="1"/>
                <w:highlight w:val="none"/>
                <w:lang w:eastAsia="zh-CN"/>
              </w:rPr>
              <w:t>附近</w:t>
            </w:r>
            <w:r>
              <w:rPr>
                <w:color w:val="auto"/>
                <w:spacing w:val="1"/>
                <w:highlight w:val="none"/>
              </w:rPr>
              <w:t>地下水水质符合《地下水质量标</w:t>
            </w:r>
            <w:r>
              <w:rPr>
                <w:color w:val="auto"/>
                <w:spacing w:val="-6"/>
                <w:highlight w:val="none"/>
              </w:rPr>
              <w:t>准》（</w:t>
            </w:r>
            <w:r>
              <w:rPr>
                <w:rFonts w:ascii="Times New Roman" w:hAnsi="Times New Roman" w:eastAsia="Times New Roman" w:cs="Times New Roman"/>
                <w:color w:val="auto"/>
                <w:spacing w:val="-6"/>
                <w:highlight w:val="none"/>
              </w:rPr>
              <w:t>GB/T14848-2017</w:t>
            </w:r>
            <w:r>
              <w:rPr>
                <w:color w:val="auto"/>
                <w:spacing w:val="-6"/>
                <w:highlight w:val="none"/>
              </w:rPr>
              <w:t>）Ⅲ类标准或《生活饮用水卫生标</w:t>
            </w:r>
            <w:r>
              <w:rPr>
                <w:color w:val="auto"/>
                <w:spacing w:val="-7"/>
                <w:highlight w:val="none"/>
              </w:rPr>
              <w:t>准》（</w:t>
            </w:r>
            <w:r>
              <w:rPr>
                <w:rFonts w:hint="eastAsia"/>
                <w:color w:val="auto"/>
                <w:spacing w:val="-7"/>
                <w:highlight w:val="none"/>
                <w:lang w:eastAsia="zh-CN"/>
              </w:rPr>
              <w:t>GB 5749-2022</w:t>
            </w:r>
            <w:r>
              <w:rPr>
                <w:color w:val="auto"/>
                <w:spacing w:val="-7"/>
                <w:highlight w:val="none"/>
              </w:rPr>
              <w:t>）</w:t>
            </w:r>
            <w:r>
              <w:rPr>
                <w:color w:val="auto"/>
                <w:spacing w:val="-5"/>
                <w:highlight w:val="none"/>
              </w:rPr>
              <w:t>中相关标准要求。</w:t>
            </w:r>
          </w:p>
          <w:p w14:paraId="7401B154">
            <w:pPr>
              <w:numPr>
                <w:ilvl w:val="0"/>
                <w:numId w:val="0"/>
              </w:numPr>
              <w:adjustRightInd w:val="0"/>
              <w:snapToGrid w:val="0"/>
              <w:spacing w:line="360" w:lineRule="auto"/>
              <w:ind w:left="0" w:leftChars="0" w:firstLine="482" w:firstLineChars="200"/>
              <w:outlineLvl w:val="1"/>
              <w:rPr>
                <w:rFonts w:hint="eastAsia"/>
                <w:b/>
                <w:color w:val="auto"/>
                <w:sz w:val="24"/>
                <w:szCs w:val="24"/>
                <w:highlight w:val="none"/>
              </w:rPr>
            </w:pPr>
            <w:bookmarkStart w:id="43" w:name="_Toc486"/>
            <w:bookmarkStart w:id="44" w:name="_Toc6557"/>
            <w:r>
              <w:rPr>
                <w:rFonts w:hint="eastAsia" w:ascii="Times New Roman" w:hAnsi="Times New Roman" w:eastAsia="宋体" w:cs="Times New Roman"/>
                <w:b/>
                <w:color w:val="auto"/>
                <w:kern w:val="2"/>
                <w:sz w:val="24"/>
                <w:szCs w:val="24"/>
                <w:highlight w:val="none"/>
                <w:lang w:val="en-US" w:eastAsia="zh-CN" w:bidi="ar-SA"/>
              </w:rPr>
              <w:t>5.</w:t>
            </w:r>
            <w:r>
              <w:rPr>
                <w:rFonts w:hint="eastAsia"/>
                <w:b/>
                <w:color w:val="auto"/>
                <w:sz w:val="24"/>
                <w:szCs w:val="24"/>
                <w:highlight w:val="none"/>
                <w:lang w:eastAsia="zh-CN"/>
              </w:rPr>
              <w:t>土壤</w:t>
            </w:r>
            <w:r>
              <w:rPr>
                <w:rFonts w:hint="eastAsia"/>
                <w:b/>
                <w:color w:val="auto"/>
                <w:sz w:val="24"/>
                <w:szCs w:val="24"/>
                <w:highlight w:val="none"/>
              </w:rPr>
              <w:t>环境质量现状</w:t>
            </w:r>
            <w:bookmarkEnd w:id="43"/>
            <w:bookmarkEnd w:id="44"/>
          </w:p>
          <w:p w14:paraId="03849303">
            <w:pPr>
              <w:numPr>
                <w:ilvl w:val="0"/>
                <w:numId w:val="0"/>
              </w:numPr>
              <w:adjustRightInd w:val="0"/>
              <w:snapToGrid w:val="0"/>
              <w:spacing w:line="360" w:lineRule="auto"/>
              <w:ind w:firstLine="480" w:firstLineChars="200"/>
              <w:outlineLvl w:val="1"/>
              <w:rPr>
                <w:rFonts w:hint="eastAsia" w:ascii="Times New Roman" w:hAnsi="Times New Roman" w:eastAsia="宋体" w:cs="Times New Roman"/>
                <w:color w:val="auto"/>
                <w:kern w:val="2"/>
                <w:sz w:val="24"/>
                <w:szCs w:val="21"/>
                <w:highlight w:val="none"/>
                <w:lang w:val="en-US" w:eastAsia="zh-CN" w:bidi="ar-SA"/>
              </w:rPr>
            </w:pPr>
            <w:bookmarkStart w:id="45" w:name="_Toc26689"/>
            <w:bookmarkStart w:id="46" w:name="_Toc15772"/>
            <w:r>
              <w:rPr>
                <w:rFonts w:hint="eastAsia" w:ascii="Times New Roman" w:hAnsi="Times New Roman" w:eastAsia="宋体" w:cs="Times New Roman"/>
                <w:color w:val="auto"/>
                <w:kern w:val="2"/>
                <w:sz w:val="24"/>
                <w:szCs w:val="21"/>
                <w:highlight w:val="none"/>
                <w:lang w:val="en-US" w:eastAsia="zh-CN" w:bidi="ar-SA"/>
              </w:rPr>
              <w:t>根据</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环境影响评价技术导则土壤环境（试行）（H964-2018）</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附录A，本项目为“环境和公共设施管理业”中的“危险废物利用及处置”项目，属于Ⅰ类项目，占地规模属于小型</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≤5hm</w:t>
            </w:r>
            <w:r>
              <w:rPr>
                <w:rFonts w:hint="eastAsia" w:ascii="Times New Roman" w:hAnsi="Times New Roman" w:eastAsia="宋体" w:cs="Times New Roman"/>
                <w:color w:val="auto"/>
                <w:kern w:val="2"/>
                <w:sz w:val="24"/>
                <w:szCs w:val="21"/>
                <w:highlight w:val="none"/>
                <w:vertAlign w:val="superscript"/>
                <w:lang w:val="en-US" w:eastAsia="zh-CN" w:bidi="ar-SA"/>
              </w:rPr>
              <w:t>2</w:t>
            </w:r>
            <w:r>
              <w:rPr>
                <w:rFonts w:hint="eastAsia" w:ascii="Times New Roman" w:hAnsi="Times New Roman" w:eastAsia="宋体" w:cs="Times New Roman"/>
                <w:color w:val="auto"/>
                <w:kern w:val="2"/>
                <w:sz w:val="24"/>
                <w:szCs w:val="21"/>
                <w:highlight w:val="none"/>
                <w:lang w:val="en-US" w:eastAsia="zh-CN" w:bidi="ar-SA"/>
              </w:rPr>
              <w:t>），项目区土壤敏感程度为不敏感。本项目土壤评价等级为二级。评价范围为项目占地范围内及占地范围外200m范围内。</w:t>
            </w:r>
            <w:bookmarkEnd w:id="45"/>
            <w:bookmarkEnd w:id="46"/>
          </w:p>
          <w:p w14:paraId="55975891">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kern w:val="2"/>
                <w:sz w:val="24"/>
                <w:szCs w:val="21"/>
                <w:highlight w:val="none"/>
                <w:lang w:val="en-US" w:eastAsia="zh-CN" w:bidi="ar-SA"/>
              </w:rPr>
              <w:t>为了解项目所在区域土壤环境质量情况，本项目土壤环境质量其中建设用地中重金属和无机物：砷、镉、铬（六价）、铜、铅、汞、镍、锑、铍、钴、钒、石油烃</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C</w:t>
            </w:r>
            <w:r>
              <w:rPr>
                <w:rFonts w:hint="eastAsia" w:ascii="Times New Roman" w:hAnsi="Times New Roman" w:eastAsia="宋体" w:cs="Times New Roman"/>
                <w:color w:val="auto"/>
                <w:kern w:val="2"/>
                <w:sz w:val="24"/>
                <w:szCs w:val="21"/>
                <w:highlight w:val="none"/>
                <w:vertAlign w:val="subscript"/>
                <w:lang w:val="en-US" w:eastAsia="zh-CN" w:bidi="ar-SA"/>
              </w:rPr>
              <w:t>10</w:t>
            </w:r>
            <w:r>
              <w:rPr>
                <w:rFonts w:hint="eastAsia" w:ascii="Times New Roman" w:hAnsi="Times New Roman" w:eastAsia="宋体" w:cs="Times New Roman"/>
                <w:color w:val="auto"/>
                <w:kern w:val="2"/>
                <w:sz w:val="24"/>
                <w:szCs w:val="21"/>
                <w:highlight w:val="none"/>
                <w:lang w:val="en-US" w:eastAsia="zh-CN" w:bidi="ar-SA"/>
              </w:rPr>
              <w:t>-C</w:t>
            </w:r>
            <w:r>
              <w:rPr>
                <w:rFonts w:hint="eastAsia" w:ascii="Times New Roman" w:hAnsi="Times New Roman" w:eastAsia="宋体" w:cs="Times New Roman"/>
                <w:color w:val="auto"/>
                <w:kern w:val="2"/>
                <w:sz w:val="24"/>
                <w:szCs w:val="21"/>
                <w:highlight w:val="none"/>
                <w:vertAlign w:val="subscript"/>
                <w:lang w:val="en-US" w:eastAsia="zh-CN" w:bidi="ar-SA"/>
              </w:rPr>
              <w:t>40</w:t>
            </w:r>
            <w:r>
              <w:rPr>
                <w:rFonts w:hint="eastAsia" w:cs="Times New Roman"/>
                <w:color w:val="auto"/>
                <w:kern w:val="2"/>
                <w:sz w:val="24"/>
                <w:szCs w:val="21"/>
                <w:highlight w:val="none"/>
                <w:vertAlign w:val="subscript"/>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、铊、锰、锌、有效钼、硒16项监测因子引用陕西中研华亿环境检测有限公司，2023年11月3日在本项目厂区进行的</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2023年度土壤自行监测报告</w:t>
            </w:r>
            <w:r>
              <w:rPr>
                <w:rFonts w:hint="eastAsia" w:ascii="Times New Roman" w:hAnsi="Times New Roman" w:eastAsia="宋体" w:cs="Times New Roman"/>
                <w:color w:val="auto"/>
                <w:sz w:val="24"/>
                <w:highlight w:val="none"/>
                <w:lang w:eastAsia="zh-CN"/>
              </w:rPr>
              <w:t>》（中研华亿监[综]第202311046号）</w:t>
            </w:r>
            <w:r>
              <w:rPr>
                <w:rFonts w:hint="eastAsia" w:ascii="Times New Roman" w:hAnsi="Times New Roman" w:eastAsia="宋体" w:cs="Times New Roman"/>
                <w:color w:val="auto"/>
                <w:kern w:val="2"/>
                <w:sz w:val="24"/>
                <w:szCs w:val="21"/>
                <w:highlight w:val="none"/>
                <w:lang w:val="en-US" w:eastAsia="zh-CN" w:bidi="ar-SA"/>
              </w:rPr>
              <w:t>监测数据</w:t>
            </w:r>
            <w:r>
              <w:rPr>
                <w:rFonts w:hint="eastAsia" w:cs="Times New Roman"/>
                <w:color w:val="auto"/>
                <w:kern w:val="2"/>
                <w:sz w:val="24"/>
                <w:szCs w:val="21"/>
                <w:highlight w:val="none"/>
                <w:lang w:val="en-US" w:eastAsia="zh-CN" w:bidi="ar-SA"/>
              </w:rPr>
              <w:t>进行</w:t>
            </w:r>
            <w:r>
              <w:rPr>
                <w:rFonts w:hint="eastAsia" w:ascii="Times New Roman" w:hAnsi="Times New Roman" w:eastAsia="宋体" w:cs="Times New Roman"/>
                <w:color w:val="auto"/>
                <w:kern w:val="2"/>
                <w:sz w:val="24"/>
                <w:szCs w:val="21"/>
                <w:highlight w:val="none"/>
                <w:lang w:val="en-US" w:eastAsia="zh-CN" w:bidi="ar-SA"/>
              </w:rPr>
              <w:t>分析；其余</w:t>
            </w:r>
            <w:r>
              <w:rPr>
                <w:rFonts w:hint="eastAsia" w:ascii="Times New Roman" w:hAnsi="Times New Roman" w:eastAsia="宋体" w:cs="Times New Roman"/>
                <w:color w:val="auto"/>
                <w:sz w:val="24"/>
                <w:highlight w:val="none"/>
                <w:lang w:eastAsia="zh-CN"/>
              </w:rPr>
              <w:t>引用本公司《4万吨/年有机溶剂等废物资源化综合利用项目环境影响报告书》中厂区占地范围内及厂区范围外</w:t>
            </w:r>
            <w:r>
              <w:rPr>
                <w:rFonts w:hint="eastAsia" w:ascii="Times New Roman" w:hAnsi="Times New Roman" w:eastAsia="宋体" w:cs="Times New Roman"/>
                <w:color w:val="auto"/>
                <w:sz w:val="24"/>
                <w:highlight w:val="none"/>
                <w:lang w:val="en-US" w:eastAsia="zh-CN"/>
              </w:rPr>
              <w:t>11</w:t>
            </w:r>
            <w:r>
              <w:rPr>
                <w:rFonts w:hint="eastAsia" w:ascii="Times New Roman" w:hAnsi="Times New Roman" w:eastAsia="宋体" w:cs="Times New Roman"/>
                <w:color w:val="auto"/>
                <w:sz w:val="24"/>
                <w:highlight w:val="none"/>
                <w:lang w:eastAsia="zh-CN"/>
              </w:rPr>
              <w:t>处监测点位监测数据进行分析。监测单位为陕西国源环境检测技术有限公司，监测时间为2021年11月22日，监测结果见表3-</w:t>
            </w:r>
            <w:r>
              <w:rPr>
                <w:rFonts w:hint="eastAsia" w:ascii="Times New Roman" w:hAnsi="Times New Roman" w:eastAsia="宋体" w:cs="Times New Roman"/>
                <w:color w:val="auto"/>
                <w:sz w:val="24"/>
                <w:highlight w:val="none"/>
                <w:lang w:val="en-US" w:eastAsia="zh-CN"/>
              </w:rPr>
              <w:t>4、3-5</w:t>
            </w:r>
            <w:r>
              <w:rPr>
                <w:rFonts w:hint="eastAsia" w:ascii="Times New Roman" w:hAnsi="Times New Roman" w:eastAsia="宋体" w:cs="Times New Roman"/>
                <w:color w:val="auto"/>
                <w:sz w:val="24"/>
                <w:highlight w:val="none"/>
                <w:lang w:eastAsia="zh-CN"/>
              </w:rPr>
              <w:t>，具体布点图详见图</w:t>
            </w:r>
            <w:r>
              <w:rPr>
                <w:rFonts w:hint="eastAsia" w:ascii="Times New Roman" w:hAnsi="Times New Roman" w:eastAsia="宋体" w:cs="Times New Roman"/>
                <w:color w:val="auto"/>
                <w:sz w:val="24"/>
                <w:highlight w:val="none"/>
                <w:lang w:val="en-US" w:eastAsia="zh-CN"/>
              </w:rPr>
              <w:t>3-3</w:t>
            </w:r>
            <w:r>
              <w:rPr>
                <w:rFonts w:hint="eastAsia" w:ascii="Times New Roman" w:hAnsi="Times New Roman" w:eastAsia="宋体" w:cs="Times New Roman"/>
                <w:color w:val="auto"/>
                <w:sz w:val="24"/>
                <w:highlight w:val="none"/>
                <w:lang w:eastAsia="zh-CN"/>
              </w:rPr>
              <w:t>、监测报告见附件</w:t>
            </w:r>
            <w:r>
              <w:rPr>
                <w:rFonts w:hint="eastAsia"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eastAsia="zh-CN"/>
              </w:rPr>
              <w:t>。</w:t>
            </w:r>
          </w:p>
          <w:p w14:paraId="217E26D2">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表3-4土壤监测结果</w:t>
            </w:r>
          </w:p>
          <w:tbl>
            <w:tblPr>
              <w:tblStyle w:val="189"/>
              <w:tblW w:w="8400"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26"/>
              <w:gridCol w:w="963"/>
              <w:gridCol w:w="826"/>
              <w:gridCol w:w="766"/>
              <w:gridCol w:w="983"/>
              <w:gridCol w:w="924"/>
              <w:gridCol w:w="1042"/>
              <w:gridCol w:w="1030"/>
            </w:tblGrid>
            <w:tr w14:paraId="10BB4C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8400" w:type="dxa"/>
                  <w:gridSpan w:val="9"/>
                  <w:tcBorders>
                    <w:tl2br w:val="nil"/>
                    <w:tr2bl w:val="nil"/>
                  </w:tcBorders>
                  <w:vAlign w:val="center"/>
                </w:tcPr>
                <w:p w14:paraId="4646F496">
                  <w:pPr>
                    <w:spacing w:line="240" w:lineRule="auto"/>
                    <w:jc w:val="center"/>
                    <w:rPr>
                      <w:rFonts w:hint="eastAsia"/>
                      <w:color w:val="auto"/>
                      <w:highlight w:val="none"/>
                      <w:lang w:val="en-US" w:eastAsia="zh-CN"/>
                    </w:rPr>
                  </w:pPr>
                  <w:r>
                    <w:rPr>
                      <w:rFonts w:hint="eastAsia"/>
                      <w:b/>
                      <w:bCs/>
                      <w:color w:val="auto"/>
                      <w:highlight w:val="none"/>
                      <w:lang w:val="en-US" w:eastAsia="zh-CN"/>
                    </w:rPr>
                    <w:t>土壤监测结果</w:t>
                  </w:r>
                </w:p>
              </w:tc>
            </w:tr>
            <w:tr w14:paraId="786E7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040" w:type="dxa"/>
                  <w:tcBorders>
                    <w:tl2br w:val="nil"/>
                    <w:tr2bl w:val="nil"/>
                  </w:tcBorders>
                  <w:vAlign w:val="center"/>
                </w:tcPr>
                <w:p w14:paraId="12A2D8A1">
                  <w:pPr>
                    <w:spacing w:line="240" w:lineRule="auto"/>
                    <w:jc w:val="center"/>
                    <w:rPr>
                      <w:rFonts w:hint="eastAsia"/>
                      <w:b/>
                      <w:bCs/>
                      <w:color w:val="auto"/>
                      <w:highlight w:val="none"/>
                      <w:lang w:val="en-US" w:eastAsia="zh-CN"/>
                    </w:rPr>
                  </w:pPr>
                  <w:r>
                    <w:rPr>
                      <w:rFonts w:hint="eastAsia"/>
                      <w:b/>
                      <w:bCs/>
                      <w:color w:val="auto"/>
                      <w:highlight w:val="none"/>
                      <w:lang w:val="en-US" w:eastAsia="zh-CN"/>
                    </w:rPr>
                    <w:t>监测项目</w:t>
                  </w:r>
                </w:p>
              </w:tc>
              <w:tc>
                <w:tcPr>
                  <w:tcW w:w="826" w:type="dxa"/>
                  <w:tcBorders>
                    <w:tl2br w:val="nil"/>
                    <w:tr2bl w:val="nil"/>
                  </w:tcBorders>
                  <w:vAlign w:val="center"/>
                </w:tcPr>
                <w:p w14:paraId="4652E660">
                  <w:pPr>
                    <w:spacing w:line="240" w:lineRule="auto"/>
                    <w:jc w:val="center"/>
                    <w:rPr>
                      <w:rFonts w:hint="eastAsia"/>
                      <w:b/>
                      <w:bCs/>
                      <w:color w:val="auto"/>
                      <w:highlight w:val="none"/>
                      <w:lang w:val="en-US" w:eastAsia="zh-CN"/>
                    </w:rPr>
                  </w:pPr>
                  <w:r>
                    <w:rPr>
                      <w:rFonts w:hint="eastAsia"/>
                      <w:b/>
                      <w:bCs/>
                      <w:color w:val="auto"/>
                      <w:highlight w:val="none"/>
                      <w:lang w:val="en-US" w:eastAsia="zh-CN"/>
                    </w:rPr>
                    <w:t>单位</w:t>
                  </w:r>
                </w:p>
              </w:tc>
              <w:tc>
                <w:tcPr>
                  <w:tcW w:w="963" w:type="dxa"/>
                  <w:tcBorders>
                    <w:tl2br w:val="nil"/>
                    <w:tr2bl w:val="nil"/>
                  </w:tcBorders>
                  <w:vAlign w:val="center"/>
                </w:tcPr>
                <w:p w14:paraId="1D715729">
                  <w:pPr>
                    <w:spacing w:line="240" w:lineRule="auto"/>
                    <w:jc w:val="center"/>
                    <w:rPr>
                      <w:rFonts w:hint="eastAsia"/>
                      <w:b/>
                      <w:bCs/>
                      <w:color w:val="auto"/>
                      <w:highlight w:val="none"/>
                      <w:lang w:val="en-US" w:eastAsia="zh-CN"/>
                    </w:rPr>
                  </w:pPr>
                  <w:r>
                    <w:rPr>
                      <w:rFonts w:hint="eastAsia"/>
                      <w:b/>
                      <w:bCs/>
                      <w:color w:val="auto"/>
                      <w:highlight w:val="none"/>
                      <w:lang w:val="en-US" w:eastAsia="zh-CN"/>
                    </w:rPr>
                    <w:t>北厂界外1米</w:t>
                  </w:r>
                </w:p>
              </w:tc>
              <w:tc>
                <w:tcPr>
                  <w:tcW w:w="826" w:type="dxa"/>
                  <w:tcBorders>
                    <w:tl2br w:val="nil"/>
                    <w:tr2bl w:val="nil"/>
                  </w:tcBorders>
                  <w:vAlign w:val="center"/>
                </w:tcPr>
                <w:p w14:paraId="4BE92FFA">
                  <w:pPr>
                    <w:spacing w:line="240" w:lineRule="auto"/>
                    <w:jc w:val="center"/>
                    <w:rPr>
                      <w:rFonts w:hint="eastAsia"/>
                      <w:b/>
                      <w:bCs/>
                      <w:color w:val="auto"/>
                      <w:highlight w:val="none"/>
                      <w:lang w:val="en-US" w:eastAsia="zh-CN"/>
                    </w:rPr>
                  </w:pPr>
                  <w:r>
                    <w:rPr>
                      <w:rFonts w:hint="eastAsia"/>
                      <w:b/>
                      <w:bCs/>
                      <w:color w:val="auto"/>
                      <w:highlight w:val="none"/>
                      <w:lang w:val="en-US" w:eastAsia="zh-CN"/>
                    </w:rPr>
                    <w:t>储存罐北</w:t>
                  </w:r>
                </w:p>
              </w:tc>
              <w:tc>
                <w:tcPr>
                  <w:tcW w:w="766" w:type="dxa"/>
                  <w:tcBorders>
                    <w:tl2br w:val="nil"/>
                    <w:tr2bl w:val="nil"/>
                  </w:tcBorders>
                  <w:vAlign w:val="center"/>
                </w:tcPr>
                <w:p w14:paraId="565DAE5C">
                  <w:pPr>
                    <w:spacing w:line="240" w:lineRule="auto"/>
                    <w:jc w:val="center"/>
                    <w:rPr>
                      <w:rFonts w:hint="eastAsia"/>
                      <w:b/>
                      <w:bCs/>
                      <w:color w:val="auto"/>
                      <w:highlight w:val="none"/>
                      <w:lang w:val="en-US" w:eastAsia="zh-CN"/>
                    </w:rPr>
                  </w:pPr>
                  <w:r>
                    <w:rPr>
                      <w:rFonts w:hint="eastAsia"/>
                      <w:b/>
                      <w:bCs/>
                      <w:color w:val="auto"/>
                      <w:highlight w:val="none"/>
                      <w:lang w:val="en-US" w:eastAsia="zh-CN"/>
                    </w:rPr>
                    <w:t>储存罐南</w:t>
                  </w:r>
                </w:p>
              </w:tc>
              <w:tc>
                <w:tcPr>
                  <w:tcW w:w="983" w:type="dxa"/>
                  <w:tcBorders>
                    <w:tl2br w:val="nil"/>
                    <w:tr2bl w:val="nil"/>
                  </w:tcBorders>
                  <w:vAlign w:val="center"/>
                </w:tcPr>
                <w:p w14:paraId="56BC8BD9">
                  <w:pPr>
                    <w:spacing w:line="240" w:lineRule="auto"/>
                    <w:jc w:val="center"/>
                    <w:rPr>
                      <w:rFonts w:hint="eastAsia"/>
                      <w:b/>
                      <w:bCs/>
                      <w:color w:val="auto"/>
                      <w:highlight w:val="none"/>
                      <w:lang w:val="en-US" w:eastAsia="zh-CN"/>
                    </w:rPr>
                  </w:pPr>
                  <w:r>
                    <w:rPr>
                      <w:b/>
                      <w:bCs/>
                      <w:color w:val="auto"/>
                      <w:highlight w:val="none"/>
                    </w:rPr>
                    <w:t>油泥处置及清洗车间东侧</w:t>
                  </w:r>
                </w:p>
              </w:tc>
              <w:tc>
                <w:tcPr>
                  <w:tcW w:w="924" w:type="dxa"/>
                  <w:tcBorders>
                    <w:tl2br w:val="nil"/>
                    <w:tr2bl w:val="nil"/>
                  </w:tcBorders>
                  <w:vAlign w:val="center"/>
                </w:tcPr>
                <w:p w14:paraId="41954AA1">
                  <w:pPr>
                    <w:spacing w:line="240" w:lineRule="auto"/>
                    <w:jc w:val="center"/>
                    <w:rPr>
                      <w:rFonts w:hint="eastAsia"/>
                      <w:b/>
                      <w:bCs/>
                      <w:color w:val="auto"/>
                      <w:highlight w:val="none"/>
                      <w:lang w:val="en-US" w:eastAsia="zh-CN"/>
                    </w:rPr>
                  </w:pPr>
                  <w:r>
                    <w:rPr>
                      <w:b/>
                      <w:bCs/>
                      <w:color w:val="auto"/>
                      <w:highlight w:val="none"/>
                    </w:rPr>
                    <w:t>油泥池及事故池东侧</w:t>
                  </w:r>
                </w:p>
              </w:tc>
              <w:tc>
                <w:tcPr>
                  <w:tcW w:w="1042" w:type="dxa"/>
                  <w:tcBorders>
                    <w:tl2br w:val="nil"/>
                    <w:tr2bl w:val="nil"/>
                  </w:tcBorders>
                  <w:vAlign w:val="center"/>
                </w:tcPr>
                <w:p w14:paraId="0FA07635">
                  <w:pPr>
                    <w:spacing w:line="240" w:lineRule="auto"/>
                    <w:jc w:val="center"/>
                    <w:rPr>
                      <w:rFonts w:hint="eastAsia"/>
                      <w:b/>
                      <w:bCs/>
                      <w:color w:val="auto"/>
                      <w:highlight w:val="none"/>
                      <w:lang w:val="en-US" w:eastAsia="zh-CN"/>
                    </w:rPr>
                  </w:pPr>
                  <w:r>
                    <w:rPr>
                      <w:b/>
                      <w:bCs/>
                      <w:color w:val="auto"/>
                      <w:highlight w:val="none"/>
                    </w:rPr>
                    <w:t>常减压装置区初期雨水收集池北侧</w:t>
                  </w:r>
                </w:p>
              </w:tc>
              <w:tc>
                <w:tcPr>
                  <w:tcW w:w="1030" w:type="dxa"/>
                  <w:tcBorders>
                    <w:tl2br w:val="nil"/>
                    <w:tr2bl w:val="nil"/>
                  </w:tcBorders>
                  <w:vAlign w:val="center"/>
                </w:tcPr>
                <w:p w14:paraId="702CE899">
                  <w:pPr>
                    <w:spacing w:line="240" w:lineRule="auto"/>
                    <w:jc w:val="center"/>
                    <w:rPr>
                      <w:rFonts w:hint="eastAsia"/>
                      <w:b/>
                      <w:bCs/>
                      <w:color w:val="auto"/>
                      <w:highlight w:val="none"/>
                      <w:lang w:val="en-US" w:eastAsia="zh-CN"/>
                    </w:rPr>
                  </w:pPr>
                  <w:r>
                    <w:rPr>
                      <w:rFonts w:hint="eastAsia"/>
                      <w:b/>
                      <w:bCs/>
                      <w:color w:val="auto"/>
                      <w:highlight w:val="none"/>
                      <w:lang w:val="en-US" w:eastAsia="zh-CN"/>
                    </w:rPr>
                    <w:t>标准限值</w:t>
                  </w:r>
                </w:p>
              </w:tc>
            </w:tr>
            <w:tr w14:paraId="53352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2821F54C">
                  <w:pPr>
                    <w:spacing w:line="240" w:lineRule="auto"/>
                    <w:jc w:val="center"/>
                    <w:rPr>
                      <w:rFonts w:hint="eastAsia"/>
                      <w:color w:val="auto"/>
                      <w:highlight w:val="none"/>
                      <w:lang w:val="en-US" w:eastAsia="zh-CN"/>
                    </w:rPr>
                  </w:pPr>
                  <w:r>
                    <w:rPr>
                      <w:rFonts w:hint="eastAsia"/>
                      <w:color w:val="auto"/>
                      <w:highlight w:val="none"/>
                      <w:lang w:val="en-US" w:eastAsia="zh-CN"/>
                    </w:rPr>
                    <w:t>砷</w:t>
                  </w:r>
                </w:p>
              </w:tc>
              <w:tc>
                <w:tcPr>
                  <w:tcW w:w="826" w:type="dxa"/>
                  <w:tcBorders>
                    <w:tl2br w:val="nil"/>
                    <w:tr2bl w:val="nil"/>
                  </w:tcBorders>
                  <w:vAlign w:val="center"/>
                </w:tcPr>
                <w:p w14:paraId="352FF1CB">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0F8BF0BB">
                  <w:pPr>
                    <w:spacing w:line="240" w:lineRule="auto"/>
                    <w:jc w:val="center"/>
                    <w:rPr>
                      <w:rFonts w:hint="eastAsia"/>
                      <w:color w:val="auto"/>
                      <w:highlight w:val="none"/>
                      <w:lang w:val="en-US" w:eastAsia="zh-CN"/>
                    </w:rPr>
                  </w:pPr>
                  <w:r>
                    <w:rPr>
                      <w:rFonts w:hint="eastAsia"/>
                      <w:color w:val="auto"/>
                      <w:highlight w:val="none"/>
                      <w:lang w:val="en-US" w:eastAsia="zh-CN"/>
                    </w:rPr>
                    <w:t>14.2</w:t>
                  </w:r>
                </w:p>
              </w:tc>
              <w:tc>
                <w:tcPr>
                  <w:tcW w:w="826" w:type="dxa"/>
                  <w:tcBorders>
                    <w:tl2br w:val="nil"/>
                    <w:tr2bl w:val="nil"/>
                  </w:tcBorders>
                  <w:vAlign w:val="center"/>
                </w:tcPr>
                <w:p w14:paraId="28E692E3">
                  <w:pPr>
                    <w:spacing w:line="240" w:lineRule="auto"/>
                    <w:jc w:val="center"/>
                    <w:rPr>
                      <w:rFonts w:hint="eastAsia"/>
                      <w:color w:val="auto"/>
                      <w:highlight w:val="none"/>
                      <w:lang w:val="en-US" w:eastAsia="zh-CN"/>
                    </w:rPr>
                  </w:pPr>
                  <w:r>
                    <w:rPr>
                      <w:rFonts w:hint="eastAsia"/>
                      <w:color w:val="auto"/>
                      <w:highlight w:val="none"/>
                      <w:lang w:val="en-US" w:eastAsia="zh-CN"/>
                    </w:rPr>
                    <w:t>13.4</w:t>
                  </w:r>
                </w:p>
              </w:tc>
              <w:tc>
                <w:tcPr>
                  <w:tcW w:w="766" w:type="dxa"/>
                  <w:tcBorders>
                    <w:tl2br w:val="nil"/>
                    <w:tr2bl w:val="nil"/>
                  </w:tcBorders>
                  <w:vAlign w:val="center"/>
                </w:tcPr>
                <w:p w14:paraId="411C43F6">
                  <w:pPr>
                    <w:spacing w:line="240" w:lineRule="auto"/>
                    <w:jc w:val="center"/>
                    <w:rPr>
                      <w:rFonts w:hint="eastAsia"/>
                      <w:color w:val="auto"/>
                      <w:highlight w:val="none"/>
                      <w:lang w:val="en-US" w:eastAsia="zh-CN"/>
                    </w:rPr>
                  </w:pPr>
                  <w:r>
                    <w:rPr>
                      <w:rFonts w:hint="eastAsia"/>
                      <w:color w:val="auto"/>
                      <w:highlight w:val="none"/>
                      <w:lang w:val="en-US" w:eastAsia="zh-CN"/>
                    </w:rPr>
                    <w:t>14.5</w:t>
                  </w:r>
                </w:p>
              </w:tc>
              <w:tc>
                <w:tcPr>
                  <w:tcW w:w="983" w:type="dxa"/>
                  <w:tcBorders>
                    <w:tl2br w:val="nil"/>
                    <w:tr2bl w:val="nil"/>
                  </w:tcBorders>
                  <w:vAlign w:val="center"/>
                </w:tcPr>
                <w:p w14:paraId="4CCBBD34">
                  <w:pPr>
                    <w:spacing w:line="240" w:lineRule="auto"/>
                    <w:jc w:val="center"/>
                    <w:rPr>
                      <w:rFonts w:hint="eastAsia"/>
                      <w:color w:val="auto"/>
                      <w:highlight w:val="none"/>
                      <w:lang w:val="en-US" w:eastAsia="zh-CN"/>
                    </w:rPr>
                  </w:pPr>
                  <w:r>
                    <w:rPr>
                      <w:color w:val="auto"/>
                      <w:highlight w:val="none"/>
                    </w:rPr>
                    <w:t>13.5</w:t>
                  </w:r>
                </w:p>
              </w:tc>
              <w:tc>
                <w:tcPr>
                  <w:tcW w:w="924" w:type="dxa"/>
                  <w:tcBorders>
                    <w:tl2br w:val="nil"/>
                    <w:tr2bl w:val="nil"/>
                  </w:tcBorders>
                  <w:vAlign w:val="center"/>
                </w:tcPr>
                <w:p w14:paraId="1D10B0C4">
                  <w:pPr>
                    <w:spacing w:line="240" w:lineRule="auto"/>
                    <w:jc w:val="center"/>
                    <w:rPr>
                      <w:rFonts w:hint="eastAsia"/>
                      <w:color w:val="auto"/>
                      <w:highlight w:val="none"/>
                      <w:lang w:val="en-US" w:eastAsia="zh-CN"/>
                    </w:rPr>
                  </w:pPr>
                  <w:r>
                    <w:rPr>
                      <w:color w:val="auto"/>
                      <w:highlight w:val="none"/>
                    </w:rPr>
                    <w:t>14.4</w:t>
                  </w:r>
                </w:p>
              </w:tc>
              <w:tc>
                <w:tcPr>
                  <w:tcW w:w="1042" w:type="dxa"/>
                  <w:tcBorders>
                    <w:tl2br w:val="nil"/>
                    <w:tr2bl w:val="nil"/>
                  </w:tcBorders>
                  <w:vAlign w:val="center"/>
                </w:tcPr>
                <w:p w14:paraId="2EA4795E">
                  <w:pPr>
                    <w:spacing w:line="240" w:lineRule="auto"/>
                    <w:jc w:val="center"/>
                    <w:rPr>
                      <w:rFonts w:hint="eastAsia"/>
                      <w:color w:val="auto"/>
                      <w:highlight w:val="none"/>
                      <w:lang w:val="en-US" w:eastAsia="zh-CN"/>
                    </w:rPr>
                  </w:pPr>
                  <w:r>
                    <w:rPr>
                      <w:color w:val="auto"/>
                      <w:highlight w:val="none"/>
                    </w:rPr>
                    <w:t>14.2</w:t>
                  </w:r>
                </w:p>
              </w:tc>
              <w:tc>
                <w:tcPr>
                  <w:tcW w:w="1030" w:type="dxa"/>
                  <w:tcBorders>
                    <w:tl2br w:val="nil"/>
                    <w:tr2bl w:val="nil"/>
                  </w:tcBorders>
                  <w:vAlign w:val="center"/>
                </w:tcPr>
                <w:p w14:paraId="6829C0F2">
                  <w:pPr>
                    <w:spacing w:line="240" w:lineRule="auto"/>
                    <w:jc w:val="center"/>
                    <w:rPr>
                      <w:rFonts w:hint="eastAsia"/>
                      <w:color w:val="auto"/>
                      <w:highlight w:val="none"/>
                      <w:lang w:val="en-US" w:eastAsia="zh-CN"/>
                    </w:rPr>
                  </w:pPr>
                  <w:r>
                    <w:rPr>
                      <w:rFonts w:hint="eastAsia"/>
                      <w:color w:val="auto"/>
                      <w:highlight w:val="none"/>
                      <w:lang w:val="en-US" w:eastAsia="zh-CN"/>
                    </w:rPr>
                    <w:t>60</w:t>
                  </w:r>
                </w:p>
              </w:tc>
            </w:tr>
            <w:tr w14:paraId="0AD3C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1BF57E9D">
                  <w:pPr>
                    <w:spacing w:line="240" w:lineRule="auto"/>
                    <w:jc w:val="center"/>
                    <w:rPr>
                      <w:rFonts w:hint="eastAsia"/>
                      <w:color w:val="auto"/>
                      <w:highlight w:val="none"/>
                      <w:lang w:val="en-US" w:eastAsia="zh-CN"/>
                    </w:rPr>
                  </w:pPr>
                  <w:r>
                    <w:rPr>
                      <w:rFonts w:hint="eastAsia"/>
                      <w:color w:val="auto"/>
                      <w:highlight w:val="none"/>
                      <w:lang w:val="en-US" w:eastAsia="zh-CN"/>
                    </w:rPr>
                    <w:t>镉</w:t>
                  </w:r>
                </w:p>
              </w:tc>
              <w:tc>
                <w:tcPr>
                  <w:tcW w:w="826" w:type="dxa"/>
                  <w:tcBorders>
                    <w:tl2br w:val="nil"/>
                    <w:tr2bl w:val="nil"/>
                  </w:tcBorders>
                  <w:vAlign w:val="center"/>
                </w:tcPr>
                <w:p w14:paraId="13080269">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3E1004CB">
                  <w:pPr>
                    <w:spacing w:line="240" w:lineRule="auto"/>
                    <w:jc w:val="center"/>
                    <w:rPr>
                      <w:rFonts w:hint="eastAsia"/>
                      <w:color w:val="auto"/>
                      <w:highlight w:val="none"/>
                      <w:lang w:val="en-US" w:eastAsia="zh-CN"/>
                    </w:rPr>
                  </w:pPr>
                  <w:r>
                    <w:rPr>
                      <w:rFonts w:hint="eastAsia"/>
                      <w:color w:val="auto"/>
                      <w:highlight w:val="none"/>
                      <w:lang w:val="en-US" w:eastAsia="zh-CN"/>
                    </w:rPr>
                    <w:t>0.54</w:t>
                  </w:r>
                </w:p>
              </w:tc>
              <w:tc>
                <w:tcPr>
                  <w:tcW w:w="826" w:type="dxa"/>
                  <w:tcBorders>
                    <w:tl2br w:val="nil"/>
                    <w:tr2bl w:val="nil"/>
                  </w:tcBorders>
                  <w:vAlign w:val="center"/>
                </w:tcPr>
                <w:p w14:paraId="112639F8">
                  <w:pPr>
                    <w:spacing w:line="240" w:lineRule="auto"/>
                    <w:jc w:val="center"/>
                    <w:rPr>
                      <w:rFonts w:hint="eastAsia"/>
                      <w:color w:val="auto"/>
                      <w:highlight w:val="none"/>
                      <w:lang w:val="en-US" w:eastAsia="zh-CN"/>
                    </w:rPr>
                  </w:pPr>
                  <w:r>
                    <w:rPr>
                      <w:rFonts w:hint="eastAsia"/>
                      <w:color w:val="auto"/>
                      <w:highlight w:val="none"/>
                      <w:lang w:val="en-US" w:eastAsia="zh-CN"/>
                    </w:rPr>
                    <w:t>0.50</w:t>
                  </w:r>
                </w:p>
              </w:tc>
              <w:tc>
                <w:tcPr>
                  <w:tcW w:w="766" w:type="dxa"/>
                  <w:tcBorders>
                    <w:tl2br w:val="nil"/>
                    <w:tr2bl w:val="nil"/>
                  </w:tcBorders>
                  <w:vAlign w:val="center"/>
                </w:tcPr>
                <w:p w14:paraId="30BB63C1">
                  <w:pPr>
                    <w:spacing w:line="240" w:lineRule="auto"/>
                    <w:jc w:val="center"/>
                    <w:rPr>
                      <w:rFonts w:hint="eastAsia"/>
                      <w:color w:val="auto"/>
                      <w:highlight w:val="none"/>
                      <w:lang w:val="en-US" w:eastAsia="zh-CN"/>
                    </w:rPr>
                  </w:pPr>
                  <w:r>
                    <w:rPr>
                      <w:rFonts w:hint="eastAsia"/>
                      <w:color w:val="auto"/>
                      <w:highlight w:val="none"/>
                      <w:lang w:val="en-US" w:eastAsia="zh-CN"/>
                    </w:rPr>
                    <w:t>0.57</w:t>
                  </w:r>
                </w:p>
              </w:tc>
              <w:tc>
                <w:tcPr>
                  <w:tcW w:w="983" w:type="dxa"/>
                  <w:tcBorders>
                    <w:tl2br w:val="nil"/>
                    <w:tr2bl w:val="nil"/>
                  </w:tcBorders>
                  <w:vAlign w:val="center"/>
                </w:tcPr>
                <w:p w14:paraId="6350D76D">
                  <w:pPr>
                    <w:spacing w:line="240" w:lineRule="auto"/>
                    <w:jc w:val="center"/>
                    <w:rPr>
                      <w:rFonts w:hint="eastAsia"/>
                      <w:color w:val="auto"/>
                      <w:highlight w:val="none"/>
                      <w:lang w:val="en-US" w:eastAsia="zh-CN"/>
                    </w:rPr>
                  </w:pPr>
                  <w:r>
                    <w:rPr>
                      <w:color w:val="auto"/>
                      <w:highlight w:val="none"/>
                    </w:rPr>
                    <w:t>0.39</w:t>
                  </w:r>
                </w:p>
              </w:tc>
              <w:tc>
                <w:tcPr>
                  <w:tcW w:w="924" w:type="dxa"/>
                  <w:tcBorders>
                    <w:tl2br w:val="nil"/>
                    <w:tr2bl w:val="nil"/>
                  </w:tcBorders>
                  <w:vAlign w:val="center"/>
                </w:tcPr>
                <w:p w14:paraId="76BC6992">
                  <w:pPr>
                    <w:spacing w:line="240" w:lineRule="auto"/>
                    <w:jc w:val="center"/>
                    <w:rPr>
                      <w:rFonts w:hint="eastAsia"/>
                      <w:color w:val="auto"/>
                      <w:highlight w:val="none"/>
                      <w:lang w:val="en-US" w:eastAsia="zh-CN"/>
                    </w:rPr>
                  </w:pPr>
                  <w:r>
                    <w:rPr>
                      <w:color w:val="auto"/>
                      <w:highlight w:val="none"/>
                    </w:rPr>
                    <w:t>0.58</w:t>
                  </w:r>
                </w:p>
              </w:tc>
              <w:tc>
                <w:tcPr>
                  <w:tcW w:w="1042" w:type="dxa"/>
                  <w:tcBorders>
                    <w:tl2br w:val="nil"/>
                    <w:tr2bl w:val="nil"/>
                  </w:tcBorders>
                  <w:vAlign w:val="center"/>
                </w:tcPr>
                <w:p w14:paraId="6499C48C">
                  <w:pPr>
                    <w:spacing w:line="240" w:lineRule="auto"/>
                    <w:jc w:val="center"/>
                    <w:rPr>
                      <w:rFonts w:hint="eastAsia"/>
                      <w:color w:val="auto"/>
                      <w:highlight w:val="none"/>
                      <w:lang w:val="en-US" w:eastAsia="zh-CN"/>
                    </w:rPr>
                  </w:pPr>
                  <w:r>
                    <w:rPr>
                      <w:color w:val="auto"/>
                      <w:highlight w:val="none"/>
                    </w:rPr>
                    <w:t>0.52</w:t>
                  </w:r>
                </w:p>
              </w:tc>
              <w:tc>
                <w:tcPr>
                  <w:tcW w:w="1030" w:type="dxa"/>
                  <w:tcBorders>
                    <w:tl2br w:val="nil"/>
                    <w:tr2bl w:val="nil"/>
                  </w:tcBorders>
                  <w:vAlign w:val="center"/>
                </w:tcPr>
                <w:p w14:paraId="17F8C484">
                  <w:pPr>
                    <w:spacing w:line="240" w:lineRule="auto"/>
                    <w:jc w:val="center"/>
                    <w:rPr>
                      <w:rFonts w:hint="eastAsia"/>
                      <w:color w:val="auto"/>
                      <w:highlight w:val="none"/>
                      <w:lang w:val="en-US" w:eastAsia="zh-CN"/>
                    </w:rPr>
                  </w:pPr>
                  <w:r>
                    <w:rPr>
                      <w:rFonts w:hint="eastAsia"/>
                      <w:color w:val="auto"/>
                      <w:highlight w:val="none"/>
                      <w:lang w:val="en-US" w:eastAsia="zh-CN"/>
                    </w:rPr>
                    <w:t>65</w:t>
                  </w:r>
                </w:p>
              </w:tc>
            </w:tr>
            <w:tr w14:paraId="2ACDDC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4E8C9CF">
                  <w:pPr>
                    <w:spacing w:line="240" w:lineRule="auto"/>
                    <w:jc w:val="center"/>
                    <w:rPr>
                      <w:rFonts w:hint="eastAsia"/>
                      <w:color w:val="auto"/>
                      <w:highlight w:val="none"/>
                      <w:lang w:val="en-US" w:eastAsia="zh-CN"/>
                    </w:rPr>
                  </w:pPr>
                  <w:r>
                    <w:rPr>
                      <w:rFonts w:hint="eastAsia"/>
                      <w:color w:val="auto"/>
                      <w:highlight w:val="none"/>
                      <w:lang w:val="en-US" w:eastAsia="zh-CN"/>
                    </w:rPr>
                    <w:t>铬</w:t>
                  </w:r>
                </w:p>
              </w:tc>
              <w:tc>
                <w:tcPr>
                  <w:tcW w:w="826" w:type="dxa"/>
                  <w:tcBorders>
                    <w:tl2br w:val="nil"/>
                    <w:tr2bl w:val="nil"/>
                  </w:tcBorders>
                  <w:vAlign w:val="center"/>
                </w:tcPr>
                <w:p w14:paraId="0D500CAC">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679C0A94">
                  <w:pPr>
                    <w:spacing w:line="240" w:lineRule="auto"/>
                    <w:jc w:val="center"/>
                    <w:rPr>
                      <w:rFonts w:hint="eastAsia"/>
                      <w:color w:val="auto"/>
                      <w:highlight w:val="none"/>
                      <w:lang w:val="en-US" w:eastAsia="zh-CN"/>
                    </w:rPr>
                  </w:pPr>
                  <w:r>
                    <w:rPr>
                      <w:rFonts w:hint="eastAsia"/>
                      <w:color w:val="auto"/>
                      <w:highlight w:val="none"/>
                      <w:lang w:val="en-US" w:eastAsia="zh-CN"/>
                    </w:rPr>
                    <w:t>68</w:t>
                  </w:r>
                </w:p>
              </w:tc>
              <w:tc>
                <w:tcPr>
                  <w:tcW w:w="826" w:type="dxa"/>
                  <w:tcBorders>
                    <w:tl2br w:val="nil"/>
                    <w:tr2bl w:val="nil"/>
                  </w:tcBorders>
                  <w:vAlign w:val="center"/>
                </w:tcPr>
                <w:p w14:paraId="223AA66D">
                  <w:pPr>
                    <w:spacing w:line="240" w:lineRule="auto"/>
                    <w:jc w:val="center"/>
                    <w:rPr>
                      <w:rFonts w:hint="eastAsia"/>
                      <w:color w:val="auto"/>
                      <w:highlight w:val="none"/>
                      <w:lang w:val="en-US" w:eastAsia="zh-CN"/>
                    </w:rPr>
                  </w:pPr>
                  <w:r>
                    <w:rPr>
                      <w:rFonts w:hint="eastAsia"/>
                      <w:color w:val="auto"/>
                      <w:highlight w:val="none"/>
                      <w:lang w:val="en-US" w:eastAsia="zh-CN"/>
                    </w:rPr>
                    <w:t>61</w:t>
                  </w:r>
                </w:p>
              </w:tc>
              <w:tc>
                <w:tcPr>
                  <w:tcW w:w="766" w:type="dxa"/>
                  <w:tcBorders>
                    <w:tl2br w:val="nil"/>
                    <w:tr2bl w:val="nil"/>
                  </w:tcBorders>
                  <w:vAlign w:val="center"/>
                </w:tcPr>
                <w:p w14:paraId="73B4B741">
                  <w:pPr>
                    <w:spacing w:line="240" w:lineRule="auto"/>
                    <w:jc w:val="center"/>
                    <w:rPr>
                      <w:rFonts w:hint="eastAsia"/>
                      <w:color w:val="auto"/>
                      <w:highlight w:val="none"/>
                      <w:lang w:val="en-US" w:eastAsia="zh-CN"/>
                    </w:rPr>
                  </w:pPr>
                  <w:r>
                    <w:rPr>
                      <w:rFonts w:hint="eastAsia"/>
                      <w:color w:val="auto"/>
                      <w:highlight w:val="none"/>
                      <w:lang w:val="en-US" w:eastAsia="zh-CN"/>
                    </w:rPr>
                    <w:t>69</w:t>
                  </w:r>
                </w:p>
              </w:tc>
              <w:tc>
                <w:tcPr>
                  <w:tcW w:w="983" w:type="dxa"/>
                  <w:tcBorders>
                    <w:tl2br w:val="nil"/>
                    <w:tr2bl w:val="nil"/>
                  </w:tcBorders>
                  <w:vAlign w:val="center"/>
                </w:tcPr>
                <w:p w14:paraId="3065F886">
                  <w:pPr>
                    <w:spacing w:line="240" w:lineRule="auto"/>
                    <w:jc w:val="center"/>
                    <w:rPr>
                      <w:rFonts w:hint="eastAsia"/>
                      <w:color w:val="auto"/>
                      <w:highlight w:val="none"/>
                      <w:lang w:val="en-US" w:eastAsia="zh-CN"/>
                    </w:rPr>
                  </w:pPr>
                  <w:r>
                    <w:rPr>
                      <w:color w:val="auto"/>
                      <w:highlight w:val="none"/>
                    </w:rPr>
                    <w:t>61</w:t>
                  </w:r>
                </w:p>
              </w:tc>
              <w:tc>
                <w:tcPr>
                  <w:tcW w:w="924" w:type="dxa"/>
                  <w:tcBorders>
                    <w:tl2br w:val="nil"/>
                    <w:tr2bl w:val="nil"/>
                  </w:tcBorders>
                  <w:vAlign w:val="center"/>
                </w:tcPr>
                <w:p w14:paraId="44A64082">
                  <w:pPr>
                    <w:spacing w:line="240" w:lineRule="auto"/>
                    <w:jc w:val="center"/>
                    <w:rPr>
                      <w:rFonts w:hint="eastAsia"/>
                      <w:color w:val="auto"/>
                      <w:highlight w:val="none"/>
                      <w:lang w:val="en-US" w:eastAsia="zh-CN"/>
                    </w:rPr>
                  </w:pPr>
                  <w:r>
                    <w:rPr>
                      <w:color w:val="auto"/>
                      <w:highlight w:val="none"/>
                    </w:rPr>
                    <w:t>61</w:t>
                  </w:r>
                </w:p>
              </w:tc>
              <w:tc>
                <w:tcPr>
                  <w:tcW w:w="1042" w:type="dxa"/>
                  <w:tcBorders>
                    <w:tl2br w:val="nil"/>
                    <w:tr2bl w:val="nil"/>
                  </w:tcBorders>
                  <w:vAlign w:val="center"/>
                </w:tcPr>
                <w:p w14:paraId="0E4C9B1A">
                  <w:pPr>
                    <w:spacing w:line="240" w:lineRule="auto"/>
                    <w:jc w:val="center"/>
                    <w:rPr>
                      <w:rFonts w:hint="eastAsia"/>
                      <w:color w:val="auto"/>
                      <w:highlight w:val="none"/>
                      <w:lang w:val="en-US" w:eastAsia="zh-CN"/>
                    </w:rPr>
                  </w:pPr>
                  <w:r>
                    <w:rPr>
                      <w:color w:val="auto"/>
                      <w:highlight w:val="none"/>
                    </w:rPr>
                    <w:t>69</w:t>
                  </w:r>
                </w:p>
              </w:tc>
              <w:tc>
                <w:tcPr>
                  <w:tcW w:w="1030" w:type="dxa"/>
                  <w:tcBorders>
                    <w:tl2br w:val="nil"/>
                    <w:tr2bl w:val="nil"/>
                  </w:tcBorders>
                  <w:vAlign w:val="center"/>
                </w:tcPr>
                <w:p w14:paraId="6C542FB4">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4DF65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3EEAA22">
                  <w:pPr>
                    <w:spacing w:line="240" w:lineRule="auto"/>
                    <w:jc w:val="center"/>
                    <w:rPr>
                      <w:rFonts w:hint="eastAsia"/>
                      <w:color w:val="auto"/>
                      <w:highlight w:val="none"/>
                      <w:lang w:val="en-US" w:eastAsia="zh-CN"/>
                    </w:rPr>
                  </w:pPr>
                  <w:r>
                    <w:rPr>
                      <w:rFonts w:hint="eastAsia"/>
                      <w:color w:val="auto"/>
                      <w:highlight w:val="none"/>
                      <w:lang w:val="en-US" w:eastAsia="zh-CN"/>
                    </w:rPr>
                    <w:t>铜</w:t>
                  </w:r>
                </w:p>
              </w:tc>
              <w:tc>
                <w:tcPr>
                  <w:tcW w:w="826" w:type="dxa"/>
                  <w:tcBorders>
                    <w:tl2br w:val="nil"/>
                    <w:tr2bl w:val="nil"/>
                  </w:tcBorders>
                  <w:vAlign w:val="center"/>
                </w:tcPr>
                <w:p w14:paraId="7A19BEAC">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F0C4034">
                  <w:pPr>
                    <w:spacing w:line="240" w:lineRule="auto"/>
                    <w:jc w:val="center"/>
                    <w:rPr>
                      <w:rFonts w:hint="eastAsia"/>
                      <w:color w:val="auto"/>
                      <w:highlight w:val="none"/>
                      <w:lang w:val="en-US" w:eastAsia="zh-CN"/>
                    </w:rPr>
                  </w:pPr>
                  <w:r>
                    <w:rPr>
                      <w:rFonts w:hint="eastAsia"/>
                      <w:color w:val="auto"/>
                      <w:highlight w:val="none"/>
                      <w:lang w:val="en-US" w:eastAsia="zh-CN"/>
                    </w:rPr>
                    <w:t>50</w:t>
                  </w:r>
                </w:p>
              </w:tc>
              <w:tc>
                <w:tcPr>
                  <w:tcW w:w="826" w:type="dxa"/>
                  <w:tcBorders>
                    <w:tl2br w:val="nil"/>
                    <w:tr2bl w:val="nil"/>
                  </w:tcBorders>
                  <w:vAlign w:val="center"/>
                </w:tcPr>
                <w:p w14:paraId="14CDE95B">
                  <w:pPr>
                    <w:spacing w:line="240" w:lineRule="auto"/>
                    <w:jc w:val="center"/>
                    <w:rPr>
                      <w:rFonts w:hint="eastAsia"/>
                      <w:color w:val="auto"/>
                      <w:highlight w:val="none"/>
                      <w:lang w:val="en-US" w:eastAsia="zh-CN"/>
                    </w:rPr>
                  </w:pPr>
                  <w:r>
                    <w:rPr>
                      <w:rFonts w:hint="eastAsia"/>
                      <w:color w:val="auto"/>
                      <w:highlight w:val="none"/>
                      <w:lang w:val="en-US" w:eastAsia="zh-CN"/>
                    </w:rPr>
                    <w:t>34</w:t>
                  </w:r>
                </w:p>
              </w:tc>
              <w:tc>
                <w:tcPr>
                  <w:tcW w:w="766" w:type="dxa"/>
                  <w:tcBorders>
                    <w:tl2br w:val="nil"/>
                    <w:tr2bl w:val="nil"/>
                  </w:tcBorders>
                  <w:vAlign w:val="center"/>
                </w:tcPr>
                <w:p w14:paraId="6397AB02">
                  <w:pPr>
                    <w:spacing w:line="240" w:lineRule="auto"/>
                    <w:jc w:val="center"/>
                    <w:rPr>
                      <w:rFonts w:hint="eastAsia"/>
                      <w:color w:val="auto"/>
                      <w:highlight w:val="none"/>
                      <w:lang w:val="en-US" w:eastAsia="zh-CN"/>
                    </w:rPr>
                  </w:pPr>
                  <w:r>
                    <w:rPr>
                      <w:rFonts w:hint="eastAsia"/>
                      <w:color w:val="auto"/>
                      <w:highlight w:val="none"/>
                      <w:lang w:val="en-US" w:eastAsia="zh-CN"/>
                    </w:rPr>
                    <w:t>34</w:t>
                  </w:r>
                </w:p>
              </w:tc>
              <w:tc>
                <w:tcPr>
                  <w:tcW w:w="983" w:type="dxa"/>
                  <w:tcBorders>
                    <w:tl2br w:val="nil"/>
                    <w:tr2bl w:val="nil"/>
                  </w:tcBorders>
                  <w:vAlign w:val="center"/>
                </w:tcPr>
                <w:p w14:paraId="3E289608">
                  <w:pPr>
                    <w:spacing w:line="240" w:lineRule="auto"/>
                    <w:jc w:val="center"/>
                    <w:rPr>
                      <w:rFonts w:hint="eastAsia"/>
                      <w:color w:val="auto"/>
                      <w:highlight w:val="none"/>
                      <w:lang w:val="en-US" w:eastAsia="zh-CN"/>
                    </w:rPr>
                  </w:pPr>
                  <w:r>
                    <w:rPr>
                      <w:color w:val="auto"/>
                      <w:highlight w:val="none"/>
                    </w:rPr>
                    <w:t>37</w:t>
                  </w:r>
                </w:p>
              </w:tc>
              <w:tc>
                <w:tcPr>
                  <w:tcW w:w="924" w:type="dxa"/>
                  <w:tcBorders>
                    <w:tl2br w:val="nil"/>
                    <w:tr2bl w:val="nil"/>
                  </w:tcBorders>
                  <w:vAlign w:val="center"/>
                </w:tcPr>
                <w:p w14:paraId="71412713">
                  <w:pPr>
                    <w:spacing w:line="240" w:lineRule="auto"/>
                    <w:jc w:val="center"/>
                    <w:rPr>
                      <w:rFonts w:hint="eastAsia"/>
                      <w:color w:val="auto"/>
                      <w:highlight w:val="none"/>
                      <w:lang w:val="en-US" w:eastAsia="zh-CN"/>
                    </w:rPr>
                  </w:pPr>
                  <w:r>
                    <w:rPr>
                      <w:color w:val="auto"/>
                      <w:highlight w:val="none"/>
                    </w:rPr>
                    <w:t>34</w:t>
                  </w:r>
                </w:p>
              </w:tc>
              <w:tc>
                <w:tcPr>
                  <w:tcW w:w="1042" w:type="dxa"/>
                  <w:tcBorders>
                    <w:tl2br w:val="nil"/>
                    <w:tr2bl w:val="nil"/>
                  </w:tcBorders>
                  <w:vAlign w:val="center"/>
                </w:tcPr>
                <w:p w14:paraId="4FBC93A8">
                  <w:pPr>
                    <w:spacing w:line="240" w:lineRule="auto"/>
                    <w:jc w:val="center"/>
                    <w:rPr>
                      <w:rFonts w:hint="eastAsia"/>
                      <w:color w:val="auto"/>
                      <w:highlight w:val="none"/>
                      <w:lang w:val="en-US" w:eastAsia="zh-CN"/>
                    </w:rPr>
                  </w:pPr>
                  <w:r>
                    <w:rPr>
                      <w:color w:val="auto"/>
                      <w:highlight w:val="none"/>
                    </w:rPr>
                    <w:t>30</w:t>
                  </w:r>
                </w:p>
              </w:tc>
              <w:tc>
                <w:tcPr>
                  <w:tcW w:w="1030" w:type="dxa"/>
                  <w:tcBorders>
                    <w:tl2br w:val="nil"/>
                    <w:tr2bl w:val="nil"/>
                  </w:tcBorders>
                  <w:vAlign w:val="center"/>
                </w:tcPr>
                <w:p w14:paraId="659D66CA">
                  <w:pPr>
                    <w:spacing w:line="240" w:lineRule="auto"/>
                    <w:jc w:val="center"/>
                    <w:rPr>
                      <w:rFonts w:hint="eastAsia"/>
                      <w:color w:val="auto"/>
                      <w:highlight w:val="none"/>
                      <w:lang w:val="en-US" w:eastAsia="zh-CN"/>
                    </w:rPr>
                  </w:pPr>
                  <w:r>
                    <w:rPr>
                      <w:rFonts w:hint="eastAsia"/>
                      <w:color w:val="auto"/>
                      <w:highlight w:val="none"/>
                      <w:lang w:val="en-US" w:eastAsia="zh-CN"/>
                    </w:rPr>
                    <w:t>18000</w:t>
                  </w:r>
                </w:p>
              </w:tc>
            </w:tr>
            <w:tr w14:paraId="3DC67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783445E7">
                  <w:pPr>
                    <w:spacing w:line="240" w:lineRule="auto"/>
                    <w:jc w:val="center"/>
                    <w:rPr>
                      <w:rFonts w:hint="eastAsia"/>
                      <w:color w:val="auto"/>
                      <w:highlight w:val="none"/>
                      <w:lang w:val="en-US" w:eastAsia="zh-CN"/>
                    </w:rPr>
                  </w:pPr>
                  <w:r>
                    <w:rPr>
                      <w:rFonts w:hint="eastAsia"/>
                      <w:color w:val="auto"/>
                      <w:highlight w:val="none"/>
                      <w:lang w:val="en-US" w:eastAsia="zh-CN"/>
                    </w:rPr>
                    <w:t>铅</w:t>
                  </w:r>
                </w:p>
              </w:tc>
              <w:tc>
                <w:tcPr>
                  <w:tcW w:w="826" w:type="dxa"/>
                  <w:tcBorders>
                    <w:tl2br w:val="nil"/>
                    <w:tr2bl w:val="nil"/>
                  </w:tcBorders>
                  <w:vAlign w:val="center"/>
                </w:tcPr>
                <w:p w14:paraId="67772FCD">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051707EA">
                  <w:pPr>
                    <w:spacing w:line="240" w:lineRule="auto"/>
                    <w:jc w:val="center"/>
                    <w:rPr>
                      <w:rFonts w:hint="eastAsia"/>
                      <w:color w:val="auto"/>
                      <w:highlight w:val="none"/>
                      <w:lang w:val="en-US" w:eastAsia="zh-CN"/>
                    </w:rPr>
                  </w:pPr>
                  <w:r>
                    <w:rPr>
                      <w:rFonts w:hint="eastAsia"/>
                      <w:color w:val="auto"/>
                      <w:highlight w:val="none"/>
                      <w:lang w:val="en-US" w:eastAsia="zh-CN"/>
                    </w:rPr>
                    <w:t>54</w:t>
                  </w:r>
                </w:p>
              </w:tc>
              <w:tc>
                <w:tcPr>
                  <w:tcW w:w="826" w:type="dxa"/>
                  <w:tcBorders>
                    <w:tl2br w:val="nil"/>
                    <w:tr2bl w:val="nil"/>
                  </w:tcBorders>
                  <w:vAlign w:val="center"/>
                </w:tcPr>
                <w:p w14:paraId="19B2E9CB">
                  <w:pPr>
                    <w:spacing w:line="240" w:lineRule="auto"/>
                    <w:jc w:val="center"/>
                    <w:rPr>
                      <w:rFonts w:hint="eastAsia"/>
                      <w:color w:val="auto"/>
                      <w:highlight w:val="none"/>
                      <w:lang w:val="en-US" w:eastAsia="zh-CN"/>
                    </w:rPr>
                  </w:pPr>
                  <w:r>
                    <w:rPr>
                      <w:rFonts w:hint="eastAsia"/>
                      <w:color w:val="auto"/>
                      <w:highlight w:val="none"/>
                      <w:lang w:val="en-US" w:eastAsia="zh-CN"/>
                    </w:rPr>
                    <w:t>36</w:t>
                  </w:r>
                </w:p>
              </w:tc>
              <w:tc>
                <w:tcPr>
                  <w:tcW w:w="766" w:type="dxa"/>
                  <w:tcBorders>
                    <w:tl2br w:val="nil"/>
                    <w:tr2bl w:val="nil"/>
                  </w:tcBorders>
                  <w:vAlign w:val="center"/>
                </w:tcPr>
                <w:p w14:paraId="7CA01AE4">
                  <w:pPr>
                    <w:spacing w:line="240" w:lineRule="auto"/>
                    <w:jc w:val="center"/>
                    <w:rPr>
                      <w:rFonts w:hint="eastAsia"/>
                      <w:color w:val="auto"/>
                      <w:highlight w:val="none"/>
                      <w:lang w:val="en-US" w:eastAsia="zh-CN"/>
                    </w:rPr>
                  </w:pPr>
                  <w:r>
                    <w:rPr>
                      <w:rFonts w:hint="eastAsia"/>
                      <w:color w:val="auto"/>
                      <w:highlight w:val="none"/>
                      <w:lang w:val="en-US" w:eastAsia="zh-CN"/>
                    </w:rPr>
                    <w:t>55</w:t>
                  </w:r>
                </w:p>
              </w:tc>
              <w:tc>
                <w:tcPr>
                  <w:tcW w:w="983" w:type="dxa"/>
                  <w:tcBorders>
                    <w:tl2br w:val="nil"/>
                    <w:tr2bl w:val="nil"/>
                  </w:tcBorders>
                  <w:vAlign w:val="center"/>
                </w:tcPr>
                <w:p w14:paraId="5DA43B0F">
                  <w:pPr>
                    <w:spacing w:line="240" w:lineRule="auto"/>
                    <w:jc w:val="center"/>
                    <w:rPr>
                      <w:rFonts w:hint="eastAsia"/>
                      <w:color w:val="auto"/>
                      <w:highlight w:val="none"/>
                      <w:lang w:val="en-US" w:eastAsia="zh-CN"/>
                    </w:rPr>
                  </w:pPr>
                  <w:r>
                    <w:rPr>
                      <w:color w:val="auto"/>
                      <w:highlight w:val="none"/>
                    </w:rPr>
                    <w:t>36</w:t>
                  </w:r>
                </w:p>
              </w:tc>
              <w:tc>
                <w:tcPr>
                  <w:tcW w:w="924" w:type="dxa"/>
                  <w:tcBorders>
                    <w:tl2br w:val="nil"/>
                    <w:tr2bl w:val="nil"/>
                  </w:tcBorders>
                  <w:vAlign w:val="center"/>
                </w:tcPr>
                <w:p w14:paraId="280E045C">
                  <w:pPr>
                    <w:spacing w:line="240" w:lineRule="auto"/>
                    <w:jc w:val="center"/>
                    <w:rPr>
                      <w:rFonts w:hint="eastAsia"/>
                      <w:color w:val="auto"/>
                      <w:highlight w:val="none"/>
                      <w:lang w:val="en-US" w:eastAsia="zh-CN"/>
                    </w:rPr>
                  </w:pPr>
                  <w:r>
                    <w:rPr>
                      <w:color w:val="auto"/>
                      <w:highlight w:val="none"/>
                    </w:rPr>
                    <w:t>36</w:t>
                  </w:r>
                </w:p>
              </w:tc>
              <w:tc>
                <w:tcPr>
                  <w:tcW w:w="1042" w:type="dxa"/>
                  <w:tcBorders>
                    <w:tl2br w:val="nil"/>
                    <w:tr2bl w:val="nil"/>
                  </w:tcBorders>
                  <w:vAlign w:val="center"/>
                </w:tcPr>
                <w:p w14:paraId="0A7CA9C8">
                  <w:pPr>
                    <w:spacing w:line="240" w:lineRule="auto"/>
                    <w:jc w:val="center"/>
                    <w:rPr>
                      <w:rFonts w:hint="eastAsia"/>
                      <w:color w:val="auto"/>
                      <w:highlight w:val="none"/>
                      <w:lang w:val="en-US" w:eastAsia="zh-CN"/>
                    </w:rPr>
                  </w:pPr>
                  <w:r>
                    <w:rPr>
                      <w:color w:val="auto"/>
                      <w:highlight w:val="none"/>
                    </w:rPr>
                    <w:t>55</w:t>
                  </w:r>
                </w:p>
              </w:tc>
              <w:tc>
                <w:tcPr>
                  <w:tcW w:w="1030" w:type="dxa"/>
                  <w:tcBorders>
                    <w:tl2br w:val="nil"/>
                    <w:tr2bl w:val="nil"/>
                  </w:tcBorders>
                  <w:vAlign w:val="center"/>
                </w:tcPr>
                <w:p w14:paraId="2118D759">
                  <w:pPr>
                    <w:spacing w:line="240" w:lineRule="auto"/>
                    <w:jc w:val="center"/>
                    <w:rPr>
                      <w:rFonts w:hint="eastAsia"/>
                      <w:color w:val="auto"/>
                      <w:highlight w:val="none"/>
                      <w:lang w:val="en-US" w:eastAsia="zh-CN"/>
                    </w:rPr>
                  </w:pPr>
                  <w:r>
                    <w:rPr>
                      <w:rFonts w:hint="eastAsia"/>
                      <w:color w:val="auto"/>
                      <w:highlight w:val="none"/>
                      <w:lang w:val="en-US" w:eastAsia="zh-CN"/>
                    </w:rPr>
                    <w:t>800</w:t>
                  </w:r>
                </w:p>
              </w:tc>
            </w:tr>
            <w:tr w14:paraId="15E832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A79BF71">
                  <w:pPr>
                    <w:spacing w:line="240" w:lineRule="auto"/>
                    <w:jc w:val="center"/>
                    <w:rPr>
                      <w:rFonts w:hint="eastAsia"/>
                      <w:color w:val="auto"/>
                      <w:highlight w:val="none"/>
                      <w:lang w:val="en-US" w:eastAsia="zh-CN"/>
                    </w:rPr>
                  </w:pPr>
                  <w:r>
                    <w:rPr>
                      <w:rFonts w:hint="eastAsia"/>
                      <w:color w:val="auto"/>
                      <w:highlight w:val="none"/>
                      <w:lang w:val="en-US" w:eastAsia="zh-CN"/>
                    </w:rPr>
                    <w:t>汞</w:t>
                  </w:r>
                </w:p>
              </w:tc>
              <w:tc>
                <w:tcPr>
                  <w:tcW w:w="826" w:type="dxa"/>
                  <w:tcBorders>
                    <w:tl2br w:val="nil"/>
                    <w:tr2bl w:val="nil"/>
                  </w:tcBorders>
                  <w:vAlign w:val="center"/>
                </w:tcPr>
                <w:p w14:paraId="3A6FACC3">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6A97E016">
                  <w:pPr>
                    <w:spacing w:line="240" w:lineRule="auto"/>
                    <w:jc w:val="center"/>
                    <w:rPr>
                      <w:rFonts w:hint="eastAsia"/>
                      <w:color w:val="auto"/>
                      <w:highlight w:val="none"/>
                      <w:lang w:val="en-US" w:eastAsia="zh-CN"/>
                    </w:rPr>
                  </w:pPr>
                  <w:r>
                    <w:rPr>
                      <w:rFonts w:hint="eastAsia"/>
                      <w:color w:val="auto"/>
                      <w:highlight w:val="none"/>
                      <w:lang w:val="en-US" w:eastAsia="zh-CN"/>
                    </w:rPr>
                    <w:t>0.049</w:t>
                  </w:r>
                </w:p>
              </w:tc>
              <w:tc>
                <w:tcPr>
                  <w:tcW w:w="826" w:type="dxa"/>
                  <w:tcBorders>
                    <w:tl2br w:val="nil"/>
                    <w:tr2bl w:val="nil"/>
                  </w:tcBorders>
                  <w:vAlign w:val="center"/>
                </w:tcPr>
                <w:p w14:paraId="23CE3E0E">
                  <w:pPr>
                    <w:spacing w:line="240" w:lineRule="auto"/>
                    <w:jc w:val="center"/>
                    <w:rPr>
                      <w:rFonts w:hint="eastAsia"/>
                      <w:color w:val="auto"/>
                      <w:highlight w:val="none"/>
                      <w:lang w:val="en-US" w:eastAsia="zh-CN"/>
                    </w:rPr>
                  </w:pPr>
                  <w:r>
                    <w:rPr>
                      <w:rFonts w:hint="eastAsia"/>
                      <w:color w:val="auto"/>
                      <w:highlight w:val="none"/>
                      <w:lang w:val="en-US" w:eastAsia="zh-CN"/>
                    </w:rPr>
                    <w:t>0.028</w:t>
                  </w:r>
                </w:p>
              </w:tc>
              <w:tc>
                <w:tcPr>
                  <w:tcW w:w="766" w:type="dxa"/>
                  <w:tcBorders>
                    <w:tl2br w:val="nil"/>
                    <w:tr2bl w:val="nil"/>
                  </w:tcBorders>
                  <w:vAlign w:val="center"/>
                </w:tcPr>
                <w:p w14:paraId="658582F5">
                  <w:pPr>
                    <w:spacing w:line="240" w:lineRule="auto"/>
                    <w:jc w:val="center"/>
                    <w:rPr>
                      <w:rFonts w:hint="eastAsia"/>
                      <w:color w:val="auto"/>
                      <w:highlight w:val="none"/>
                      <w:lang w:val="en-US" w:eastAsia="zh-CN"/>
                    </w:rPr>
                  </w:pPr>
                  <w:r>
                    <w:rPr>
                      <w:rFonts w:hint="eastAsia"/>
                      <w:color w:val="auto"/>
                      <w:highlight w:val="none"/>
                      <w:lang w:val="en-US" w:eastAsia="zh-CN"/>
                    </w:rPr>
                    <w:t>0.050</w:t>
                  </w:r>
                </w:p>
              </w:tc>
              <w:tc>
                <w:tcPr>
                  <w:tcW w:w="983" w:type="dxa"/>
                  <w:tcBorders>
                    <w:tl2br w:val="nil"/>
                    <w:tr2bl w:val="nil"/>
                  </w:tcBorders>
                  <w:vAlign w:val="center"/>
                </w:tcPr>
                <w:p w14:paraId="2E225D60">
                  <w:pPr>
                    <w:spacing w:line="240" w:lineRule="auto"/>
                    <w:jc w:val="center"/>
                    <w:rPr>
                      <w:rFonts w:hint="eastAsia"/>
                      <w:color w:val="auto"/>
                      <w:highlight w:val="none"/>
                      <w:lang w:val="en-US" w:eastAsia="zh-CN"/>
                    </w:rPr>
                  </w:pPr>
                  <w:r>
                    <w:rPr>
                      <w:color w:val="auto"/>
                      <w:highlight w:val="none"/>
                    </w:rPr>
                    <w:t>0.046</w:t>
                  </w:r>
                </w:p>
              </w:tc>
              <w:tc>
                <w:tcPr>
                  <w:tcW w:w="924" w:type="dxa"/>
                  <w:tcBorders>
                    <w:tl2br w:val="nil"/>
                    <w:tr2bl w:val="nil"/>
                  </w:tcBorders>
                  <w:vAlign w:val="center"/>
                </w:tcPr>
                <w:p w14:paraId="4C56D050">
                  <w:pPr>
                    <w:spacing w:line="240" w:lineRule="auto"/>
                    <w:jc w:val="center"/>
                    <w:rPr>
                      <w:rFonts w:hint="eastAsia"/>
                      <w:color w:val="auto"/>
                      <w:highlight w:val="none"/>
                      <w:lang w:val="en-US" w:eastAsia="zh-CN"/>
                    </w:rPr>
                  </w:pPr>
                  <w:r>
                    <w:rPr>
                      <w:color w:val="auto"/>
                      <w:highlight w:val="none"/>
                    </w:rPr>
                    <w:t>0.049</w:t>
                  </w:r>
                </w:p>
              </w:tc>
              <w:tc>
                <w:tcPr>
                  <w:tcW w:w="1042" w:type="dxa"/>
                  <w:tcBorders>
                    <w:tl2br w:val="nil"/>
                    <w:tr2bl w:val="nil"/>
                  </w:tcBorders>
                  <w:vAlign w:val="center"/>
                </w:tcPr>
                <w:p w14:paraId="370B1B2B">
                  <w:pPr>
                    <w:spacing w:line="240" w:lineRule="auto"/>
                    <w:jc w:val="center"/>
                    <w:rPr>
                      <w:rFonts w:hint="eastAsia"/>
                      <w:color w:val="auto"/>
                      <w:highlight w:val="none"/>
                      <w:lang w:val="en-US" w:eastAsia="zh-CN"/>
                    </w:rPr>
                  </w:pPr>
                  <w:r>
                    <w:rPr>
                      <w:color w:val="auto"/>
                      <w:highlight w:val="none"/>
                    </w:rPr>
                    <w:t>0.053</w:t>
                  </w:r>
                </w:p>
              </w:tc>
              <w:tc>
                <w:tcPr>
                  <w:tcW w:w="1030" w:type="dxa"/>
                  <w:tcBorders>
                    <w:tl2br w:val="nil"/>
                    <w:tr2bl w:val="nil"/>
                  </w:tcBorders>
                  <w:vAlign w:val="center"/>
                </w:tcPr>
                <w:p w14:paraId="3F84CC83">
                  <w:pPr>
                    <w:spacing w:line="240" w:lineRule="auto"/>
                    <w:jc w:val="center"/>
                    <w:rPr>
                      <w:rFonts w:hint="eastAsia"/>
                      <w:color w:val="auto"/>
                      <w:highlight w:val="none"/>
                      <w:lang w:val="en-US" w:eastAsia="zh-CN"/>
                    </w:rPr>
                  </w:pPr>
                  <w:r>
                    <w:rPr>
                      <w:rFonts w:hint="eastAsia"/>
                      <w:color w:val="auto"/>
                      <w:highlight w:val="none"/>
                      <w:lang w:val="en-US" w:eastAsia="zh-CN"/>
                    </w:rPr>
                    <w:t>38</w:t>
                  </w:r>
                </w:p>
              </w:tc>
            </w:tr>
            <w:tr w14:paraId="4C385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40472E0D">
                  <w:pPr>
                    <w:spacing w:line="240" w:lineRule="auto"/>
                    <w:jc w:val="center"/>
                    <w:rPr>
                      <w:rFonts w:hint="eastAsia"/>
                      <w:color w:val="auto"/>
                      <w:highlight w:val="none"/>
                      <w:lang w:val="en-US" w:eastAsia="zh-CN"/>
                    </w:rPr>
                  </w:pPr>
                  <w:r>
                    <w:rPr>
                      <w:rFonts w:hint="eastAsia"/>
                      <w:color w:val="auto"/>
                      <w:highlight w:val="none"/>
                      <w:lang w:val="en-US" w:eastAsia="zh-CN"/>
                    </w:rPr>
                    <w:t>镍</w:t>
                  </w:r>
                </w:p>
              </w:tc>
              <w:tc>
                <w:tcPr>
                  <w:tcW w:w="826" w:type="dxa"/>
                  <w:tcBorders>
                    <w:tl2br w:val="nil"/>
                    <w:tr2bl w:val="nil"/>
                  </w:tcBorders>
                  <w:vAlign w:val="center"/>
                </w:tcPr>
                <w:p w14:paraId="711B9951">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3B999485">
                  <w:pPr>
                    <w:spacing w:line="240" w:lineRule="auto"/>
                    <w:jc w:val="center"/>
                    <w:rPr>
                      <w:rFonts w:hint="eastAsia"/>
                      <w:color w:val="auto"/>
                      <w:highlight w:val="none"/>
                      <w:lang w:val="en-US" w:eastAsia="zh-CN"/>
                    </w:rPr>
                  </w:pPr>
                  <w:r>
                    <w:rPr>
                      <w:rFonts w:hint="eastAsia"/>
                      <w:color w:val="auto"/>
                      <w:highlight w:val="none"/>
                      <w:lang w:val="en-US" w:eastAsia="zh-CN"/>
                    </w:rPr>
                    <w:t>46</w:t>
                  </w:r>
                </w:p>
              </w:tc>
              <w:tc>
                <w:tcPr>
                  <w:tcW w:w="826" w:type="dxa"/>
                  <w:tcBorders>
                    <w:tl2br w:val="nil"/>
                    <w:tr2bl w:val="nil"/>
                  </w:tcBorders>
                  <w:vAlign w:val="center"/>
                </w:tcPr>
                <w:p w14:paraId="6328C826">
                  <w:pPr>
                    <w:spacing w:line="240" w:lineRule="auto"/>
                    <w:jc w:val="center"/>
                    <w:rPr>
                      <w:rFonts w:hint="eastAsia"/>
                      <w:color w:val="auto"/>
                      <w:highlight w:val="none"/>
                      <w:lang w:val="en-US" w:eastAsia="zh-CN"/>
                    </w:rPr>
                  </w:pPr>
                  <w:r>
                    <w:rPr>
                      <w:rFonts w:hint="eastAsia"/>
                      <w:color w:val="auto"/>
                      <w:highlight w:val="none"/>
                      <w:lang w:val="en-US" w:eastAsia="zh-CN"/>
                    </w:rPr>
                    <w:t>39</w:t>
                  </w:r>
                </w:p>
              </w:tc>
              <w:tc>
                <w:tcPr>
                  <w:tcW w:w="766" w:type="dxa"/>
                  <w:tcBorders>
                    <w:tl2br w:val="nil"/>
                    <w:tr2bl w:val="nil"/>
                  </w:tcBorders>
                  <w:vAlign w:val="center"/>
                </w:tcPr>
                <w:p w14:paraId="2256F365">
                  <w:pPr>
                    <w:spacing w:line="240" w:lineRule="auto"/>
                    <w:jc w:val="center"/>
                    <w:rPr>
                      <w:rFonts w:hint="eastAsia"/>
                      <w:color w:val="auto"/>
                      <w:highlight w:val="none"/>
                      <w:lang w:val="en-US" w:eastAsia="zh-CN"/>
                    </w:rPr>
                  </w:pPr>
                  <w:r>
                    <w:rPr>
                      <w:rFonts w:hint="eastAsia"/>
                      <w:color w:val="auto"/>
                      <w:highlight w:val="none"/>
                      <w:lang w:val="en-US" w:eastAsia="zh-CN"/>
                    </w:rPr>
                    <w:t>54</w:t>
                  </w:r>
                </w:p>
              </w:tc>
              <w:tc>
                <w:tcPr>
                  <w:tcW w:w="983" w:type="dxa"/>
                  <w:tcBorders>
                    <w:tl2br w:val="nil"/>
                    <w:tr2bl w:val="nil"/>
                  </w:tcBorders>
                  <w:vAlign w:val="center"/>
                </w:tcPr>
                <w:p w14:paraId="6B373D08">
                  <w:pPr>
                    <w:spacing w:line="240" w:lineRule="auto"/>
                    <w:jc w:val="center"/>
                    <w:rPr>
                      <w:rFonts w:hint="eastAsia"/>
                      <w:color w:val="auto"/>
                      <w:highlight w:val="none"/>
                      <w:lang w:val="en-US" w:eastAsia="zh-CN"/>
                    </w:rPr>
                  </w:pPr>
                  <w:r>
                    <w:rPr>
                      <w:color w:val="auto"/>
                      <w:highlight w:val="none"/>
                    </w:rPr>
                    <w:t>53</w:t>
                  </w:r>
                </w:p>
              </w:tc>
              <w:tc>
                <w:tcPr>
                  <w:tcW w:w="924" w:type="dxa"/>
                  <w:tcBorders>
                    <w:tl2br w:val="nil"/>
                    <w:tr2bl w:val="nil"/>
                  </w:tcBorders>
                  <w:vAlign w:val="center"/>
                </w:tcPr>
                <w:p w14:paraId="20EF550D">
                  <w:pPr>
                    <w:spacing w:line="240" w:lineRule="auto"/>
                    <w:jc w:val="center"/>
                    <w:rPr>
                      <w:rFonts w:hint="eastAsia"/>
                      <w:color w:val="auto"/>
                      <w:highlight w:val="none"/>
                      <w:lang w:val="en-US" w:eastAsia="zh-CN"/>
                    </w:rPr>
                  </w:pPr>
                  <w:r>
                    <w:rPr>
                      <w:color w:val="auto"/>
                      <w:highlight w:val="none"/>
                    </w:rPr>
                    <w:t>46</w:t>
                  </w:r>
                </w:p>
              </w:tc>
              <w:tc>
                <w:tcPr>
                  <w:tcW w:w="1042" w:type="dxa"/>
                  <w:tcBorders>
                    <w:tl2br w:val="nil"/>
                    <w:tr2bl w:val="nil"/>
                  </w:tcBorders>
                  <w:vAlign w:val="center"/>
                </w:tcPr>
                <w:p w14:paraId="249E6060">
                  <w:pPr>
                    <w:spacing w:line="240" w:lineRule="auto"/>
                    <w:jc w:val="center"/>
                    <w:rPr>
                      <w:rFonts w:hint="eastAsia"/>
                      <w:color w:val="auto"/>
                      <w:highlight w:val="none"/>
                      <w:lang w:val="en-US" w:eastAsia="zh-CN"/>
                    </w:rPr>
                  </w:pPr>
                  <w:r>
                    <w:rPr>
                      <w:color w:val="auto"/>
                      <w:highlight w:val="none"/>
                    </w:rPr>
                    <w:t>53</w:t>
                  </w:r>
                </w:p>
              </w:tc>
              <w:tc>
                <w:tcPr>
                  <w:tcW w:w="1030" w:type="dxa"/>
                  <w:tcBorders>
                    <w:tl2br w:val="nil"/>
                    <w:tr2bl w:val="nil"/>
                  </w:tcBorders>
                  <w:vAlign w:val="center"/>
                </w:tcPr>
                <w:p w14:paraId="7E5C95F9">
                  <w:pPr>
                    <w:spacing w:line="240" w:lineRule="auto"/>
                    <w:jc w:val="center"/>
                    <w:rPr>
                      <w:rFonts w:hint="eastAsia"/>
                      <w:color w:val="auto"/>
                      <w:highlight w:val="none"/>
                      <w:lang w:val="en-US" w:eastAsia="zh-CN"/>
                    </w:rPr>
                  </w:pPr>
                  <w:r>
                    <w:rPr>
                      <w:rFonts w:hint="eastAsia"/>
                      <w:color w:val="auto"/>
                      <w:highlight w:val="none"/>
                      <w:lang w:val="en-US" w:eastAsia="zh-CN"/>
                    </w:rPr>
                    <w:t>900</w:t>
                  </w:r>
                </w:p>
              </w:tc>
            </w:tr>
            <w:tr w14:paraId="2FF26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58E457C1">
                  <w:pPr>
                    <w:spacing w:line="240" w:lineRule="auto"/>
                    <w:jc w:val="center"/>
                    <w:rPr>
                      <w:rFonts w:hint="eastAsia"/>
                      <w:color w:val="auto"/>
                      <w:highlight w:val="none"/>
                      <w:lang w:val="en-US" w:eastAsia="zh-CN"/>
                    </w:rPr>
                  </w:pPr>
                  <w:r>
                    <w:rPr>
                      <w:rFonts w:hint="eastAsia"/>
                      <w:color w:val="auto"/>
                      <w:highlight w:val="none"/>
                      <w:lang w:val="en-US" w:eastAsia="zh-CN"/>
                    </w:rPr>
                    <w:t>锑</w:t>
                  </w:r>
                </w:p>
              </w:tc>
              <w:tc>
                <w:tcPr>
                  <w:tcW w:w="826" w:type="dxa"/>
                  <w:tcBorders>
                    <w:tl2br w:val="nil"/>
                    <w:tr2bl w:val="nil"/>
                  </w:tcBorders>
                  <w:vAlign w:val="center"/>
                </w:tcPr>
                <w:p w14:paraId="40A04510">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53EB48B9">
                  <w:pPr>
                    <w:spacing w:line="240" w:lineRule="auto"/>
                    <w:jc w:val="center"/>
                    <w:rPr>
                      <w:rFonts w:hint="eastAsia"/>
                      <w:color w:val="auto"/>
                      <w:highlight w:val="none"/>
                      <w:lang w:val="en-US" w:eastAsia="zh-CN"/>
                    </w:rPr>
                  </w:pPr>
                  <w:r>
                    <w:rPr>
                      <w:rFonts w:hint="eastAsia"/>
                      <w:color w:val="auto"/>
                      <w:highlight w:val="none"/>
                      <w:lang w:val="en-US" w:eastAsia="zh-CN"/>
                    </w:rPr>
                    <w:t>1.61</w:t>
                  </w:r>
                </w:p>
              </w:tc>
              <w:tc>
                <w:tcPr>
                  <w:tcW w:w="826" w:type="dxa"/>
                  <w:tcBorders>
                    <w:tl2br w:val="nil"/>
                    <w:tr2bl w:val="nil"/>
                  </w:tcBorders>
                  <w:vAlign w:val="center"/>
                </w:tcPr>
                <w:p w14:paraId="4B16CD31">
                  <w:pPr>
                    <w:spacing w:line="240" w:lineRule="auto"/>
                    <w:jc w:val="center"/>
                    <w:rPr>
                      <w:rFonts w:hint="eastAsia"/>
                      <w:color w:val="auto"/>
                      <w:highlight w:val="none"/>
                      <w:lang w:val="en-US" w:eastAsia="zh-CN"/>
                    </w:rPr>
                  </w:pPr>
                  <w:r>
                    <w:rPr>
                      <w:rFonts w:hint="eastAsia"/>
                      <w:color w:val="auto"/>
                      <w:highlight w:val="none"/>
                      <w:lang w:val="en-US" w:eastAsia="zh-CN"/>
                    </w:rPr>
                    <w:t>1.46</w:t>
                  </w:r>
                </w:p>
              </w:tc>
              <w:tc>
                <w:tcPr>
                  <w:tcW w:w="766" w:type="dxa"/>
                  <w:tcBorders>
                    <w:tl2br w:val="nil"/>
                    <w:tr2bl w:val="nil"/>
                  </w:tcBorders>
                  <w:vAlign w:val="center"/>
                </w:tcPr>
                <w:p w14:paraId="2DE97FB8">
                  <w:pPr>
                    <w:spacing w:line="240" w:lineRule="auto"/>
                    <w:jc w:val="center"/>
                    <w:rPr>
                      <w:rFonts w:hint="eastAsia"/>
                      <w:color w:val="auto"/>
                      <w:highlight w:val="none"/>
                      <w:lang w:val="en-US" w:eastAsia="zh-CN"/>
                    </w:rPr>
                  </w:pPr>
                  <w:r>
                    <w:rPr>
                      <w:rFonts w:hint="eastAsia"/>
                      <w:color w:val="auto"/>
                      <w:highlight w:val="none"/>
                      <w:lang w:val="en-US" w:eastAsia="zh-CN"/>
                    </w:rPr>
                    <w:t>1.68</w:t>
                  </w:r>
                </w:p>
              </w:tc>
              <w:tc>
                <w:tcPr>
                  <w:tcW w:w="983" w:type="dxa"/>
                  <w:tcBorders>
                    <w:tl2br w:val="nil"/>
                    <w:tr2bl w:val="nil"/>
                  </w:tcBorders>
                  <w:vAlign w:val="center"/>
                </w:tcPr>
                <w:p w14:paraId="1C67E4B4">
                  <w:pPr>
                    <w:spacing w:line="240" w:lineRule="auto"/>
                    <w:jc w:val="center"/>
                    <w:rPr>
                      <w:rFonts w:hint="eastAsia"/>
                      <w:color w:val="auto"/>
                      <w:highlight w:val="none"/>
                      <w:lang w:val="en-US" w:eastAsia="zh-CN"/>
                    </w:rPr>
                  </w:pPr>
                  <w:r>
                    <w:rPr>
                      <w:color w:val="auto"/>
                      <w:highlight w:val="none"/>
                    </w:rPr>
                    <w:t>1.27</w:t>
                  </w:r>
                </w:p>
              </w:tc>
              <w:tc>
                <w:tcPr>
                  <w:tcW w:w="924" w:type="dxa"/>
                  <w:tcBorders>
                    <w:tl2br w:val="nil"/>
                    <w:tr2bl w:val="nil"/>
                  </w:tcBorders>
                  <w:vAlign w:val="center"/>
                </w:tcPr>
                <w:p w14:paraId="08EF5FFC">
                  <w:pPr>
                    <w:spacing w:line="240" w:lineRule="auto"/>
                    <w:jc w:val="center"/>
                    <w:rPr>
                      <w:rFonts w:hint="eastAsia"/>
                      <w:color w:val="auto"/>
                      <w:highlight w:val="none"/>
                      <w:lang w:val="en-US" w:eastAsia="zh-CN"/>
                    </w:rPr>
                  </w:pPr>
                  <w:r>
                    <w:rPr>
                      <w:color w:val="auto"/>
                      <w:highlight w:val="none"/>
                    </w:rPr>
                    <w:t>1.42</w:t>
                  </w:r>
                </w:p>
              </w:tc>
              <w:tc>
                <w:tcPr>
                  <w:tcW w:w="1042" w:type="dxa"/>
                  <w:tcBorders>
                    <w:tl2br w:val="nil"/>
                    <w:tr2bl w:val="nil"/>
                  </w:tcBorders>
                  <w:vAlign w:val="center"/>
                </w:tcPr>
                <w:p w14:paraId="51BC5763">
                  <w:pPr>
                    <w:spacing w:line="240" w:lineRule="auto"/>
                    <w:jc w:val="center"/>
                    <w:rPr>
                      <w:rFonts w:hint="eastAsia"/>
                      <w:color w:val="auto"/>
                      <w:highlight w:val="none"/>
                      <w:lang w:val="en-US" w:eastAsia="zh-CN"/>
                    </w:rPr>
                  </w:pPr>
                  <w:r>
                    <w:rPr>
                      <w:color w:val="auto"/>
                      <w:highlight w:val="none"/>
                    </w:rPr>
                    <w:t>1.61</w:t>
                  </w:r>
                </w:p>
              </w:tc>
              <w:tc>
                <w:tcPr>
                  <w:tcW w:w="1030" w:type="dxa"/>
                  <w:tcBorders>
                    <w:tl2br w:val="nil"/>
                    <w:tr2bl w:val="nil"/>
                  </w:tcBorders>
                  <w:vAlign w:val="center"/>
                </w:tcPr>
                <w:p w14:paraId="40B5BED5">
                  <w:pPr>
                    <w:spacing w:line="240" w:lineRule="auto"/>
                    <w:jc w:val="center"/>
                    <w:rPr>
                      <w:rFonts w:hint="eastAsia"/>
                      <w:color w:val="auto"/>
                      <w:highlight w:val="none"/>
                      <w:lang w:val="en-US" w:eastAsia="zh-CN"/>
                    </w:rPr>
                  </w:pPr>
                  <w:r>
                    <w:rPr>
                      <w:rFonts w:hint="eastAsia"/>
                      <w:color w:val="auto"/>
                      <w:highlight w:val="none"/>
                      <w:lang w:val="en-US" w:eastAsia="zh-CN"/>
                    </w:rPr>
                    <w:t>180</w:t>
                  </w:r>
                </w:p>
              </w:tc>
            </w:tr>
            <w:tr w14:paraId="76630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6D0596C9">
                  <w:pPr>
                    <w:spacing w:line="240" w:lineRule="auto"/>
                    <w:jc w:val="center"/>
                    <w:rPr>
                      <w:rFonts w:hint="eastAsia"/>
                      <w:color w:val="auto"/>
                      <w:highlight w:val="none"/>
                      <w:lang w:val="en-US" w:eastAsia="zh-CN"/>
                    </w:rPr>
                  </w:pPr>
                  <w:r>
                    <w:rPr>
                      <w:rFonts w:hint="eastAsia"/>
                      <w:color w:val="auto"/>
                      <w:highlight w:val="none"/>
                      <w:lang w:val="en-US" w:eastAsia="zh-CN"/>
                    </w:rPr>
                    <w:t>铍</w:t>
                  </w:r>
                </w:p>
              </w:tc>
              <w:tc>
                <w:tcPr>
                  <w:tcW w:w="826" w:type="dxa"/>
                  <w:tcBorders>
                    <w:tl2br w:val="nil"/>
                    <w:tr2bl w:val="nil"/>
                  </w:tcBorders>
                  <w:vAlign w:val="center"/>
                </w:tcPr>
                <w:p w14:paraId="750641DF">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7F82528E">
                  <w:pPr>
                    <w:spacing w:line="240" w:lineRule="auto"/>
                    <w:jc w:val="center"/>
                    <w:rPr>
                      <w:rFonts w:hint="eastAsia"/>
                      <w:color w:val="auto"/>
                      <w:highlight w:val="none"/>
                      <w:lang w:val="en-US" w:eastAsia="zh-CN"/>
                    </w:rPr>
                  </w:pPr>
                  <w:r>
                    <w:rPr>
                      <w:rFonts w:hint="eastAsia"/>
                      <w:color w:val="auto"/>
                      <w:highlight w:val="none"/>
                      <w:lang w:val="en-US" w:eastAsia="zh-CN"/>
                    </w:rPr>
                    <w:t>3.73</w:t>
                  </w:r>
                </w:p>
              </w:tc>
              <w:tc>
                <w:tcPr>
                  <w:tcW w:w="826" w:type="dxa"/>
                  <w:tcBorders>
                    <w:tl2br w:val="nil"/>
                    <w:tr2bl w:val="nil"/>
                  </w:tcBorders>
                  <w:vAlign w:val="center"/>
                </w:tcPr>
                <w:p w14:paraId="2ACD353A">
                  <w:pPr>
                    <w:spacing w:line="240" w:lineRule="auto"/>
                    <w:jc w:val="center"/>
                    <w:rPr>
                      <w:rFonts w:hint="eastAsia"/>
                      <w:color w:val="auto"/>
                      <w:highlight w:val="none"/>
                      <w:lang w:val="en-US" w:eastAsia="zh-CN"/>
                    </w:rPr>
                  </w:pPr>
                  <w:r>
                    <w:rPr>
                      <w:rFonts w:hint="eastAsia"/>
                      <w:color w:val="auto"/>
                      <w:highlight w:val="none"/>
                      <w:lang w:val="en-US" w:eastAsia="zh-CN"/>
                    </w:rPr>
                    <w:t>3.22</w:t>
                  </w:r>
                </w:p>
              </w:tc>
              <w:tc>
                <w:tcPr>
                  <w:tcW w:w="766" w:type="dxa"/>
                  <w:tcBorders>
                    <w:tl2br w:val="nil"/>
                    <w:tr2bl w:val="nil"/>
                  </w:tcBorders>
                  <w:vAlign w:val="center"/>
                </w:tcPr>
                <w:p w14:paraId="321BB82E">
                  <w:pPr>
                    <w:spacing w:line="240" w:lineRule="auto"/>
                    <w:jc w:val="center"/>
                    <w:rPr>
                      <w:rFonts w:hint="eastAsia"/>
                      <w:color w:val="auto"/>
                      <w:highlight w:val="none"/>
                      <w:lang w:val="en-US" w:eastAsia="zh-CN"/>
                    </w:rPr>
                  </w:pPr>
                  <w:r>
                    <w:rPr>
                      <w:rFonts w:hint="eastAsia"/>
                      <w:color w:val="auto"/>
                      <w:highlight w:val="none"/>
                      <w:lang w:val="en-US" w:eastAsia="zh-CN"/>
                    </w:rPr>
                    <w:t>3.21</w:t>
                  </w:r>
                </w:p>
              </w:tc>
              <w:tc>
                <w:tcPr>
                  <w:tcW w:w="983" w:type="dxa"/>
                  <w:tcBorders>
                    <w:tl2br w:val="nil"/>
                    <w:tr2bl w:val="nil"/>
                  </w:tcBorders>
                  <w:vAlign w:val="center"/>
                </w:tcPr>
                <w:p w14:paraId="6070A9B2">
                  <w:pPr>
                    <w:spacing w:line="240" w:lineRule="auto"/>
                    <w:jc w:val="center"/>
                    <w:rPr>
                      <w:rFonts w:hint="eastAsia"/>
                      <w:color w:val="auto"/>
                      <w:highlight w:val="none"/>
                      <w:lang w:val="en-US" w:eastAsia="zh-CN"/>
                    </w:rPr>
                  </w:pPr>
                  <w:r>
                    <w:rPr>
                      <w:color w:val="auto"/>
                      <w:highlight w:val="none"/>
                    </w:rPr>
                    <w:t>2.81</w:t>
                  </w:r>
                </w:p>
              </w:tc>
              <w:tc>
                <w:tcPr>
                  <w:tcW w:w="924" w:type="dxa"/>
                  <w:tcBorders>
                    <w:tl2br w:val="nil"/>
                    <w:tr2bl w:val="nil"/>
                  </w:tcBorders>
                  <w:vAlign w:val="center"/>
                </w:tcPr>
                <w:p w14:paraId="65DBB498">
                  <w:pPr>
                    <w:spacing w:line="240" w:lineRule="auto"/>
                    <w:jc w:val="center"/>
                    <w:rPr>
                      <w:rFonts w:hint="eastAsia"/>
                      <w:color w:val="auto"/>
                      <w:highlight w:val="none"/>
                      <w:lang w:val="en-US" w:eastAsia="zh-CN"/>
                    </w:rPr>
                  </w:pPr>
                  <w:r>
                    <w:rPr>
                      <w:color w:val="auto"/>
                      <w:highlight w:val="none"/>
                    </w:rPr>
                    <w:t>2.88</w:t>
                  </w:r>
                </w:p>
              </w:tc>
              <w:tc>
                <w:tcPr>
                  <w:tcW w:w="1042" w:type="dxa"/>
                  <w:tcBorders>
                    <w:tl2br w:val="nil"/>
                    <w:tr2bl w:val="nil"/>
                  </w:tcBorders>
                  <w:vAlign w:val="center"/>
                </w:tcPr>
                <w:p w14:paraId="1A736EBF">
                  <w:pPr>
                    <w:spacing w:line="240" w:lineRule="auto"/>
                    <w:jc w:val="center"/>
                    <w:rPr>
                      <w:rFonts w:hint="eastAsia"/>
                      <w:color w:val="auto"/>
                      <w:highlight w:val="none"/>
                      <w:lang w:val="en-US" w:eastAsia="zh-CN"/>
                    </w:rPr>
                  </w:pPr>
                  <w:r>
                    <w:rPr>
                      <w:color w:val="auto"/>
                      <w:highlight w:val="none"/>
                    </w:rPr>
                    <w:t>2.70</w:t>
                  </w:r>
                </w:p>
              </w:tc>
              <w:tc>
                <w:tcPr>
                  <w:tcW w:w="1030" w:type="dxa"/>
                  <w:tcBorders>
                    <w:tl2br w:val="nil"/>
                    <w:tr2bl w:val="nil"/>
                  </w:tcBorders>
                  <w:vAlign w:val="center"/>
                </w:tcPr>
                <w:p w14:paraId="4431F034">
                  <w:pPr>
                    <w:spacing w:line="240" w:lineRule="auto"/>
                    <w:jc w:val="center"/>
                    <w:rPr>
                      <w:rFonts w:hint="eastAsia"/>
                      <w:color w:val="auto"/>
                      <w:highlight w:val="none"/>
                      <w:lang w:val="en-US" w:eastAsia="zh-CN"/>
                    </w:rPr>
                  </w:pPr>
                  <w:r>
                    <w:rPr>
                      <w:rFonts w:hint="eastAsia"/>
                      <w:color w:val="auto"/>
                      <w:highlight w:val="none"/>
                      <w:lang w:val="en-US" w:eastAsia="zh-CN"/>
                    </w:rPr>
                    <w:t>29</w:t>
                  </w:r>
                </w:p>
              </w:tc>
            </w:tr>
            <w:tr w14:paraId="5AD05A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00F5592F">
                  <w:pPr>
                    <w:spacing w:line="240" w:lineRule="auto"/>
                    <w:jc w:val="center"/>
                    <w:rPr>
                      <w:rFonts w:hint="eastAsia"/>
                      <w:color w:val="auto"/>
                      <w:highlight w:val="none"/>
                      <w:lang w:val="en-US" w:eastAsia="zh-CN"/>
                    </w:rPr>
                  </w:pPr>
                  <w:r>
                    <w:rPr>
                      <w:rFonts w:hint="eastAsia"/>
                      <w:color w:val="auto"/>
                      <w:highlight w:val="none"/>
                      <w:lang w:val="en-US" w:eastAsia="zh-CN"/>
                    </w:rPr>
                    <w:t>钴</w:t>
                  </w:r>
                </w:p>
              </w:tc>
              <w:tc>
                <w:tcPr>
                  <w:tcW w:w="826" w:type="dxa"/>
                  <w:tcBorders>
                    <w:tl2br w:val="nil"/>
                    <w:tr2bl w:val="nil"/>
                  </w:tcBorders>
                  <w:vAlign w:val="center"/>
                </w:tcPr>
                <w:p w14:paraId="5E14B53B">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0C6B7E43">
                  <w:pPr>
                    <w:spacing w:line="240" w:lineRule="auto"/>
                    <w:jc w:val="center"/>
                    <w:rPr>
                      <w:rFonts w:hint="eastAsia"/>
                      <w:color w:val="auto"/>
                      <w:highlight w:val="none"/>
                      <w:lang w:val="en-US" w:eastAsia="zh-CN"/>
                    </w:rPr>
                  </w:pPr>
                  <w:r>
                    <w:rPr>
                      <w:rFonts w:hint="eastAsia"/>
                      <w:color w:val="auto"/>
                      <w:highlight w:val="none"/>
                      <w:lang w:val="en-US" w:eastAsia="zh-CN"/>
                    </w:rPr>
                    <w:t>13.6</w:t>
                  </w:r>
                </w:p>
              </w:tc>
              <w:tc>
                <w:tcPr>
                  <w:tcW w:w="826" w:type="dxa"/>
                  <w:tcBorders>
                    <w:tl2br w:val="nil"/>
                    <w:tr2bl w:val="nil"/>
                  </w:tcBorders>
                  <w:vAlign w:val="center"/>
                </w:tcPr>
                <w:p w14:paraId="427760DF">
                  <w:pPr>
                    <w:spacing w:line="240" w:lineRule="auto"/>
                    <w:jc w:val="center"/>
                    <w:rPr>
                      <w:rFonts w:hint="eastAsia"/>
                      <w:color w:val="auto"/>
                      <w:highlight w:val="none"/>
                      <w:lang w:val="en-US" w:eastAsia="zh-CN"/>
                    </w:rPr>
                  </w:pPr>
                  <w:r>
                    <w:rPr>
                      <w:rFonts w:hint="eastAsia"/>
                      <w:color w:val="auto"/>
                      <w:highlight w:val="none"/>
                      <w:lang w:val="en-US" w:eastAsia="zh-CN"/>
                    </w:rPr>
                    <w:t>13.6</w:t>
                  </w:r>
                </w:p>
              </w:tc>
              <w:tc>
                <w:tcPr>
                  <w:tcW w:w="766" w:type="dxa"/>
                  <w:tcBorders>
                    <w:tl2br w:val="nil"/>
                    <w:tr2bl w:val="nil"/>
                  </w:tcBorders>
                  <w:vAlign w:val="center"/>
                </w:tcPr>
                <w:p w14:paraId="3042D195">
                  <w:pPr>
                    <w:spacing w:line="240" w:lineRule="auto"/>
                    <w:jc w:val="center"/>
                    <w:rPr>
                      <w:rFonts w:hint="eastAsia"/>
                      <w:color w:val="auto"/>
                      <w:highlight w:val="none"/>
                      <w:lang w:val="en-US" w:eastAsia="zh-CN"/>
                    </w:rPr>
                  </w:pPr>
                  <w:r>
                    <w:rPr>
                      <w:rFonts w:hint="eastAsia"/>
                      <w:color w:val="auto"/>
                      <w:highlight w:val="none"/>
                      <w:lang w:val="en-US" w:eastAsia="zh-CN"/>
                    </w:rPr>
                    <w:t>14.3</w:t>
                  </w:r>
                </w:p>
              </w:tc>
              <w:tc>
                <w:tcPr>
                  <w:tcW w:w="983" w:type="dxa"/>
                  <w:tcBorders>
                    <w:tl2br w:val="nil"/>
                    <w:tr2bl w:val="nil"/>
                  </w:tcBorders>
                  <w:vAlign w:val="center"/>
                </w:tcPr>
                <w:p w14:paraId="4256D06A">
                  <w:pPr>
                    <w:spacing w:line="240" w:lineRule="auto"/>
                    <w:jc w:val="center"/>
                    <w:rPr>
                      <w:rFonts w:hint="eastAsia"/>
                      <w:color w:val="auto"/>
                      <w:highlight w:val="none"/>
                      <w:lang w:val="en-US" w:eastAsia="zh-CN"/>
                    </w:rPr>
                  </w:pPr>
                  <w:r>
                    <w:rPr>
                      <w:color w:val="auto"/>
                      <w:highlight w:val="none"/>
                    </w:rPr>
                    <w:t>13.7</w:t>
                  </w:r>
                </w:p>
              </w:tc>
              <w:tc>
                <w:tcPr>
                  <w:tcW w:w="924" w:type="dxa"/>
                  <w:tcBorders>
                    <w:tl2br w:val="nil"/>
                    <w:tr2bl w:val="nil"/>
                  </w:tcBorders>
                  <w:vAlign w:val="center"/>
                </w:tcPr>
                <w:p w14:paraId="02D5FF41">
                  <w:pPr>
                    <w:spacing w:line="240" w:lineRule="auto"/>
                    <w:jc w:val="center"/>
                    <w:rPr>
                      <w:rFonts w:hint="eastAsia"/>
                      <w:color w:val="auto"/>
                      <w:highlight w:val="none"/>
                      <w:lang w:val="en-US" w:eastAsia="zh-CN"/>
                    </w:rPr>
                  </w:pPr>
                  <w:r>
                    <w:rPr>
                      <w:color w:val="auto"/>
                      <w:highlight w:val="none"/>
                    </w:rPr>
                    <w:t>14.6</w:t>
                  </w:r>
                </w:p>
              </w:tc>
              <w:tc>
                <w:tcPr>
                  <w:tcW w:w="1042" w:type="dxa"/>
                  <w:tcBorders>
                    <w:tl2br w:val="nil"/>
                    <w:tr2bl w:val="nil"/>
                  </w:tcBorders>
                  <w:vAlign w:val="center"/>
                </w:tcPr>
                <w:p w14:paraId="5C429DBB">
                  <w:pPr>
                    <w:spacing w:line="240" w:lineRule="auto"/>
                    <w:jc w:val="center"/>
                    <w:rPr>
                      <w:rFonts w:hint="eastAsia"/>
                      <w:color w:val="auto"/>
                      <w:highlight w:val="none"/>
                      <w:lang w:val="en-US" w:eastAsia="zh-CN"/>
                    </w:rPr>
                  </w:pPr>
                  <w:r>
                    <w:rPr>
                      <w:color w:val="auto"/>
                      <w:highlight w:val="none"/>
                    </w:rPr>
                    <w:t>15.2</w:t>
                  </w:r>
                </w:p>
              </w:tc>
              <w:tc>
                <w:tcPr>
                  <w:tcW w:w="1030" w:type="dxa"/>
                  <w:tcBorders>
                    <w:tl2br w:val="nil"/>
                    <w:tr2bl w:val="nil"/>
                  </w:tcBorders>
                  <w:vAlign w:val="center"/>
                </w:tcPr>
                <w:p w14:paraId="343F75CF">
                  <w:pPr>
                    <w:spacing w:line="240" w:lineRule="auto"/>
                    <w:jc w:val="center"/>
                    <w:rPr>
                      <w:rFonts w:hint="eastAsia"/>
                      <w:color w:val="auto"/>
                      <w:highlight w:val="none"/>
                      <w:lang w:val="en-US" w:eastAsia="zh-CN"/>
                    </w:rPr>
                  </w:pPr>
                  <w:r>
                    <w:rPr>
                      <w:rFonts w:hint="eastAsia"/>
                      <w:color w:val="auto"/>
                      <w:highlight w:val="none"/>
                      <w:lang w:val="en-US" w:eastAsia="zh-CN"/>
                    </w:rPr>
                    <w:t>70</w:t>
                  </w:r>
                </w:p>
              </w:tc>
            </w:tr>
            <w:tr w14:paraId="7E2031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3553D5E9">
                  <w:pPr>
                    <w:spacing w:line="240" w:lineRule="auto"/>
                    <w:jc w:val="center"/>
                    <w:rPr>
                      <w:rFonts w:hint="eastAsia"/>
                      <w:color w:val="auto"/>
                      <w:highlight w:val="none"/>
                      <w:lang w:val="en-US" w:eastAsia="zh-CN"/>
                    </w:rPr>
                  </w:pPr>
                  <w:r>
                    <w:rPr>
                      <w:rFonts w:hint="eastAsia"/>
                      <w:color w:val="auto"/>
                      <w:highlight w:val="none"/>
                      <w:lang w:val="en-US" w:eastAsia="zh-CN"/>
                    </w:rPr>
                    <w:t>钒</w:t>
                  </w:r>
                </w:p>
              </w:tc>
              <w:tc>
                <w:tcPr>
                  <w:tcW w:w="826" w:type="dxa"/>
                  <w:tcBorders>
                    <w:tl2br w:val="nil"/>
                    <w:tr2bl w:val="nil"/>
                  </w:tcBorders>
                  <w:vAlign w:val="center"/>
                </w:tcPr>
                <w:p w14:paraId="30706301">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337E325A">
                  <w:pPr>
                    <w:spacing w:line="240" w:lineRule="auto"/>
                    <w:jc w:val="center"/>
                    <w:rPr>
                      <w:rFonts w:hint="eastAsia"/>
                      <w:color w:val="auto"/>
                      <w:highlight w:val="none"/>
                      <w:lang w:val="en-US" w:eastAsia="zh-CN"/>
                    </w:rPr>
                  </w:pPr>
                  <w:r>
                    <w:rPr>
                      <w:rFonts w:hint="eastAsia"/>
                      <w:color w:val="auto"/>
                      <w:highlight w:val="none"/>
                      <w:lang w:val="en-US" w:eastAsia="zh-CN"/>
                    </w:rPr>
                    <w:t>100</w:t>
                  </w:r>
                </w:p>
              </w:tc>
              <w:tc>
                <w:tcPr>
                  <w:tcW w:w="826" w:type="dxa"/>
                  <w:tcBorders>
                    <w:tl2br w:val="nil"/>
                    <w:tr2bl w:val="nil"/>
                  </w:tcBorders>
                  <w:vAlign w:val="center"/>
                </w:tcPr>
                <w:p w14:paraId="5EF14372">
                  <w:pPr>
                    <w:spacing w:line="240" w:lineRule="auto"/>
                    <w:jc w:val="center"/>
                    <w:rPr>
                      <w:rFonts w:hint="eastAsia"/>
                      <w:color w:val="auto"/>
                      <w:highlight w:val="none"/>
                      <w:lang w:val="en-US" w:eastAsia="zh-CN"/>
                    </w:rPr>
                  </w:pPr>
                  <w:r>
                    <w:rPr>
                      <w:rFonts w:hint="eastAsia"/>
                      <w:color w:val="auto"/>
                      <w:highlight w:val="none"/>
                      <w:lang w:val="en-US" w:eastAsia="zh-CN"/>
                    </w:rPr>
                    <w:t>90</w:t>
                  </w:r>
                </w:p>
              </w:tc>
              <w:tc>
                <w:tcPr>
                  <w:tcW w:w="766" w:type="dxa"/>
                  <w:tcBorders>
                    <w:tl2br w:val="nil"/>
                    <w:tr2bl w:val="nil"/>
                  </w:tcBorders>
                  <w:vAlign w:val="center"/>
                </w:tcPr>
                <w:p w14:paraId="5999CDE8">
                  <w:pPr>
                    <w:spacing w:line="240" w:lineRule="auto"/>
                    <w:jc w:val="center"/>
                    <w:rPr>
                      <w:rFonts w:hint="eastAsia"/>
                      <w:color w:val="auto"/>
                      <w:highlight w:val="none"/>
                      <w:lang w:val="en-US" w:eastAsia="zh-CN"/>
                    </w:rPr>
                  </w:pPr>
                  <w:r>
                    <w:rPr>
                      <w:rFonts w:hint="eastAsia"/>
                      <w:color w:val="auto"/>
                      <w:highlight w:val="none"/>
                      <w:lang w:val="en-US" w:eastAsia="zh-CN"/>
                    </w:rPr>
                    <w:t>100</w:t>
                  </w:r>
                </w:p>
              </w:tc>
              <w:tc>
                <w:tcPr>
                  <w:tcW w:w="983" w:type="dxa"/>
                  <w:tcBorders>
                    <w:tl2br w:val="nil"/>
                    <w:tr2bl w:val="nil"/>
                  </w:tcBorders>
                  <w:vAlign w:val="center"/>
                </w:tcPr>
                <w:p w14:paraId="6630CFA1">
                  <w:pPr>
                    <w:spacing w:line="240" w:lineRule="auto"/>
                    <w:jc w:val="center"/>
                    <w:rPr>
                      <w:rFonts w:hint="eastAsia"/>
                      <w:color w:val="auto"/>
                      <w:highlight w:val="none"/>
                      <w:lang w:val="en-US" w:eastAsia="zh-CN"/>
                    </w:rPr>
                  </w:pPr>
                  <w:r>
                    <w:rPr>
                      <w:color w:val="auto"/>
                      <w:highlight w:val="none"/>
                    </w:rPr>
                    <w:t>90</w:t>
                  </w:r>
                </w:p>
              </w:tc>
              <w:tc>
                <w:tcPr>
                  <w:tcW w:w="924" w:type="dxa"/>
                  <w:tcBorders>
                    <w:tl2br w:val="nil"/>
                    <w:tr2bl w:val="nil"/>
                  </w:tcBorders>
                  <w:vAlign w:val="center"/>
                </w:tcPr>
                <w:p w14:paraId="41635FB2">
                  <w:pPr>
                    <w:spacing w:line="240" w:lineRule="auto"/>
                    <w:jc w:val="center"/>
                    <w:rPr>
                      <w:rFonts w:hint="eastAsia"/>
                      <w:color w:val="auto"/>
                      <w:highlight w:val="none"/>
                      <w:lang w:val="en-US" w:eastAsia="zh-CN"/>
                    </w:rPr>
                  </w:pPr>
                  <w:r>
                    <w:rPr>
                      <w:color w:val="auto"/>
                      <w:highlight w:val="none"/>
                    </w:rPr>
                    <w:t>100</w:t>
                  </w:r>
                </w:p>
              </w:tc>
              <w:tc>
                <w:tcPr>
                  <w:tcW w:w="1042" w:type="dxa"/>
                  <w:tcBorders>
                    <w:tl2br w:val="nil"/>
                    <w:tr2bl w:val="nil"/>
                  </w:tcBorders>
                  <w:vAlign w:val="center"/>
                </w:tcPr>
                <w:p w14:paraId="0D78E34A">
                  <w:pPr>
                    <w:spacing w:line="240" w:lineRule="auto"/>
                    <w:jc w:val="center"/>
                    <w:rPr>
                      <w:rFonts w:hint="eastAsia"/>
                      <w:color w:val="auto"/>
                      <w:highlight w:val="none"/>
                      <w:lang w:val="en-US" w:eastAsia="zh-CN"/>
                    </w:rPr>
                  </w:pPr>
                  <w:r>
                    <w:rPr>
                      <w:color w:val="auto"/>
                      <w:highlight w:val="none"/>
                    </w:rPr>
                    <w:t>90</w:t>
                  </w:r>
                </w:p>
              </w:tc>
              <w:tc>
                <w:tcPr>
                  <w:tcW w:w="1030" w:type="dxa"/>
                  <w:tcBorders>
                    <w:tl2br w:val="nil"/>
                    <w:tr2bl w:val="nil"/>
                  </w:tcBorders>
                  <w:vAlign w:val="center"/>
                </w:tcPr>
                <w:p w14:paraId="4B5C45B9">
                  <w:pPr>
                    <w:spacing w:line="240" w:lineRule="auto"/>
                    <w:jc w:val="center"/>
                    <w:rPr>
                      <w:rFonts w:hint="eastAsia"/>
                      <w:color w:val="auto"/>
                      <w:highlight w:val="none"/>
                      <w:lang w:val="en-US" w:eastAsia="zh-CN"/>
                    </w:rPr>
                  </w:pPr>
                  <w:r>
                    <w:rPr>
                      <w:rFonts w:hint="eastAsia"/>
                      <w:color w:val="auto"/>
                      <w:highlight w:val="none"/>
                      <w:lang w:val="en-US" w:eastAsia="zh-CN"/>
                    </w:rPr>
                    <w:t>752</w:t>
                  </w:r>
                </w:p>
              </w:tc>
            </w:tr>
            <w:tr w14:paraId="64259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040" w:type="dxa"/>
                  <w:tcBorders>
                    <w:tl2br w:val="nil"/>
                    <w:tr2bl w:val="nil"/>
                  </w:tcBorders>
                  <w:vAlign w:val="center"/>
                </w:tcPr>
                <w:p w14:paraId="34495EE2">
                  <w:pPr>
                    <w:spacing w:line="240" w:lineRule="auto"/>
                    <w:jc w:val="center"/>
                    <w:rPr>
                      <w:rFonts w:hint="eastAsia"/>
                      <w:color w:val="auto"/>
                      <w:highlight w:val="none"/>
                      <w:lang w:val="en-US" w:eastAsia="zh-CN"/>
                    </w:rPr>
                  </w:pPr>
                  <w:r>
                    <w:rPr>
                      <w:rFonts w:hint="eastAsia"/>
                      <w:color w:val="auto"/>
                      <w:highlight w:val="none"/>
                      <w:lang w:val="en-US" w:eastAsia="zh-CN"/>
                    </w:rPr>
                    <w:t>石油烃</w:t>
                  </w:r>
                </w:p>
                <w:p w14:paraId="5FE8EDEF">
                  <w:pPr>
                    <w:spacing w:line="240" w:lineRule="auto"/>
                    <w:jc w:val="center"/>
                    <w:rPr>
                      <w:rFonts w:hint="eastAsia"/>
                      <w:color w:val="auto"/>
                      <w:highlight w:val="none"/>
                      <w:lang w:val="en-US" w:eastAsia="zh-CN"/>
                    </w:rPr>
                  </w:pPr>
                  <w:r>
                    <w:rPr>
                      <w:rFonts w:hint="eastAsia"/>
                      <w:color w:val="auto"/>
                      <w:highlight w:val="none"/>
                      <w:lang w:val="en-US" w:eastAsia="zh-CN"/>
                    </w:rPr>
                    <w:t>(C₀-C)</w:t>
                  </w:r>
                </w:p>
              </w:tc>
              <w:tc>
                <w:tcPr>
                  <w:tcW w:w="826" w:type="dxa"/>
                  <w:tcBorders>
                    <w:tl2br w:val="nil"/>
                    <w:tr2bl w:val="nil"/>
                  </w:tcBorders>
                  <w:vAlign w:val="center"/>
                </w:tcPr>
                <w:p w14:paraId="67C64875">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4BA9695">
                  <w:pPr>
                    <w:spacing w:line="240" w:lineRule="auto"/>
                    <w:jc w:val="center"/>
                    <w:rPr>
                      <w:rFonts w:hint="eastAsia"/>
                      <w:color w:val="auto"/>
                      <w:highlight w:val="none"/>
                      <w:lang w:val="en-US" w:eastAsia="zh-CN"/>
                    </w:rPr>
                  </w:pPr>
                  <w:r>
                    <w:rPr>
                      <w:rFonts w:hint="eastAsia"/>
                      <w:color w:val="auto"/>
                      <w:highlight w:val="none"/>
                      <w:lang w:val="en-US" w:eastAsia="zh-CN"/>
                    </w:rPr>
                    <w:t>62.8</w:t>
                  </w:r>
                </w:p>
              </w:tc>
              <w:tc>
                <w:tcPr>
                  <w:tcW w:w="826" w:type="dxa"/>
                  <w:tcBorders>
                    <w:tl2br w:val="nil"/>
                    <w:tr2bl w:val="nil"/>
                  </w:tcBorders>
                  <w:vAlign w:val="center"/>
                </w:tcPr>
                <w:p w14:paraId="4464E5FC">
                  <w:pPr>
                    <w:spacing w:line="240" w:lineRule="auto"/>
                    <w:jc w:val="center"/>
                    <w:rPr>
                      <w:rFonts w:hint="eastAsia"/>
                      <w:color w:val="auto"/>
                      <w:highlight w:val="none"/>
                      <w:lang w:val="en-US" w:eastAsia="zh-CN"/>
                    </w:rPr>
                  </w:pPr>
                  <w:r>
                    <w:rPr>
                      <w:rFonts w:hint="eastAsia"/>
                      <w:color w:val="auto"/>
                      <w:highlight w:val="none"/>
                      <w:lang w:val="en-US" w:eastAsia="zh-CN"/>
                    </w:rPr>
                    <w:t>53.4</w:t>
                  </w:r>
                </w:p>
              </w:tc>
              <w:tc>
                <w:tcPr>
                  <w:tcW w:w="766" w:type="dxa"/>
                  <w:tcBorders>
                    <w:tl2br w:val="nil"/>
                    <w:tr2bl w:val="nil"/>
                  </w:tcBorders>
                  <w:vAlign w:val="center"/>
                </w:tcPr>
                <w:p w14:paraId="74757C4B">
                  <w:pPr>
                    <w:spacing w:line="240" w:lineRule="auto"/>
                    <w:jc w:val="center"/>
                    <w:rPr>
                      <w:rFonts w:hint="eastAsia"/>
                      <w:color w:val="auto"/>
                      <w:highlight w:val="none"/>
                      <w:lang w:val="en-US" w:eastAsia="zh-CN"/>
                    </w:rPr>
                  </w:pPr>
                  <w:r>
                    <w:rPr>
                      <w:rFonts w:hint="eastAsia"/>
                      <w:color w:val="auto"/>
                      <w:highlight w:val="none"/>
                      <w:lang w:val="en-US" w:eastAsia="zh-CN"/>
                    </w:rPr>
                    <w:t>47.4</w:t>
                  </w:r>
                </w:p>
              </w:tc>
              <w:tc>
                <w:tcPr>
                  <w:tcW w:w="983" w:type="dxa"/>
                  <w:tcBorders>
                    <w:tl2br w:val="nil"/>
                    <w:tr2bl w:val="nil"/>
                  </w:tcBorders>
                  <w:vAlign w:val="center"/>
                </w:tcPr>
                <w:p w14:paraId="5EDA9256">
                  <w:pPr>
                    <w:spacing w:line="240" w:lineRule="auto"/>
                    <w:jc w:val="center"/>
                    <w:rPr>
                      <w:rFonts w:hint="eastAsia"/>
                      <w:color w:val="auto"/>
                      <w:highlight w:val="none"/>
                      <w:lang w:val="en-US" w:eastAsia="zh-CN"/>
                    </w:rPr>
                  </w:pPr>
                  <w:r>
                    <w:rPr>
                      <w:color w:val="auto"/>
                      <w:highlight w:val="none"/>
                    </w:rPr>
                    <w:t>44.2</w:t>
                  </w:r>
                </w:p>
              </w:tc>
              <w:tc>
                <w:tcPr>
                  <w:tcW w:w="924" w:type="dxa"/>
                  <w:tcBorders>
                    <w:tl2br w:val="nil"/>
                    <w:tr2bl w:val="nil"/>
                  </w:tcBorders>
                  <w:vAlign w:val="center"/>
                </w:tcPr>
                <w:p w14:paraId="246C91AF">
                  <w:pPr>
                    <w:spacing w:line="240" w:lineRule="auto"/>
                    <w:jc w:val="center"/>
                    <w:rPr>
                      <w:rFonts w:hint="eastAsia"/>
                      <w:color w:val="auto"/>
                      <w:highlight w:val="none"/>
                      <w:lang w:val="en-US" w:eastAsia="zh-CN"/>
                    </w:rPr>
                  </w:pPr>
                  <w:r>
                    <w:rPr>
                      <w:color w:val="auto"/>
                      <w:highlight w:val="none"/>
                    </w:rPr>
                    <w:t>47.0</w:t>
                  </w:r>
                </w:p>
              </w:tc>
              <w:tc>
                <w:tcPr>
                  <w:tcW w:w="1042" w:type="dxa"/>
                  <w:tcBorders>
                    <w:tl2br w:val="nil"/>
                    <w:tr2bl w:val="nil"/>
                  </w:tcBorders>
                  <w:vAlign w:val="center"/>
                </w:tcPr>
                <w:p w14:paraId="12D6DF4A">
                  <w:pPr>
                    <w:spacing w:line="240" w:lineRule="auto"/>
                    <w:jc w:val="center"/>
                    <w:rPr>
                      <w:rFonts w:hint="eastAsia"/>
                      <w:color w:val="auto"/>
                      <w:highlight w:val="none"/>
                      <w:lang w:val="en-US" w:eastAsia="zh-CN"/>
                    </w:rPr>
                  </w:pPr>
                  <w:r>
                    <w:rPr>
                      <w:color w:val="auto"/>
                      <w:highlight w:val="none"/>
                    </w:rPr>
                    <w:t>11.2</w:t>
                  </w:r>
                </w:p>
              </w:tc>
              <w:tc>
                <w:tcPr>
                  <w:tcW w:w="1030" w:type="dxa"/>
                  <w:tcBorders>
                    <w:tl2br w:val="nil"/>
                    <w:tr2bl w:val="nil"/>
                  </w:tcBorders>
                  <w:vAlign w:val="center"/>
                </w:tcPr>
                <w:p w14:paraId="7FA559B9">
                  <w:pPr>
                    <w:spacing w:line="240" w:lineRule="auto"/>
                    <w:jc w:val="center"/>
                    <w:rPr>
                      <w:rFonts w:hint="eastAsia"/>
                      <w:color w:val="auto"/>
                      <w:highlight w:val="none"/>
                      <w:lang w:val="en-US" w:eastAsia="zh-CN"/>
                    </w:rPr>
                  </w:pPr>
                  <w:r>
                    <w:rPr>
                      <w:rFonts w:hint="eastAsia"/>
                      <w:color w:val="auto"/>
                      <w:highlight w:val="none"/>
                      <w:lang w:val="en-US" w:eastAsia="zh-CN"/>
                    </w:rPr>
                    <w:t>4500</w:t>
                  </w:r>
                </w:p>
              </w:tc>
            </w:tr>
            <w:tr w14:paraId="76B5E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2099D8D4">
                  <w:pPr>
                    <w:spacing w:line="240" w:lineRule="auto"/>
                    <w:jc w:val="center"/>
                    <w:rPr>
                      <w:rFonts w:hint="eastAsia"/>
                      <w:color w:val="auto"/>
                      <w:highlight w:val="none"/>
                      <w:lang w:val="en-US" w:eastAsia="zh-CN"/>
                    </w:rPr>
                  </w:pPr>
                  <w:r>
                    <w:rPr>
                      <w:rFonts w:hint="eastAsia"/>
                      <w:color w:val="auto"/>
                      <w:highlight w:val="none"/>
                      <w:lang w:val="en-US" w:eastAsia="zh-CN"/>
                    </w:rPr>
                    <w:t>铊</w:t>
                  </w:r>
                </w:p>
              </w:tc>
              <w:tc>
                <w:tcPr>
                  <w:tcW w:w="826" w:type="dxa"/>
                  <w:tcBorders>
                    <w:tl2br w:val="nil"/>
                    <w:tr2bl w:val="nil"/>
                  </w:tcBorders>
                  <w:vAlign w:val="center"/>
                </w:tcPr>
                <w:p w14:paraId="702EEFA3">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77B68D93">
                  <w:pPr>
                    <w:spacing w:line="240" w:lineRule="auto"/>
                    <w:jc w:val="center"/>
                    <w:rPr>
                      <w:rFonts w:hint="eastAsia"/>
                      <w:color w:val="auto"/>
                      <w:highlight w:val="none"/>
                      <w:lang w:val="en-US" w:eastAsia="zh-CN"/>
                    </w:rPr>
                  </w:pPr>
                  <w:r>
                    <w:rPr>
                      <w:rFonts w:hint="eastAsia"/>
                      <w:color w:val="auto"/>
                      <w:highlight w:val="none"/>
                      <w:lang w:val="en-US" w:eastAsia="zh-CN"/>
                    </w:rPr>
                    <w:t>0.2</w:t>
                  </w:r>
                </w:p>
              </w:tc>
              <w:tc>
                <w:tcPr>
                  <w:tcW w:w="826" w:type="dxa"/>
                  <w:tcBorders>
                    <w:tl2br w:val="nil"/>
                    <w:tr2bl w:val="nil"/>
                  </w:tcBorders>
                  <w:vAlign w:val="center"/>
                </w:tcPr>
                <w:p w14:paraId="6F52C589">
                  <w:pPr>
                    <w:spacing w:line="240" w:lineRule="auto"/>
                    <w:jc w:val="center"/>
                    <w:rPr>
                      <w:rFonts w:hint="eastAsia"/>
                      <w:color w:val="auto"/>
                      <w:highlight w:val="none"/>
                      <w:lang w:val="en-US" w:eastAsia="zh-CN"/>
                    </w:rPr>
                  </w:pPr>
                  <w:r>
                    <w:rPr>
                      <w:rFonts w:hint="eastAsia"/>
                      <w:color w:val="auto"/>
                      <w:highlight w:val="none"/>
                      <w:lang w:val="en-US" w:eastAsia="zh-CN"/>
                    </w:rPr>
                    <w:t>0.2</w:t>
                  </w:r>
                </w:p>
              </w:tc>
              <w:tc>
                <w:tcPr>
                  <w:tcW w:w="766" w:type="dxa"/>
                  <w:tcBorders>
                    <w:tl2br w:val="nil"/>
                    <w:tr2bl w:val="nil"/>
                  </w:tcBorders>
                  <w:vAlign w:val="center"/>
                </w:tcPr>
                <w:p w14:paraId="371C2627">
                  <w:pPr>
                    <w:spacing w:line="240" w:lineRule="auto"/>
                    <w:jc w:val="center"/>
                    <w:rPr>
                      <w:rFonts w:hint="eastAsia"/>
                      <w:color w:val="auto"/>
                      <w:highlight w:val="none"/>
                      <w:lang w:val="en-US" w:eastAsia="zh-CN"/>
                    </w:rPr>
                  </w:pPr>
                  <w:r>
                    <w:rPr>
                      <w:rFonts w:hint="eastAsia"/>
                      <w:color w:val="auto"/>
                      <w:highlight w:val="none"/>
                      <w:lang w:val="en-US" w:eastAsia="zh-CN"/>
                    </w:rPr>
                    <w:t>0.2</w:t>
                  </w:r>
                </w:p>
              </w:tc>
              <w:tc>
                <w:tcPr>
                  <w:tcW w:w="983" w:type="dxa"/>
                  <w:tcBorders>
                    <w:tl2br w:val="nil"/>
                    <w:tr2bl w:val="nil"/>
                  </w:tcBorders>
                  <w:vAlign w:val="center"/>
                </w:tcPr>
                <w:p w14:paraId="2B33FCF1">
                  <w:pPr>
                    <w:spacing w:line="240" w:lineRule="auto"/>
                    <w:jc w:val="center"/>
                    <w:rPr>
                      <w:rFonts w:hint="eastAsia"/>
                      <w:color w:val="auto"/>
                      <w:highlight w:val="none"/>
                      <w:lang w:val="en-US" w:eastAsia="zh-CN"/>
                    </w:rPr>
                  </w:pPr>
                  <w:r>
                    <w:rPr>
                      <w:color w:val="auto"/>
                      <w:highlight w:val="none"/>
                    </w:rPr>
                    <w:t>0.2</w:t>
                  </w:r>
                </w:p>
              </w:tc>
              <w:tc>
                <w:tcPr>
                  <w:tcW w:w="924" w:type="dxa"/>
                  <w:tcBorders>
                    <w:tl2br w:val="nil"/>
                    <w:tr2bl w:val="nil"/>
                  </w:tcBorders>
                  <w:vAlign w:val="center"/>
                </w:tcPr>
                <w:p w14:paraId="2675D0C5">
                  <w:pPr>
                    <w:spacing w:line="240" w:lineRule="auto"/>
                    <w:jc w:val="center"/>
                    <w:rPr>
                      <w:rFonts w:hint="eastAsia"/>
                      <w:color w:val="auto"/>
                      <w:highlight w:val="none"/>
                      <w:lang w:val="en-US" w:eastAsia="zh-CN"/>
                    </w:rPr>
                  </w:pPr>
                  <w:r>
                    <w:rPr>
                      <w:color w:val="auto"/>
                      <w:highlight w:val="none"/>
                    </w:rPr>
                    <w:t>0.1</w:t>
                  </w:r>
                </w:p>
              </w:tc>
              <w:tc>
                <w:tcPr>
                  <w:tcW w:w="1042" w:type="dxa"/>
                  <w:tcBorders>
                    <w:tl2br w:val="nil"/>
                    <w:tr2bl w:val="nil"/>
                  </w:tcBorders>
                  <w:vAlign w:val="center"/>
                </w:tcPr>
                <w:p w14:paraId="31D68BB6">
                  <w:pPr>
                    <w:spacing w:line="240" w:lineRule="auto"/>
                    <w:jc w:val="center"/>
                    <w:rPr>
                      <w:rFonts w:hint="eastAsia"/>
                      <w:color w:val="auto"/>
                      <w:highlight w:val="none"/>
                      <w:lang w:val="en-US" w:eastAsia="zh-CN"/>
                    </w:rPr>
                  </w:pPr>
                  <w:r>
                    <w:rPr>
                      <w:color w:val="auto"/>
                      <w:highlight w:val="none"/>
                    </w:rPr>
                    <w:t>0.4</w:t>
                  </w:r>
                </w:p>
              </w:tc>
              <w:tc>
                <w:tcPr>
                  <w:tcW w:w="1030" w:type="dxa"/>
                  <w:tcBorders>
                    <w:tl2br w:val="nil"/>
                    <w:tr2bl w:val="nil"/>
                  </w:tcBorders>
                  <w:vAlign w:val="center"/>
                </w:tcPr>
                <w:p w14:paraId="0027A885">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69189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167527F0">
                  <w:pPr>
                    <w:spacing w:line="240" w:lineRule="auto"/>
                    <w:jc w:val="center"/>
                    <w:rPr>
                      <w:rFonts w:hint="eastAsia"/>
                      <w:color w:val="auto"/>
                      <w:highlight w:val="none"/>
                      <w:lang w:val="en-US" w:eastAsia="zh-CN"/>
                    </w:rPr>
                  </w:pPr>
                  <w:r>
                    <w:rPr>
                      <w:rFonts w:hint="eastAsia"/>
                      <w:color w:val="auto"/>
                      <w:highlight w:val="none"/>
                      <w:lang w:val="en-US" w:eastAsia="zh-CN"/>
                    </w:rPr>
                    <w:t>锰</w:t>
                  </w:r>
                </w:p>
              </w:tc>
              <w:tc>
                <w:tcPr>
                  <w:tcW w:w="826" w:type="dxa"/>
                  <w:tcBorders>
                    <w:tl2br w:val="nil"/>
                    <w:tr2bl w:val="nil"/>
                  </w:tcBorders>
                  <w:vAlign w:val="center"/>
                </w:tcPr>
                <w:p w14:paraId="62F668E2">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58AAAD22">
                  <w:pPr>
                    <w:spacing w:line="240" w:lineRule="auto"/>
                    <w:jc w:val="center"/>
                    <w:rPr>
                      <w:rFonts w:hint="eastAsia"/>
                      <w:color w:val="auto"/>
                      <w:highlight w:val="none"/>
                      <w:lang w:val="en-US" w:eastAsia="zh-CN"/>
                    </w:rPr>
                  </w:pPr>
                  <w:r>
                    <w:rPr>
                      <w:rFonts w:hint="eastAsia"/>
                      <w:color w:val="auto"/>
                      <w:highlight w:val="none"/>
                      <w:lang w:val="en-US" w:eastAsia="zh-CN"/>
                    </w:rPr>
                    <w:t>670</w:t>
                  </w:r>
                </w:p>
              </w:tc>
              <w:tc>
                <w:tcPr>
                  <w:tcW w:w="826" w:type="dxa"/>
                  <w:tcBorders>
                    <w:tl2br w:val="nil"/>
                    <w:tr2bl w:val="nil"/>
                  </w:tcBorders>
                  <w:vAlign w:val="center"/>
                </w:tcPr>
                <w:p w14:paraId="6D69023A">
                  <w:pPr>
                    <w:spacing w:line="240" w:lineRule="auto"/>
                    <w:jc w:val="center"/>
                    <w:rPr>
                      <w:rFonts w:hint="eastAsia"/>
                      <w:color w:val="auto"/>
                      <w:highlight w:val="none"/>
                      <w:lang w:val="en-US" w:eastAsia="zh-CN"/>
                    </w:rPr>
                  </w:pPr>
                  <w:r>
                    <w:rPr>
                      <w:rFonts w:hint="eastAsia"/>
                      <w:color w:val="auto"/>
                      <w:highlight w:val="none"/>
                      <w:lang w:val="en-US" w:eastAsia="zh-CN"/>
                    </w:rPr>
                    <w:t>640</w:t>
                  </w:r>
                </w:p>
              </w:tc>
              <w:tc>
                <w:tcPr>
                  <w:tcW w:w="766" w:type="dxa"/>
                  <w:tcBorders>
                    <w:tl2br w:val="nil"/>
                    <w:tr2bl w:val="nil"/>
                  </w:tcBorders>
                  <w:vAlign w:val="center"/>
                </w:tcPr>
                <w:p w14:paraId="56E6A2C0">
                  <w:pPr>
                    <w:spacing w:line="240" w:lineRule="auto"/>
                    <w:jc w:val="center"/>
                    <w:rPr>
                      <w:rFonts w:hint="eastAsia"/>
                      <w:color w:val="auto"/>
                      <w:highlight w:val="none"/>
                      <w:lang w:val="en-US" w:eastAsia="zh-CN"/>
                    </w:rPr>
                  </w:pPr>
                  <w:r>
                    <w:rPr>
                      <w:rFonts w:hint="eastAsia"/>
                      <w:color w:val="auto"/>
                      <w:highlight w:val="none"/>
                      <w:lang w:val="en-US" w:eastAsia="zh-CN"/>
                    </w:rPr>
                    <w:t>680</w:t>
                  </w:r>
                </w:p>
              </w:tc>
              <w:tc>
                <w:tcPr>
                  <w:tcW w:w="983" w:type="dxa"/>
                  <w:tcBorders>
                    <w:tl2br w:val="nil"/>
                    <w:tr2bl w:val="nil"/>
                  </w:tcBorders>
                  <w:vAlign w:val="center"/>
                </w:tcPr>
                <w:p w14:paraId="69D31541">
                  <w:pPr>
                    <w:spacing w:line="240" w:lineRule="auto"/>
                    <w:jc w:val="center"/>
                    <w:rPr>
                      <w:rFonts w:hint="eastAsia"/>
                      <w:color w:val="auto"/>
                      <w:highlight w:val="none"/>
                      <w:lang w:val="en-US" w:eastAsia="zh-CN"/>
                    </w:rPr>
                  </w:pPr>
                  <w:r>
                    <w:rPr>
                      <w:color w:val="auto"/>
                      <w:highlight w:val="none"/>
                    </w:rPr>
                    <w:t>640</w:t>
                  </w:r>
                </w:p>
              </w:tc>
              <w:tc>
                <w:tcPr>
                  <w:tcW w:w="924" w:type="dxa"/>
                  <w:tcBorders>
                    <w:tl2br w:val="nil"/>
                    <w:tr2bl w:val="nil"/>
                  </w:tcBorders>
                  <w:vAlign w:val="center"/>
                </w:tcPr>
                <w:p w14:paraId="575CE43C">
                  <w:pPr>
                    <w:spacing w:line="240" w:lineRule="auto"/>
                    <w:jc w:val="center"/>
                    <w:rPr>
                      <w:rFonts w:hint="eastAsia"/>
                      <w:color w:val="auto"/>
                      <w:highlight w:val="none"/>
                      <w:lang w:val="en-US" w:eastAsia="zh-CN"/>
                    </w:rPr>
                  </w:pPr>
                  <w:r>
                    <w:rPr>
                      <w:color w:val="auto"/>
                      <w:highlight w:val="none"/>
                    </w:rPr>
                    <w:t>700</w:t>
                  </w:r>
                </w:p>
              </w:tc>
              <w:tc>
                <w:tcPr>
                  <w:tcW w:w="1042" w:type="dxa"/>
                  <w:tcBorders>
                    <w:tl2br w:val="nil"/>
                    <w:tr2bl w:val="nil"/>
                  </w:tcBorders>
                  <w:vAlign w:val="center"/>
                </w:tcPr>
                <w:p w14:paraId="528F32A4">
                  <w:pPr>
                    <w:spacing w:line="240" w:lineRule="auto"/>
                    <w:jc w:val="center"/>
                    <w:rPr>
                      <w:rFonts w:hint="eastAsia"/>
                      <w:color w:val="auto"/>
                      <w:highlight w:val="none"/>
                      <w:lang w:val="en-US" w:eastAsia="zh-CN"/>
                    </w:rPr>
                  </w:pPr>
                  <w:r>
                    <w:rPr>
                      <w:color w:val="auto"/>
                      <w:highlight w:val="none"/>
                    </w:rPr>
                    <w:t>650</w:t>
                  </w:r>
                </w:p>
              </w:tc>
              <w:tc>
                <w:tcPr>
                  <w:tcW w:w="1030" w:type="dxa"/>
                  <w:tcBorders>
                    <w:tl2br w:val="nil"/>
                    <w:tr2bl w:val="nil"/>
                  </w:tcBorders>
                  <w:vAlign w:val="center"/>
                </w:tcPr>
                <w:p w14:paraId="5FA63417">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155467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2DFEDE14">
                  <w:pPr>
                    <w:spacing w:line="240" w:lineRule="auto"/>
                    <w:jc w:val="center"/>
                    <w:rPr>
                      <w:rFonts w:hint="eastAsia"/>
                      <w:color w:val="auto"/>
                      <w:highlight w:val="none"/>
                      <w:lang w:val="en-US" w:eastAsia="zh-CN"/>
                    </w:rPr>
                  </w:pPr>
                  <w:r>
                    <w:rPr>
                      <w:rFonts w:hint="eastAsia"/>
                      <w:color w:val="auto"/>
                      <w:highlight w:val="none"/>
                      <w:lang w:val="en-US" w:eastAsia="zh-CN"/>
                    </w:rPr>
                    <w:t>锌</w:t>
                  </w:r>
                </w:p>
              </w:tc>
              <w:tc>
                <w:tcPr>
                  <w:tcW w:w="826" w:type="dxa"/>
                  <w:tcBorders>
                    <w:tl2br w:val="nil"/>
                    <w:tr2bl w:val="nil"/>
                  </w:tcBorders>
                  <w:vAlign w:val="center"/>
                </w:tcPr>
                <w:p w14:paraId="34F336A2">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1BBD2D31">
                  <w:pPr>
                    <w:spacing w:line="240" w:lineRule="auto"/>
                    <w:jc w:val="center"/>
                    <w:rPr>
                      <w:rFonts w:hint="eastAsia"/>
                      <w:color w:val="auto"/>
                      <w:highlight w:val="none"/>
                      <w:lang w:val="en-US" w:eastAsia="zh-CN"/>
                    </w:rPr>
                  </w:pPr>
                  <w:r>
                    <w:rPr>
                      <w:rFonts w:hint="eastAsia"/>
                      <w:color w:val="auto"/>
                      <w:highlight w:val="none"/>
                      <w:lang w:val="en-US" w:eastAsia="zh-CN"/>
                    </w:rPr>
                    <w:t>87</w:t>
                  </w:r>
                </w:p>
              </w:tc>
              <w:tc>
                <w:tcPr>
                  <w:tcW w:w="826" w:type="dxa"/>
                  <w:tcBorders>
                    <w:tl2br w:val="nil"/>
                    <w:tr2bl w:val="nil"/>
                  </w:tcBorders>
                  <w:vAlign w:val="center"/>
                </w:tcPr>
                <w:p w14:paraId="533F1AFB">
                  <w:pPr>
                    <w:spacing w:line="240" w:lineRule="auto"/>
                    <w:jc w:val="center"/>
                    <w:rPr>
                      <w:rFonts w:hint="eastAsia"/>
                      <w:color w:val="auto"/>
                      <w:highlight w:val="none"/>
                      <w:lang w:val="en-US" w:eastAsia="zh-CN"/>
                    </w:rPr>
                  </w:pPr>
                  <w:r>
                    <w:rPr>
                      <w:rFonts w:hint="eastAsia"/>
                      <w:color w:val="auto"/>
                      <w:highlight w:val="none"/>
                      <w:lang w:val="en-US" w:eastAsia="zh-CN"/>
                    </w:rPr>
                    <w:t>73</w:t>
                  </w:r>
                </w:p>
              </w:tc>
              <w:tc>
                <w:tcPr>
                  <w:tcW w:w="766" w:type="dxa"/>
                  <w:tcBorders>
                    <w:tl2br w:val="nil"/>
                    <w:tr2bl w:val="nil"/>
                  </w:tcBorders>
                  <w:vAlign w:val="center"/>
                </w:tcPr>
                <w:p w14:paraId="13E2A79E">
                  <w:pPr>
                    <w:spacing w:line="240" w:lineRule="auto"/>
                    <w:jc w:val="center"/>
                    <w:rPr>
                      <w:rFonts w:hint="eastAsia"/>
                      <w:color w:val="auto"/>
                      <w:highlight w:val="none"/>
                      <w:lang w:val="en-US" w:eastAsia="zh-CN"/>
                    </w:rPr>
                  </w:pPr>
                  <w:r>
                    <w:rPr>
                      <w:rFonts w:hint="eastAsia"/>
                      <w:color w:val="auto"/>
                      <w:highlight w:val="none"/>
                      <w:lang w:val="en-US" w:eastAsia="zh-CN"/>
                    </w:rPr>
                    <w:t>92</w:t>
                  </w:r>
                </w:p>
              </w:tc>
              <w:tc>
                <w:tcPr>
                  <w:tcW w:w="983" w:type="dxa"/>
                  <w:tcBorders>
                    <w:tl2br w:val="nil"/>
                    <w:tr2bl w:val="nil"/>
                  </w:tcBorders>
                  <w:vAlign w:val="center"/>
                </w:tcPr>
                <w:p w14:paraId="5698857F">
                  <w:pPr>
                    <w:spacing w:line="240" w:lineRule="auto"/>
                    <w:jc w:val="center"/>
                    <w:rPr>
                      <w:rFonts w:hint="eastAsia"/>
                      <w:color w:val="auto"/>
                      <w:highlight w:val="none"/>
                      <w:lang w:val="en-US" w:eastAsia="zh-CN"/>
                    </w:rPr>
                  </w:pPr>
                  <w:r>
                    <w:rPr>
                      <w:color w:val="auto"/>
                      <w:highlight w:val="none"/>
                    </w:rPr>
                    <w:t>74</w:t>
                  </w:r>
                </w:p>
              </w:tc>
              <w:tc>
                <w:tcPr>
                  <w:tcW w:w="924" w:type="dxa"/>
                  <w:tcBorders>
                    <w:tl2br w:val="nil"/>
                    <w:tr2bl w:val="nil"/>
                  </w:tcBorders>
                  <w:vAlign w:val="center"/>
                </w:tcPr>
                <w:p w14:paraId="507CE4B6">
                  <w:pPr>
                    <w:spacing w:line="240" w:lineRule="auto"/>
                    <w:jc w:val="center"/>
                    <w:rPr>
                      <w:rFonts w:hint="eastAsia"/>
                      <w:color w:val="auto"/>
                      <w:highlight w:val="none"/>
                      <w:lang w:val="en-US" w:eastAsia="zh-CN"/>
                    </w:rPr>
                  </w:pPr>
                  <w:r>
                    <w:rPr>
                      <w:color w:val="auto"/>
                      <w:highlight w:val="none"/>
                    </w:rPr>
                    <w:t>87</w:t>
                  </w:r>
                </w:p>
              </w:tc>
              <w:tc>
                <w:tcPr>
                  <w:tcW w:w="1042" w:type="dxa"/>
                  <w:tcBorders>
                    <w:tl2br w:val="nil"/>
                    <w:tr2bl w:val="nil"/>
                  </w:tcBorders>
                  <w:vAlign w:val="center"/>
                </w:tcPr>
                <w:p w14:paraId="33BC16BA">
                  <w:pPr>
                    <w:spacing w:line="240" w:lineRule="auto"/>
                    <w:jc w:val="center"/>
                    <w:rPr>
                      <w:rFonts w:hint="eastAsia"/>
                      <w:color w:val="auto"/>
                      <w:highlight w:val="none"/>
                      <w:lang w:val="en-US" w:eastAsia="zh-CN"/>
                    </w:rPr>
                  </w:pPr>
                  <w:r>
                    <w:rPr>
                      <w:color w:val="auto"/>
                      <w:highlight w:val="none"/>
                    </w:rPr>
                    <w:t>80</w:t>
                  </w:r>
                </w:p>
              </w:tc>
              <w:tc>
                <w:tcPr>
                  <w:tcW w:w="1030" w:type="dxa"/>
                  <w:tcBorders>
                    <w:tl2br w:val="nil"/>
                    <w:tr2bl w:val="nil"/>
                  </w:tcBorders>
                  <w:vAlign w:val="center"/>
                </w:tcPr>
                <w:p w14:paraId="0EF7D8F3">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73A32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0" w:type="dxa"/>
                  <w:tcBorders>
                    <w:tl2br w:val="nil"/>
                    <w:tr2bl w:val="nil"/>
                  </w:tcBorders>
                  <w:vAlign w:val="center"/>
                </w:tcPr>
                <w:p w14:paraId="12696EED">
                  <w:pPr>
                    <w:spacing w:line="240" w:lineRule="auto"/>
                    <w:jc w:val="center"/>
                    <w:rPr>
                      <w:rFonts w:hint="eastAsia"/>
                      <w:color w:val="auto"/>
                      <w:highlight w:val="none"/>
                      <w:lang w:val="en-US" w:eastAsia="zh-CN"/>
                    </w:rPr>
                  </w:pPr>
                  <w:r>
                    <w:rPr>
                      <w:rFonts w:hint="eastAsia"/>
                      <w:color w:val="auto"/>
                      <w:highlight w:val="none"/>
                      <w:lang w:val="en-US" w:eastAsia="zh-CN"/>
                    </w:rPr>
                    <w:t>有效钼</w:t>
                  </w:r>
                </w:p>
              </w:tc>
              <w:tc>
                <w:tcPr>
                  <w:tcW w:w="826" w:type="dxa"/>
                  <w:tcBorders>
                    <w:tl2br w:val="nil"/>
                    <w:tr2bl w:val="nil"/>
                  </w:tcBorders>
                  <w:vAlign w:val="center"/>
                </w:tcPr>
                <w:p w14:paraId="4043EE78">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B1F3410">
                  <w:pPr>
                    <w:spacing w:line="240" w:lineRule="auto"/>
                    <w:jc w:val="center"/>
                    <w:rPr>
                      <w:rFonts w:hint="eastAsia"/>
                      <w:color w:val="auto"/>
                      <w:highlight w:val="none"/>
                      <w:lang w:val="en-US" w:eastAsia="zh-CN"/>
                    </w:rPr>
                  </w:pPr>
                  <w:r>
                    <w:rPr>
                      <w:rFonts w:hint="eastAsia"/>
                      <w:color w:val="auto"/>
                      <w:highlight w:val="none"/>
                      <w:lang w:val="en-US" w:eastAsia="zh-CN"/>
                    </w:rPr>
                    <w:t>0.0896</w:t>
                  </w:r>
                </w:p>
              </w:tc>
              <w:tc>
                <w:tcPr>
                  <w:tcW w:w="826" w:type="dxa"/>
                  <w:tcBorders>
                    <w:tl2br w:val="nil"/>
                    <w:tr2bl w:val="nil"/>
                  </w:tcBorders>
                  <w:vAlign w:val="center"/>
                </w:tcPr>
                <w:p w14:paraId="553FB44E">
                  <w:pPr>
                    <w:spacing w:line="240" w:lineRule="auto"/>
                    <w:jc w:val="center"/>
                    <w:rPr>
                      <w:rFonts w:hint="eastAsia"/>
                      <w:color w:val="auto"/>
                      <w:highlight w:val="none"/>
                      <w:lang w:val="en-US" w:eastAsia="zh-CN"/>
                    </w:rPr>
                  </w:pPr>
                  <w:r>
                    <w:rPr>
                      <w:rFonts w:hint="eastAsia"/>
                      <w:color w:val="auto"/>
                      <w:highlight w:val="none"/>
                      <w:lang w:val="en-US" w:eastAsia="zh-CN"/>
                    </w:rPr>
                    <w:t>0.0994</w:t>
                  </w:r>
                </w:p>
              </w:tc>
              <w:tc>
                <w:tcPr>
                  <w:tcW w:w="766" w:type="dxa"/>
                  <w:tcBorders>
                    <w:tl2br w:val="nil"/>
                    <w:tr2bl w:val="nil"/>
                  </w:tcBorders>
                  <w:vAlign w:val="center"/>
                </w:tcPr>
                <w:p w14:paraId="2C068EBC">
                  <w:pPr>
                    <w:spacing w:line="240" w:lineRule="auto"/>
                    <w:jc w:val="center"/>
                    <w:rPr>
                      <w:rFonts w:hint="eastAsia"/>
                      <w:color w:val="auto"/>
                      <w:highlight w:val="none"/>
                      <w:lang w:val="en-US" w:eastAsia="zh-CN"/>
                    </w:rPr>
                  </w:pPr>
                  <w:r>
                    <w:rPr>
                      <w:rFonts w:hint="eastAsia"/>
                      <w:color w:val="auto"/>
                      <w:highlight w:val="none"/>
                      <w:lang w:val="en-US" w:eastAsia="zh-CN"/>
                    </w:rPr>
                    <w:t>0.127</w:t>
                  </w:r>
                </w:p>
              </w:tc>
              <w:tc>
                <w:tcPr>
                  <w:tcW w:w="983" w:type="dxa"/>
                  <w:tcBorders>
                    <w:tl2br w:val="nil"/>
                    <w:tr2bl w:val="nil"/>
                  </w:tcBorders>
                  <w:vAlign w:val="center"/>
                </w:tcPr>
                <w:p w14:paraId="0D7F0989">
                  <w:pPr>
                    <w:spacing w:line="240" w:lineRule="auto"/>
                    <w:jc w:val="center"/>
                    <w:rPr>
                      <w:rFonts w:hint="eastAsia"/>
                      <w:color w:val="auto"/>
                      <w:highlight w:val="none"/>
                      <w:lang w:val="en-US" w:eastAsia="zh-CN"/>
                    </w:rPr>
                  </w:pPr>
                  <w:r>
                    <w:rPr>
                      <w:color w:val="auto"/>
                      <w:highlight w:val="none"/>
                    </w:rPr>
                    <w:t>0.106</w:t>
                  </w:r>
                </w:p>
              </w:tc>
              <w:tc>
                <w:tcPr>
                  <w:tcW w:w="924" w:type="dxa"/>
                  <w:tcBorders>
                    <w:tl2br w:val="nil"/>
                    <w:tr2bl w:val="nil"/>
                  </w:tcBorders>
                  <w:vAlign w:val="center"/>
                </w:tcPr>
                <w:p w14:paraId="1E1CF959">
                  <w:pPr>
                    <w:spacing w:line="240" w:lineRule="auto"/>
                    <w:jc w:val="center"/>
                    <w:rPr>
                      <w:rFonts w:hint="eastAsia"/>
                      <w:color w:val="auto"/>
                      <w:highlight w:val="none"/>
                      <w:lang w:val="en-US" w:eastAsia="zh-CN"/>
                    </w:rPr>
                  </w:pPr>
                  <w:r>
                    <w:rPr>
                      <w:color w:val="auto"/>
                      <w:highlight w:val="none"/>
                    </w:rPr>
                    <w:t>0.106</w:t>
                  </w:r>
                </w:p>
              </w:tc>
              <w:tc>
                <w:tcPr>
                  <w:tcW w:w="1042" w:type="dxa"/>
                  <w:tcBorders>
                    <w:tl2br w:val="nil"/>
                    <w:tr2bl w:val="nil"/>
                  </w:tcBorders>
                  <w:vAlign w:val="center"/>
                </w:tcPr>
                <w:p w14:paraId="19AE2E74">
                  <w:pPr>
                    <w:spacing w:line="240" w:lineRule="auto"/>
                    <w:jc w:val="center"/>
                    <w:rPr>
                      <w:rFonts w:hint="eastAsia"/>
                      <w:color w:val="auto"/>
                      <w:highlight w:val="none"/>
                      <w:lang w:val="en-US" w:eastAsia="zh-CN"/>
                    </w:rPr>
                  </w:pPr>
                  <w:r>
                    <w:rPr>
                      <w:color w:val="auto"/>
                      <w:highlight w:val="none"/>
                    </w:rPr>
                    <w:t>0.225</w:t>
                  </w:r>
                </w:p>
              </w:tc>
              <w:tc>
                <w:tcPr>
                  <w:tcW w:w="1030" w:type="dxa"/>
                  <w:tcBorders>
                    <w:tl2br w:val="nil"/>
                    <w:tr2bl w:val="nil"/>
                  </w:tcBorders>
                  <w:vAlign w:val="center"/>
                </w:tcPr>
                <w:p w14:paraId="26877AA5">
                  <w:pPr>
                    <w:spacing w:line="240" w:lineRule="auto"/>
                    <w:jc w:val="center"/>
                    <w:rPr>
                      <w:rFonts w:hint="eastAsia"/>
                      <w:color w:val="auto"/>
                      <w:highlight w:val="none"/>
                      <w:lang w:val="en-US" w:eastAsia="zh-CN"/>
                    </w:rPr>
                  </w:pPr>
                  <w:r>
                    <w:rPr>
                      <w:rFonts w:hint="eastAsia"/>
                      <w:color w:val="auto"/>
                      <w:highlight w:val="none"/>
                      <w:lang w:val="en-US" w:eastAsia="zh-CN"/>
                    </w:rPr>
                    <w:t>/</w:t>
                  </w:r>
                </w:p>
              </w:tc>
            </w:tr>
            <w:tr w14:paraId="4DC0D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40" w:type="dxa"/>
                  <w:tcBorders>
                    <w:tl2br w:val="nil"/>
                    <w:tr2bl w:val="nil"/>
                  </w:tcBorders>
                  <w:vAlign w:val="center"/>
                </w:tcPr>
                <w:p w14:paraId="4F22B97E">
                  <w:pPr>
                    <w:spacing w:line="240" w:lineRule="auto"/>
                    <w:jc w:val="center"/>
                    <w:rPr>
                      <w:rFonts w:hint="eastAsia"/>
                      <w:color w:val="auto"/>
                      <w:highlight w:val="none"/>
                      <w:lang w:val="en-US" w:eastAsia="zh-CN"/>
                    </w:rPr>
                  </w:pPr>
                  <w:r>
                    <w:rPr>
                      <w:rFonts w:hint="eastAsia"/>
                      <w:color w:val="auto"/>
                      <w:highlight w:val="none"/>
                      <w:lang w:val="en-US" w:eastAsia="zh-CN"/>
                    </w:rPr>
                    <w:t>硒</w:t>
                  </w:r>
                </w:p>
              </w:tc>
              <w:tc>
                <w:tcPr>
                  <w:tcW w:w="826" w:type="dxa"/>
                  <w:tcBorders>
                    <w:tl2br w:val="nil"/>
                    <w:tr2bl w:val="nil"/>
                  </w:tcBorders>
                  <w:vAlign w:val="center"/>
                </w:tcPr>
                <w:p w14:paraId="17B9A094">
                  <w:pPr>
                    <w:spacing w:line="240" w:lineRule="auto"/>
                    <w:jc w:val="center"/>
                    <w:rPr>
                      <w:rFonts w:hint="eastAsia"/>
                      <w:color w:val="auto"/>
                      <w:highlight w:val="none"/>
                      <w:lang w:val="en-US" w:eastAsia="zh-CN"/>
                    </w:rPr>
                  </w:pPr>
                  <w:r>
                    <w:rPr>
                      <w:rFonts w:hint="eastAsia"/>
                      <w:color w:val="auto"/>
                      <w:highlight w:val="none"/>
                      <w:lang w:val="en-US" w:eastAsia="zh-CN"/>
                    </w:rPr>
                    <w:t>mg/kg</w:t>
                  </w:r>
                </w:p>
              </w:tc>
              <w:tc>
                <w:tcPr>
                  <w:tcW w:w="963" w:type="dxa"/>
                  <w:tcBorders>
                    <w:tl2br w:val="nil"/>
                    <w:tr2bl w:val="nil"/>
                  </w:tcBorders>
                  <w:vAlign w:val="center"/>
                </w:tcPr>
                <w:p w14:paraId="45B4E1F8">
                  <w:pPr>
                    <w:spacing w:line="240" w:lineRule="auto"/>
                    <w:jc w:val="center"/>
                    <w:rPr>
                      <w:rFonts w:hint="eastAsia"/>
                      <w:color w:val="auto"/>
                      <w:highlight w:val="none"/>
                      <w:lang w:val="en-US" w:eastAsia="zh-CN"/>
                    </w:rPr>
                  </w:pPr>
                  <w:r>
                    <w:rPr>
                      <w:rFonts w:hint="eastAsia"/>
                      <w:color w:val="auto"/>
                      <w:highlight w:val="none"/>
                      <w:lang w:val="en-US" w:eastAsia="zh-CN"/>
                    </w:rPr>
                    <w:t>0.181</w:t>
                  </w:r>
                </w:p>
              </w:tc>
              <w:tc>
                <w:tcPr>
                  <w:tcW w:w="826" w:type="dxa"/>
                  <w:tcBorders>
                    <w:tl2br w:val="nil"/>
                    <w:tr2bl w:val="nil"/>
                  </w:tcBorders>
                  <w:vAlign w:val="center"/>
                </w:tcPr>
                <w:p w14:paraId="12F3FA39">
                  <w:pPr>
                    <w:spacing w:line="240" w:lineRule="auto"/>
                    <w:jc w:val="center"/>
                    <w:rPr>
                      <w:rFonts w:hint="eastAsia"/>
                      <w:color w:val="auto"/>
                      <w:highlight w:val="none"/>
                      <w:lang w:val="en-US" w:eastAsia="zh-CN"/>
                    </w:rPr>
                  </w:pPr>
                  <w:r>
                    <w:rPr>
                      <w:rFonts w:hint="eastAsia"/>
                      <w:color w:val="auto"/>
                      <w:highlight w:val="none"/>
                      <w:lang w:val="en-US" w:eastAsia="zh-CN"/>
                    </w:rPr>
                    <w:t>0.113</w:t>
                  </w:r>
                </w:p>
              </w:tc>
              <w:tc>
                <w:tcPr>
                  <w:tcW w:w="766" w:type="dxa"/>
                  <w:tcBorders>
                    <w:tl2br w:val="nil"/>
                    <w:tr2bl w:val="nil"/>
                  </w:tcBorders>
                  <w:vAlign w:val="center"/>
                </w:tcPr>
                <w:p w14:paraId="701FCC81">
                  <w:pPr>
                    <w:spacing w:line="240" w:lineRule="auto"/>
                    <w:jc w:val="center"/>
                    <w:rPr>
                      <w:rFonts w:hint="eastAsia"/>
                      <w:color w:val="auto"/>
                      <w:highlight w:val="none"/>
                      <w:lang w:val="en-US" w:eastAsia="zh-CN"/>
                    </w:rPr>
                  </w:pPr>
                  <w:r>
                    <w:rPr>
                      <w:rFonts w:hint="eastAsia"/>
                      <w:color w:val="auto"/>
                      <w:highlight w:val="none"/>
                      <w:lang w:val="en-US" w:eastAsia="zh-CN"/>
                    </w:rPr>
                    <w:t>0.230</w:t>
                  </w:r>
                </w:p>
              </w:tc>
              <w:tc>
                <w:tcPr>
                  <w:tcW w:w="983" w:type="dxa"/>
                  <w:tcBorders>
                    <w:tl2br w:val="nil"/>
                    <w:tr2bl w:val="nil"/>
                  </w:tcBorders>
                  <w:vAlign w:val="center"/>
                </w:tcPr>
                <w:p w14:paraId="226D7A9F">
                  <w:pPr>
                    <w:spacing w:line="240" w:lineRule="auto"/>
                    <w:jc w:val="center"/>
                    <w:rPr>
                      <w:rFonts w:hint="eastAsia"/>
                      <w:color w:val="auto"/>
                      <w:highlight w:val="none"/>
                      <w:lang w:val="en-US" w:eastAsia="zh-CN"/>
                    </w:rPr>
                  </w:pPr>
                  <w:r>
                    <w:rPr>
                      <w:color w:val="auto"/>
                      <w:highlight w:val="none"/>
                    </w:rPr>
                    <w:t>0.289</w:t>
                  </w:r>
                </w:p>
              </w:tc>
              <w:tc>
                <w:tcPr>
                  <w:tcW w:w="924" w:type="dxa"/>
                  <w:tcBorders>
                    <w:tl2br w:val="nil"/>
                    <w:tr2bl w:val="nil"/>
                  </w:tcBorders>
                  <w:vAlign w:val="center"/>
                </w:tcPr>
                <w:p w14:paraId="56C2B545">
                  <w:pPr>
                    <w:spacing w:line="240" w:lineRule="auto"/>
                    <w:jc w:val="center"/>
                    <w:rPr>
                      <w:rFonts w:hint="eastAsia"/>
                      <w:color w:val="auto"/>
                      <w:highlight w:val="none"/>
                      <w:lang w:val="en-US" w:eastAsia="zh-CN"/>
                    </w:rPr>
                  </w:pPr>
                  <w:r>
                    <w:rPr>
                      <w:color w:val="auto"/>
                      <w:highlight w:val="none"/>
                    </w:rPr>
                    <w:t>0.172</w:t>
                  </w:r>
                </w:p>
              </w:tc>
              <w:tc>
                <w:tcPr>
                  <w:tcW w:w="1042" w:type="dxa"/>
                  <w:tcBorders>
                    <w:tl2br w:val="nil"/>
                    <w:tr2bl w:val="nil"/>
                  </w:tcBorders>
                  <w:vAlign w:val="center"/>
                </w:tcPr>
                <w:p w14:paraId="2B2F5FA5">
                  <w:pPr>
                    <w:spacing w:line="240" w:lineRule="auto"/>
                    <w:jc w:val="center"/>
                    <w:rPr>
                      <w:rFonts w:hint="eastAsia"/>
                      <w:color w:val="auto"/>
                      <w:highlight w:val="none"/>
                      <w:lang w:val="en-US" w:eastAsia="zh-CN"/>
                    </w:rPr>
                  </w:pPr>
                  <w:r>
                    <w:rPr>
                      <w:color w:val="auto"/>
                      <w:highlight w:val="none"/>
                    </w:rPr>
                    <w:t>0.195</w:t>
                  </w:r>
                </w:p>
              </w:tc>
              <w:tc>
                <w:tcPr>
                  <w:tcW w:w="1030" w:type="dxa"/>
                  <w:tcBorders>
                    <w:tl2br w:val="nil"/>
                    <w:tr2bl w:val="nil"/>
                  </w:tcBorders>
                  <w:vAlign w:val="center"/>
                </w:tcPr>
                <w:p w14:paraId="4BA6FEFC">
                  <w:pPr>
                    <w:spacing w:line="240" w:lineRule="auto"/>
                    <w:jc w:val="center"/>
                    <w:rPr>
                      <w:rFonts w:hint="eastAsia"/>
                      <w:color w:val="auto"/>
                      <w:highlight w:val="none"/>
                      <w:lang w:val="en-US" w:eastAsia="zh-CN"/>
                    </w:rPr>
                  </w:pPr>
                  <w:r>
                    <w:rPr>
                      <w:rFonts w:hint="eastAsia"/>
                      <w:color w:val="auto"/>
                      <w:highlight w:val="none"/>
                      <w:lang w:val="en-US" w:eastAsia="zh-CN"/>
                    </w:rPr>
                    <w:t>/</w:t>
                  </w:r>
                </w:p>
              </w:tc>
            </w:tr>
          </w:tbl>
          <w:p w14:paraId="13491CEF">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eastAsia" w:ascii="Times New Roman" w:hAnsi="Times New Roman" w:eastAsia="宋体" w:cs="Times New Roman"/>
                <w:b/>
                <w:color w:val="auto"/>
                <w:spacing w:val="0"/>
                <w:kern w:val="2"/>
                <w:sz w:val="21"/>
                <w:szCs w:val="21"/>
                <w:highlight w:val="none"/>
                <w:lang w:val="en-US" w:eastAsia="zh-CN" w:bidi="ar-SA"/>
              </w:rPr>
              <w:t>表3-5厂内柱状样土壤现状监测结果</w:t>
            </w:r>
          </w:p>
          <w:tbl>
            <w:tblPr>
              <w:tblStyle w:val="35"/>
              <w:tblW w:w="843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6"/>
              <w:gridCol w:w="778"/>
              <w:gridCol w:w="932"/>
              <w:gridCol w:w="1085"/>
              <w:gridCol w:w="887"/>
              <w:gridCol w:w="918"/>
              <w:gridCol w:w="852"/>
              <w:gridCol w:w="982"/>
              <w:gridCol w:w="978"/>
            </w:tblGrid>
            <w:tr w14:paraId="0F6BB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026" w:type="dxa"/>
                  <w:vMerge w:val="restart"/>
                  <w:noWrap w:val="0"/>
                  <w:vAlign w:val="center"/>
                </w:tcPr>
                <w:p w14:paraId="62A191B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监测项目</w:t>
                  </w:r>
                </w:p>
              </w:tc>
              <w:tc>
                <w:tcPr>
                  <w:tcW w:w="778" w:type="dxa"/>
                  <w:vMerge w:val="restart"/>
                  <w:noWrap w:val="0"/>
                  <w:vAlign w:val="center"/>
                </w:tcPr>
                <w:p w14:paraId="6E7BF88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单位</w:t>
                  </w:r>
                </w:p>
              </w:tc>
              <w:tc>
                <w:tcPr>
                  <w:tcW w:w="5656" w:type="dxa"/>
                  <w:gridSpan w:val="6"/>
                  <w:tcBorders>
                    <w:bottom w:val="single" w:color="auto" w:sz="8" w:space="0"/>
                  </w:tcBorders>
                  <w:noWrap w:val="0"/>
                  <w:vAlign w:val="center"/>
                </w:tcPr>
                <w:p w14:paraId="3F038CB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监测结果</w:t>
                  </w:r>
                </w:p>
              </w:tc>
              <w:tc>
                <w:tcPr>
                  <w:tcW w:w="978" w:type="dxa"/>
                  <w:vMerge w:val="restart"/>
                  <w:noWrap w:val="0"/>
                  <w:vAlign w:val="center"/>
                </w:tcPr>
                <w:p w14:paraId="503DD6C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r>
                    <w:rPr>
                      <w:b/>
                      <w:bCs/>
                      <w:color w:val="auto"/>
                      <w:sz w:val="21"/>
                      <w:szCs w:val="21"/>
                      <w:highlight w:val="none"/>
                    </w:rPr>
                    <w:t>筛选值</w:t>
                  </w:r>
                </w:p>
              </w:tc>
            </w:tr>
            <w:tr w14:paraId="48F64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026" w:type="dxa"/>
                  <w:vMerge w:val="continue"/>
                  <w:noWrap w:val="0"/>
                  <w:vAlign w:val="center"/>
                </w:tcPr>
                <w:p w14:paraId="1950F26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778" w:type="dxa"/>
                  <w:vMerge w:val="continue"/>
                  <w:noWrap w:val="0"/>
                  <w:vAlign w:val="center"/>
                </w:tcPr>
                <w:p w14:paraId="4D6AB29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2904" w:type="dxa"/>
                  <w:gridSpan w:val="3"/>
                  <w:tcBorders>
                    <w:top w:val="single" w:color="auto" w:sz="8" w:space="0"/>
                  </w:tcBorders>
                  <w:noWrap w:val="0"/>
                  <w:vAlign w:val="center"/>
                </w:tcPr>
                <w:p w14:paraId="628495F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r>
                    <w:rPr>
                      <w:rFonts w:hint="eastAsia" w:hAnsi="宋体"/>
                      <w:b/>
                      <w:bCs/>
                      <w:color w:val="auto"/>
                      <w:kern w:val="0"/>
                      <w:sz w:val="21"/>
                      <w:szCs w:val="21"/>
                      <w:highlight w:val="none"/>
                      <w:lang w:val="en-US" w:eastAsia="zh-CN"/>
                    </w:rPr>
                    <w:t>厂区西侧</w:t>
                  </w:r>
                </w:p>
              </w:tc>
              <w:tc>
                <w:tcPr>
                  <w:tcW w:w="2752" w:type="dxa"/>
                  <w:gridSpan w:val="3"/>
                  <w:tcBorders>
                    <w:top w:val="single" w:color="auto" w:sz="8" w:space="0"/>
                  </w:tcBorders>
                  <w:noWrap w:val="0"/>
                  <w:vAlign w:val="center"/>
                </w:tcPr>
                <w:p w14:paraId="003821C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r>
                    <w:rPr>
                      <w:rFonts w:hint="eastAsia" w:hAnsi="宋体"/>
                      <w:b/>
                      <w:bCs/>
                      <w:color w:val="auto"/>
                      <w:kern w:val="0"/>
                      <w:sz w:val="21"/>
                      <w:szCs w:val="21"/>
                      <w:highlight w:val="none"/>
                      <w:lang w:val="en-US" w:eastAsia="zh-CN"/>
                    </w:rPr>
                    <w:t>厂区西北角</w:t>
                  </w:r>
                </w:p>
              </w:tc>
              <w:tc>
                <w:tcPr>
                  <w:tcW w:w="978" w:type="dxa"/>
                  <w:vMerge w:val="continue"/>
                  <w:noWrap w:val="0"/>
                  <w:vAlign w:val="center"/>
                </w:tcPr>
                <w:p w14:paraId="41C0C4A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p>
              </w:tc>
            </w:tr>
            <w:tr w14:paraId="1F8BA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5" w:hRule="atLeast"/>
              </w:trPr>
              <w:tc>
                <w:tcPr>
                  <w:tcW w:w="1026" w:type="dxa"/>
                  <w:vMerge w:val="continue"/>
                  <w:noWrap w:val="0"/>
                  <w:vAlign w:val="center"/>
                </w:tcPr>
                <w:p w14:paraId="56199AA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778" w:type="dxa"/>
                  <w:vMerge w:val="continue"/>
                  <w:noWrap w:val="0"/>
                  <w:vAlign w:val="center"/>
                </w:tcPr>
                <w:p w14:paraId="1DE928C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b/>
                      <w:bCs/>
                      <w:color w:val="auto"/>
                      <w:sz w:val="21"/>
                      <w:szCs w:val="21"/>
                      <w:highlight w:val="none"/>
                    </w:rPr>
                  </w:pPr>
                </w:p>
              </w:tc>
              <w:tc>
                <w:tcPr>
                  <w:tcW w:w="932" w:type="dxa"/>
                  <w:tcBorders>
                    <w:top w:val="single" w:color="auto" w:sz="8" w:space="0"/>
                  </w:tcBorders>
                  <w:noWrap w:val="0"/>
                  <w:vAlign w:val="center"/>
                </w:tcPr>
                <w:p w14:paraId="0A15734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0~0.5m</w:t>
                  </w:r>
                </w:p>
              </w:tc>
              <w:tc>
                <w:tcPr>
                  <w:tcW w:w="1085" w:type="dxa"/>
                  <w:tcBorders>
                    <w:top w:val="single" w:color="auto" w:sz="8" w:space="0"/>
                  </w:tcBorders>
                  <w:noWrap w:val="0"/>
                  <w:vAlign w:val="center"/>
                </w:tcPr>
                <w:p w14:paraId="6743573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1.5m</w:t>
                  </w:r>
                </w:p>
              </w:tc>
              <w:tc>
                <w:tcPr>
                  <w:tcW w:w="887" w:type="dxa"/>
                  <w:tcBorders>
                    <w:top w:val="single" w:color="auto" w:sz="8" w:space="0"/>
                  </w:tcBorders>
                  <w:noWrap w:val="0"/>
                  <w:vAlign w:val="center"/>
                </w:tcPr>
                <w:p w14:paraId="6F4E187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3m</w:t>
                  </w:r>
                </w:p>
              </w:tc>
              <w:tc>
                <w:tcPr>
                  <w:tcW w:w="918" w:type="dxa"/>
                  <w:tcBorders>
                    <w:top w:val="single" w:color="auto" w:sz="8" w:space="0"/>
                  </w:tcBorders>
                  <w:noWrap w:val="0"/>
                  <w:vAlign w:val="center"/>
                </w:tcPr>
                <w:p w14:paraId="795AC0CB">
                  <w:pPr>
                    <w:pStyle w:val="12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b/>
                      <w:bCs/>
                      <w:color w:val="auto"/>
                      <w:sz w:val="21"/>
                      <w:szCs w:val="21"/>
                      <w:highlight w:val="none"/>
                    </w:rPr>
                  </w:pPr>
                  <w:r>
                    <w:rPr>
                      <w:rFonts w:hint="default" w:ascii="Times New Roman" w:hAnsi="Times New Roman" w:eastAsia="宋体" w:cs="Times New Roman"/>
                      <w:b/>
                      <w:bCs/>
                      <w:color w:val="auto"/>
                      <w:sz w:val="21"/>
                      <w:szCs w:val="21"/>
                      <w:highlight w:val="none"/>
                    </w:rPr>
                    <w:t>0~0.5m</w:t>
                  </w:r>
                </w:p>
              </w:tc>
              <w:tc>
                <w:tcPr>
                  <w:tcW w:w="852" w:type="dxa"/>
                  <w:tcBorders>
                    <w:top w:val="single" w:color="auto" w:sz="8" w:space="0"/>
                  </w:tcBorders>
                  <w:noWrap w:val="0"/>
                  <w:vAlign w:val="center"/>
                </w:tcPr>
                <w:p w14:paraId="35A7D0A5">
                  <w:pPr>
                    <w:pStyle w:val="12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b/>
                      <w:bCs/>
                      <w:color w:val="auto"/>
                      <w:sz w:val="21"/>
                      <w:szCs w:val="21"/>
                      <w:highlight w:val="none"/>
                    </w:rPr>
                  </w:pPr>
                  <w:r>
                    <w:rPr>
                      <w:rFonts w:hint="default" w:ascii="Times New Roman" w:hAnsi="Times New Roman" w:eastAsia="宋体" w:cs="Times New Roman"/>
                      <w:b/>
                      <w:bCs/>
                      <w:color w:val="auto"/>
                      <w:sz w:val="21"/>
                      <w:szCs w:val="21"/>
                      <w:highlight w:val="none"/>
                    </w:rPr>
                    <w:t>0.5</w:t>
                  </w:r>
                  <w:r>
                    <w:rPr>
                      <w:rFonts w:hint="eastAsia"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1.5m</w:t>
                  </w:r>
                </w:p>
              </w:tc>
              <w:tc>
                <w:tcPr>
                  <w:tcW w:w="982" w:type="dxa"/>
                  <w:noWrap w:val="0"/>
                  <w:vAlign w:val="center"/>
                </w:tcPr>
                <w:p w14:paraId="4A6C1782">
                  <w:pPr>
                    <w:pStyle w:val="128"/>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b/>
                      <w:bCs/>
                      <w:color w:val="auto"/>
                      <w:sz w:val="21"/>
                      <w:szCs w:val="21"/>
                      <w:highlight w:val="none"/>
                    </w:rPr>
                  </w:pPr>
                  <w:r>
                    <w:rPr>
                      <w:rFonts w:hint="default" w:ascii="Times New Roman" w:hAnsi="Times New Roman" w:eastAsia="宋体" w:cs="Times New Roman"/>
                      <w:b/>
                      <w:bCs/>
                      <w:color w:val="auto"/>
                      <w:sz w:val="21"/>
                      <w:szCs w:val="21"/>
                      <w:highlight w:val="none"/>
                    </w:rPr>
                    <w:t>1.5</w:t>
                  </w:r>
                  <w:r>
                    <w:rPr>
                      <w:rFonts w:hint="eastAsia"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3m</w:t>
                  </w:r>
                </w:p>
              </w:tc>
              <w:tc>
                <w:tcPr>
                  <w:tcW w:w="978" w:type="dxa"/>
                  <w:noWrap w:val="0"/>
                  <w:vAlign w:val="center"/>
                </w:tcPr>
                <w:p w14:paraId="75A23195">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b/>
                      <w:bCs/>
                      <w:color w:val="auto"/>
                      <w:sz w:val="21"/>
                      <w:szCs w:val="21"/>
                      <w:highlight w:val="none"/>
                    </w:rPr>
                  </w:pPr>
                </w:p>
              </w:tc>
            </w:tr>
            <w:tr w14:paraId="57517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1026" w:type="dxa"/>
                  <w:noWrap w:val="0"/>
                  <w:vAlign w:val="center"/>
                </w:tcPr>
                <w:p w14:paraId="54BEBB8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汞*</w:t>
                  </w:r>
                </w:p>
              </w:tc>
              <w:tc>
                <w:tcPr>
                  <w:tcW w:w="778" w:type="dxa"/>
                  <w:noWrap w:val="0"/>
                  <w:vAlign w:val="center"/>
                </w:tcPr>
                <w:p w14:paraId="68221B5A">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730FD82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0.0386</w:t>
                  </w:r>
                </w:p>
              </w:tc>
              <w:tc>
                <w:tcPr>
                  <w:tcW w:w="1085" w:type="dxa"/>
                  <w:noWrap w:val="0"/>
                  <w:vAlign w:val="center"/>
                </w:tcPr>
                <w:p w14:paraId="3A069D0F">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9.23</w:t>
                  </w:r>
                </w:p>
              </w:tc>
              <w:tc>
                <w:tcPr>
                  <w:tcW w:w="887" w:type="dxa"/>
                  <w:noWrap w:val="0"/>
                  <w:vAlign w:val="center"/>
                </w:tcPr>
                <w:p w14:paraId="60B257F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8.77</w:t>
                  </w:r>
                </w:p>
              </w:tc>
              <w:tc>
                <w:tcPr>
                  <w:tcW w:w="918" w:type="dxa"/>
                  <w:noWrap w:val="0"/>
                  <w:vAlign w:val="center"/>
                </w:tcPr>
                <w:p w14:paraId="2251610B">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7.67</w:t>
                  </w:r>
                </w:p>
              </w:tc>
              <w:tc>
                <w:tcPr>
                  <w:tcW w:w="852" w:type="dxa"/>
                  <w:noWrap w:val="0"/>
                  <w:vAlign w:val="center"/>
                </w:tcPr>
                <w:p w14:paraId="0CFBF47D">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8.38</w:t>
                  </w:r>
                </w:p>
              </w:tc>
              <w:tc>
                <w:tcPr>
                  <w:tcW w:w="982" w:type="dxa"/>
                  <w:noWrap w:val="0"/>
                  <w:vAlign w:val="center"/>
                </w:tcPr>
                <w:p w14:paraId="676234E5">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8.51</w:t>
                  </w:r>
                </w:p>
              </w:tc>
              <w:tc>
                <w:tcPr>
                  <w:tcW w:w="978" w:type="dxa"/>
                  <w:noWrap w:val="0"/>
                  <w:vAlign w:val="center"/>
                </w:tcPr>
                <w:p w14:paraId="61307BD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38</w:t>
                  </w:r>
                </w:p>
              </w:tc>
            </w:tr>
            <w:tr w14:paraId="6E899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24F4157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砷*</w:t>
                  </w:r>
                </w:p>
              </w:tc>
              <w:tc>
                <w:tcPr>
                  <w:tcW w:w="778" w:type="dxa"/>
                  <w:noWrap w:val="0"/>
                  <w:vAlign w:val="center"/>
                </w:tcPr>
                <w:p w14:paraId="6D70E97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6FF30F8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14.4</w:t>
                  </w:r>
                </w:p>
              </w:tc>
              <w:tc>
                <w:tcPr>
                  <w:tcW w:w="1085" w:type="dxa"/>
                  <w:noWrap w:val="0"/>
                  <w:vAlign w:val="center"/>
                </w:tcPr>
                <w:p w14:paraId="1B45D0D3">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0.28</w:t>
                  </w:r>
                </w:p>
              </w:tc>
              <w:tc>
                <w:tcPr>
                  <w:tcW w:w="887" w:type="dxa"/>
                  <w:noWrap w:val="0"/>
                  <w:vAlign w:val="center"/>
                </w:tcPr>
                <w:p w14:paraId="572B154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0.18</w:t>
                  </w:r>
                </w:p>
              </w:tc>
              <w:tc>
                <w:tcPr>
                  <w:tcW w:w="918" w:type="dxa"/>
                  <w:noWrap w:val="0"/>
                  <w:vAlign w:val="center"/>
                </w:tcPr>
                <w:p w14:paraId="3EAA813C">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0.21</w:t>
                  </w:r>
                </w:p>
              </w:tc>
              <w:tc>
                <w:tcPr>
                  <w:tcW w:w="852" w:type="dxa"/>
                  <w:noWrap w:val="0"/>
                  <w:vAlign w:val="center"/>
                </w:tcPr>
                <w:p w14:paraId="7164726E">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0.28</w:t>
                  </w:r>
                </w:p>
              </w:tc>
              <w:tc>
                <w:tcPr>
                  <w:tcW w:w="982" w:type="dxa"/>
                  <w:noWrap w:val="0"/>
                  <w:vAlign w:val="center"/>
                </w:tcPr>
                <w:p w14:paraId="7877BD94">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0.15</w:t>
                  </w:r>
                </w:p>
              </w:tc>
              <w:tc>
                <w:tcPr>
                  <w:tcW w:w="978" w:type="dxa"/>
                  <w:noWrap w:val="0"/>
                  <w:vAlign w:val="center"/>
                </w:tcPr>
                <w:p w14:paraId="561224E0">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w:t>
                  </w:r>
                </w:p>
              </w:tc>
            </w:tr>
            <w:tr w14:paraId="4F48C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6EDC227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铬（六价）*</w:t>
                  </w:r>
                </w:p>
              </w:tc>
              <w:tc>
                <w:tcPr>
                  <w:tcW w:w="778" w:type="dxa"/>
                  <w:noWrap w:val="0"/>
                  <w:vAlign w:val="center"/>
                </w:tcPr>
                <w:p w14:paraId="41F3519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05E091A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ND0.5</w:t>
                  </w:r>
                </w:p>
              </w:tc>
              <w:tc>
                <w:tcPr>
                  <w:tcW w:w="1085" w:type="dxa"/>
                  <w:noWrap w:val="0"/>
                  <w:vAlign w:val="center"/>
                </w:tcPr>
                <w:p w14:paraId="4AE353A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0.5ND</w:t>
                  </w:r>
                </w:p>
              </w:tc>
              <w:tc>
                <w:tcPr>
                  <w:tcW w:w="887" w:type="dxa"/>
                  <w:noWrap w:val="0"/>
                  <w:vAlign w:val="center"/>
                </w:tcPr>
                <w:p w14:paraId="728B1D86">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0.5ND</w:t>
                  </w:r>
                </w:p>
              </w:tc>
              <w:tc>
                <w:tcPr>
                  <w:tcW w:w="918" w:type="dxa"/>
                  <w:noWrap w:val="0"/>
                  <w:vAlign w:val="center"/>
                </w:tcPr>
                <w:p w14:paraId="0F094A4A">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0.5ND</w:t>
                  </w:r>
                </w:p>
              </w:tc>
              <w:tc>
                <w:tcPr>
                  <w:tcW w:w="852" w:type="dxa"/>
                  <w:noWrap w:val="0"/>
                  <w:vAlign w:val="center"/>
                </w:tcPr>
                <w:p w14:paraId="5CA71DE3">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0.5ND</w:t>
                  </w:r>
                </w:p>
              </w:tc>
              <w:tc>
                <w:tcPr>
                  <w:tcW w:w="982" w:type="dxa"/>
                  <w:noWrap w:val="0"/>
                  <w:vAlign w:val="center"/>
                </w:tcPr>
                <w:p w14:paraId="390934EF">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0.5ND</w:t>
                  </w:r>
                </w:p>
              </w:tc>
              <w:tc>
                <w:tcPr>
                  <w:tcW w:w="978" w:type="dxa"/>
                  <w:noWrap w:val="0"/>
                  <w:vAlign w:val="center"/>
                </w:tcPr>
                <w:p w14:paraId="070CB65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5.7</w:t>
                  </w:r>
                </w:p>
              </w:tc>
            </w:tr>
            <w:tr w14:paraId="45235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3E4B42A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镉*</w:t>
                  </w:r>
                </w:p>
              </w:tc>
              <w:tc>
                <w:tcPr>
                  <w:tcW w:w="778" w:type="dxa"/>
                  <w:noWrap w:val="0"/>
                  <w:vAlign w:val="center"/>
                </w:tcPr>
                <w:p w14:paraId="261AC51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6B5F320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2.27</w:t>
                  </w:r>
                </w:p>
              </w:tc>
              <w:tc>
                <w:tcPr>
                  <w:tcW w:w="1085" w:type="dxa"/>
                  <w:noWrap w:val="0"/>
                  <w:vAlign w:val="center"/>
                </w:tcPr>
                <w:p w14:paraId="18EFFF9F">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w:t>
                  </w:r>
                </w:p>
              </w:tc>
              <w:tc>
                <w:tcPr>
                  <w:tcW w:w="887" w:type="dxa"/>
                  <w:noWrap w:val="0"/>
                  <w:vAlign w:val="center"/>
                </w:tcPr>
                <w:p w14:paraId="003C623C">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w:t>
                  </w:r>
                </w:p>
              </w:tc>
              <w:tc>
                <w:tcPr>
                  <w:tcW w:w="918" w:type="dxa"/>
                  <w:noWrap w:val="0"/>
                  <w:vAlign w:val="center"/>
                </w:tcPr>
                <w:p w14:paraId="03B70EA8">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w:t>
                  </w:r>
                </w:p>
              </w:tc>
              <w:tc>
                <w:tcPr>
                  <w:tcW w:w="852" w:type="dxa"/>
                  <w:noWrap w:val="0"/>
                  <w:vAlign w:val="center"/>
                </w:tcPr>
                <w:p w14:paraId="46041FC6">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33</w:t>
                  </w:r>
                </w:p>
              </w:tc>
              <w:tc>
                <w:tcPr>
                  <w:tcW w:w="982" w:type="dxa"/>
                  <w:noWrap w:val="0"/>
                  <w:vAlign w:val="center"/>
                </w:tcPr>
                <w:p w14:paraId="2C768318">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w:t>
                  </w:r>
                </w:p>
              </w:tc>
              <w:tc>
                <w:tcPr>
                  <w:tcW w:w="978" w:type="dxa"/>
                  <w:noWrap w:val="0"/>
                  <w:vAlign w:val="center"/>
                </w:tcPr>
                <w:p w14:paraId="67371E7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65</w:t>
                  </w:r>
                </w:p>
              </w:tc>
            </w:tr>
            <w:tr w14:paraId="37DAF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6DFBF4C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铅*</w:t>
                  </w:r>
                </w:p>
              </w:tc>
              <w:tc>
                <w:tcPr>
                  <w:tcW w:w="778" w:type="dxa"/>
                  <w:noWrap w:val="0"/>
                  <w:vAlign w:val="center"/>
                </w:tcPr>
                <w:p w14:paraId="1ABDEBB3">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3D267D19">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32.8</w:t>
                  </w:r>
                </w:p>
              </w:tc>
              <w:tc>
                <w:tcPr>
                  <w:tcW w:w="1085" w:type="dxa"/>
                  <w:noWrap w:val="0"/>
                  <w:vAlign w:val="center"/>
                </w:tcPr>
                <w:p w14:paraId="16888BDA">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24.4</w:t>
                  </w:r>
                </w:p>
              </w:tc>
              <w:tc>
                <w:tcPr>
                  <w:tcW w:w="887" w:type="dxa"/>
                  <w:noWrap w:val="0"/>
                  <w:vAlign w:val="center"/>
                </w:tcPr>
                <w:p w14:paraId="1661C46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21.1</w:t>
                  </w:r>
                </w:p>
              </w:tc>
              <w:tc>
                <w:tcPr>
                  <w:tcW w:w="918" w:type="dxa"/>
                  <w:noWrap w:val="0"/>
                  <w:vAlign w:val="center"/>
                </w:tcPr>
                <w:p w14:paraId="6EEF46FC">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21.8</w:t>
                  </w:r>
                </w:p>
              </w:tc>
              <w:tc>
                <w:tcPr>
                  <w:tcW w:w="852" w:type="dxa"/>
                  <w:noWrap w:val="0"/>
                  <w:vAlign w:val="center"/>
                </w:tcPr>
                <w:p w14:paraId="46AF6D27">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23.6</w:t>
                  </w:r>
                </w:p>
              </w:tc>
              <w:tc>
                <w:tcPr>
                  <w:tcW w:w="982" w:type="dxa"/>
                  <w:noWrap w:val="0"/>
                  <w:vAlign w:val="center"/>
                </w:tcPr>
                <w:p w14:paraId="2BB1AC0B">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21.7</w:t>
                  </w:r>
                </w:p>
              </w:tc>
              <w:tc>
                <w:tcPr>
                  <w:tcW w:w="978" w:type="dxa"/>
                  <w:noWrap w:val="0"/>
                  <w:vAlign w:val="center"/>
                </w:tcPr>
                <w:p w14:paraId="73559F3E">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800</w:t>
                  </w:r>
                </w:p>
              </w:tc>
            </w:tr>
            <w:tr w14:paraId="69C7D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2CED015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铜*</w:t>
                  </w:r>
                </w:p>
              </w:tc>
              <w:tc>
                <w:tcPr>
                  <w:tcW w:w="778" w:type="dxa"/>
                  <w:noWrap w:val="0"/>
                  <w:vAlign w:val="center"/>
                </w:tcPr>
                <w:p w14:paraId="6AD6847B">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399DFA8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w:t>
                  </w:r>
                </w:p>
              </w:tc>
              <w:tc>
                <w:tcPr>
                  <w:tcW w:w="1085" w:type="dxa"/>
                  <w:noWrap w:val="0"/>
                  <w:vAlign w:val="center"/>
                </w:tcPr>
                <w:p w14:paraId="627BE886">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0.126</w:t>
                  </w:r>
                </w:p>
              </w:tc>
              <w:tc>
                <w:tcPr>
                  <w:tcW w:w="887" w:type="dxa"/>
                  <w:noWrap w:val="0"/>
                  <w:vAlign w:val="center"/>
                </w:tcPr>
                <w:p w14:paraId="52641731">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0.0967</w:t>
                  </w:r>
                </w:p>
              </w:tc>
              <w:tc>
                <w:tcPr>
                  <w:tcW w:w="918" w:type="dxa"/>
                  <w:noWrap w:val="0"/>
                  <w:vAlign w:val="center"/>
                </w:tcPr>
                <w:p w14:paraId="37C77E07">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0.120</w:t>
                  </w:r>
                </w:p>
              </w:tc>
              <w:tc>
                <w:tcPr>
                  <w:tcW w:w="852" w:type="dxa"/>
                  <w:noWrap w:val="0"/>
                  <w:vAlign w:val="center"/>
                </w:tcPr>
                <w:p w14:paraId="54255715">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0.0884</w:t>
                  </w:r>
                </w:p>
              </w:tc>
              <w:tc>
                <w:tcPr>
                  <w:tcW w:w="982" w:type="dxa"/>
                  <w:noWrap w:val="0"/>
                  <w:vAlign w:val="center"/>
                </w:tcPr>
                <w:p w14:paraId="73CC666F">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0.235</w:t>
                  </w:r>
                </w:p>
              </w:tc>
              <w:tc>
                <w:tcPr>
                  <w:tcW w:w="978" w:type="dxa"/>
                  <w:noWrap w:val="0"/>
                  <w:vAlign w:val="center"/>
                </w:tcPr>
                <w:p w14:paraId="108ED4A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18000</w:t>
                  </w:r>
                </w:p>
              </w:tc>
            </w:tr>
            <w:tr w14:paraId="154B5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51976009">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镍*</w:t>
                  </w:r>
                </w:p>
              </w:tc>
              <w:tc>
                <w:tcPr>
                  <w:tcW w:w="778" w:type="dxa"/>
                  <w:noWrap w:val="0"/>
                  <w:vAlign w:val="center"/>
                </w:tcPr>
                <w:p w14:paraId="44EE28BF">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184E1AA3">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w:t>
                  </w:r>
                </w:p>
              </w:tc>
              <w:tc>
                <w:tcPr>
                  <w:tcW w:w="1085" w:type="dxa"/>
                  <w:noWrap w:val="0"/>
                  <w:vAlign w:val="center"/>
                </w:tcPr>
                <w:p w14:paraId="4F898B17">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887" w:type="dxa"/>
                  <w:noWrap w:val="0"/>
                  <w:vAlign w:val="center"/>
                </w:tcPr>
                <w:p w14:paraId="1B1B132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918" w:type="dxa"/>
                  <w:noWrap w:val="0"/>
                  <w:vAlign w:val="center"/>
                </w:tcPr>
                <w:p w14:paraId="17501A32">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46</w:t>
                  </w:r>
                </w:p>
              </w:tc>
              <w:tc>
                <w:tcPr>
                  <w:tcW w:w="852" w:type="dxa"/>
                  <w:noWrap w:val="0"/>
                  <w:vAlign w:val="center"/>
                </w:tcPr>
                <w:p w14:paraId="2CA7685A">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w:t>
                  </w:r>
                </w:p>
              </w:tc>
              <w:tc>
                <w:tcPr>
                  <w:tcW w:w="982" w:type="dxa"/>
                  <w:noWrap w:val="0"/>
                  <w:vAlign w:val="center"/>
                </w:tcPr>
                <w:p w14:paraId="4A2F6FC4">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978" w:type="dxa"/>
                  <w:noWrap w:val="0"/>
                  <w:vAlign w:val="center"/>
                </w:tcPr>
                <w:p w14:paraId="229D895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900</w:t>
                  </w:r>
                </w:p>
              </w:tc>
            </w:tr>
            <w:tr w14:paraId="73E19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605A52D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石油烃*</w:t>
                  </w:r>
                </w:p>
              </w:tc>
              <w:tc>
                <w:tcPr>
                  <w:tcW w:w="778" w:type="dxa"/>
                  <w:noWrap w:val="0"/>
                  <w:vAlign w:val="center"/>
                </w:tcPr>
                <w:p w14:paraId="669492F5">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55D6CDC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ND6</w:t>
                  </w:r>
                </w:p>
              </w:tc>
              <w:tc>
                <w:tcPr>
                  <w:tcW w:w="1085" w:type="dxa"/>
                  <w:noWrap w:val="0"/>
                  <w:vAlign w:val="center"/>
                </w:tcPr>
                <w:p w14:paraId="58E69844">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6ND</w:t>
                  </w:r>
                </w:p>
              </w:tc>
              <w:tc>
                <w:tcPr>
                  <w:tcW w:w="887" w:type="dxa"/>
                  <w:noWrap w:val="0"/>
                  <w:vAlign w:val="center"/>
                </w:tcPr>
                <w:p w14:paraId="25042297">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6ND</w:t>
                  </w:r>
                </w:p>
              </w:tc>
              <w:tc>
                <w:tcPr>
                  <w:tcW w:w="918" w:type="dxa"/>
                  <w:noWrap w:val="0"/>
                  <w:vAlign w:val="center"/>
                </w:tcPr>
                <w:p w14:paraId="68CE3AF3">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6ND</w:t>
                  </w:r>
                </w:p>
              </w:tc>
              <w:tc>
                <w:tcPr>
                  <w:tcW w:w="852" w:type="dxa"/>
                  <w:noWrap w:val="0"/>
                  <w:vAlign w:val="center"/>
                </w:tcPr>
                <w:p w14:paraId="37C5CD3D">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6ND</w:t>
                  </w:r>
                </w:p>
              </w:tc>
              <w:tc>
                <w:tcPr>
                  <w:tcW w:w="982" w:type="dxa"/>
                  <w:noWrap w:val="0"/>
                  <w:vAlign w:val="center"/>
                </w:tcPr>
                <w:p w14:paraId="102EFB51">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6ND</w:t>
                  </w:r>
                </w:p>
              </w:tc>
              <w:tc>
                <w:tcPr>
                  <w:tcW w:w="978" w:type="dxa"/>
                  <w:noWrap w:val="0"/>
                  <w:vAlign w:val="center"/>
                </w:tcPr>
                <w:p w14:paraId="71AB251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4500</w:t>
                  </w:r>
                </w:p>
              </w:tc>
            </w:tr>
            <w:tr w14:paraId="73662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59C056F4">
                  <w:pPr>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2-氯酚</w:t>
                  </w:r>
                  <w:r>
                    <w:rPr>
                      <w:rFonts w:hint="eastAsia" w:ascii="Times New Roman" w:hAnsi="Times New Roman" w:eastAsia="宋体" w:cs="Times New Roman"/>
                      <w:color w:val="auto"/>
                      <w:highlight w:val="none"/>
                      <w:lang w:val="en-US" w:eastAsia="zh-CN"/>
                    </w:rPr>
                    <w:t>*</w:t>
                  </w:r>
                </w:p>
              </w:tc>
              <w:tc>
                <w:tcPr>
                  <w:tcW w:w="778" w:type="dxa"/>
                  <w:noWrap w:val="0"/>
                  <w:vAlign w:val="center"/>
                </w:tcPr>
                <w:p w14:paraId="09685736">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mg/kg</w:t>
                  </w:r>
                </w:p>
              </w:tc>
              <w:tc>
                <w:tcPr>
                  <w:tcW w:w="932" w:type="dxa"/>
                  <w:noWrap w:val="0"/>
                  <w:vAlign w:val="center"/>
                </w:tcPr>
                <w:p w14:paraId="5D59A04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ND0.06</w:t>
                  </w:r>
                </w:p>
              </w:tc>
              <w:tc>
                <w:tcPr>
                  <w:tcW w:w="1085" w:type="dxa"/>
                  <w:noWrap w:val="0"/>
                  <w:vAlign w:val="center"/>
                </w:tcPr>
                <w:p w14:paraId="3658B2C2">
                  <w:pPr>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B01CB3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565F8CE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01FA67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4C63B22">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BB5987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2256</w:t>
                  </w:r>
                </w:p>
              </w:tc>
            </w:tr>
            <w:tr w14:paraId="430E9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0D5F94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硝基苯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2C03D8A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2D0D94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ND0.09</w:t>
                  </w:r>
                </w:p>
              </w:tc>
              <w:tc>
                <w:tcPr>
                  <w:tcW w:w="1085" w:type="dxa"/>
                  <w:noWrap w:val="0"/>
                  <w:vAlign w:val="center"/>
                </w:tcPr>
                <w:p w14:paraId="73AE41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56EEC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13DE2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FFD66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4CF414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0C0E91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76</w:t>
                  </w:r>
                </w:p>
              </w:tc>
            </w:tr>
            <w:tr w14:paraId="4E7F2F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262FFCF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蒽</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0158302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1CFDC7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ND0.1</w:t>
                  </w:r>
                </w:p>
              </w:tc>
              <w:tc>
                <w:tcPr>
                  <w:tcW w:w="1085" w:type="dxa"/>
                  <w:noWrap w:val="0"/>
                  <w:vAlign w:val="center"/>
                </w:tcPr>
                <w:p w14:paraId="199A8D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15D2A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68D98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5E311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B61F5C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FD57D0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58B96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0220484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䓛</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0BBC42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14F10B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ND0.1</w:t>
                  </w:r>
                </w:p>
              </w:tc>
              <w:tc>
                <w:tcPr>
                  <w:tcW w:w="1085" w:type="dxa"/>
                  <w:noWrap w:val="0"/>
                  <w:vAlign w:val="center"/>
                </w:tcPr>
                <w:p w14:paraId="77EBBF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3AFF1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DC682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22EE0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78632A5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283996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1293</w:t>
                  </w:r>
                </w:p>
              </w:tc>
            </w:tr>
            <w:tr w14:paraId="3022F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C6D4B3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k</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荧蒽</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6E8C321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7C6B52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58EEA0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F3B19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5A5423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83626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4C9191F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3FAED9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151</w:t>
                  </w:r>
                </w:p>
              </w:tc>
            </w:tr>
            <w:tr w14:paraId="7A485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225B64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b</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荧蒽</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9F246F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3FE8D4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ND0.2</w:t>
                  </w:r>
                </w:p>
              </w:tc>
              <w:tc>
                <w:tcPr>
                  <w:tcW w:w="1085" w:type="dxa"/>
                  <w:noWrap w:val="0"/>
                  <w:vAlign w:val="center"/>
                </w:tcPr>
                <w:p w14:paraId="664963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65C8F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A0F29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AC8BD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7CB78D2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8C5157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2FA43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69ACEDC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芘</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B80EB7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44A6CC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474EE6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AC84E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161E0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DDEDD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45D1734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4C7500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41EA5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1026" w:type="dxa"/>
                  <w:noWrap w:val="0"/>
                  <w:vAlign w:val="center"/>
                </w:tcPr>
                <w:p w14:paraId="0B498C3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茚并</w:t>
                  </w:r>
                  <w:r>
                    <w:rPr>
                      <w:rFonts w:hint="eastAsia"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1,2,3-c,d</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芘</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2F65436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6AC569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7BD7D3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B31E5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CC5B1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9A0C3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F62281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1073A4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3DBDB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1026" w:type="dxa"/>
                  <w:noWrap w:val="0"/>
                  <w:vAlign w:val="center"/>
                </w:tcPr>
                <w:p w14:paraId="550C96A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二苯并</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a,h</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蒽</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B72EC3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5BD59DE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color w:val="auto"/>
                      <w:sz w:val="21"/>
                      <w:szCs w:val="21"/>
                      <w:highlight w:val="none"/>
                    </w:rPr>
                  </w:pPr>
                  <w:r>
                    <w:rPr>
                      <w:rFonts w:hint="eastAsia"/>
                      <w:color w:val="auto"/>
                      <w:sz w:val="21"/>
                      <w:szCs w:val="21"/>
                      <w:highlight w:val="none"/>
                      <w:lang w:val="en-US" w:eastAsia="zh-CN"/>
                    </w:rPr>
                    <w:t>ND0.1</w:t>
                  </w:r>
                </w:p>
              </w:tc>
              <w:tc>
                <w:tcPr>
                  <w:tcW w:w="1085" w:type="dxa"/>
                  <w:noWrap w:val="0"/>
                  <w:vAlign w:val="center"/>
                </w:tcPr>
                <w:p w14:paraId="4DE5931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B5B3A2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C57EBA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3AC3FD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24DDF4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C877E8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07F14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038B884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苯胺</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24430CA3">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4CA20C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ND0.1</w:t>
                  </w:r>
                </w:p>
              </w:tc>
              <w:tc>
                <w:tcPr>
                  <w:tcW w:w="1085" w:type="dxa"/>
                  <w:noWrap w:val="0"/>
                  <w:vAlign w:val="center"/>
                </w:tcPr>
                <w:p w14:paraId="0FC76D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6293F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B8C81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A5FDC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E24F4F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1BB4BA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260</w:t>
                  </w:r>
                </w:p>
              </w:tc>
            </w:tr>
            <w:tr w14:paraId="3C4B7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1026" w:type="dxa"/>
                  <w:noWrap w:val="0"/>
                  <w:vAlign w:val="center"/>
                </w:tcPr>
                <w:p w14:paraId="6E5B221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萘</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7F3FF79F">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rPr>
                      <w:color w:val="auto"/>
                      <w:sz w:val="21"/>
                      <w:szCs w:val="21"/>
                      <w:highlight w:val="none"/>
                    </w:rPr>
                  </w:pPr>
                  <w:r>
                    <w:rPr>
                      <w:color w:val="auto"/>
                      <w:sz w:val="21"/>
                      <w:szCs w:val="21"/>
                      <w:highlight w:val="none"/>
                    </w:rPr>
                    <w:t>mg/kg</w:t>
                  </w:r>
                </w:p>
              </w:tc>
              <w:tc>
                <w:tcPr>
                  <w:tcW w:w="932" w:type="dxa"/>
                  <w:noWrap w:val="0"/>
                  <w:vAlign w:val="center"/>
                </w:tcPr>
                <w:p w14:paraId="40862D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ND0.09</w:t>
                  </w:r>
                </w:p>
              </w:tc>
              <w:tc>
                <w:tcPr>
                  <w:tcW w:w="1085" w:type="dxa"/>
                  <w:noWrap w:val="0"/>
                  <w:vAlign w:val="center"/>
                </w:tcPr>
                <w:p w14:paraId="11778E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3755D0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79AA45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B5727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014A688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8F867E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70</w:t>
                  </w:r>
                </w:p>
              </w:tc>
            </w:tr>
            <w:tr w14:paraId="150C9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61F8BDD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氯甲烷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2E241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F38554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color w:val="auto"/>
                      <w:sz w:val="21"/>
                      <w:szCs w:val="21"/>
                      <w:highlight w:val="none"/>
                    </w:rPr>
                  </w:pPr>
                  <w:r>
                    <w:rPr>
                      <w:rFonts w:hint="eastAsia"/>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D1.0×10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501EC9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51AEC4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043ACB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7F374A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F2CAEA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F006C1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37000</w:t>
                  </w:r>
                </w:p>
              </w:tc>
            </w:tr>
            <w:tr w14:paraId="40F25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577F88B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869A1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6BB96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8A1D1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2156E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25D97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33E76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A088C8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7F0178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430</w:t>
                  </w:r>
                </w:p>
              </w:tc>
            </w:tr>
            <w:tr w14:paraId="173A2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11E97AD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1,1-二氯乙烯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28F3E8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14B7B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1.0×10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29C9FE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D1677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B9F8A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0A8F8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4AA5EF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23A2C7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66000</w:t>
                  </w:r>
                </w:p>
              </w:tc>
            </w:tr>
            <w:tr w14:paraId="5B694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7EB6431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二氯甲烷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2F6CA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13DB63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BA70B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1E44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57640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7EDA9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883289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74855C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616000</w:t>
                  </w:r>
                </w:p>
              </w:tc>
            </w:tr>
            <w:tr w14:paraId="13F165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6" w:type="dxa"/>
                  <w:noWrap w:val="0"/>
                  <w:vAlign w:val="center"/>
                </w:tcPr>
                <w:p w14:paraId="4BC4F89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反-1,2-二氯乙烯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7BE781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0CA52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13C43F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0FEFC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2D463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A905C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66A3D5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8E4E67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54000</w:t>
                  </w:r>
                </w:p>
              </w:tc>
            </w:tr>
            <w:tr w14:paraId="4AA21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5D9FF3A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1,1-二氯乙烷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512BF2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62162D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45494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29BF25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60103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748D9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8CAA11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912FD6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5000</w:t>
                  </w:r>
                </w:p>
              </w:tc>
            </w:tr>
            <w:tr w14:paraId="43544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6" w:type="dxa"/>
                  <w:noWrap w:val="0"/>
                  <w:vAlign w:val="center"/>
                </w:tcPr>
                <w:p w14:paraId="61E4583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顺-1,2-二氯乙烯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46B017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7D284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111C95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7765A8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4136B6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7987B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B465EDD">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D36846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596000</w:t>
                  </w:r>
                </w:p>
              </w:tc>
            </w:tr>
            <w:tr w14:paraId="64D82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1063230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氯仿</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F40E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E66BD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02AF1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0D795E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5FAA9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F18A3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6820FD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16EFB20">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900</w:t>
                  </w:r>
                </w:p>
              </w:tc>
            </w:tr>
            <w:tr w14:paraId="1870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1026" w:type="dxa"/>
                  <w:noWrap w:val="0"/>
                  <w:vAlign w:val="center"/>
                </w:tcPr>
                <w:p w14:paraId="1034C55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1,1,1-三氯乙烷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4735A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7AD56D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1BA3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2A2BD4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C275E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E6DA6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5B92C3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BED00F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84000</w:t>
                  </w:r>
                </w:p>
              </w:tc>
            </w:tr>
            <w:tr w14:paraId="61065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00C7852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四氯化碳</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4A720A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131EF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7EBAD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45CFC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7E7F49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43B560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538F2E7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2FFE032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w:t>
                  </w:r>
                </w:p>
              </w:tc>
            </w:tr>
            <w:tr w14:paraId="508DE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189AE30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6DDC26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0CEE3C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7EDA28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77BD1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E8DD3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3CC569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41BCB18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249627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4000</w:t>
                  </w:r>
                </w:p>
              </w:tc>
            </w:tr>
            <w:tr w14:paraId="3F24C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1100EE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1,2-二氯乙烷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1FA87F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C2DE4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145A4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5592C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704FA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4074C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7CD682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416D5E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5000</w:t>
                  </w:r>
                </w:p>
              </w:tc>
            </w:tr>
            <w:tr w14:paraId="08447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6AF6AB3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三氯乙烯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436DDC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D1398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9BAB9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B1425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544BA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593FD2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7DF6407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3B1251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w:t>
                  </w:r>
                </w:p>
              </w:tc>
            </w:tr>
            <w:tr w14:paraId="0B4CB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21D479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1,2-二氯丙烷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70CAC4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19F99C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C174D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9B243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6FFC6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428358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E6A4B0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EC733B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5000</w:t>
                  </w:r>
                </w:p>
              </w:tc>
            </w:tr>
            <w:tr w14:paraId="7D002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71D22FB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甲苯</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5FA505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19A4FC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651227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7C50D9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CD0DE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1568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F41F45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D3D95A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1200000</w:t>
                  </w:r>
                </w:p>
              </w:tc>
            </w:tr>
            <w:tr w14:paraId="345AD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4713CE2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1,1,2-三氯乙烷</w:t>
                  </w:r>
                  <w:r>
                    <w:rPr>
                      <w:rFonts w:hint="default" w:ascii="Times New Roman" w:hAnsi="Times New Roman" w:eastAsia="宋体" w:cs="Times New Roman"/>
                      <w:color w:val="auto"/>
                      <w:sz w:val="21"/>
                      <w:szCs w:val="21"/>
                      <w:highlight w:val="none"/>
                      <w:lang w:val="en-US" w:eastAsia="zh-CN"/>
                    </w:rPr>
                    <w:t>*</w:t>
                  </w:r>
                </w:p>
              </w:tc>
              <w:tc>
                <w:tcPr>
                  <w:tcW w:w="778" w:type="dxa"/>
                  <w:noWrap w:val="0"/>
                  <w:vAlign w:val="center"/>
                </w:tcPr>
                <w:p w14:paraId="396CDF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35ECA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ED210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865DC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6EBA6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34D501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D4A2DB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65F56E2">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w:t>
                  </w:r>
                </w:p>
              </w:tc>
            </w:tr>
            <w:tr w14:paraId="7DE86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1599A9F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四氯乙烯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56731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BB998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72F110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1B3DF4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32C7BF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FD6E6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580FF58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84CA11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53000</w:t>
                  </w:r>
                </w:p>
              </w:tc>
            </w:tr>
            <w:tr w14:paraId="485ED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24FBF79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氯苯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7F6F2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F7E4B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15FBBD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32C00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73818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37E42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3CBCB9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ABB2E6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270000</w:t>
                  </w:r>
                </w:p>
              </w:tc>
            </w:tr>
            <w:tr w14:paraId="66E48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1026" w:type="dxa"/>
                  <w:noWrap w:val="0"/>
                  <w:vAlign w:val="center"/>
                </w:tcPr>
                <w:p w14:paraId="377B82E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Times New Roman" w:cs="Times New Roman"/>
                      <w:color w:val="auto"/>
                      <w:sz w:val="21"/>
                      <w:szCs w:val="21"/>
                      <w:highlight w:val="none"/>
                    </w:rPr>
                    <w:t>1,1,1,2-</w:t>
                  </w:r>
                  <w:r>
                    <w:rPr>
                      <w:rFonts w:hint="default" w:ascii="Times New Roman" w:hAnsi="Times New Roman" w:eastAsia="宋体" w:cs="Times New Roman"/>
                      <w:color w:val="auto"/>
                      <w:sz w:val="21"/>
                      <w:szCs w:val="21"/>
                      <w:highlight w:val="none"/>
                    </w:rPr>
                    <w:t>四氯乙烷</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611F4C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5BBF27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8F6CF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B4EBE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8ED86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1BD1CA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E173FD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D3F8E1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10000</w:t>
                  </w:r>
                </w:p>
              </w:tc>
            </w:tr>
            <w:tr w14:paraId="53EFC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032DA7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乙苯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B90DC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E9394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59F15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285DA8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8FA4D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1C6FE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0CD976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A1B24B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28000</w:t>
                  </w:r>
                </w:p>
              </w:tc>
            </w:tr>
            <w:tr w14:paraId="11192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6" w:type="dxa"/>
                  <w:noWrap w:val="0"/>
                  <w:vAlign w:val="center"/>
                </w:tcPr>
                <w:p w14:paraId="204358B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highlight w:val="none"/>
                    </w:rPr>
                  </w:pPr>
                  <w:r>
                    <w:rPr>
                      <w:rFonts w:hint="default" w:ascii="Times New Roman" w:hAnsi="Times New Roman" w:eastAsia="宋体" w:cs="Times New Roman"/>
                      <w:color w:val="auto"/>
                      <w:sz w:val="21"/>
                      <w:szCs w:val="21"/>
                      <w:highlight w:val="none"/>
                    </w:rPr>
                    <w:t>间二甲苯</w:t>
                  </w:r>
                  <w:r>
                    <w:rPr>
                      <w:rFonts w:hint="default" w:ascii="Times New Roman" w:hAnsi="Times New Roman" w:eastAsia="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对二甲苯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4921F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6DBCFE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F6405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609B6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60D71E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2939A2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7DB1CD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3CFD20C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570000</w:t>
                  </w:r>
                </w:p>
              </w:tc>
            </w:tr>
            <w:tr w14:paraId="73E7E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3DEDEE6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邻二甲苯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55E89A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7DC505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E0CDB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5B9FDC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22CB63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678BDB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8596DA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0C8D5AE3">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640000</w:t>
                  </w:r>
                </w:p>
              </w:tc>
            </w:tr>
            <w:tr w14:paraId="1C1DD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026" w:type="dxa"/>
                  <w:noWrap w:val="0"/>
                  <w:vAlign w:val="center"/>
                </w:tcPr>
                <w:p w14:paraId="1880A0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苯乙烯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10371B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045890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60517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5A133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6D97F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01C88F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2D1F044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1CCE9DF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1290000</w:t>
                  </w:r>
                </w:p>
              </w:tc>
            </w:tr>
            <w:tr w14:paraId="5018D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1026" w:type="dxa"/>
                  <w:noWrap w:val="0"/>
                  <w:vAlign w:val="center"/>
                </w:tcPr>
                <w:p w14:paraId="7C0D5DC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1,1,2,2-</w:t>
                  </w:r>
                  <w:r>
                    <w:rPr>
                      <w:rFonts w:hint="default" w:ascii="Times New Roman" w:hAnsi="Times New Roman" w:eastAsia="宋体" w:cs="Times New Roman"/>
                      <w:color w:val="auto"/>
                      <w:sz w:val="21"/>
                      <w:szCs w:val="21"/>
                      <w:highlight w:val="none"/>
                    </w:rPr>
                    <w:t>四氯乙烷</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BD7D7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E9F65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D84E2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437947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00F3A3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51A50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1711AA59">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ADD39B7">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6800</w:t>
                  </w:r>
                </w:p>
              </w:tc>
            </w:tr>
            <w:tr w14:paraId="76111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2C4EEF4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1,2,3-</w:t>
                  </w:r>
                  <w:r>
                    <w:rPr>
                      <w:rFonts w:hint="default" w:ascii="Times New Roman" w:hAnsi="Times New Roman" w:eastAsia="宋体" w:cs="Times New Roman"/>
                      <w:color w:val="auto"/>
                      <w:sz w:val="21"/>
                      <w:szCs w:val="21"/>
                      <w:highlight w:val="none"/>
                    </w:rPr>
                    <w:t>三氯丙烷</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406783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492561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486F19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658872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F1AB0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3C086C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3F7A9794">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75DDF1E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w:t>
                  </w:r>
                </w:p>
              </w:tc>
            </w:tr>
            <w:tr w14:paraId="3046E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1026" w:type="dxa"/>
                  <w:noWrap w:val="0"/>
                  <w:vAlign w:val="center"/>
                </w:tcPr>
                <w:p w14:paraId="1F89E2A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1,4-</w:t>
                  </w:r>
                  <w:r>
                    <w:rPr>
                      <w:rFonts w:hint="default" w:ascii="Times New Roman" w:hAnsi="Times New Roman" w:eastAsia="宋体" w:cs="Times New Roman"/>
                      <w:color w:val="auto"/>
                      <w:sz w:val="21"/>
                      <w:szCs w:val="21"/>
                      <w:highlight w:val="none"/>
                    </w:rPr>
                    <w:t>二氯苯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12C53B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38A601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3681B5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3FEC88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5049AD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7D0945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53F245D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4330B1B8">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20000</w:t>
                  </w:r>
                </w:p>
              </w:tc>
            </w:tr>
            <w:tr w14:paraId="3D055A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trPr>
              <w:tc>
                <w:tcPr>
                  <w:tcW w:w="1026" w:type="dxa"/>
                  <w:noWrap w:val="0"/>
                  <w:vAlign w:val="center"/>
                </w:tcPr>
                <w:p w14:paraId="339F219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highlight w:val="none"/>
                    </w:rPr>
                  </w:pPr>
                  <w:r>
                    <w:rPr>
                      <w:rFonts w:hint="default" w:ascii="Times New Roman" w:hAnsi="Times New Roman" w:eastAsia="Times New Roman" w:cs="Times New Roman"/>
                      <w:color w:val="auto"/>
                      <w:sz w:val="21"/>
                      <w:szCs w:val="21"/>
                      <w:highlight w:val="none"/>
                    </w:rPr>
                    <w:t>1,2-</w:t>
                  </w:r>
                  <w:r>
                    <w:rPr>
                      <w:rFonts w:hint="default" w:ascii="Times New Roman" w:hAnsi="Times New Roman" w:eastAsia="宋体" w:cs="Times New Roman"/>
                      <w:color w:val="auto"/>
                      <w:sz w:val="21"/>
                      <w:szCs w:val="21"/>
                      <w:highlight w:val="none"/>
                    </w:rPr>
                    <w:t>二氯苯</w:t>
                  </w:r>
                  <w:r>
                    <w:rPr>
                      <w:rFonts w:hint="eastAsia" w:ascii="Times New Roman" w:hAnsi="Times New Roman" w:eastAsia="宋体" w:cs="Times New Roman"/>
                      <w:color w:val="auto"/>
                      <w:sz w:val="21"/>
                      <w:szCs w:val="21"/>
                      <w:highlight w:val="none"/>
                      <w:lang w:val="en-US" w:eastAsia="zh-CN"/>
                    </w:rPr>
                    <w:t>*</w:t>
                  </w:r>
                </w:p>
              </w:tc>
              <w:tc>
                <w:tcPr>
                  <w:tcW w:w="778" w:type="dxa"/>
                  <w:noWrap w:val="0"/>
                  <w:vAlign w:val="center"/>
                </w:tcPr>
                <w:p w14:paraId="3B1A9E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color w:val="auto"/>
                      <w:sz w:val="21"/>
                      <w:szCs w:val="21"/>
                      <w:highlight w:val="none"/>
                    </w:rPr>
                    <w:t>mg/kg</w:t>
                  </w:r>
                </w:p>
              </w:tc>
              <w:tc>
                <w:tcPr>
                  <w:tcW w:w="932" w:type="dxa"/>
                  <w:noWrap w:val="0"/>
                  <w:vAlign w:val="center"/>
                </w:tcPr>
                <w:p w14:paraId="21A482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color w:val="auto"/>
                      <w:sz w:val="21"/>
                      <w:szCs w:val="21"/>
                      <w:highlight w:val="none"/>
                    </w:rPr>
                  </w:pPr>
                  <w:r>
                    <w:rPr>
                      <w:rFonts w:hint="eastAsia"/>
                      <w:color w:val="auto"/>
                      <w:sz w:val="21"/>
                      <w:szCs w:val="21"/>
                      <w:highlight w:val="none"/>
                      <w:lang w:val="en-US" w:eastAsia="zh-CN"/>
                    </w:rPr>
                    <w:t>ND</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vertAlign w:val="superscript"/>
                      <w:lang w:val="en-US" w:eastAsia="zh-CN"/>
                    </w:rPr>
                    <w:t>-3</w:t>
                  </w:r>
                </w:p>
              </w:tc>
              <w:tc>
                <w:tcPr>
                  <w:tcW w:w="1085" w:type="dxa"/>
                  <w:noWrap w:val="0"/>
                  <w:vAlign w:val="center"/>
                </w:tcPr>
                <w:p w14:paraId="551EF4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87" w:type="dxa"/>
                  <w:noWrap w:val="0"/>
                  <w:vAlign w:val="center"/>
                </w:tcPr>
                <w:p w14:paraId="7F4D26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18" w:type="dxa"/>
                  <w:noWrap w:val="0"/>
                  <w:vAlign w:val="center"/>
                </w:tcPr>
                <w:p w14:paraId="17353F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852" w:type="dxa"/>
                  <w:noWrap w:val="0"/>
                  <w:vAlign w:val="center"/>
                </w:tcPr>
                <w:p w14:paraId="420A36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82" w:type="dxa"/>
                  <w:noWrap w:val="0"/>
                  <w:vAlign w:val="center"/>
                </w:tcPr>
                <w:p w14:paraId="6AFAD86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p>
              </w:tc>
              <w:tc>
                <w:tcPr>
                  <w:tcW w:w="978" w:type="dxa"/>
                  <w:noWrap w:val="0"/>
                  <w:vAlign w:val="center"/>
                </w:tcPr>
                <w:p w14:paraId="6B902356">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560000</w:t>
                  </w:r>
                </w:p>
              </w:tc>
            </w:tr>
          </w:tbl>
          <w:p w14:paraId="2CECE34C">
            <w:pPr>
              <w:pStyle w:val="195"/>
              <w:spacing w:before="117" w:line="228" w:lineRule="auto"/>
              <w:jc w:val="center"/>
              <w:rPr>
                <w:rFonts w:hint="eastAsia"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kern w:val="2"/>
                <w:sz w:val="21"/>
                <w:szCs w:val="21"/>
                <w:highlight w:val="none"/>
                <w:lang w:val="en-US" w:eastAsia="zh-CN" w:bidi="ar-SA"/>
              </w:rPr>
              <w:t>表</w:t>
            </w:r>
            <w:r>
              <w:rPr>
                <w:rFonts w:hint="eastAsia" w:ascii="Times New Roman" w:hAnsi="Times New Roman" w:eastAsia="宋体" w:cs="Times New Roman"/>
                <w:b/>
                <w:color w:val="auto"/>
                <w:spacing w:val="0"/>
                <w:kern w:val="2"/>
                <w:sz w:val="21"/>
                <w:szCs w:val="21"/>
                <w:highlight w:val="none"/>
                <w:lang w:val="en-US" w:eastAsia="zh-CN" w:bidi="ar-SA"/>
              </w:rPr>
              <w:t>3-6厂区柱状</w:t>
            </w:r>
            <w:r>
              <w:rPr>
                <w:rFonts w:hint="default" w:ascii="Times New Roman" w:hAnsi="Times New Roman" w:eastAsia="宋体" w:cs="Times New Roman"/>
                <w:b/>
                <w:color w:val="auto"/>
                <w:spacing w:val="0"/>
                <w:kern w:val="2"/>
                <w:sz w:val="21"/>
                <w:szCs w:val="21"/>
                <w:highlight w:val="none"/>
                <w:lang w:val="en-US" w:eastAsia="zh-CN" w:bidi="ar-SA"/>
              </w:rPr>
              <w:t>土壤现状监测结果单位：mg/k</w:t>
            </w:r>
          </w:p>
          <w:tbl>
            <w:tblPr>
              <w:tblStyle w:val="35"/>
              <w:tblW w:w="84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698"/>
              <w:gridCol w:w="858"/>
              <w:gridCol w:w="778"/>
              <w:gridCol w:w="673"/>
              <w:gridCol w:w="853"/>
              <w:gridCol w:w="722"/>
              <w:gridCol w:w="735"/>
              <w:gridCol w:w="840"/>
              <w:gridCol w:w="735"/>
              <w:gridCol w:w="590"/>
            </w:tblGrid>
            <w:tr w14:paraId="042C1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 w:hRule="atLeast"/>
                <w:jc w:val="center"/>
              </w:trPr>
              <w:tc>
                <w:tcPr>
                  <w:tcW w:w="1015" w:type="dxa"/>
                  <w:vMerge w:val="restart"/>
                  <w:tcBorders>
                    <w:tl2br w:val="nil"/>
                    <w:tr2bl w:val="nil"/>
                  </w:tcBorders>
                  <w:noWrap w:val="0"/>
                  <w:vAlign w:val="center"/>
                </w:tcPr>
                <w:p w14:paraId="6BD2B1D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rPr>
                  </w:pPr>
                  <w:r>
                    <w:rPr>
                      <w:rFonts w:hint="default" w:ascii="Times New Roman" w:hAnsi="Times New Roman" w:eastAsia="Times New Roman" w:cs="Times New Roman"/>
                      <w:b/>
                      <w:bCs/>
                      <w:color w:val="auto"/>
                      <w:sz w:val="21"/>
                      <w:szCs w:val="21"/>
                      <w:highlight w:val="none"/>
                    </w:rPr>
                    <w:t>监测项目</w:t>
                  </w:r>
                </w:p>
              </w:tc>
              <w:tc>
                <w:tcPr>
                  <w:tcW w:w="2334" w:type="dxa"/>
                  <w:gridSpan w:val="3"/>
                  <w:tcBorders>
                    <w:tl2br w:val="nil"/>
                    <w:tr2bl w:val="nil"/>
                  </w:tcBorders>
                  <w:noWrap w:val="0"/>
                  <w:vAlign w:val="center"/>
                </w:tcPr>
                <w:p w14:paraId="2EF7D64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b/>
                      <w:bCs/>
                      <w:color w:val="auto"/>
                      <w:sz w:val="21"/>
                      <w:szCs w:val="21"/>
                      <w:highlight w:val="none"/>
                      <w:lang w:val="en-US" w:eastAsia="zh-CN"/>
                    </w:rPr>
                  </w:pPr>
                  <w:r>
                    <w:rPr>
                      <w:rFonts w:hint="eastAsia" w:ascii="Times New Roman" w:hAnsi="Times New Roman" w:eastAsia="Times New Roman" w:cs="Times New Roman"/>
                      <w:b/>
                      <w:bCs/>
                      <w:color w:val="auto"/>
                      <w:sz w:val="21"/>
                      <w:szCs w:val="21"/>
                      <w:highlight w:val="none"/>
                      <w:lang w:val="en-US" w:eastAsia="zh-CN"/>
                    </w:rPr>
                    <w:t>厂区蒸馏区绿化带</w:t>
                  </w:r>
                </w:p>
              </w:tc>
              <w:tc>
                <w:tcPr>
                  <w:tcW w:w="2248" w:type="dxa"/>
                  <w:gridSpan w:val="3"/>
                  <w:tcBorders>
                    <w:tl2br w:val="nil"/>
                    <w:tr2bl w:val="nil"/>
                  </w:tcBorders>
                  <w:noWrap w:val="0"/>
                  <w:vAlign w:val="center"/>
                </w:tcPr>
                <w:p w14:paraId="0840474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eastAsia="zh-CN"/>
                    </w:rPr>
                  </w:pPr>
                  <w:r>
                    <w:rPr>
                      <w:rFonts w:hint="eastAsia" w:ascii="Times New Roman" w:hAnsi="Times New Roman" w:eastAsia="Times New Roman" w:cs="Times New Roman"/>
                      <w:b/>
                      <w:bCs/>
                      <w:color w:val="auto"/>
                      <w:sz w:val="21"/>
                      <w:szCs w:val="21"/>
                      <w:highlight w:val="none"/>
                      <w:lang w:val="en-US" w:eastAsia="zh-CN"/>
                    </w:rPr>
                    <w:t>厂内罐区</w:t>
                  </w:r>
                </w:p>
              </w:tc>
              <w:tc>
                <w:tcPr>
                  <w:tcW w:w="2310" w:type="dxa"/>
                  <w:gridSpan w:val="3"/>
                  <w:tcBorders>
                    <w:tl2br w:val="nil"/>
                    <w:tr2bl w:val="nil"/>
                  </w:tcBorders>
                  <w:noWrap w:val="0"/>
                  <w:vAlign w:val="center"/>
                </w:tcPr>
                <w:p w14:paraId="6EBE3B2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eastAsia="zh-CN"/>
                    </w:rPr>
                  </w:pPr>
                  <w:r>
                    <w:rPr>
                      <w:rFonts w:hint="eastAsia" w:ascii="Times New Roman" w:hAnsi="Times New Roman" w:eastAsia="Times New Roman" w:cs="Times New Roman"/>
                      <w:b/>
                      <w:bCs/>
                      <w:color w:val="auto"/>
                      <w:sz w:val="21"/>
                      <w:szCs w:val="21"/>
                      <w:highlight w:val="none"/>
                      <w:lang w:val="en-US" w:eastAsia="zh-CN"/>
                    </w:rPr>
                    <w:t>厂区东南侧</w:t>
                  </w:r>
                </w:p>
              </w:tc>
              <w:tc>
                <w:tcPr>
                  <w:tcW w:w="590" w:type="dxa"/>
                  <w:vMerge w:val="restart"/>
                  <w:tcBorders>
                    <w:tl2br w:val="nil"/>
                    <w:tr2bl w:val="nil"/>
                  </w:tcBorders>
                  <w:noWrap w:val="0"/>
                  <w:vAlign w:val="center"/>
                </w:tcPr>
                <w:p w14:paraId="062A57E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b/>
                      <w:bCs/>
                      <w:color w:val="auto"/>
                      <w:sz w:val="21"/>
                      <w:szCs w:val="21"/>
                      <w:highlight w:val="none"/>
                      <w:lang w:eastAsia="zh-CN"/>
                    </w:rPr>
                    <w:t>筛选值</w:t>
                  </w:r>
                </w:p>
              </w:tc>
            </w:tr>
            <w:tr w14:paraId="2959D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15" w:type="dxa"/>
                  <w:vMerge w:val="continue"/>
                  <w:tcBorders>
                    <w:tl2br w:val="nil"/>
                    <w:tr2bl w:val="nil"/>
                  </w:tcBorders>
                  <w:noWrap w:val="0"/>
                  <w:vAlign w:val="center"/>
                </w:tcPr>
                <w:p w14:paraId="7E7F803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rPr>
                  </w:pPr>
                </w:p>
              </w:tc>
              <w:tc>
                <w:tcPr>
                  <w:tcW w:w="698" w:type="dxa"/>
                  <w:tcBorders>
                    <w:tl2br w:val="nil"/>
                    <w:tr2bl w:val="nil"/>
                  </w:tcBorders>
                  <w:noWrap w:val="0"/>
                  <w:vAlign w:val="center"/>
                </w:tcPr>
                <w:p w14:paraId="513320C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eastAsia="zh-CN"/>
                    </w:rPr>
                  </w:pPr>
                  <w:r>
                    <w:rPr>
                      <w:rFonts w:hint="default" w:ascii="Times New Roman" w:hAnsi="Times New Roman" w:eastAsia="Times New Roman" w:cs="Times New Roman"/>
                      <w:b/>
                      <w:bCs/>
                      <w:color w:val="auto"/>
                      <w:sz w:val="21"/>
                      <w:szCs w:val="21"/>
                      <w:highlight w:val="none"/>
                    </w:rPr>
                    <w:t>0~0.5m</w:t>
                  </w:r>
                </w:p>
              </w:tc>
              <w:tc>
                <w:tcPr>
                  <w:tcW w:w="858" w:type="dxa"/>
                  <w:tcBorders>
                    <w:tl2br w:val="nil"/>
                    <w:tr2bl w:val="nil"/>
                  </w:tcBorders>
                  <w:noWrap w:val="0"/>
                  <w:vAlign w:val="center"/>
                </w:tcPr>
                <w:p w14:paraId="4529C6B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1.5m</w:t>
                  </w:r>
                </w:p>
              </w:tc>
              <w:tc>
                <w:tcPr>
                  <w:tcW w:w="778" w:type="dxa"/>
                  <w:tcBorders>
                    <w:tl2br w:val="nil"/>
                    <w:tr2bl w:val="nil"/>
                  </w:tcBorders>
                  <w:noWrap w:val="0"/>
                  <w:vAlign w:val="center"/>
                </w:tcPr>
                <w:p w14:paraId="6957FE7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rPr>
                  </w:pPr>
                  <w:r>
                    <w:rPr>
                      <w:rFonts w:hint="default" w:ascii="Times New Roman" w:hAnsi="Times New Roman" w:eastAsia="Times New Roman" w:cs="Times New Roman"/>
                      <w:b/>
                      <w:bCs/>
                      <w:color w:val="auto"/>
                      <w:sz w:val="21"/>
                      <w:szCs w:val="21"/>
                      <w:highlight w:val="none"/>
                    </w:rPr>
                    <w:t>1.5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3m</w:t>
                  </w:r>
                </w:p>
              </w:tc>
              <w:tc>
                <w:tcPr>
                  <w:tcW w:w="673" w:type="dxa"/>
                  <w:tcBorders>
                    <w:tl2br w:val="nil"/>
                    <w:tr2bl w:val="nil"/>
                  </w:tcBorders>
                  <w:noWrap w:val="0"/>
                  <w:vAlign w:val="center"/>
                </w:tcPr>
                <w:p w14:paraId="30B6701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0~0.5m</w:t>
                  </w:r>
                </w:p>
              </w:tc>
              <w:tc>
                <w:tcPr>
                  <w:tcW w:w="853" w:type="dxa"/>
                  <w:tcBorders>
                    <w:tl2br w:val="nil"/>
                    <w:tr2bl w:val="nil"/>
                  </w:tcBorders>
                  <w:noWrap w:val="0"/>
                  <w:vAlign w:val="center"/>
                </w:tcPr>
                <w:p w14:paraId="2344C79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1.5m</w:t>
                  </w:r>
                </w:p>
              </w:tc>
              <w:tc>
                <w:tcPr>
                  <w:tcW w:w="722" w:type="dxa"/>
                  <w:tcBorders>
                    <w:tl2br w:val="nil"/>
                    <w:tr2bl w:val="nil"/>
                  </w:tcBorders>
                  <w:noWrap w:val="0"/>
                  <w:vAlign w:val="center"/>
                </w:tcPr>
                <w:p w14:paraId="304F082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1.5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3m</w:t>
                  </w:r>
                </w:p>
              </w:tc>
              <w:tc>
                <w:tcPr>
                  <w:tcW w:w="735" w:type="dxa"/>
                  <w:tcBorders>
                    <w:tl2br w:val="nil"/>
                    <w:tr2bl w:val="nil"/>
                  </w:tcBorders>
                  <w:noWrap w:val="0"/>
                  <w:vAlign w:val="center"/>
                </w:tcPr>
                <w:p w14:paraId="2980117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0~0.5m</w:t>
                  </w:r>
                </w:p>
              </w:tc>
              <w:tc>
                <w:tcPr>
                  <w:tcW w:w="840" w:type="dxa"/>
                  <w:tcBorders>
                    <w:tl2br w:val="nil"/>
                    <w:tr2bl w:val="nil"/>
                  </w:tcBorders>
                  <w:noWrap w:val="0"/>
                  <w:vAlign w:val="center"/>
                </w:tcPr>
                <w:p w14:paraId="1B3460B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0.5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1.5m</w:t>
                  </w:r>
                </w:p>
              </w:tc>
              <w:tc>
                <w:tcPr>
                  <w:tcW w:w="735" w:type="dxa"/>
                  <w:tcBorders>
                    <w:tl2br w:val="nil"/>
                    <w:tr2bl w:val="nil"/>
                  </w:tcBorders>
                  <w:noWrap w:val="0"/>
                  <w:vAlign w:val="center"/>
                </w:tcPr>
                <w:p w14:paraId="7FCD5EF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b/>
                      <w:bCs/>
                      <w:color w:val="auto"/>
                      <w:sz w:val="21"/>
                      <w:szCs w:val="21"/>
                      <w:highlight w:val="none"/>
                      <w:lang w:val="en-US" w:eastAsia="zh-CN"/>
                    </w:rPr>
                  </w:pPr>
                  <w:r>
                    <w:rPr>
                      <w:rFonts w:hint="default" w:ascii="Times New Roman" w:hAnsi="Times New Roman" w:eastAsia="Times New Roman" w:cs="Times New Roman"/>
                      <w:b/>
                      <w:bCs/>
                      <w:color w:val="auto"/>
                      <w:sz w:val="21"/>
                      <w:szCs w:val="21"/>
                      <w:highlight w:val="none"/>
                    </w:rPr>
                    <w:t>1.5</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Times New Roman" w:cs="Times New Roman"/>
                      <w:b/>
                      <w:bCs/>
                      <w:color w:val="auto"/>
                      <w:sz w:val="21"/>
                      <w:szCs w:val="21"/>
                      <w:highlight w:val="none"/>
                    </w:rPr>
                    <w:t>3m</w:t>
                  </w:r>
                </w:p>
              </w:tc>
              <w:tc>
                <w:tcPr>
                  <w:tcW w:w="590" w:type="dxa"/>
                  <w:vMerge w:val="continue"/>
                  <w:tcBorders>
                    <w:tl2br w:val="nil"/>
                    <w:tr2bl w:val="nil"/>
                  </w:tcBorders>
                  <w:noWrap w:val="0"/>
                  <w:vAlign w:val="center"/>
                </w:tcPr>
                <w:p w14:paraId="50BBD30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p>
              </w:tc>
            </w:tr>
            <w:tr w14:paraId="1BB193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52B41C6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pH</w:t>
                  </w:r>
                </w:p>
              </w:tc>
              <w:tc>
                <w:tcPr>
                  <w:tcW w:w="698" w:type="dxa"/>
                  <w:tcBorders>
                    <w:tl2br w:val="nil"/>
                    <w:tr2bl w:val="nil"/>
                  </w:tcBorders>
                  <w:noWrap w:val="0"/>
                  <w:vAlign w:val="center"/>
                </w:tcPr>
                <w:p w14:paraId="2B7E237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7.04</w:t>
                  </w:r>
                </w:p>
              </w:tc>
              <w:tc>
                <w:tcPr>
                  <w:tcW w:w="858" w:type="dxa"/>
                  <w:tcBorders>
                    <w:tl2br w:val="nil"/>
                    <w:tr2bl w:val="nil"/>
                  </w:tcBorders>
                  <w:noWrap w:val="0"/>
                  <w:vAlign w:val="center"/>
                </w:tcPr>
                <w:p w14:paraId="6C8C7EB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7.10</w:t>
                  </w:r>
                </w:p>
              </w:tc>
              <w:tc>
                <w:tcPr>
                  <w:tcW w:w="778" w:type="dxa"/>
                  <w:tcBorders>
                    <w:tl2br w:val="nil"/>
                    <w:tr2bl w:val="nil"/>
                  </w:tcBorders>
                  <w:noWrap w:val="0"/>
                  <w:vAlign w:val="center"/>
                </w:tcPr>
                <w:p w14:paraId="6DFB52F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7.03</w:t>
                  </w:r>
                </w:p>
              </w:tc>
              <w:tc>
                <w:tcPr>
                  <w:tcW w:w="673" w:type="dxa"/>
                  <w:tcBorders>
                    <w:tl2br w:val="nil"/>
                    <w:tr2bl w:val="nil"/>
                  </w:tcBorders>
                  <w:noWrap w:val="0"/>
                  <w:vAlign w:val="center"/>
                </w:tcPr>
                <w:p w14:paraId="7D6B93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7.07</w:t>
                  </w:r>
                </w:p>
              </w:tc>
              <w:tc>
                <w:tcPr>
                  <w:tcW w:w="853" w:type="dxa"/>
                  <w:tcBorders>
                    <w:tl2br w:val="nil"/>
                    <w:tr2bl w:val="nil"/>
                  </w:tcBorders>
                  <w:noWrap w:val="0"/>
                  <w:vAlign w:val="center"/>
                </w:tcPr>
                <w:p w14:paraId="7FB37E9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7.18</w:t>
                  </w:r>
                </w:p>
              </w:tc>
              <w:tc>
                <w:tcPr>
                  <w:tcW w:w="722" w:type="dxa"/>
                  <w:tcBorders>
                    <w:tl2br w:val="nil"/>
                    <w:tr2bl w:val="nil"/>
                  </w:tcBorders>
                  <w:noWrap w:val="0"/>
                  <w:vAlign w:val="center"/>
                </w:tcPr>
                <w:p w14:paraId="15B279F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7.14</w:t>
                  </w:r>
                </w:p>
              </w:tc>
              <w:tc>
                <w:tcPr>
                  <w:tcW w:w="735" w:type="dxa"/>
                  <w:tcBorders>
                    <w:tl2br w:val="nil"/>
                    <w:tr2bl w:val="nil"/>
                  </w:tcBorders>
                  <w:noWrap w:val="0"/>
                  <w:vAlign w:val="center"/>
                </w:tcPr>
                <w:p w14:paraId="061DBEA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7.17</w:t>
                  </w:r>
                </w:p>
              </w:tc>
              <w:tc>
                <w:tcPr>
                  <w:tcW w:w="840" w:type="dxa"/>
                  <w:tcBorders>
                    <w:tl2br w:val="nil"/>
                    <w:tr2bl w:val="nil"/>
                  </w:tcBorders>
                  <w:noWrap w:val="0"/>
                  <w:vAlign w:val="center"/>
                </w:tcPr>
                <w:p w14:paraId="2F3A9D0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7.21</w:t>
                  </w:r>
                </w:p>
              </w:tc>
              <w:tc>
                <w:tcPr>
                  <w:tcW w:w="735" w:type="dxa"/>
                  <w:tcBorders>
                    <w:tl2br w:val="nil"/>
                    <w:tr2bl w:val="nil"/>
                  </w:tcBorders>
                  <w:noWrap w:val="0"/>
                  <w:vAlign w:val="center"/>
                </w:tcPr>
                <w:p w14:paraId="3C41BDF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7.03</w:t>
                  </w:r>
                </w:p>
              </w:tc>
              <w:tc>
                <w:tcPr>
                  <w:tcW w:w="590" w:type="dxa"/>
                  <w:tcBorders>
                    <w:tl2br w:val="nil"/>
                    <w:tr2bl w:val="nil"/>
                  </w:tcBorders>
                  <w:noWrap w:val="0"/>
                  <w:vAlign w:val="center"/>
                </w:tcPr>
                <w:p w14:paraId="06A148C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w:t>
                  </w:r>
                </w:p>
              </w:tc>
            </w:tr>
            <w:tr w14:paraId="65B74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32857B4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砷</w:t>
                  </w:r>
                </w:p>
              </w:tc>
              <w:tc>
                <w:tcPr>
                  <w:tcW w:w="698" w:type="dxa"/>
                  <w:tcBorders>
                    <w:tl2br w:val="nil"/>
                    <w:tr2bl w:val="nil"/>
                  </w:tcBorders>
                  <w:noWrap w:val="0"/>
                  <w:vAlign w:val="center"/>
                </w:tcPr>
                <w:p w14:paraId="75335C4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7.74</w:t>
                  </w:r>
                </w:p>
              </w:tc>
              <w:tc>
                <w:tcPr>
                  <w:tcW w:w="858" w:type="dxa"/>
                  <w:tcBorders>
                    <w:tl2br w:val="nil"/>
                    <w:tr2bl w:val="nil"/>
                  </w:tcBorders>
                  <w:noWrap w:val="0"/>
                  <w:vAlign w:val="center"/>
                </w:tcPr>
                <w:p w14:paraId="72C096D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9.65</w:t>
                  </w:r>
                </w:p>
              </w:tc>
              <w:tc>
                <w:tcPr>
                  <w:tcW w:w="778" w:type="dxa"/>
                  <w:tcBorders>
                    <w:tl2br w:val="nil"/>
                    <w:tr2bl w:val="nil"/>
                  </w:tcBorders>
                  <w:noWrap w:val="0"/>
                  <w:vAlign w:val="center"/>
                </w:tcPr>
                <w:p w14:paraId="6995BC0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8.20</w:t>
                  </w:r>
                </w:p>
              </w:tc>
              <w:tc>
                <w:tcPr>
                  <w:tcW w:w="673" w:type="dxa"/>
                  <w:tcBorders>
                    <w:tl2br w:val="nil"/>
                    <w:tr2bl w:val="nil"/>
                  </w:tcBorders>
                  <w:noWrap w:val="0"/>
                  <w:vAlign w:val="center"/>
                </w:tcPr>
                <w:p w14:paraId="29F86B5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7.76</w:t>
                  </w:r>
                </w:p>
              </w:tc>
              <w:tc>
                <w:tcPr>
                  <w:tcW w:w="853" w:type="dxa"/>
                  <w:tcBorders>
                    <w:tl2br w:val="nil"/>
                    <w:tr2bl w:val="nil"/>
                  </w:tcBorders>
                  <w:noWrap w:val="0"/>
                  <w:vAlign w:val="center"/>
                </w:tcPr>
                <w:p w14:paraId="19DB5A9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7.98</w:t>
                  </w:r>
                </w:p>
              </w:tc>
              <w:tc>
                <w:tcPr>
                  <w:tcW w:w="722" w:type="dxa"/>
                  <w:tcBorders>
                    <w:tl2br w:val="nil"/>
                    <w:tr2bl w:val="nil"/>
                  </w:tcBorders>
                  <w:noWrap w:val="0"/>
                  <w:vAlign w:val="center"/>
                </w:tcPr>
                <w:p w14:paraId="427AE8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9.47</w:t>
                  </w:r>
                </w:p>
              </w:tc>
              <w:tc>
                <w:tcPr>
                  <w:tcW w:w="735" w:type="dxa"/>
                  <w:tcBorders>
                    <w:tl2br w:val="nil"/>
                    <w:tr2bl w:val="nil"/>
                  </w:tcBorders>
                  <w:noWrap w:val="0"/>
                  <w:vAlign w:val="center"/>
                </w:tcPr>
                <w:p w14:paraId="3B1A325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9.78</w:t>
                  </w:r>
                </w:p>
              </w:tc>
              <w:tc>
                <w:tcPr>
                  <w:tcW w:w="840" w:type="dxa"/>
                  <w:tcBorders>
                    <w:tl2br w:val="nil"/>
                    <w:tr2bl w:val="nil"/>
                  </w:tcBorders>
                  <w:noWrap w:val="0"/>
                  <w:vAlign w:val="center"/>
                </w:tcPr>
                <w:p w14:paraId="030A874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7.03</w:t>
                  </w:r>
                </w:p>
              </w:tc>
              <w:tc>
                <w:tcPr>
                  <w:tcW w:w="735" w:type="dxa"/>
                  <w:tcBorders>
                    <w:tl2br w:val="nil"/>
                    <w:tr2bl w:val="nil"/>
                  </w:tcBorders>
                  <w:noWrap w:val="0"/>
                  <w:vAlign w:val="center"/>
                </w:tcPr>
                <w:p w14:paraId="34D86E1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8.20</w:t>
                  </w:r>
                </w:p>
              </w:tc>
              <w:tc>
                <w:tcPr>
                  <w:tcW w:w="590" w:type="dxa"/>
                  <w:tcBorders>
                    <w:tl2br w:val="nil"/>
                    <w:tr2bl w:val="nil"/>
                  </w:tcBorders>
                  <w:noWrap w:val="0"/>
                  <w:vAlign w:val="center"/>
                </w:tcPr>
                <w:p w14:paraId="0BB45BC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60</w:t>
                  </w:r>
                </w:p>
              </w:tc>
            </w:tr>
            <w:tr w14:paraId="55077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0656A63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镉</w:t>
                  </w:r>
                </w:p>
              </w:tc>
              <w:tc>
                <w:tcPr>
                  <w:tcW w:w="698" w:type="dxa"/>
                  <w:tcBorders>
                    <w:tl2br w:val="nil"/>
                    <w:tr2bl w:val="nil"/>
                  </w:tcBorders>
                  <w:noWrap w:val="0"/>
                  <w:vAlign w:val="center"/>
                </w:tcPr>
                <w:p w14:paraId="195025E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0.21</w:t>
                  </w:r>
                </w:p>
              </w:tc>
              <w:tc>
                <w:tcPr>
                  <w:tcW w:w="858" w:type="dxa"/>
                  <w:tcBorders>
                    <w:tl2br w:val="nil"/>
                    <w:tr2bl w:val="nil"/>
                  </w:tcBorders>
                  <w:noWrap w:val="0"/>
                  <w:vAlign w:val="center"/>
                </w:tcPr>
                <w:p w14:paraId="58FFC7A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0.25</w:t>
                  </w:r>
                </w:p>
              </w:tc>
              <w:tc>
                <w:tcPr>
                  <w:tcW w:w="778" w:type="dxa"/>
                  <w:tcBorders>
                    <w:tl2br w:val="nil"/>
                    <w:tr2bl w:val="nil"/>
                  </w:tcBorders>
                  <w:noWrap w:val="0"/>
                  <w:vAlign w:val="center"/>
                </w:tcPr>
                <w:p w14:paraId="32833D3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0.28</w:t>
                  </w:r>
                </w:p>
              </w:tc>
              <w:tc>
                <w:tcPr>
                  <w:tcW w:w="673" w:type="dxa"/>
                  <w:tcBorders>
                    <w:tl2br w:val="nil"/>
                    <w:tr2bl w:val="nil"/>
                  </w:tcBorders>
                  <w:noWrap w:val="0"/>
                  <w:vAlign w:val="center"/>
                </w:tcPr>
                <w:p w14:paraId="195EE09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0.21</w:t>
                  </w:r>
                </w:p>
              </w:tc>
              <w:tc>
                <w:tcPr>
                  <w:tcW w:w="853" w:type="dxa"/>
                  <w:tcBorders>
                    <w:tl2br w:val="nil"/>
                    <w:tr2bl w:val="nil"/>
                  </w:tcBorders>
                  <w:noWrap w:val="0"/>
                  <w:vAlign w:val="center"/>
                </w:tcPr>
                <w:p w14:paraId="5F673AF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0.24</w:t>
                  </w:r>
                </w:p>
              </w:tc>
              <w:tc>
                <w:tcPr>
                  <w:tcW w:w="722" w:type="dxa"/>
                  <w:tcBorders>
                    <w:tl2br w:val="nil"/>
                    <w:tr2bl w:val="nil"/>
                  </w:tcBorders>
                  <w:noWrap w:val="0"/>
                  <w:vAlign w:val="center"/>
                </w:tcPr>
                <w:p w14:paraId="40780C7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0.18</w:t>
                  </w:r>
                </w:p>
              </w:tc>
              <w:tc>
                <w:tcPr>
                  <w:tcW w:w="735" w:type="dxa"/>
                  <w:tcBorders>
                    <w:tl2br w:val="nil"/>
                    <w:tr2bl w:val="nil"/>
                  </w:tcBorders>
                  <w:noWrap w:val="0"/>
                  <w:vAlign w:val="center"/>
                </w:tcPr>
                <w:p w14:paraId="4222BCD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0.28</w:t>
                  </w:r>
                </w:p>
              </w:tc>
              <w:tc>
                <w:tcPr>
                  <w:tcW w:w="840" w:type="dxa"/>
                  <w:tcBorders>
                    <w:tl2br w:val="nil"/>
                    <w:tr2bl w:val="nil"/>
                  </w:tcBorders>
                  <w:noWrap w:val="0"/>
                  <w:vAlign w:val="center"/>
                </w:tcPr>
                <w:p w14:paraId="503F9F2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0.18</w:t>
                  </w:r>
                </w:p>
              </w:tc>
              <w:tc>
                <w:tcPr>
                  <w:tcW w:w="735" w:type="dxa"/>
                  <w:tcBorders>
                    <w:tl2br w:val="nil"/>
                    <w:tr2bl w:val="nil"/>
                  </w:tcBorders>
                  <w:noWrap w:val="0"/>
                  <w:vAlign w:val="center"/>
                </w:tcPr>
                <w:p w14:paraId="2F24B54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0.28</w:t>
                  </w:r>
                </w:p>
              </w:tc>
              <w:tc>
                <w:tcPr>
                  <w:tcW w:w="590" w:type="dxa"/>
                  <w:tcBorders>
                    <w:tl2br w:val="nil"/>
                    <w:tr2bl w:val="nil"/>
                  </w:tcBorders>
                  <w:noWrap w:val="0"/>
                  <w:vAlign w:val="center"/>
                </w:tcPr>
                <w:p w14:paraId="74A4660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65</w:t>
                  </w:r>
                </w:p>
              </w:tc>
            </w:tr>
            <w:tr w14:paraId="10E86C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15" w:type="dxa"/>
                  <w:tcBorders>
                    <w:tl2br w:val="nil"/>
                    <w:tr2bl w:val="nil"/>
                  </w:tcBorders>
                  <w:noWrap w:val="0"/>
                  <w:vAlign w:val="center"/>
                </w:tcPr>
                <w:p w14:paraId="5B83E54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铬</w:t>
                  </w:r>
                  <w:r>
                    <w:rPr>
                      <w:rFonts w:hint="eastAsia" w:ascii="Times New Roman" w:hAnsi="Times New Roman" w:eastAsia="Times New Roman" w:cs="Times New Roman"/>
                      <w:color w:val="auto"/>
                      <w:sz w:val="21"/>
                      <w:szCs w:val="21"/>
                      <w:highlight w:val="none"/>
                      <w:lang w:eastAsia="zh-CN"/>
                    </w:rPr>
                    <w:t>（六价）</w:t>
                  </w:r>
                </w:p>
              </w:tc>
              <w:tc>
                <w:tcPr>
                  <w:tcW w:w="698" w:type="dxa"/>
                  <w:tcBorders>
                    <w:tl2br w:val="nil"/>
                    <w:tr2bl w:val="nil"/>
                  </w:tcBorders>
                  <w:noWrap w:val="0"/>
                  <w:vAlign w:val="center"/>
                </w:tcPr>
                <w:p w14:paraId="15AD02D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858" w:type="dxa"/>
                  <w:tcBorders>
                    <w:tl2br w:val="nil"/>
                    <w:tr2bl w:val="nil"/>
                  </w:tcBorders>
                  <w:noWrap w:val="0"/>
                  <w:vAlign w:val="center"/>
                </w:tcPr>
                <w:p w14:paraId="630F58E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78" w:type="dxa"/>
                  <w:tcBorders>
                    <w:tl2br w:val="nil"/>
                    <w:tr2bl w:val="nil"/>
                  </w:tcBorders>
                  <w:noWrap w:val="0"/>
                  <w:vAlign w:val="center"/>
                </w:tcPr>
                <w:p w14:paraId="640BAC1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0.5ND</w:t>
                  </w:r>
                </w:p>
              </w:tc>
              <w:tc>
                <w:tcPr>
                  <w:tcW w:w="673" w:type="dxa"/>
                  <w:tcBorders>
                    <w:tl2br w:val="nil"/>
                    <w:tr2bl w:val="nil"/>
                  </w:tcBorders>
                  <w:noWrap w:val="0"/>
                  <w:vAlign w:val="center"/>
                </w:tcPr>
                <w:p w14:paraId="790FB6F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853" w:type="dxa"/>
                  <w:tcBorders>
                    <w:tl2br w:val="nil"/>
                    <w:tr2bl w:val="nil"/>
                  </w:tcBorders>
                  <w:noWrap w:val="0"/>
                  <w:vAlign w:val="center"/>
                </w:tcPr>
                <w:p w14:paraId="42407CF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22" w:type="dxa"/>
                  <w:tcBorders>
                    <w:tl2br w:val="nil"/>
                    <w:tr2bl w:val="nil"/>
                  </w:tcBorders>
                  <w:noWrap w:val="0"/>
                  <w:vAlign w:val="center"/>
                </w:tcPr>
                <w:p w14:paraId="5FB9261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35" w:type="dxa"/>
                  <w:tcBorders>
                    <w:tl2br w:val="nil"/>
                    <w:tr2bl w:val="nil"/>
                  </w:tcBorders>
                  <w:noWrap w:val="0"/>
                  <w:vAlign w:val="center"/>
                </w:tcPr>
                <w:p w14:paraId="41DDC65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840" w:type="dxa"/>
                  <w:tcBorders>
                    <w:tl2br w:val="nil"/>
                    <w:tr2bl w:val="nil"/>
                  </w:tcBorders>
                  <w:noWrap w:val="0"/>
                  <w:vAlign w:val="center"/>
                </w:tcPr>
                <w:p w14:paraId="212127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735" w:type="dxa"/>
                  <w:tcBorders>
                    <w:tl2br w:val="nil"/>
                    <w:tr2bl w:val="nil"/>
                  </w:tcBorders>
                  <w:noWrap w:val="0"/>
                  <w:vAlign w:val="center"/>
                </w:tcPr>
                <w:p w14:paraId="33C55AA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0.5ND</w:t>
                  </w:r>
                </w:p>
              </w:tc>
              <w:tc>
                <w:tcPr>
                  <w:tcW w:w="590" w:type="dxa"/>
                  <w:tcBorders>
                    <w:tl2br w:val="nil"/>
                    <w:tr2bl w:val="nil"/>
                  </w:tcBorders>
                  <w:noWrap w:val="0"/>
                  <w:vAlign w:val="center"/>
                </w:tcPr>
                <w:p w14:paraId="5BD53BF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5.7</w:t>
                  </w:r>
                </w:p>
              </w:tc>
            </w:tr>
            <w:tr w14:paraId="6D9F3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7BC784D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铜</w:t>
                  </w:r>
                </w:p>
              </w:tc>
              <w:tc>
                <w:tcPr>
                  <w:tcW w:w="698" w:type="dxa"/>
                  <w:tcBorders>
                    <w:tl2br w:val="nil"/>
                    <w:tr2bl w:val="nil"/>
                  </w:tcBorders>
                  <w:noWrap w:val="0"/>
                  <w:vAlign w:val="center"/>
                </w:tcPr>
                <w:p w14:paraId="289751C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31</w:t>
                  </w:r>
                </w:p>
              </w:tc>
              <w:tc>
                <w:tcPr>
                  <w:tcW w:w="858" w:type="dxa"/>
                  <w:tcBorders>
                    <w:tl2br w:val="nil"/>
                    <w:tr2bl w:val="nil"/>
                  </w:tcBorders>
                  <w:noWrap w:val="0"/>
                  <w:vAlign w:val="center"/>
                </w:tcPr>
                <w:p w14:paraId="6815BD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34</w:t>
                  </w:r>
                </w:p>
              </w:tc>
              <w:tc>
                <w:tcPr>
                  <w:tcW w:w="778" w:type="dxa"/>
                  <w:tcBorders>
                    <w:tl2br w:val="nil"/>
                    <w:tr2bl w:val="nil"/>
                  </w:tcBorders>
                  <w:noWrap w:val="0"/>
                  <w:vAlign w:val="center"/>
                </w:tcPr>
                <w:p w14:paraId="7562B84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33</w:t>
                  </w:r>
                </w:p>
              </w:tc>
              <w:tc>
                <w:tcPr>
                  <w:tcW w:w="673" w:type="dxa"/>
                  <w:tcBorders>
                    <w:tl2br w:val="nil"/>
                    <w:tr2bl w:val="nil"/>
                  </w:tcBorders>
                  <w:noWrap w:val="0"/>
                  <w:vAlign w:val="center"/>
                </w:tcPr>
                <w:p w14:paraId="62D1472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30</w:t>
                  </w:r>
                </w:p>
              </w:tc>
              <w:tc>
                <w:tcPr>
                  <w:tcW w:w="853" w:type="dxa"/>
                  <w:tcBorders>
                    <w:tl2br w:val="nil"/>
                    <w:tr2bl w:val="nil"/>
                  </w:tcBorders>
                  <w:noWrap w:val="0"/>
                  <w:vAlign w:val="center"/>
                </w:tcPr>
                <w:p w14:paraId="391359F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32</w:t>
                  </w:r>
                </w:p>
              </w:tc>
              <w:tc>
                <w:tcPr>
                  <w:tcW w:w="722" w:type="dxa"/>
                  <w:tcBorders>
                    <w:tl2br w:val="nil"/>
                    <w:tr2bl w:val="nil"/>
                  </w:tcBorders>
                  <w:noWrap w:val="0"/>
                  <w:vAlign w:val="center"/>
                </w:tcPr>
                <w:p w14:paraId="5C6C66E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30</w:t>
                  </w:r>
                </w:p>
              </w:tc>
              <w:tc>
                <w:tcPr>
                  <w:tcW w:w="735" w:type="dxa"/>
                  <w:tcBorders>
                    <w:tl2br w:val="nil"/>
                    <w:tr2bl w:val="nil"/>
                  </w:tcBorders>
                  <w:noWrap w:val="0"/>
                  <w:vAlign w:val="center"/>
                </w:tcPr>
                <w:p w14:paraId="49A919B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28</w:t>
                  </w:r>
                </w:p>
              </w:tc>
              <w:tc>
                <w:tcPr>
                  <w:tcW w:w="840" w:type="dxa"/>
                  <w:tcBorders>
                    <w:tl2br w:val="nil"/>
                    <w:tr2bl w:val="nil"/>
                  </w:tcBorders>
                  <w:noWrap w:val="0"/>
                  <w:vAlign w:val="center"/>
                </w:tcPr>
                <w:p w14:paraId="1E333D6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28</w:t>
                  </w:r>
                </w:p>
              </w:tc>
              <w:tc>
                <w:tcPr>
                  <w:tcW w:w="735" w:type="dxa"/>
                  <w:tcBorders>
                    <w:tl2br w:val="nil"/>
                    <w:tr2bl w:val="nil"/>
                  </w:tcBorders>
                  <w:noWrap w:val="0"/>
                  <w:vAlign w:val="center"/>
                </w:tcPr>
                <w:p w14:paraId="4FDF56B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33</w:t>
                  </w:r>
                </w:p>
              </w:tc>
              <w:tc>
                <w:tcPr>
                  <w:tcW w:w="590" w:type="dxa"/>
                  <w:tcBorders>
                    <w:tl2br w:val="nil"/>
                    <w:tr2bl w:val="nil"/>
                  </w:tcBorders>
                  <w:noWrap w:val="0"/>
                  <w:vAlign w:val="center"/>
                </w:tcPr>
                <w:p w14:paraId="50F35FF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18000</w:t>
                  </w:r>
                </w:p>
              </w:tc>
            </w:tr>
            <w:tr w14:paraId="498C52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307DBE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铅</w:t>
                  </w:r>
                </w:p>
              </w:tc>
              <w:tc>
                <w:tcPr>
                  <w:tcW w:w="698" w:type="dxa"/>
                  <w:tcBorders>
                    <w:tl2br w:val="nil"/>
                    <w:tr2bl w:val="nil"/>
                  </w:tcBorders>
                  <w:noWrap w:val="0"/>
                  <w:vAlign w:val="center"/>
                </w:tcPr>
                <w:p w14:paraId="5C5CAA9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20.2</w:t>
                  </w:r>
                </w:p>
              </w:tc>
              <w:tc>
                <w:tcPr>
                  <w:tcW w:w="858" w:type="dxa"/>
                  <w:tcBorders>
                    <w:tl2br w:val="nil"/>
                    <w:tr2bl w:val="nil"/>
                  </w:tcBorders>
                  <w:noWrap w:val="0"/>
                  <w:vAlign w:val="center"/>
                </w:tcPr>
                <w:p w14:paraId="64BA35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22.1</w:t>
                  </w:r>
                </w:p>
              </w:tc>
              <w:tc>
                <w:tcPr>
                  <w:tcW w:w="778" w:type="dxa"/>
                  <w:tcBorders>
                    <w:tl2br w:val="nil"/>
                    <w:tr2bl w:val="nil"/>
                  </w:tcBorders>
                  <w:noWrap w:val="0"/>
                  <w:vAlign w:val="center"/>
                </w:tcPr>
                <w:p w14:paraId="76724B9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25.3</w:t>
                  </w:r>
                </w:p>
              </w:tc>
              <w:tc>
                <w:tcPr>
                  <w:tcW w:w="673" w:type="dxa"/>
                  <w:tcBorders>
                    <w:tl2br w:val="nil"/>
                    <w:tr2bl w:val="nil"/>
                  </w:tcBorders>
                  <w:noWrap w:val="0"/>
                  <w:vAlign w:val="center"/>
                </w:tcPr>
                <w:p w14:paraId="09FF969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23.0</w:t>
                  </w:r>
                </w:p>
              </w:tc>
              <w:tc>
                <w:tcPr>
                  <w:tcW w:w="853" w:type="dxa"/>
                  <w:tcBorders>
                    <w:tl2br w:val="nil"/>
                    <w:tr2bl w:val="nil"/>
                  </w:tcBorders>
                  <w:noWrap w:val="0"/>
                  <w:vAlign w:val="center"/>
                </w:tcPr>
                <w:p w14:paraId="232668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23.6</w:t>
                  </w:r>
                </w:p>
              </w:tc>
              <w:tc>
                <w:tcPr>
                  <w:tcW w:w="722" w:type="dxa"/>
                  <w:tcBorders>
                    <w:tl2br w:val="nil"/>
                    <w:tr2bl w:val="nil"/>
                  </w:tcBorders>
                  <w:noWrap w:val="0"/>
                  <w:vAlign w:val="center"/>
                </w:tcPr>
                <w:p w14:paraId="11DE451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23.2</w:t>
                  </w:r>
                </w:p>
              </w:tc>
              <w:tc>
                <w:tcPr>
                  <w:tcW w:w="735" w:type="dxa"/>
                  <w:tcBorders>
                    <w:tl2br w:val="nil"/>
                    <w:tr2bl w:val="nil"/>
                  </w:tcBorders>
                  <w:noWrap w:val="0"/>
                  <w:vAlign w:val="center"/>
                </w:tcPr>
                <w:p w14:paraId="213FD7C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24.2</w:t>
                  </w:r>
                </w:p>
              </w:tc>
              <w:tc>
                <w:tcPr>
                  <w:tcW w:w="840" w:type="dxa"/>
                  <w:tcBorders>
                    <w:tl2br w:val="nil"/>
                    <w:tr2bl w:val="nil"/>
                  </w:tcBorders>
                  <w:noWrap w:val="0"/>
                  <w:vAlign w:val="center"/>
                </w:tcPr>
                <w:p w14:paraId="61AEFE4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22.4</w:t>
                  </w:r>
                </w:p>
              </w:tc>
              <w:tc>
                <w:tcPr>
                  <w:tcW w:w="735" w:type="dxa"/>
                  <w:tcBorders>
                    <w:tl2br w:val="nil"/>
                    <w:tr2bl w:val="nil"/>
                  </w:tcBorders>
                  <w:noWrap w:val="0"/>
                  <w:vAlign w:val="center"/>
                </w:tcPr>
                <w:p w14:paraId="323D434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25.3</w:t>
                  </w:r>
                </w:p>
              </w:tc>
              <w:tc>
                <w:tcPr>
                  <w:tcW w:w="590" w:type="dxa"/>
                  <w:tcBorders>
                    <w:tl2br w:val="nil"/>
                    <w:tr2bl w:val="nil"/>
                  </w:tcBorders>
                  <w:noWrap w:val="0"/>
                  <w:vAlign w:val="center"/>
                </w:tcPr>
                <w:p w14:paraId="1B10716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800</w:t>
                  </w:r>
                </w:p>
              </w:tc>
            </w:tr>
            <w:tr w14:paraId="7AE90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6" w:hRule="atLeast"/>
                <w:jc w:val="center"/>
              </w:trPr>
              <w:tc>
                <w:tcPr>
                  <w:tcW w:w="1015" w:type="dxa"/>
                  <w:tcBorders>
                    <w:tl2br w:val="nil"/>
                    <w:tr2bl w:val="nil"/>
                  </w:tcBorders>
                  <w:noWrap w:val="0"/>
                  <w:vAlign w:val="center"/>
                </w:tcPr>
                <w:p w14:paraId="6BFF318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汞</w:t>
                  </w:r>
                </w:p>
              </w:tc>
              <w:tc>
                <w:tcPr>
                  <w:tcW w:w="698" w:type="dxa"/>
                  <w:tcBorders>
                    <w:tl2br w:val="nil"/>
                    <w:tr2bl w:val="nil"/>
                  </w:tcBorders>
                  <w:noWrap w:val="0"/>
                  <w:vAlign w:val="center"/>
                </w:tcPr>
                <w:p w14:paraId="7D1AC3E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0.200</w:t>
                  </w:r>
                </w:p>
              </w:tc>
              <w:tc>
                <w:tcPr>
                  <w:tcW w:w="858" w:type="dxa"/>
                  <w:tcBorders>
                    <w:tl2br w:val="nil"/>
                    <w:tr2bl w:val="nil"/>
                  </w:tcBorders>
                  <w:noWrap w:val="0"/>
                  <w:vAlign w:val="center"/>
                </w:tcPr>
                <w:p w14:paraId="78FE6B6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0.0786</w:t>
                  </w:r>
                </w:p>
              </w:tc>
              <w:tc>
                <w:tcPr>
                  <w:tcW w:w="778" w:type="dxa"/>
                  <w:tcBorders>
                    <w:tl2br w:val="nil"/>
                    <w:tr2bl w:val="nil"/>
                  </w:tcBorders>
                  <w:noWrap w:val="0"/>
                  <w:vAlign w:val="center"/>
                </w:tcPr>
                <w:p w14:paraId="0D48593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0.0865</w:t>
                  </w:r>
                </w:p>
              </w:tc>
              <w:tc>
                <w:tcPr>
                  <w:tcW w:w="673" w:type="dxa"/>
                  <w:tcBorders>
                    <w:tl2br w:val="nil"/>
                    <w:tr2bl w:val="nil"/>
                  </w:tcBorders>
                  <w:noWrap w:val="0"/>
                  <w:vAlign w:val="center"/>
                </w:tcPr>
                <w:p w14:paraId="7EC76F5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0.135</w:t>
                  </w:r>
                </w:p>
              </w:tc>
              <w:tc>
                <w:tcPr>
                  <w:tcW w:w="853" w:type="dxa"/>
                  <w:tcBorders>
                    <w:tl2br w:val="nil"/>
                    <w:tr2bl w:val="nil"/>
                  </w:tcBorders>
                  <w:noWrap w:val="0"/>
                  <w:vAlign w:val="center"/>
                </w:tcPr>
                <w:p w14:paraId="0529278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0.179</w:t>
                  </w:r>
                </w:p>
              </w:tc>
              <w:tc>
                <w:tcPr>
                  <w:tcW w:w="722" w:type="dxa"/>
                  <w:tcBorders>
                    <w:tl2br w:val="nil"/>
                    <w:tr2bl w:val="nil"/>
                  </w:tcBorders>
                  <w:noWrap w:val="0"/>
                  <w:vAlign w:val="center"/>
                </w:tcPr>
                <w:p w14:paraId="5B3450E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0.230</w:t>
                  </w:r>
                </w:p>
              </w:tc>
              <w:tc>
                <w:tcPr>
                  <w:tcW w:w="735" w:type="dxa"/>
                  <w:tcBorders>
                    <w:tl2br w:val="nil"/>
                    <w:tr2bl w:val="nil"/>
                  </w:tcBorders>
                  <w:noWrap w:val="0"/>
                  <w:vAlign w:val="center"/>
                </w:tcPr>
                <w:p w14:paraId="4C7AD6D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0.0876</w:t>
                  </w:r>
                </w:p>
              </w:tc>
              <w:tc>
                <w:tcPr>
                  <w:tcW w:w="840" w:type="dxa"/>
                  <w:tcBorders>
                    <w:tl2br w:val="nil"/>
                    <w:tr2bl w:val="nil"/>
                  </w:tcBorders>
                  <w:noWrap w:val="0"/>
                  <w:vAlign w:val="center"/>
                </w:tcPr>
                <w:p w14:paraId="13CC414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0.0719</w:t>
                  </w:r>
                </w:p>
              </w:tc>
              <w:tc>
                <w:tcPr>
                  <w:tcW w:w="735" w:type="dxa"/>
                  <w:tcBorders>
                    <w:tl2br w:val="nil"/>
                    <w:tr2bl w:val="nil"/>
                  </w:tcBorders>
                  <w:noWrap w:val="0"/>
                  <w:vAlign w:val="center"/>
                </w:tcPr>
                <w:p w14:paraId="1D90A13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0.0865</w:t>
                  </w:r>
                </w:p>
              </w:tc>
              <w:tc>
                <w:tcPr>
                  <w:tcW w:w="590" w:type="dxa"/>
                  <w:tcBorders>
                    <w:tl2br w:val="nil"/>
                    <w:tr2bl w:val="nil"/>
                  </w:tcBorders>
                  <w:noWrap w:val="0"/>
                  <w:vAlign w:val="center"/>
                </w:tcPr>
                <w:p w14:paraId="546FF49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38</w:t>
                  </w:r>
                </w:p>
              </w:tc>
            </w:tr>
            <w:tr w14:paraId="35F6A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1015" w:type="dxa"/>
                  <w:tcBorders>
                    <w:tl2br w:val="nil"/>
                    <w:tr2bl w:val="nil"/>
                  </w:tcBorders>
                  <w:noWrap w:val="0"/>
                  <w:vAlign w:val="center"/>
                </w:tcPr>
                <w:p w14:paraId="5858379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镍</w:t>
                  </w:r>
                </w:p>
              </w:tc>
              <w:tc>
                <w:tcPr>
                  <w:tcW w:w="698" w:type="dxa"/>
                  <w:tcBorders>
                    <w:tl2br w:val="nil"/>
                    <w:tr2bl w:val="nil"/>
                  </w:tcBorders>
                  <w:noWrap w:val="0"/>
                  <w:vAlign w:val="center"/>
                </w:tcPr>
                <w:p w14:paraId="61EEF2B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51</w:t>
                  </w:r>
                </w:p>
              </w:tc>
              <w:tc>
                <w:tcPr>
                  <w:tcW w:w="858" w:type="dxa"/>
                  <w:tcBorders>
                    <w:tl2br w:val="nil"/>
                    <w:tr2bl w:val="nil"/>
                  </w:tcBorders>
                  <w:noWrap w:val="0"/>
                  <w:vAlign w:val="center"/>
                </w:tcPr>
                <w:p w14:paraId="07D5EE6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53</w:t>
                  </w:r>
                </w:p>
              </w:tc>
              <w:tc>
                <w:tcPr>
                  <w:tcW w:w="778" w:type="dxa"/>
                  <w:tcBorders>
                    <w:tl2br w:val="nil"/>
                    <w:tr2bl w:val="nil"/>
                  </w:tcBorders>
                  <w:noWrap w:val="0"/>
                  <w:vAlign w:val="center"/>
                </w:tcPr>
                <w:p w14:paraId="0C5E4F7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51</w:t>
                  </w:r>
                </w:p>
              </w:tc>
              <w:tc>
                <w:tcPr>
                  <w:tcW w:w="673" w:type="dxa"/>
                  <w:tcBorders>
                    <w:tl2br w:val="nil"/>
                    <w:tr2bl w:val="nil"/>
                  </w:tcBorders>
                  <w:noWrap w:val="0"/>
                  <w:vAlign w:val="center"/>
                </w:tcPr>
                <w:p w14:paraId="1A0B4D7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45</w:t>
                  </w:r>
                </w:p>
              </w:tc>
              <w:tc>
                <w:tcPr>
                  <w:tcW w:w="853" w:type="dxa"/>
                  <w:tcBorders>
                    <w:tl2br w:val="nil"/>
                    <w:tr2bl w:val="nil"/>
                  </w:tcBorders>
                  <w:noWrap w:val="0"/>
                  <w:vAlign w:val="center"/>
                </w:tcPr>
                <w:p w14:paraId="74E2017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43</w:t>
                  </w:r>
                </w:p>
              </w:tc>
              <w:tc>
                <w:tcPr>
                  <w:tcW w:w="722" w:type="dxa"/>
                  <w:tcBorders>
                    <w:tl2br w:val="nil"/>
                    <w:tr2bl w:val="nil"/>
                  </w:tcBorders>
                  <w:noWrap w:val="0"/>
                  <w:vAlign w:val="center"/>
                </w:tcPr>
                <w:p w14:paraId="2515097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40</w:t>
                  </w:r>
                </w:p>
              </w:tc>
              <w:tc>
                <w:tcPr>
                  <w:tcW w:w="735" w:type="dxa"/>
                  <w:tcBorders>
                    <w:tl2br w:val="nil"/>
                    <w:tr2bl w:val="nil"/>
                  </w:tcBorders>
                  <w:noWrap w:val="0"/>
                  <w:vAlign w:val="center"/>
                </w:tcPr>
                <w:p w14:paraId="62B9241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36</w:t>
                  </w:r>
                </w:p>
              </w:tc>
              <w:tc>
                <w:tcPr>
                  <w:tcW w:w="840" w:type="dxa"/>
                  <w:tcBorders>
                    <w:tl2br w:val="nil"/>
                    <w:tr2bl w:val="nil"/>
                  </w:tcBorders>
                  <w:noWrap w:val="0"/>
                  <w:vAlign w:val="center"/>
                </w:tcPr>
                <w:p w14:paraId="68CD752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39</w:t>
                  </w:r>
                </w:p>
              </w:tc>
              <w:tc>
                <w:tcPr>
                  <w:tcW w:w="735" w:type="dxa"/>
                  <w:tcBorders>
                    <w:tl2br w:val="nil"/>
                    <w:tr2bl w:val="nil"/>
                  </w:tcBorders>
                  <w:noWrap w:val="0"/>
                  <w:vAlign w:val="center"/>
                </w:tcPr>
                <w:p w14:paraId="2DA728F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51</w:t>
                  </w:r>
                </w:p>
              </w:tc>
              <w:tc>
                <w:tcPr>
                  <w:tcW w:w="590" w:type="dxa"/>
                  <w:tcBorders>
                    <w:tl2br w:val="nil"/>
                    <w:tr2bl w:val="nil"/>
                  </w:tcBorders>
                  <w:noWrap w:val="0"/>
                  <w:vAlign w:val="center"/>
                </w:tcPr>
                <w:p w14:paraId="3205C49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900</w:t>
                  </w:r>
                </w:p>
              </w:tc>
            </w:tr>
            <w:tr w14:paraId="26F8A7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1015" w:type="dxa"/>
                  <w:tcBorders>
                    <w:tl2br w:val="nil"/>
                    <w:tr2bl w:val="nil"/>
                  </w:tcBorders>
                  <w:noWrap w:val="0"/>
                  <w:vAlign w:val="center"/>
                </w:tcPr>
                <w:p w14:paraId="6069B98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val="en-US" w:eastAsia="zh-CN"/>
                    </w:rPr>
                    <w:t>石油烃</w:t>
                  </w:r>
                  <w:r>
                    <w:rPr>
                      <w:rFonts w:hint="default" w:ascii="Times New Roman" w:hAnsi="Times New Roman" w:eastAsia="Times New Roman" w:cs="Times New Roman"/>
                      <w:color w:val="auto"/>
                      <w:sz w:val="21"/>
                      <w:szCs w:val="21"/>
                      <w:highlight w:val="none"/>
                      <w:lang w:val="en-US" w:eastAsia="zh-CN"/>
                    </w:rPr>
                    <w:t>（C10~C40）*</w:t>
                  </w:r>
                </w:p>
              </w:tc>
              <w:tc>
                <w:tcPr>
                  <w:tcW w:w="698" w:type="dxa"/>
                  <w:tcBorders>
                    <w:tl2br w:val="nil"/>
                    <w:tr2bl w:val="nil"/>
                  </w:tcBorders>
                  <w:noWrap w:val="0"/>
                  <w:vAlign w:val="center"/>
                </w:tcPr>
                <w:p w14:paraId="155AA08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858" w:type="dxa"/>
                  <w:tcBorders>
                    <w:tl2br w:val="nil"/>
                    <w:tr2bl w:val="nil"/>
                  </w:tcBorders>
                  <w:noWrap w:val="0"/>
                  <w:vAlign w:val="center"/>
                </w:tcPr>
                <w:p w14:paraId="02B341A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78" w:type="dxa"/>
                  <w:tcBorders>
                    <w:tl2br w:val="nil"/>
                    <w:tr2bl w:val="nil"/>
                  </w:tcBorders>
                  <w:noWrap w:val="0"/>
                  <w:vAlign w:val="center"/>
                </w:tcPr>
                <w:p w14:paraId="0F1C2D7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673" w:type="dxa"/>
                  <w:tcBorders>
                    <w:tl2br w:val="nil"/>
                    <w:tr2bl w:val="nil"/>
                  </w:tcBorders>
                  <w:noWrap w:val="0"/>
                  <w:vAlign w:val="center"/>
                </w:tcPr>
                <w:p w14:paraId="3B2FA14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853" w:type="dxa"/>
                  <w:tcBorders>
                    <w:tl2br w:val="nil"/>
                    <w:tr2bl w:val="nil"/>
                  </w:tcBorders>
                  <w:noWrap w:val="0"/>
                  <w:vAlign w:val="center"/>
                </w:tcPr>
                <w:p w14:paraId="18D201F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22" w:type="dxa"/>
                  <w:tcBorders>
                    <w:tl2br w:val="nil"/>
                    <w:tr2bl w:val="nil"/>
                  </w:tcBorders>
                  <w:noWrap w:val="0"/>
                  <w:vAlign w:val="center"/>
                </w:tcPr>
                <w:p w14:paraId="244231A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35" w:type="dxa"/>
                  <w:tcBorders>
                    <w:tl2br w:val="nil"/>
                    <w:tr2bl w:val="nil"/>
                  </w:tcBorders>
                  <w:noWrap w:val="0"/>
                  <w:vAlign w:val="center"/>
                </w:tcPr>
                <w:p w14:paraId="6B6C6C8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840" w:type="dxa"/>
                  <w:tcBorders>
                    <w:tl2br w:val="nil"/>
                    <w:tr2bl w:val="nil"/>
                  </w:tcBorders>
                  <w:noWrap w:val="0"/>
                  <w:vAlign w:val="center"/>
                </w:tcPr>
                <w:p w14:paraId="463EADA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735" w:type="dxa"/>
                  <w:tcBorders>
                    <w:tl2br w:val="nil"/>
                    <w:tr2bl w:val="nil"/>
                  </w:tcBorders>
                  <w:noWrap w:val="0"/>
                  <w:vAlign w:val="center"/>
                </w:tcPr>
                <w:p w14:paraId="1B81057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w:t>
                  </w:r>
                  <w:r>
                    <w:rPr>
                      <w:rFonts w:hint="default" w:ascii="Times New Roman" w:hAnsi="Times New Roman" w:eastAsia="Times New Roman" w:cs="Times New Roman"/>
                      <w:color w:val="auto"/>
                      <w:sz w:val="21"/>
                      <w:szCs w:val="21"/>
                      <w:highlight w:val="none"/>
                      <w:lang w:eastAsia="zh-CN"/>
                    </w:rPr>
                    <w:t>ND</w:t>
                  </w:r>
                </w:p>
              </w:tc>
              <w:tc>
                <w:tcPr>
                  <w:tcW w:w="590" w:type="dxa"/>
                  <w:tcBorders>
                    <w:tl2br w:val="nil"/>
                    <w:tr2bl w:val="nil"/>
                  </w:tcBorders>
                  <w:noWrap w:val="0"/>
                  <w:vAlign w:val="center"/>
                </w:tcPr>
                <w:p w14:paraId="649F7B2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4500</w:t>
                  </w:r>
                </w:p>
              </w:tc>
            </w:tr>
          </w:tbl>
          <w:p w14:paraId="1C1742A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kern w:val="2"/>
                <w:sz w:val="21"/>
                <w:szCs w:val="21"/>
                <w:highlight w:val="none"/>
                <w:lang w:val="en-US" w:eastAsia="zh-CN" w:bidi="ar-SA"/>
              </w:rPr>
              <w:t>表</w:t>
            </w:r>
            <w:r>
              <w:rPr>
                <w:rFonts w:hint="eastAsia" w:ascii="Times New Roman" w:hAnsi="Times New Roman" w:eastAsia="宋体" w:cs="Times New Roman"/>
                <w:b/>
                <w:color w:val="auto"/>
                <w:spacing w:val="0"/>
                <w:kern w:val="2"/>
                <w:sz w:val="21"/>
                <w:szCs w:val="21"/>
                <w:highlight w:val="none"/>
                <w:lang w:val="en-US" w:eastAsia="zh-CN" w:bidi="ar-SA"/>
              </w:rPr>
              <w:t>3-7厂区外表层</w:t>
            </w:r>
            <w:r>
              <w:rPr>
                <w:rFonts w:hint="default" w:ascii="Times New Roman" w:hAnsi="Times New Roman" w:eastAsia="宋体" w:cs="Times New Roman"/>
                <w:b/>
                <w:color w:val="auto"/>
                <w:spacing w:val="0"/>
                <w:kern w:val="2"/>
                <w:sz w:val="21"/>
                <w:szCs w:val="21"/>
                <w:highlight w:val="none"/>
                <w:lang w:val="en-US" w:eastAsia="zh-CN" w:bidi="ar-SA"/>
              </w:rPr>
              <w:t>土壤现状监测结果单位：mg/kg</w:t>
            </w:r>
          </w:p>
          <w:tbl>
            <w:tblPr>
              <w:tblStyle w:val="36"/>
              <w:tblW w:w="84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365"/>
              <w:gridCol w:w="1402"/>
              <w:gridCol w:w="1417"/>
              <w:gridCol w:w="1418"/>
              <w:gridCol w:w="1377"/>
            </w:tblGrid>
            <w:tr w14:paraId="597ED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57" w:type="dxa"/>
                  <w:tcBorders>
                    <w:tl2br w:val="nil"/>
                    <w:tr2bl w:val="nil"/>
                  </w:tcBorders>
                  <w:noWrap w:val="0"/>
                  <w:vAlign w:val="center"/>
                </w:tcPr>
                <w:p w14:paraId="703E6C0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监测项目</w:t>
                  </w:r>
                </w:p>
              </w:tc>
              <w:tc>
                <w:tcPr>
                  <w:tcW w:w="1365" w:type="dxa"/>
                  <w:tcBorders>
                    <w:tl2br w:val="nil"/>
                    <w:tr2bl w:val="nil"/>
                  </w:tcBorders>
                  <w:noWrap w:val="0"/>
                  <w:vAlign w:val="center"/>
                </w:tcPr>
                <w:p w14:paraId="0A271E4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b/>
                      <w:bCs/>
                      <w:color w:val="auto"/>
                      <w:sz w:val="21"/>
                      <w:szCs w:val="21"/>
                      <w:highlight w:val="none"/>
                      <w:vertAlign w:val="baseline"/>
                    </w:rPr>
                  </w:pPr>
                  <w:r>
                    <w:rPr>
                      <w:rFonts w:hint="default" w:ascii="Times New Roman" w:hAnsi="Times New Roman"/>
                      <w:b/>
                      <w:bCs/>
                      <w:color w:val="auto"/>
                      <w:sz w:val="21"/>
                      <w:szCs w:val="21"/>
                      <w:highlight w:val="none"/>
                      <w:lang w:val="en-US" w:eastAsia="zh-CN"/>
                    </w:rPr>
                    <w:t>厂区</w:t>
                  </w:r>
                  <w:r>
                    <w:rPr>
                      <w:rFonts w:hint="eastAsia" w:hAnsi="宋体"/>
                      <w:b/>
                      <w:bCs/>
                      <w:color w:val="auto"/>
                      <w:kern w:val="0"/>
                      <w:sz w:val="21"/>
                      <w:szCs w:val="21"/>
                      <w:highlight w:val="none"/>
                      <w:lang w:val="en-US" w:eastAsia="zh-CN"/>
                    </w:rPr>
                    <w:t>外</w:t>
                  </w:r>
                  <w:r>
                    <w:rPr>
                      <w:rFonts w:hint="eastAsia"/>
                      <w:b/>
                      <w:bCs/>
                      <w:color w:val="auto"/>
                      <w:sz w:val="21"/>
                      <w:szCs w:val="21"/>
                      <w:highlight w:val="none"/>
                      <w:lang w:val="en-US" w:eastAsia="zh-CN"/>
                    </w:rPr>
                    <w:t>北侧耕地</w:t>
                  </w:r>
                </w:p>
              </w:tc>
              <w:tc>
                <w:tcPr>
                  <w:tcW w:w="1402" w:type="dxa"/>
                  <w:tcBorders>
                    <w:tl2br w:val="nil"/>
                    <w:tr2bl w:val="nil"/>
                  </w:tcBorders>
                  <w:noWrap w:val="0"/>
                  <w:vAlign w:val="center"/>
                </w:tcPr>
                <w:p w14:paraId="5AC0F95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厂区外东北侧耕地</w:t>
                  </w:r>
                </w:p>
              </w:tc>
              <w:tc>
                <w:tcPr>
                  <w:tcW w:w="1417" w:type="dxa"/>
                  <w:tcBorders>
                    <w:tl2br w:val="nil"/>
                    <w:tr2bl w:val="nil"/>
                  </w:tcBorders>
                  <w:noWrap w:val="0"/>
                  <w:vAlign w:val="center"/>
                </w:tcPr>
                <w:p w14:paraId="267F834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b/>
                      <w:bCs/>
                      <w:color w:val="auto"/>
                      <w:sz w:val="21"/>
                      <w:szCs w:val="21"/>
                      <w:highlight w:val="none"/>
                      <w:vertAlign w:val="baseline"/>
                    </w:rPr>
                  </w:pPr>
                  <w:r>
                    <w:rPr>
                      <w:rFonts w:hint="eastAsia" w:hAnsi="宋体"/>
                      <w:b/>
                      <w:bCs/>
                      <w:color w:val="auto"/>
                      <w:kern w:val="0"/>
                      <w:sz w:val="21"/>
                      <w:szCs w:val="21"/>
                      <w:highlight w:val="none"/>
                      <w:lang w:val="en-US" w:eastAsia="zh-CN"/>
                    </w:rPr>
                    <w:t>厂区外东侧耕地</w:t>
                  </w:r>
                </w:p>
              </w:tc>
              <w:tc>
                <w:tcPr>
                  <w:tcW w:w="1418" w:type="dxa"/>
                  <w:tcBorders>
                    <w:tl2br w:val="nil"/>
                    <w:tr2bl w:val="nil"/>
                  </w:tcBorders>
                  <w:noWrap w:val="0"/>
                  <w:vAlign w:val="center"/>
                </w:tcPr>
                <w:p w14:paraId="37091CD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厂区外东南侧耕地</w:t>
                  </w:r>
                </w:p>
              </w:tc>
              <w:tc>
                <w:tcPr>
                  <w:tcW w:w="1377" w:type="dxa"/>
                  <w:tcBorders>
                    <w:tl2br w:val="nil"/>
                    <w:tr2bl w:val="nil"/>
                  </w:tcBorders>
                  <w:noWrap w:val="0"/>
                  <w:vAlign w:val="center"/>
                </w:tcPr>
                <w:p w14:paraId="0755EED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筛选值</w:t>
                  </w:r>
                </w:p>
              </w:tc>
            </w:tr>
            <w:tr w14:paraId="628C9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6ABEAEC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pH</w:t>
                  </w:r>
                </w:p>
              </w:tc>
              <w:tc>
                <w:tcPr>
                  <w:tcW w:w="1365" w:type="dxa"/>
                  <w:tcBorders>
                    <w:tl2br w:val="nil"/>
                    <w:tr2bl w:val="nil"/>
                  </w:tcBorders>
                  <w:noWrap w:val="0"/>
                  <w:vAlign w:val="center"/>
                </w:tcPr>
                <w:p w14:paraId="4D024B7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7.10</w:t>
                  </w:r>
                </w:p>
              </w:tc>
              <w:tc>
                <w:tcPr>
                  <w:tcW w:w="1402" w:type="dxa"/>
                  <w:tcBorders>
                    <w:tl2br w:val="nil"/>
                    <w:tr2bl w:val="nil"/>
                  </w:tcBorders>
                  <w:noWrap w:val="0"/>
                  <w:vAlign w:val="center"/>
                </w:tcPr>
                <w:p w14:paraId="436B103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7.08</w:t>
                  </w:r>
                </w:p>
              </w:tc>
              <w:tc>
                <w:tcPr>
                  <w:tcW w:w="1417" w:type="dxa"/>
                  <w:tcBorders>
                    <w:tl2br w:val="nil"/>
                    <w:tr2bl w:val="nil"/>
                  </w:tcBorders>
                  <w:noWrap w:val="0"/>
                  <w:vAlign w:val="center"/>
                </w:tcPr>
                <w:p w14:paraId="65DB45B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7.12</w:t>
                  </w:r>
                </w:p>
              </w:tc>
              <w:tc>
                <w:tcPr>
                  <w:tcW w:w="1418" w:type="dxa"/>
                  <w:tcBorders>
                    <w:tl2br w:val="nil"/>
                    <w:tr2bl w:val="nil"/>
                  </w:tcBorders>
                  <w:noWrap w:val="0"/>
                  <w:vAlign w:val="center"/>
                </w:tcPr>
                <w:p w14:paraId="4721E0F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7.14</w:t>
                  </w:r>
                </w:p>
              </w:tc>
              <w:tc>
                <w:tcPr>
                  <w:tcW w:w="1377" w:type="dxa"/>
                  <w:tcBorders>
                    <w:tl2br w:val="nil"/>
                    <w:tr2bl w:val="nil"/>
                  </w:tcBorders>
                  <w:noWrap w:val="0"/>
                  <w:vAlign w:val="top"/>
                </w:tcPr>
                <w:p w14:paraId="22EF5A5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6.5＜</w:t>
                  </w:r>
                  <w:r>
                    <w:rPr>
                      <w:rFonts w:hint="eastAsia" w:ascii="Times New Roman" w:hAnsi="Times New Roman" w:eastAsia="Times New Roman" w:cs="Times New Roman"/>
                      <w:color w:val="auto"/>
                      <w:sz w:val="21"/>
                      <w:szCs w:val="21"/>
                      <w:highlight w:val="none"/>
                      <w:lang w:val="en-US" w:eastAsia="zh-CN"/>
                    </w:rPr>
                    <w:t>pH</w:t>
                  </w:r>
                  <w:r>
                    <w:rPr>
                      <w:rFonts w:hint="default" w:ascii="Times New Roman" w:hAnsi="Times New Roman" w:eastAsia="Times New Roman" w:cs="Times New Roman"/>
                      <w:color w:val="auto"/>
                      <w:sz w:val="21"/>
                      <w:szCs w:val="21"/>
                      <w:highlight w:val="none"/>
                      <w:lang w:val="en-US" w:eastAsia="zh-CN"/>
                    </w:rPr>
                    <w:t>≤7.5</w:t>
                  </w:r>
                </w:p>
              </w:tc>
            </w:tr>
            <w:tr w14:paraId="1B78F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457" w:type="dxa"/>
                  <w:tcBorders>
                    <w:tl2br w:val="nil"/>
                    <w:tr2bl w:val="nil"/>
                  </w:tcBorders>
                  <w:noWrap w:val="0"/>
                  <w:vAlign w:val="top"/>
                </w:tcPr>
                <w:p w14:paraId="72B9E8A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汞</w:t>
                  </w:r>
                </w:p>
              </w:tc>
              <w:tc>
                <w:tcPr>
                  <w:tcW w:w="1365" w:type="dxa"/>
                  <w:tcBorders>
                    <w:tl2br w:val="nil"/>
                    <w:tr2bl w:val="nil"/>
                  </w:tcBorders>
                  <w:noWrap w:val="0"/>
                  <w:vAlign w:val="center"/>
                </w:tcPr>
                <w:p w14:paraId="55AF459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0.111</w:t>
                  </w:r>
                </w:p>
              </w:tc>
              <w:tc>
                <w:tcPr>
                  <w:tcW w:w="1402" w:type="dxa"/>
                  <w:tcBorders>
                    <w:tl2br w:val="nil"/>
                    <w:tr2bl w:val="nil"/>
                  </w:tcBorders>
                  <w:noWrap w:val="0"/>
                  <w:vAlign w:val="center"/>
                </w:tcPr>
                <w:p w14:paraId="2F600B7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0.231</w:t>
                  </w:r>
                </w:p>
              </w:tc>
              <w:tc>
                <w:tcPr>
                  <w:tcW w:w="1417" w:type="dxa"/>
                  <w:tcBorders>
                    <w:tl2br w:val="nil"/>
                    <w:tr2bl w:val="nil"/>
                  </w:tcBorders>
                  <w:noWrap w:val="0"/>
                  <w:vAlign w:val="center"/>
                </w:tcPr>
                <w:p w14:paraId="5F6FE5B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0.239</w:t>
                  </w:r>
                </w:p>
              </w:tc>
              <w:tc>
                <w:tcPr>
                  <w:tcW w:w="1418" w:type="dxa"/>
                  <w:tcBorders>
                    <w:tl2br w:val="nil"/>
                    <w:tr2bl w:val="nil"/>
                  </w:tcBorders>
                  <w:noWrap w:val="0"/>
                  <w:vAlign w:val="center"/>
                </w:tcPr>
                <w:p w14:paraId="08452C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0.116</w:t>
                  </w:r>
                </w:p>
              </w:tc>
              <w:tc>
                <w:tcPr>
                  <w:tcW w:w="1377" w:type="dxa"/>
                  <w:tcBorders>
                    <w:tl2br w:val="nil"/>
                    <w:tr2bl w:val="nil"/>
                  </w:tcBorders>
                  <w:noWrap w:val="0"/>
                  <w:vAlign w:val="top"/>
                </w:tcPr>
                <w:p w14:paraId="40662CC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2.4</w:t>
                  </w:r>
                </w:p>
              </w:tc>
            </w:tr>
            <w:tr w14:paraId="052E4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51DE82B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砷</w:t>
                  </w:r>
                </w:p>
              </w:tc>
              <w:tc>
                <w:tcPr>
                  <w:tcW w:w="1365" w:type="dxa"/>
                  <w:tcBorders>
                    <w:tl2br w:val="nil"/>
                    <w:tr2bl w:val="nil"/>
                  </w:tcBorders>
                  <w:noWrap w:val="0"/>
                  <w:vAlign w:val="center"/>
                </w:tcPr>
                <w:p w14:paraId="3BDA35F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9.49</w:t>
                  </w:r>
                </w:p>
              </w:tc>
              <w:tc>
                <w:tcPr>
                  <w:tcW w:w="1402" w:type="dxa"/>
                  <w:tcBorders>
                    <w:tl2br w:val="nil"/>
                    <w:tr2bl w:val="nil"/>
                  </w:tcBorders>
                  <w:noWrap w:val="0"/>
                  <w:vAlign w:val="center"/>
                </w:tcPr>
                <w:p w14:paraId="28AE8F3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4.97</w:t>
                  </w:r>
                </w:p>
              </w:tc>
              <w:tc>
                <w:tcPr>
                  <w:tcW w:w="1417" w:type="dxa"/>
                  <w:tcBorders>
                    <w:tl2br w:val="nil"/>
                    <w:tr2bl w:val="nil"/>
                  </w:tcBorders>
                  <w:noWrap w:val="0"/>
                  <w:vAlign w:val="center"/>
                </w:tcPr>
                <w:p w14:paraId="2F2D6EB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5.82</w:t>
                  </w:r>
                </w:p>
              </w:tc>
              <w:tc>
                <w:tcPr>
                  <w:tcW w:w="1418" w:type="dxa"/>
                  <w:tcBorders>
                    <w:tl2br w:val="nil"/>
                    <w:tr2bl w:val="nil"/>
                  </w:tcBorders>
                  <w:noWrap w:val="0"/>
                  <w:vAlign w:val="center"/>
                </w:tcPr>
                <w:p w14:paraId="62C8EDD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7.03</w:t>
                  </w:r>
                </w:p>
              </w:tc>
              <w:tc>
                <w:tcPr>
                  <w:tcW w:w="1377" w:type="dxa"/>
                  <w:tcBorders>
                    <w:tl2br w:val="nil"/>
                    <w:tr2bl w:val="nil"/>
                  </w:tcBorders>
                  <w:noWrap w:val="0"/>
                  <w:vAlign w:val="top"/>
                </w:tcPr>
                <w:p w14:paraId="780B7FF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302.4</w:t>
                  </w:r>
                </w:p>
              </w:tc>
            </w:tr>
            <w:tr w14:paraId="7FEA1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0" w:hRule="atLeast"/>
              </w:trPr>
              <w:tc>
                <w:tcPr>
                  <w:tcW w:w="1457" w:type="dxa"/>
                  <w:tcBorders>
                    <w:tl2br w:val="nil"/>
                    <w:tr2bl w:val="nil"/>
                  </w:tcBorders>
                  <w:noWrap w:val="0"/>
                  <w:vAlign w:val="top"/>
                </w:tcPr>
                <w:p w14:paraId="7195845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铜</w:t>
                  </w:r>
                </w:p>
              </w:tc>
              <w:tc>
                <w:tcPr>
                  <w:tcW w:w="1365" w:type="dxa"/>
                  <w:tcBorders>
                    <w:tl2br w:val="nil"/>
                    <w:tr2bl w:val="nil"/>
                  </w:tcBorders>
                  <w:noWrap w:val="0"/>
                  <w:vAlign w:val="center"/>
                </w:tcPr>
                <w:p w14:paraId="0D403D1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30</w:t>
                  </w:r>
                </w:p>
              </w:tc>
              <w:tc>
                <w:tcPr>
                  <w:tcW w:w="1402" w:type="dxa"/>
                  <w:tcBorders>
                    <w:tl2br w:val="nil"/>
                    <w:tr2bl w:val="nil"/>
                  </w:tcBorders>
                  <w:noWrap w:val="0"/>
                  <w:vAlign w:val="center"/>
                </w:tcPr>
                <w:p w14:paraId="5BF9335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w:t>
                  </w:r>
                </w:p>
              </w:tc>
              <w:tc>
                <w:tcPr>
                  <w:tcW w:w="1417" w:type="dxa"/>
                  <w:tcBorders>
                    <w:tl2br w:val="nil"/>
                    <w:tr2bl w:val="nil"/>
                  </w:tcBorders>
                  <w:noWrap w:val="0"/>
                  <w:vAlign w:val="center"/>
                </w:tcPr>
                <w:p w14:paraId="6782098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w:t>
                  </w:r>
                </w:p>
              </w:tc>
              <w:tc>
                <w:tcPr>
                  <w:tcW w:w="1418" w:type="dxa"/>
                  <w:tcBorders>
                    <w:tl2br w:val="nil"/>
                    <w:tr2bl w:val="nil"/>
                  </w:tcBorders>
                  <w:noWrap w:val="0"/>
                  <w:vAlign w:val="center"/>
                </w:tcPr>
                <w:p w14:paraId="74DA3F1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23</w:t>
                  </w:r>
                </w:p>
              </w:tc>
              <w:tc>
                <w:tcPr>
                  <w:tcW w:w="1377" w:type="dxa"/>
                  <w:tcBorders>
                    <w:tl2br w:val="nil"/>
                    <w:tr2bl w:val="nil"/>
                  </w:tcBorders>
                  <w:noWrap w:val="0"/>
                  <w:vAlign w:val="top"/>
                </w:tcPr>
                <w:p w14:paraId="246147E6">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100</w:t>
                  </w:r>
                </w:p>
              </w:tc>
            </w:tr>
            <w:tr w14:paraId="48569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3120713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铅</w:t>
                  </w:r>
                </w:p>
              </w:tc>
              <w:tc>
                <w:tcPr>
                  <w:tcW w:w="1365" w:type="dxa"/>
                  <w:tcBorders>
                    <w:tl2br w:val="nil"/>
                    <w:tr2bl w:val="nil"/>
                  </w:tcBorders>
                  <w:noWrap w:val="0"/>
                  <w:vAlign w:val="center"/>
                </w:tcPr>
                <w:p w14:paraId="58F7B248">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21.2</w:t>
                  </w:r>
                </w:p>
              </w:tc>
              <w:tc>
                <w:tcPr>
                  <w:tcW w:w="1402" w:type="dxa"/>
                  <w:tcBorders>
                    <w:tl2br w:val="nil"/>
                    <w:tr2bl w:val="nil"/>
                  </w:tcBorders>
                  <w:noWrap w:val="0"/>
                  <w:vAlign w:val="center"/>
                </w:tcPr>
                <w:p w14:paraId="6673176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20.4</w:t>
                  </w:r>
                </w:p>
              </w:tc>
              <w:tc>
                <w:tcPr>
                  <w:tcW w:w="1417" w:type="dxa"/>
                  <w:tcBorders>
                    <w:tl2br w:val="nil"/>
                    <w:tr2bl w:val="nil"/>
                  </w:tcBorders>
                  <w:noWrap w:val="0"/>
                  <w:vAlign w:val="center"/>
                </w:tcPr>
                <w:p w14:paraId="5B619DB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22.4</w:t>
                  </w:r>
                </w:p>
              </w:tc>
              <w:tc>
                <w:tcPr>
                  <w:tcW w:w="1418" w:type="dxa"/>
                  <w:tcBorders>
                    <w:tl2br w:val="nil"/>
                    <w:tr2bl w:val="nil"/>
                  </w:tcBorders>
                  <w:noWrap w:val="0"/>
                  <w:vAlign w:val="center"/>
                </w:tcPr>
                <w:p w14:paraId="1047E90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21.7</w:t>
                  </w:r>
                </w:p>
              </w:tc>
              <w:tc>
                <w:tcPr>
                  <w:tcW w:w="1377" w:type="dxa"/>
                  <w:tcBorders>
                    <w:tl2br w:val="nil"/>
                    <w:tr2bl w:val="nil"/>
                  </w:tcBorders>
                  <w:noWrap w:val="0"/>
                  <w:vAlign w:val="top"/>
                </w:tcPr>
                <w:p w14:paraId="434348F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120</w:t>
                  </w:r>
                </w:p>
              </w:tc>
            </w:tr>
            <w:tr w14:paraId="5CF3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0C528CBB">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镉</w:t>
                  </w:r>
                </w:p>
              </w:tc>
              <w:tc>
                <w:tcPr>
                  <w:tcW w:w="1365" w:type="dxa"/>
                  <w:tcBorders>
                    <w:tl2br w:val="nil"/>
                    <w:tr2bl w:val="nil"/>
                  </w:tcBorders>
                  <w:noWrap w:val="0"/>
                  <w:vAlign w:val="center"/>
                </w:tcPr>
                <w:p w14:paraId="0A039F6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0.18</w:t>
                  </w:r>
                </w:p>
              </w:tc>
              <w:tc>
                <w:tcPr>
                  <w:tcW w:w="1402" w:type="dxa"/>
                  <w:tcBorders>
                    <w:tl2br w:val="nil"/>
                    <w:tr2bl w:val="nil"/>
                  </w:tcBorders>
                  <w:noWrap w:val="0"/>
                  <w:vAlign w:val="center"/>
                </w:tcPr>
                <w:p w14:paraId="563F648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0.21</w:t>
                  </w:r>
                </w:p>
              </w:tc>
              <w:tc>
                <w:tcPr>
                  <w:tcW w:w="1417" w:type="dxa"/>
                  <w:tcBorders>
                    <w:tl2br w:val="nil"/>
                    <w:tr2bl w:val="nil"/>
                  </w:tcBorders>
                  <w:noWrap w:val="0"/>
                  <w:vAlign w:val="center"/>
                </w:tcPr>
                <w:p w14:paraId="161FAA5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0.28</w:t>
                  </w:r>
                </w:p>
              </w:tc>
              <w:tc>
                <w:tcPr>
                  <w:tcW w:w="1418" w:type="dxa"/>
                  <w:tcBorders>
                    <w:tl2br w:val="nil"/>
                    <w:tr2bl w:val="nil"/>
                  </w:tcBorders>
                  <w:noWrap w:val="0"/>
                  <w:vAlign w:val="center"/>
                </w:tcPr>
                <w:p w14:paraId="0C4D88A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0.25</w:t>
                  </w:r>
                </w:p>
              </w:tc>
              <w:tc>
                <w:tcPr>
                  <w:tcW w:w="1377" w:type="dxa"/>
                  <w:tcBorders>
                    <w:tl2br w:val="nil"/>
                    <w:tr2bl w:val="nil"/>
                  </w:tcBorders>
                  <w:noWrap w:val="0"/>
                  <w:vAlign w:val="top"/>
                </w:tcPr>
                <w:p w14:paraId="0D81FA6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0.3</w:t>
                  </w:r>
                </w:p>
              </w:tc>
            </w:tr>
            <w:tr w14:paraId="7ABF8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21F41D3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铬</w:t>
                  </w:r>
                </w:p>
              </w:tc>
              <w:tc>
                <w:tcPr>
                  <w:tcW w:w="1365" w:type="dxa"/>
                  <w:tcBorders>
                    <w:tl2br w:val="nil"/>
                    <w:tr2bl w:val="nil"/>
                  </w:tcBorders>
                  <w:noWrap w:val="0"/>
                  <w:vAlign w:val="center"/>
                </w:tcPr>
                <w:p w14:paraId="4EAB3A5A">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49</w:t>
                  </w:r>
                </w:p>
              </w:tc>
              <w:tc>
                <w:tcPr>
                  <w:tcW w:w="1402" w:type="dxa"/>
                  <w:tcBorders>
                    <w:tl2br w:val="nil"/>
                    <w:tr2bl w:val="nil"/>
                  </w:tcBorders>
                  <w:noWrap w:val="0"/>
                  <w:vAlign w:val="center"/>
                </w:tcPr>
                <w:p w14:paraId="4279FA2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51</w:t>
                  </w:r>
                </w:p>
              </w:tc>
              <w:tc>
                <w:tcPr>
                  <w:tcW w:w="1417" w:type="dxa"/>
                  <w:tcBorders>
                    <w:tl2br w:val="nil"/>
                    <w:tr2bl w:val="nil"/>
                  </w:tcBorders>
                  <w:noWrap w:val="0"/>
                  <w:vAlign w:val="center"/>
                </w:tcPr>
                <w:p w14:paraId="36ACE12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47</w:t>
                  </w:r>
                </w:p>
              </w:tc>
              <w:tc>
                <w:tcPr>
                  <w:tcW w:w="1418" w:type="dxa"/>
                  <w:tcBorders>
                    <w:tl2br w:val="nil"/>
                    <w:tr2bl w:val="nil"/>
                  </w:tcBorders>
                  <w:noWrap w:val="0"/>
                  <w:vAlign w:val="center"/>
                </w:tcPr>
                <w:p w14:paraId="6FF6E851">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47</w:t>
                  </w:r>
                </w:p>
              </w:tc>
              <w:tc>
                <w:tcPr>
                  <w:tcW w:w="1377" w:type="dxa"/>
                  <w:tcBorders>
                    <w:tl2br w:val="nil"/>
                    <w:tr2bl w:val="nil"/>
                  </w:tcBorders>
                  <w:noWrap w:val="0"/>
                  <w:vAlign w:val="top"/>
                </w:tcPr>
                <w:p w14:paraId="55A7B2C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200</w:t>
                  </w:r>
                </w:p>
              </w:tc>
            </w:tr>
            <w:tr w14:paraId="641E0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357565EF">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镍</w:t>
                  </w:r>
                </w:p>
              </w:tc>
              <w:tc>
                <w:tcPr>
                  <w:tcW w:w="1365" w:type="dxa"/>
                  <w:tcBorders>
                    <w:tl2br w:val="nil"/>
                    <w:tr2bl w:val="nil"/>
                  </w:tcBorders>
                  <w:noWrap w:val="0"/>
                  <w:vAlign w:val="center"/>
                </w:tcPr>
                <w:p w14:paraId="7A2B60A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39</w:t>
                  </w:r>
                </w:p>
              </w:tc>
              <w:tc>
                <w:tcPr>
                  <w:tcW w:w="1402" w:type="dxa"/>
                  <w:tcBorders>
                    <w:tl2br w:val="nil"/>
                    <w:tr2bl w:val="nil"/>
                  </w:tcBorders>
                  <w:noWrap w:val="0"/>
                  <w:vAlign w:val="center"/>
                </w:tcPr>
                <w:p w14:paraId="712520B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41</w:t>
                  </w:r>
                </w:p>
              </w:tc>
              <w:tc>
                <w:tcPr>
                  <w:tcW w:w="1417" w:type="dxa"/>
                  <w:tcBorders>
                    <w:tl2br w:val="nil"/>
                    <w:tr2bl w:val="nil"/>
                  </w:tcBorders>
                  <w:noWrap w:val="0"/>
                  <w:vAlign w:val="center"/>
                </w:tcPr>
                <w:p w14:paraId="0767EA72">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43</w:t>
                  </w:r>
                </w:p>
              </w:tc>
              <w:tc>
                <w:tcPr>
                  <w:tcW w:w="1418" w:type="dxa"/>
                  <w:tcBorders>
                    <w:tl2br w:val="nil"/>
                    <w:tr2bl w:val="nil"/>
                  </w:tcBorders>
                  <w:noWrap w:val="0"/>
                  <w:vAlign w:val="center"/>
                </w:tcPr>
                <w:p w14:paraId="51FAA2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43</w:t>
                  </w:r>
                </w:p>
              </w:tc>
              <w:tc>
                <w:tcPr>
                  <w:tcW w:w="1377" w:type="dxa"/>
                  <w:tcBorders>
                    <w:tl2br w:val="nil"/>
                    <w:tr2bl w:val="nil"/>
                  </w:tcBorders>
                  <w:noWrap w:val="0"/>
                  <w:vAlign w:val="top"/>
                </w:tcPr>
                <w:p w14:paraId="5498A12C">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100</w:t>
                  </w:r>
                </w:p>
              </w:tc>
            </w:tr>
            <w:tr w14:paraId="658DE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457" w:type="dxa"/>
                  <w:tcBorders>
                    <w:tl2br w:val="nil"/>
                    <w:tr2bl w:val="nil"/>
                  </w:tcBorders>
                  <w:noWrap w:val="0"/>
                  <w:vAlign w:val="top"/>
                </w:tcPr>
                <w:p w14:paraId="738F8A0E">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锌</w:t>
                  </w:r>
                </w:p>
              </w:tc>
              <w:tc>
                <w:tcPr>
                  <w:tcW w:w="1365" w:type="dxa"/>
                  <w:tcBorders>
                    <w:tl2br w:val="nil"/>
                    <w:tr2bl w:val="nil"/>
                  </w:tcBorders>
                  <w:noWrap w:val="0"/>
                  <w:vAlign w:val="center"/>
                </w:tcPr>
                <w:p w14:paraId="424D18E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54</w:t>
                  </w:r>
                </w:p>
              </w:tc>
              <w:tc>
                <w:tcPr>
                  <w:tcW w:w="1402" w:type="dxa"/>
                  <w:tcBorders>
                    <w:tl2br w:val="nil"/>
                    <w:tr2bl w:val="nil"/>
                  </w:tcBorders>
                  <w:noWrap w:val="0"/>
                  <w:vAlign w:val="center"/>
                </w:tcPr>
                <w:p w14:paraId="34F2BC5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96</w:t>
                  </w:r>
                </w:p>
              </w:tc>
              <w:tc>
                <w:tcPr>
                  <w:tcW w:w="1417" w:type="dxa"/>
                  <w:tcBorders>
                    <w:tl2br w:val="nil"/>
                    <w:tr2bl w:val="nil"/>
                  </w:tcBorders>
                  <w:noWrap w:val="0"/>
                  <w:vAlign w:val="center"/>
                </w:tcPr>
                <w:p w14:paraId="753BA70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86</w:t>
                  </w:r>
                </w:p>
              </w:tc>
              <w:tc>
                <w:tcPr>
                  <w:tcW w:w="1418" w:type="dxa"/>
                  <w:tcBorders>
                    <w:tl2br w:val="nil"/>
                    <w:tr2bl w:val="nil"/>
                  </w:tcBorders>
                  <w:noWrap w:val="0"/>
                  <w:vAlign w:val="center"/>
                </w:tcPr>
                <w:p w14:paraId="44FE6DA7">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83</w:t>
                  </w:r>
                </w:p>
              </w:tc>
              <w:tc>
                <w:tcPr>
                  <w:tcW w:w="1377" w:type="dxa"/>
                  <w:tcBorders>
                    <w:tl2br w:val="nil"/>
                    <w:tr2bl w:val="nil"/>
                  </w:tcBorders>
                  <w:noWrap w:val="0"/>
                  <w:vAlign w:val="top"/>
                </w:tcPr>
                <w:p w14:paraId="5620EC80">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250</w:t>
                  </w:r>
                </w:p>
              </w:tc>
            </w:tr>
            <w:tr w14:paraId="4C7AA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457" w:type="dxa"/>
                  <w:tcBorders>
                    <w:tl2br w:val="nil"/>
                    <w:tr2bl w:val="nil"/>
                  </w:tcBorders>
                  <w:noWrap w:val="0"/>
                  <w:vAlign w:val="top"/>
                </w:tcPr>
                <w:p w14:paraId="1FE2974D">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石油烃</w:t>
                  </w:r>
                  <w:r>
                    <w:rPr>
                      <w:rFonts w:hint="default" w:ascii="Times New Roman" w:hAnsi="Times New Roman" w:eastAsia="Times New Roman" w:cs="Times New Roman"/>
                      <w:color w:val="auto"/>
                      <w:sz w:val="21"/>
                      <w:szCs w:val="21"/>
                      <w:highlight w:val="none"/>
                      <w:lang w:val="en-US" w:eastAsia="zh-CN"/>
                    </w:rPr>
                    <w:t>（C10~C40）*</w:t>
                  </w:r>
                </w:p>
              </w:tc>
              <w:tc>
                <w:tcPr>
                  <w:tcW w:w="1365" w:type="dxa"/>
                  <w:tcBorders>
                    <w:tl2br w:val="nil"/>
                    <w:tr2bl w:val="nil"/>
                  </w:tcBorders>
                  <w:noWrap w:val="0"/>
                  <w:vAlign w:val="center"/>
                </w:tcPr>
                <w:p w14:paraId="626D5AD9">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402" w:type="dxa"/>
                  <w:tcBorders>
                    <w:tl2br w:val="nil"/>
                    <w:tr2bl w:val="nil"/>
                  </w:tcBorders>
                  <w:noWrap w:val="0"/>
                  <w:vAlign w:val="center"/>
                </w:tcPr>
                <w:p w14:paraId="52D5C9A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417" w:type="dxa"/>
                  <w:tcBorders>
                    <w:tl2br w:val="nil"/>
                    <w:tr2bl w:val="nil"/>
                  </w:tcBorders>
                  <w:noWrap w:val="0"/>
                  <w:vAlign w:val="center"/>
                </w:tcPr>
                <w:p w14:paraId="7D9313E4">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418" w:type="dxa"/>
                  <w:tcBorders>
                    <w:tl2br w:val="nil"/>
                    <w:tr2bl w:val="nil"/>
                  </w:tcBorders>
                  <w:noWrap w:val="0"/>
                  <w:vAlign w:val="center"/>
                </w:tcPr>
                <w:p w14:paraId="341BE703">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6ND</w:t>
                  </w:r>
                </w:p>
              </w:tc>
              <w:tc>
                <w:tcPr>
                  <w:tcW w:w="1377" w:type="dxa"/>
                  <w:tcBorders>
                    <w:tl2br w:val="nil"/>
                    <w:tr2bl w:val="nil"/>
                  </w:tcBorders>
                  <w:noWrap w:val="0"/>
                  <w:vAlign w:val="center"/>
                </w:tcPr>
                <w:p w14:paraId="4CB149D5">
                  <w:pPr>
                    <w:pStyle w:val="1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highlight w:val="none"/>
                      <w:lang w:val="en-US" w:eastAsia="zh-CN"/>
                    </w:rPr>
                  </w:pPr>
                  <w:r>
                    <w:rPr>
                      <w:rFonts w:hint="eastAsia" w:ascii="Times New Roman" w:hAnsi="Times New Roman" w:eastAsia="Times New Roman" w:cs="Times New Roman"/>
                      <w:color w:val="auto"/>
                      <w:sz w:val="21"/>
                      <w:szCs w:val="21"/>
                      <w:highlight w:val="none"/>
                      <w:lang w:val="en-US" w:eastAsia="zh-CN"/>
                    </w:rPr>
                    <w:t>4500</w:t>
                  </w:r>
                </w:p>
              </w:tc>
            </w:tr>
          </w:tbl>
          <w:p w14:paraId="13B225A6">
            <w:pPr>
              <w:pStyle w:val="195"/>
              <w:spacing w:before="78" w:line="374" w:lineRule="auto"/>
              <w:ind w:right="100" w:firstLine="480" w:firstLineChars="200"/>
              <w:jc w:val="both"/>
              <w:rPr>
                <w:rFonts w:hint="eastAsia"/>
                <w:color w:val="auto"/>
                <w:highlight w:val="none"/>
                <w:lang w:eastAsia="zh-CN"/>
              </w:rPr>
            </w:pPr>
            <w:r>
              <w:rPr>
                <w:rFonts w:hint="eastAsia" w:ascii="Times New Roman" w:hAnsi="Times New Roman" w:eastAsia="宋体" w:cs="Times New Roman"/>
                <w:color w:val="auto"/>
                <w:kern w:val="2"/>
                <w:sz w:val="24"/>
                <w:szCs w:val="21"/>
                <w:highlight w:val="none"/>
                <w:lang w:val="en-US" w:eastAsia="zh-CN" w:bidi="ar-SA"/>
              </w:rPr>
              <w:t>由上表监测结果表明，项目1#、2#监测点位各监测因子均满足《土壤环境质量建设用地土壤污染风险管控标准（试行）》（GB36000-2018）中表1第二类用地筛选值标准。</w:t>
            </w:r>
          </w:p>
        </w:tc>
      </w:tr>
      <w:tr w14:paraId="4597F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4E84DA36">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环境</w:t>
            </w:r>
          </w:p>
          <w:p w14:paraId="3C6797E5">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保护</w:t>
            </w:r>
          </w:p>
          <w:p w14:paraId="78A425E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目标</w:t>
            </w:r>
          </w:p>
        </w:tc>
        <w:tc>
          <w:tcPr>
            <w:tcW w:w="8623" w:type="dxa"/>
            <w:vAlign w:val="center"/>
          </w:tcPr>
          <w:p w14:paraId="15F2E1C1">
            <w:pPr>
              <w:numPr>
                <w:ilvl w:val="0"/>
                <w:numId w:val="0"/>
              </w:numPr>
              <w:adjustRightInd w:val="0"/>
              <w:snapToGrid w:val="0"/>
              <w:spacing w:line="360" w:lineRule="auto"/>
              <w:ind w:leftChars="200"/>
              <w:outlineLvl w:val="1"/>
              <w:rPr>
                <w:rFonts w:hint="default" w:ascii="Times New Roman" w:hAnsi="Times New Roman" w:eastAsia="宋体" w:cs="Times New Roman"/>
                <w:b/>
                <w:color w:val="auto"/>
                <w:sz w:val="24"/>
                <w:szCs w:val="24"/>
                <w:highlight w:val="none"/>
                <w:lang w:val="en-US" w:eastAsia="zh-CN"/>
              </w:rPr>
            </w:pPr>
            <w:bookmarkStart w:id="47" w:name="_Toc28578"/>
            <w:bookmarkStart w:id="48" w:name="_Toc30144"/>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环境空气保护目标</w:t>
            </w:r>
            <w:bookmarkEnd w:id="47"/>
            <w:bookmarkEnd w:id="48"/>
          </w:p>
          <w:p w14:paraId="5E841B1E">
            <w:pPr>
              <w:numPr>
                <w:ilvl w:val="0"/>
                <w:numId w:val="0"/>
              </w:numPr>
              <w:adjustRightInd w:val="0"/>
              <w:snapToGrid w:val="0"/>
              <w:spacing w:line="360" w:lineRule="auto"/>
              <w:ind w:firstLine="480" w:firstLineChars="200"/>
              <w:outlineLvl w:val="1"/>
              <w:rPr>
                <w:rFonts w:hint="default" w:ascii="Times New Roman" w:hAnsi="Times New Roman" w:eastAsia="宋体" w:cs="Times New Roman"/>
                <w:b w:val="0"/>
                <w:bCs/>
                <w:color w:val="auto"/>
                <w:sz w:val="24"/>
                <w:szCs w:val="24"/>
                <w:highlight w:val="none"/>
                <w:lang w:val="en-US" w:eastAsia="zh-CN"/>
              </w:rPr>
            </w:pPr>
            <w:bookmarkStart w:id="49" w:name="_Toc20464"/>
            <w:bookmarkStart w:id="50" w:name="_Toc18244"/>
            <w:r>
              <w:rPr>
                <w:rFonts w:hint="default" w:ascii="Times New Roman" w:hAnsi="Times New Roman" w:eastAsia="宋体" w:cs="Times New Roman"/>
                <w:b w:val="0"/>
                <w:bCs/>
                <w:color w:val="auto"/>
                <w:sz w:val="24"/>
                <w:szCs w:val="24"/>
                <w:highlight w:val="none"/>
                <w:lang w:val="en-US" w:eastAsia="zh-CN"/>
              </w:rPr>
              <w:t>环境空气保护目标主要为项目厂界500m范围内的村庄，保护对象为村庄居民，保护要求为环境空气质量满足《环境空气质量标准》（GB3095-2012）二级标准。</w:t>
            </w:r>
            <w:bookmarkEnd w:id="49"/>
            <w:bookmarkEnd w:id="50"/>
          </w:p>
          <w:p w14:paraId="0755725F">
            <w:pPr>
              <w:numPr>
                <w:ilvl w:val="0"/>
                <w:numId w:val="0"/>
              </w:numPr>
              <w:adjustRightInd w:val="0"/>
              <w:snapToGrid w:val="0"/>
              <w:spacing w:line="360" w:lineRule="auto"/>
              <w:ind w:firstLine="482" w:firstLineChars="200"/>
              <w:outlineLvl w:val="1"/>
              <w:rPr>
                <w:rFonts w:hint="default" w:ascii="Times New Roman" w:hAnsi="Times New Roman" w:eastAsia="宋体" w:cs="Times New Roman"/>
                <w:b/>
                <w:color w:val="auto"/>
                <w:sz w:val="24"/>
                <w:szCs w:val="24"/>
                <w:highlight w:val="none"/>
                <w:lang w:val="en-US" w:eastAsia="zh-CN"/>
              </w:rPr>
            </w:pPr>
            <w:bookmarkStart w:id="51" w:name="_Toc24575"/>
            <w:bookmarkStart w:id="52" w:name="_Toc11321"/>
            <w:r>
              <w:rPr>
                <w:rFonts w:hint="default" w:ascii="Times New Roman" w:hAnsi="Times New Roman" w:eastAsia="宋体" w:cs="Times New Roman"/>
                <w:b/>
                <w:color w:val="auto"/>
                <w:kern w:val="2"/>
                <w:sz w:val="24"/>
                <w:szCs w:val="24"/>
                <w:highlight w:val="none"/>
                <w:lang w:val="en-US" w:eastAsia="zh-CN" w:bidi="ar-SA"/>
              </w:rPr>
              <w:t>2.</w:t>
            </w:r>
            <w:r>
              <w:rPr>
                <w:rFonts w:hint="default" w:ascii="Times New Roman" w:hAnsi="Times New Roman" w:eastAsia="宋体" w:cs="Times New Roman"/>
                <w:b/>
                <w:color w:val="auto"/>
                <w:sz w:val="24"/>
                <w:szCs w:val="24"/>
                <w:highlight w:val="none"/>
                <w:lang w:val="en-US" w:eastAsia="zh-CN"/>
              </w:rPr>
              <w:t>地表水环境保护目标</w:t>
            </w:r>
            <w:bookmarkEnd w:id="51"/>
            <w:bookmarkEnd w:id="52"/>
          </w:p>
          <w:p w14:paraId="4DA563E6">
            <w:pPr>
              <w:numPr>
                <w:ilvl w:val="0"/>
                <w:numId w:val="0"/>
              </w:numPr>
              <w:adjustRightInd w:val="0"/>
              <w:snapToGrid w:val="0"/>
              <w:spacing w:line="360" w:lineRule="auto"/>
              <w:ind w:firstLine="480" w:firstLineChars="200"/>
              <w:outlineLvl w:val="1"/>
              <w:rPr>
                <w:rFonts w:hint="default" w:ascii="Times New Roman" w:hAnsi="Times New Roman" w:eastAsia="宋体" w:cs="Times New Roman"/>
                <w:b w:val="0"/>
                <w:bCs/>
                <w:color w:val="auto"/>
                <w:sz w:val="24"/>
                <w:szCs w:val="24"/>
                <w:highlight w:val="none"/>
                <w:lang w:val="en-US" w:eastAsia="zh-CN"/>
              </w:rPr>
            </w:pPr>
            <w:bookmarkStart w:id="53" w:name="_Toc15390"/>
            <w:bookmarkStart w:id="54" w:name="_Toc16066"/>
            <w:r>
              <w:rPr>
                <w:rFonts w:hint="default" w:ascii="Times New Roman" w:hAnsi="Times New Roman" w:eastAsia="宋体" w:cs="Times New Roman"/>
                <w:b w:val="0"/>
                <w:bCs/>
                <w:color w:val="auto"/>
                <w:sz w:val="24"/>
                <w:szCs w:val="24"/>
                <w:highlight w:val="none"/>
                <w:lang w:val="en-US" w:eastAsia="zh-CN"/>
              </w:rPr>
              <w:t>地表水环境保护目标为</w:t>
            </w:r>
            <w:r>
              <w:rPr>
                <w:rFonts w:hint="eastAsia" w:ascii="Times New Roman" w:hAnsi="Times New Roman" w:eastAsia="宋体" w:cs="Times New Roman"/>
                <w:b w:val="0"/>
                <w:bCs/>
                <w:color w:val="auto"/>
                <w:sz w:val="24"/>
                <w:szCs w:val="24"/>
                <w:highlight w:val="none"/>
                <w:lang w:val="en-US" w:eastAsia="zh-CN"/>
              </w:rPr>
              <w:t>千河</w:t>
            </w:r>
            <w:r>
              <w:rPr>
                <w:rFonts w:hint="default" w:ascii="Times New Roman" w:hAnsi="Times New Roman" w:eastAsia="宋体" w:cs="Times New Roman"/>
                <w:b w:val="0"/>
                <w:bCs/>
                <w:color w:val="auto"/>
                <w:sz w:val="24"/>
                <w:szCs w:val="24"/>
                <w:highlight w:val="none"/>
                <w:lang w:val="en-US" w:eastAsia="zh-CN"/>
              </w:rPr>
              <w:t>，本区段水</w:t>
            </w:r>
            <w:r>
              <w:rPr>
                <w:rFonts w:hint="eastAsia" w:ascii="Times New Roman" w:hAnsi="Times New Roman" w:eastAsia="宋体" w:cs="Times New Roman"/>
                <w:b w:val="0"/>
                <w:bCs/>
                <w:color w:val="auto"/>
                <w:sz w:val="24"/>
                <w:szCs w:val="24"/>
                <w:highlight w:val="none"/>
                <w:lang w:val="en-US" w:eastAsia="zh-CN"/>
              </w:rPr>
              <w:t>质</w:t>
            </w:r>
            <w:r>
              <w:rPr>
                <w:rFonts w:hint="default" w:ascii="Times New Roman" w:hAnsi="Times New Roman" w:eastAsia="宋体" w:cs="Times New Roman"/>
                <w:b w:val="0"/>
                <w:bCs/>
                <w:color w:val="auto"/>
                <w:sz w:val="24"/>
                <w:szCs w:val="24"/>
                <w:highlight w:val="none"/>
                <w:lang w:val="en-US" w:eastAsia="zh-CN"/>
              </w:rPr>
              <w:t>保护</w:t>
            </w:r>
            <w:r>
              <w:rPr>
                <w:rFonts w:hint="eastAsia" w:ascii="Times New Roman" w:hAnsi="Times New Roman" w:eastAsia="宋体" w:cs="Times New Roman"/>
                <w:b w:val="0"/>
                <w:bCs/>
                <w:color w:val="auto"/>
                <w:sz w:val="24"/>
                <w:szCs w:val="24"/>
                <w:highlight w:val="none"/>
                <w:lang w:val="en-US" w:eastAsia="zh-CN"/>
              </w:rPr>
              <w:t>目标</w:t>
            </w:r>
            <w:r>
              <w:rPr>
                <w:rFonts w:hint="default" w:ascii="Times New Roman" w:hAnsi="Times New Roman" w:eastAsia="宋体" w:cs="Times New Roman"/>
                <w:b w:val="0"/>
                <w:bCs/>
                <w:color w:val="auto"/>
                <w:sz w:val="24"/>
                <w:szCs w:val="24"/>
                <w:highlight w:val="none"/>
                <w:lang w:val="en-US" w:eastAsia="zh-CN"/>
              </w:rPr>
              <w:t>为《地表水环境质量标准》（GB3838-2002）</w:t>
            </w:r>
            <w:r>
              <w:rPr>
                <w:rFonts w:hint="default" w:ascii="Times New Roman" w:hAnsi="Times New Roman" w:eastAsia="宋体" w:cs="Times New Roman"/>
                <w:b w:val="0"/>
                <w:bCs/>
                <w:color w:val="auto"/>
                <w:sz w:val="24"/>
                <w:szCs w:val="24"/>
                <w:highlight w:val="none"/>
                <w:lang w:val="en-US" w:eastAsia="zh-CN"/>
              </w:rPr>
              <w:fldChar w:fldCharType="begin"/>
            </w:r>
            <w:r>
              <w:rPr>
                <w:rFonts w:hint="default" w:ascii="Times New Roman" w:hAnsi="Times New Roman" w:eastAsia="宋体" w:cs="Times New Roman"/>
                <w:b w:val="0"/>
                <w:bCs/>
                <w:color w:val="auto"/>
                <w:sz w:val="24"/>
                <w:szCs w:val="24"/>
                <w:highlight w:val="none"/>
                <w:lang w:val="en-US" w:eastAsia="zh-CN"/>
              </w:rPr>
              <w:instrText xml:space="preserve">=3\*ROMAN\*MERGEFORMAT</w:instrText>
            </w:r>
            <w:r>
              <w:rPr>
                <w:rFonts w:hint="default"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III</w:t>
            </w:r>
            <w:r>
              <w:rPr>
                <w:rFonts w:hint="default" w:ascii="Times New Roman" w:hAnsi="Times New Roman" w:eastAsia="宋体" w:cs="Times New Roman"/>
                <w:b w:val="0"/>
                <w:bCs/>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val="en-US" w:eastAsia="zh-CN"/>
              </w:rPr>
              <w:t>类水质标准。</w:t>
            </w:r>
            <w:bookmarkEnd w:id="53"/>
            <w:bookmarkEnd w:id="54"/>
          </w:p>
          <w:p w14:paraId="7D05F65E">
            <w:pPr>
              <w:numPr>
                <w:ilvl w:val="0"/>
                <w:numId w:val="0"/>
              </w:numPr>
              <w:adjustRightInd w:val="0"/>
              <w:snapToGrid w:val="0"/>
              <w:spacing w:line="360" w:lineRule="auto"/>
              <w:ind w:firstLine="482" w:firstLineChars="200"/>
              <w:outlineLvl w:val="1"/>
              <w:rPr>
                <w:rFonts w:hint="default" w:ascii="Times New Roman" w:hAnsi="Times New Roman" w:eastAsia="宋体" w:cs="Times New Roman"/>
                <w:b/>
                <w:color w:val="auto"/>
                <w:sz w:val="24"/>
                <w:szCs w:val="24"/>
                <w:highlight w:val="none"/>
                <w:lang w:val="en-US" w:eastAsia="zh-CN"/>
              </w:rPr>
            </w:pPr>
            <w:bookmarkStart w:id="55" w:name="_Toc6442"/>
            <w:bookmarkStart w:id="56" w:name="_Toc25916"/>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声环境保护目标</w:t>
            </w:r>
            <w:bookmarkEnd w:id="55"/>
            <w:bookmarkEnd w:id="56"/>
          </w:p>
          <w:p w14:paraId="006F5C96">
            <w:pPr>
              <w:numPr>
                <w:ilvl w:val="0"/>
                <w:numId w:val="0"/>
              </w:numPr>
              <w:adjustRightInd w:val="0"/>
              <w:snapToGrid w:val="0"/>
              <w:spacing w:line="360" w:lineRule="auto"/>
              <w:ind w:leftChars="200"/>
              <w:outlineLvl w:val="1"/>
              <w:rPr>
                <w:rFonts w:hint="default" w:ascii="Times New Roman" w:hAnsi="Times New Roman" w:eastAsia="宋体" w:cs="Times New Roman"/>
                <w:b w:val="0"/>
                <w:bCs/>
                <w:color w:val="auto"/>
                <w:sz w:val="24"/>
                <w:szCs w:val="24"/>
                <w:highlight w:val="none"/>
                <w:lang w:val="en-US" w:eastAsia="zh-CN"/>
              </w:rPr>
            </w:pPr>
            <w:bookmarkStart w:id="57" w:name="_Toc31577"/>
            <w:bookmarkStart w:id="58" w:name="_Toc24607"/>
            <w:r>
              <w:rPr>
                <w:rFonts w:hint="default" w:ascii="Times New Roman" w:hAnsi="Times New Roman" w:eastAsia="宋体" w:cs="Times New Roman"/>
                <w:b w:val="0"/>
                <w:bCs/>
                <w:color w:val="auto"/>
                <w:sz w:val="24"/>
                <w:szCs w:val="24"/>
                <w:highlight w:val="none"/>
                <w:lang w:val="en-US" w:eastAsia="zh-CN"/>
              </w:rPr>
              <w:t>本项目</w:t>
            </w:r>
            <w:r>
              <w:rPr>
                <w:rFonts w:hint="eastAsia" w:ascii="Times New Roman" w:hAnsi="Times New Roman" w:eastAsia="宋体" w:cs="Times New Roman"/>
                <w:b w:val="0"/>
                <w:bCs/>
                <w:color w:val="auto"/>
                <w:sz w:val="24"/>
                <w:szCs w:val="24"/>
                <w:highlight w:val="none"/>
                <w:lang w:val="en-US" w:eastAsia="zh-CN"/>
              </w:rPr>
              <w:t>厂界50m范围内无声环境敏感目标</w:t>
            </w:r>
            <w:r>
              <w:rPr>
                <w:rFonts w:hint="default" w:ascii="Times New Roman" w:hAnsi="Times New Roman" w:eastAsia="宋体" w:cs="Times New Roman"/>
                <w:b w:val="0"/>
                <w:bCs/>
                <w:color w:val="auto"/>
                <w:sz w:val="24"/>
                <w:szCs w:val="24"/>
                <w:highlight w:val="none"/>
                <w:lang w:val="en-US" w:eastAsia="zh-CN"/>
              </w:rPr>
              <w:t>。</w:t>
            </w:r>
            <w:bookmarkEnd w:id="57"/>
            <w:bookmarkEnd w:id="58"/>
          </w:p>
          <w:p w14:paraId="42E622CE">
            <w:pPr>
              <w:numPr>
                <w:ilvl w:val="0"/>
                <w:numId w:val="0"/>
              </w:numPr>
              <w:adjustRightInd w:val="0"/>
              <w:snapToGrid w:val="0"/>
              <w:spacing w:line="360" w:lineRule="auto"/>
              <w:ind w:left="0" w:leftChars="0" w:firstLine="482" w:firstLineChars="200"/>
              <w:outlineLvl w:val="1"/>
              <w:rPr>
                <w:rFonts w:hint="eastAsia" w:ascii="Times New Roman" w:hAnsi="Times New Roman" w:eastAsia="宋体" w:cs="Times New Roman"/>
                <w:b/>
                <w:color w:val="auto"/>
                <w:sz w:val="24"/>
                <w:szCs w:val="24"/>
                <w:highlight w:val="none"/>
                <w:lang w:val="en-US" w:eastAsia="zh-CN"/>
              </w:rPr>
            </w:pPr>
            <w:bookmarkStart w:id="59" w:name="_Toc16560"/>
            <w:bookmarkStart w:id="60" w:name="_Toc19016"/>
            <w:r>
              <w:rPr>
                <w:rFonts w:hint="eastAsia" w:ascii="Times New Roman" w:hAnsi="Times New Roman" w:eastAsia="宋体" w:cs="Times New Roman"/>
                <w:b/>
                <w:color w:val="auto"/>
                <w:kern w:val="2"/>
                <w:sz w:val="24"/>
                <w:szCs w:val="24"/>
                <w:highlight w:val="none"/>
                <w:lang w:val="en-US" w:eastAsia="zh-CN" w:bidi="ar-SA"/>
              </w:rPr>
              <w:t>4.</w:t>
            </w:r>
            <w:r>
              <w:rPr>
                <w:rFonts w:hint="eastAsia" w:ascii="Times New Roman" w:hAnsi="Times New Roman" w:eastAsia="宋体" w:cs="Times New Roman"/>
                <w:b/>
                <w:color w:val="auto"/>
                <w:sz w:val="24"/>
                <w:szCs w:val="24"/>
                <w:highlight w:val="none"/>
                <w:lang w:val="en-US" w:eastAsia="zh-CN"/>
              </w:rPr>
              <w:t>土壤环境保护目标</w:t>
            </w:r>
            <w:bookmarkEnd w:id="59"/>
            <w:bookmarkEnd w:id="60"/>
          </w:p>
          <w:p w14:paraId="3FE4DDCB">
            <w:pPr>
              <w:numPr>
                <w:ilvl w:val="0"/>
                <w:numId w:val="0"/>
              </w:numPr>
              <w:adjustRightInd w:val="0"/>
              <w:snapToGrid w:val="0"/>
              <w:spacing w:line="360" w:lineRule="auto"/>
              <w:ind w:leftChars="200"/>
              <w:outlineLvl w:val="1"/>
              <w:rPr>
                <w:rFonts w:hint="eastAsia" w:ascii="Times New Roman" w:hAnsi="Times New Roman" w:eastAsia="宋体" w:cs="Times New Roman"/>
                <w:b w:val="0"/>
                <w:bCs/>
                <w:color w:val="auto"/>
                <w:sz w:val="24"/>
                <w:szCs w:val="24"/>
                <w:highlight w:val="none"/>
                <w:lang w:val="en-US" w:eastAsia="zh-CN"/>
              </w:rPr>
            </w:pPr>
            <w:bookmarkStart w:id="61" w:name="_Toc24566"/>
            <w:bookmarkStart w:id="62" w:name="_Toc20349"/>
            <w:r>
              <w:rPr>
                <w:rFonts w:hint="eastAsia" w:ascii="Times New Roman" w:hAnsi="Times New Roman" w:eastAsia="宋体" w:cs="Times New Roman"/>
                <w:b w:val="0"/>
                <w:bCs/>
                <w:color w:val="auto"/>
                <w:sz w:val="24"/>
                <w:szCs w:val="24"/>
                <w:highlight w:val="none"/>
                <w:lang w:val="en-US" w:eastAsia="zh-CN"/>
              </w:rPr>
              <w:t>本项目土壤环境保护目标为厂区边界外500m范围内分布的耕地。</w:t>
            </w:r>
            <w:bookmarkEnd w:id="61"/>
            <w:bookmarkEnd w:id="62"/>
          </w:p>
          <w:p w14:paraId="261A54F2">
            <w:pPr>
              <w:numPr>
                <w:ilvl w:val="0"/>
                <w:numId w:val="0"/>
              </w:numPr>
              <w:adjustRightInd w:val="0"/>
              <w:snapToGrid w:val="0"/>
              <w:spacing w:line="360" w:lineRule="auto"/>
              <w:ind w:left="0" w:leftChars="0" w:firstLine="482" w:firstLineChars="200"/>
              <w:outlineLvl w:val="1"/>
              <w:rPr>
                <w:rFonts w:hint="eastAsia" w:ascii="Times New Roman" w:hAnsi="Times New Roman" w:eastAsia="宋体" w:cs="Times New Roman"/>
                <w:b/>
                <w:color w:val="auto"/>
                <w:kern w:val="2"/>
                <w:sz w:val="24"/>
                <w:szCs w:val="24"/>
                <w:highlight w:val="none"/>
                <w:lang w:val="en-US" w:eastAsia="zh-CN" w:bidi="ar-SA"/>
              </w:rPr>
            </w:pPr>
            <w:bookmarkStart w:id="63" w:name="_Toc25868"/>
            <w:bookmarkStart w:id="64" w:name="_Toc11945"/>
            <w:r>
              <w:rPr>
                <w:rFonts w:hint="eastAsia" w:ascii="Times New Roman" w:hAnsi="Times New Roman" w:eastAsia="宋体" w:cs="Times New Roman"/>
                <w:b/>
                <w:color w:val="auto"/>
                <w:kern w:val="2"/>
                <w:sz w:val="24"/>
                <w:szCs w:val="24"/>
                <w:highlight w:val="none"/>
                <w:lang w:val="en-US" w:eastAsia="zh-CN" w:bidi="ar-SA"/>
              </w:rPr>
              <w:t>5.地下水环境保护目标</w:t>
            </w:r>
            <w:bookmarkEnd w:id="63"/>
            <w:bookmarkEnd w:id="64"/>
          </w:p>
          <w:p w14:paraId="3DB499FA">
            <w:pPr>
              <w:numPr>
                <w:ilvl w:val="0"/>
                <w:numId w:val="0"/>
              </w:numPr>
              <w:adjustRightInd w:val="0"/>
              <w:snapToGrid w:val="0"/>
              <w:spacing w:line="360" w:lineRule="auto"/>
              <w:ind w:firstLine="480" w:firstLineChars="200"/>
              <w:outlineLvl w:val="1"/>
              <w:rPr>
                <w:rFonts w:hint="eastAsia" w:ascii="Times New Roman" w:hAnsi="Times New Roman" w:eastAsia="宋体" w:cs="Times New Roman"/>
                <w:b w:val="0"/>
                <w:bCs/>
                <w:color w:val="auto"/>
                <w:sz w:val="24"/>
                <w:szCs w:val="24"/>
                <w:highlight w:val="none"/>
                <w:lang w:val="en-US" w:eastAsia="zh-CN"/>
              </w:rPr>
            </w:pPr>
            <w:bookmarkStart w:id="65" w:name="_Toc9261"/>
            <w:bookmarkStart w:id="66" w:name="_Toc3533"/>
            <w:r>
              <w:rPr>
                <w:rFonts w:hint="eastAsia" w:ascii="Times New Roman" w:hAnsi="Times New Roman" w:eastAsia="宋体" w:cs="Times New Roman"/>
                <w:b w:val="0"/>
                <w:bCs/>
                <w:color w:val="auto"/>
                <w:sz w:val="24"/>
                <w:szCs w:val="24"/>
                <w:highlight w:val="none"/>
                <w:lang w:val="en-US" w:eastAsia="zh-CN"/>
              </w:rPr>
              <w:t>项目厂界外500米范围内不存在地下水集中式饮用水水源和热水、矿泉水、温泉等特殊地下水资源。</w:t>
            </w:r>
            <w:bookmarkEnd w:id="65"/>
            <w:bookmarkEnd w:id="66"/>
          </w:p>
          <w:p w14:paraId="1E0B6526">
            <w:pPr>
              <w:numPr>
                <w:ilvl w:val="0"/>
                <w:numId w:val="0"/>
              </w:numPr>
              <w:adjustRightInd w:val="0"/>
              <w:snapToGrid w:val="0"/>
              <w:spacing w:line="360" w:lineRule="auto"/>
              <w:ind w:leftChars="200"/>
              <w:outlineLvl w:val="1"/>
              <w:rPr>
                <w:rFonts w:hint="eastAsia" w:ascii="Times New Roman" w:hAnsi="Times New Roman" w:eastAsia="宋体" w:cs="Times New Roman"/>
                <w:b w:val="0"/>
                <w:bCs/>
                <w:color w:val="auto"/>
                <w:sz w:val="24"/>
                <w:szCs w:val="24"/>
                <w:highlight w:val="none"/>
                <w:lang w:val="en-US" w:eastAsia="zh-CN"/>
              </w:rPr>
            </w:pPr>
            <w:bookmarkStart w:id="67" w:name="_Toc24412"/>
            <w:bookmarkStart w:id="68" w:name="_Toc22093"/>
            <w:r>
              <w:rPr>
                <w:rFonts w:hint="eastAsia" w:ascii="Times New Roman" w:hAnsi="Times New Roman" w:eastAsia="宋体" w:cs="Times New Roman"/>
                <w:b w:val="0"/>
                <w:bCs/>
                <w:color w:val="auto"/>
                <w:sz w:val="24"/>
                <w:szCs w:val="24"/>
                <w:highlight w:val="none"/>
                <w:lang w:val="en-US" w:eastAsia="zh-CN"/>
              </w:rPr>
              <w:t>各环境要素主要保护对象及目标见下表3-8所示。</w:t>
            </w:r>
            <w:bookmarkEnd w:id="67"/>
            <w:bookmarkEnd w:id="68"/>
          </w:p>
          <w:p w14:paraId="7AE2996F">
            <w:pPr>
              <w:pStyle w:val="34"/>
              <w:spacing w:after="0"/>
              <w:ind w:left="0" w:leftChars="0" w:firstLine="0" w:firstLineChars="0"/>
              <w:jc w:val="center"/>
              <w:rPr>
                <w:rFonts w:hint="eastAsia"/>
                <w:b/>
                <w:bCs/>
                <w:color w:val="auto"/>
                <w:szCs w:val="21"/>
                <w:highlight w:val="none"/>
              </w:rPr>
            </w:pPr>
            <w:r>
              <w:rPr>
                <w:rFonts w:hint="eastAsia"/>
                <w:b/>
                <w:bCs/>
                <w:color w:val="auto"/>
                <w:szCs w:val="21"/>
                <w:highlight w:val="none"/>
              </w:rPr>
              <w:t>表3-</w:t>
            </w:r>
            <w:r>
              <w:rPr>
                <w:rFonts w:hint="eastAsia"/>
                <w:b/>
                <w:bCs/>
                <w:color w:val="auto"/>
                <w:szCs w:val="21"/>
                <w:highlight w:val="none"/>
                <w:lang w:val="en-US" w:eastAsia="zh-CN"/>
              </w:rPr>
              <w:t>8</w:t>
            </w:r>
            <w:r>
              <w:rPr>
                <w:rFonts w:hint="eastAsia"/>
                <w:b/>
                <w:bCs/>
                <w:color w:val="auto"/>
                <w:szCs w:val="21"/>
                <w:highlight w:val="none"/>
              </w:rPr>
              <w:t>环境保护目标情况</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60"/>
              <w:gridCol w:w="840"/>
              <w:gridCol w:w="1605"/>
              <w:gridCol w:w="1530"/>
              <w:gridCol w:w="3055"/>
            </w:tblGrid>
            <w:tr w14:paraId="648D1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684" w:type="dxa"/>
                  <w:tcBorders>
                    <w:tl2br w:val="nil"/>
                    <w:tr2bl w:val="nil"/>
                  </w:tcBorders>
                  <w:vAlign w:val="center"/>
                </w:tcPr>
                <w:p w14:paraId="389142BF">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环境要素</w:t>
                  </w:r>
                </w:p>
              </w:tc>
              <w:tc>
                <w:tcPr>
                  <w:tcW w:w="660" w:type="dxa"/>
                  <w:tcBorders>
                    <w:tl2br w:val="nil"/>
                    <w:tr2bl w:val="nil"/>
                  </w:tcBorders>
                  <w:vAlign w:val="center"/>
                </w:tcPr>
                <w:p w14:paraId="2E1F1CE7">
                  <w:pPr>
                    <w:pStyle w:val="170"/>
                    <w:adjustRightInd/>
                    <w:snapToGrid/>
                    <w:spacing w:before="0" w:after="0"/>
                    <w:rPr>
                      <w:rFonts w:hint="eastAsia" w:ascii="Times New Roman" w:hAnsi="Times New Roman"/>
                      <w:b/>
                      <w:bCs/>
                      <w:color w:val="auto"/>
                      <w:kern w:val="0"/>
                      <w:szCs w:val="21"/>
                      <w:highlight w:val="none"/>
                    </w:rPr>
                  </w:pPr>
                  <w:r>
                    <w:rPr>
                      <w:rFonts w:hint="eastAsia" w:ascii="Times New Roman" w:hAnsi="Times New Roman"/>
                      <w:b/>
                      <w:bCs/>
                      <w:color w:val="auto"/>
                      <w:kern w:val="0"/>
                      <w:szCs w:val="21"/>
                      <w:highlight w:val="none"/>
                    </w:rPr>
                    <w:t>保护</w:t>
                  </w:r>
                </w:p>
                <w:p w14:paraId="5AD3A177">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目标</w:t>
                  </w:r>
                </w:p>
              </w:tc>
              <w:tc>
                <w:tcPr>
                  <w:tcW w:w="840" w:type="dxa"/>
                  <w:tcBorders>
                    <w:tl2br w:val="nil"/>
                    <w:tr2bl w:val="nil"/>
                  </w:tcBorders>
                  <w:vAlign w:val="center"/>
                </w:tcPr>
                <w:p w14:paraId="691877C0">
                  <w:pPr>
                    <w:pStyle w:val="170"/>
                    <w:adjustRightInd/>
                    <w:snapToGrid/>
                    <w:spacing w:before="0" w:after="0"/>
                    <w:rPr>
                      <w:rFonts w:hint="eastAsia" w:ascii="Times New Roman" w:hAnsi="Times New Roman"/>
                      <w:b/>
                      <w:bCs/>
                      <w:color w:val="auto"/>
                      <w:kern w:val="0"/>
                      <w:szCs w:val="21"/>
                      <w:highlight w:val="none"/>
                    </w:rPr>
                  </w:pPr>
                  <w:r>
                    <w:rPr>
                      <w:rFonts w:hint="eastAsia" w:ascii="Times New Roman" w:hAnsi="Times New Roman"/>
                      <w:b/>
                      <w:bCs/>
                      <w:color w:val="auto"/>
                      <w:kern w:val="0"/>
                      <w:szCs w:val="21"/>
                      <w:highlight w:val="none"/>
                    </w:rPr>
                    <w:t>规模</w:t>
                  </w:r>
                </w:p>
              </w:tc>
              <w:tc>
                <w:tcPr>
                  <w:tcW w:w="1605" w:type="dxa"/>
                  <w:tcBorders>
                    <w:tl2br w:val="nil"/>
                    <w:tr2bl w:val="nil"/>
                  </w:tcBorders>
                  <w:vAlign w:val="center"/>
                </w:tcPr>
                <w:p w14:paraId="5894BCAE">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坐标</w:t>
                  </w:r>
                </w:p>
              </w:tc>
              <w:tc>
                <w:tcPr>
                  <w:tcW w:w="1530" w:type="dxa"/>
                  <w:tcBorders>
                    <w:tl2br w:val="nil"/>
                    <w:tr2bl w:val="nil"/>
                  </w:tcBorders>
                  <w:vAlign w:val="center"/>
                </w:tcPr>
                <w:p w14:paraId="2780A4C2">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相对厂址位置</w:t>
                  </w:r>
                </w:p>
              </w:tc>
              <w:tc>
                <w:tcPr>
                  <w:tcW w:w="3055" w:type="dxa"/>
                  <w:tcBorders>
                    <w:tl2br w:val="nil"/>
                    <w:tr2bl w:val="nil"/>
                  </w:tcBorders>
                  <w:vAlign w:val="center"/>
                </w:tcPr>
                <w:p w14:paraId="4D7DA1EF">
                  <w:pPr>
                    <w:pStyle w:val="170"/>
                    <w:adjustRightInd/>
                    <w:snapToGrid/>
                    <w:spacing w:before="0" w:after="0"/>
                    <w:rPr>
                      <w:rFonts w:ascii="Times New Roman" w:hAnsi="Times New Roman"/>
                      <w:b/>
                      <w:bCs/>
                      <w:color w:val="auto"/>
                      <w:kern w:val="0"/>
                      <w:szCs w:val="21"/>
                      <w:highlight w:val="none"/>
                    </w:rPr>
                  </w:pPr>
                  <w:r>
                    <w:rPr>
                      <w:rFonts w:hint="eastAsia" w:ascii="Times New Roman" w:hAnsi="Times New Roman"/>
                      <w:b/>
                      <w:bCs/>
                      <w:color w:val="auto"/>
                      <w:kern w:val="0"/>
                      <w:szCs w:val="21"/>
                      <w:highlight w:val="none"/>
                    </w:rPr>
                    <w:t>保护级别</w:t>
                  </w:r>
                </w:p>
              </w:tc>
            </w:tr>
            <w:tr w14:paraId="1A1DD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4" w:type="dxa"/>
                  <w:tcBorders>
                    <w:tl2br w:val="nil"/>
                    <w:tr2bl w:val="nil"/>
                  </w:tcBorders>
                  <w:vAlign w:val="center"/>
                </w:tcPr>
                <w:p w14:paraId="03447AB7">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环境空气</w:t>
                  </w:r>
                </w:p>
              </w:tc>
              <w:tc>
                <w:tcPr>
                  <w:tcW w:w="660" w:type="dxa"/>
                  <w:tcBorders>
                    <w:tl2br w:val="nil"/>
                    <w:tr2bl w:val="nil"/>
                  </w:tcBorders>
                  <w:vAlign w:val="center"/>
                </w:tcPr>
                <w:p w14:paraId="20357B11">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小海子</w:t>
                  </w:r>
                </w:p>
              </w:tc>
              <w:tc>
                <w:tcPr>
                  <w:tcW w:w="840" w:type="dxa"/>
                  <w:tcBorders>
                    <w:tl2br w:val="nil"/>
                    <w:tr2bl w:val="nil"/>
                  </w:tcBorders>
                  <w:vAlign w:val="center"/>
                </w:tcPr>
                <w:p w14:paraId="4FCA7E28">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150人</w:t>
                  </w:r>
                </w:p>
              </w:tc>
              <w:tc>
                <w:tcPr>
                  <w:tcW w:w="1605" w:type="dxa"/>
                  <w:tcBorders>
                    <w:tl2br w:val="nil"/>
                    <w:tr2bl w:val="nil"/>
                  </w:tcBorders>
                  <w:vAlign w:val="center"/>
                </w:tcPr>
                <w:p w14:paraId="51E23945">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E107°15′54.33″N34°28′21.06″</w:t>
                  </w:r>
                </w:p>
              </w:tc>
              <w:tc>
                <w:tcPr>
                  <w:tcW w:w="1530" w:type="dxa"/>
                  <w:tcBorders>
                    <w:tl2br w:val="nil"/>
                    <w:tr2bl w:val="nil"/>
                  </w:tcBorders>
                  <w:vAlign w:val="center"/>
                </w:tcPr>
                <w:p w14:paraId="6FA9CC3B">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北侧</w:t>
                  </w:r>
                  <w:r>
                    <w:rPr>
                      <w:rFonts w:hint="eastAsia" w:ascii="Times New Roman" w:hAnsi="Times New Roman" w:eastAsia="宋体" w:cs="Times New Roman"/>
                      <w:color w:val="auto"/>
                      <w:kern w:val="0"/>
                      <w:szCs w:val="21"/>
                      <w:highlight w:val="none"/>
                      <w:lang w:val="en-US" w:eastAsia="zh-CN"/>
                    </w:rPr>
                    <w:t>384</w:t>
                  </w:r>
                  <w:r>
                    <w:rPr>
                      <w:rFonts w:hint="eastAsia" w:ascii="Times New Roman" w:hAnsi="Times New Roman" w:eastAsia="宋体" w:cs="Times New Roman"/>
                      <w:color w:val="auto"/>
                      <w:kern w:val="0"/>
                      <w:szCs w:val="21"/>
                      <w:highlight w:val="none"/>
                    </w:rPr>
                    <w:t>m</w:t>
                  </w:r>
                </w:p>
              </w:tc>
              <w:tc>
                <w:tcPr>
                  <w:tcW w:w="3055" w:type="dxa"/>
                  <w:tcBorders>
                    <w:tl2br w:val="nil"/>
                    <w:tr2bl w:val="nil"/>
                  </w:tcBorders>
                  <w:vAlign w:val="center"/>
                </w:tcPr>
                <w:p w14:paraId="644F3454">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《环境空气质量标准》（</w:t>
                  </w:r>
                  <w:r>
                    <w:rPr>
                      <w:rFonts w:hint="eastAsia" w:ascii="Times New Roman" w:hAnsi="Times New Roman" w:eastAsia="宋体" w:cs="Times New Roman"/>
                      <w:color w:val="auto"/>
                      <w:kern w:val="0"/>
                      <w:szCs w:val="21"/>
                      <w:highlight w:val="none"/>
                      <w:lang w:eastAsia="zh-CN"/>
                    </w:rPr>
                    <w:t>GB-</w:t>
                  </w:r>
                  <w:r>
                    <w:rPr>
                      <w:rFonts w:hint="eastAsia" w:ascii="Times New Roman" w:hAnsi="Times New Roman" w:eastAsia="宋体" w:cs="Times New Roman"/>
                      <w:color w:val="auto"/>
                      <w:kern w:val="0"/>
                      <w:szCs w:val="21"/>
                      <w:highlight w:val="none"/>
                    </w:rPr>
                    <w:t>3095-2012）二级标准</w:t>
                  </w:r>
                </w:p>
              </w:tc>
            </w:tr>
            <w:tr w14:paraId="489AF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65613A00">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噪声</w:t>
                  </w:r>
                </w:p>
              </w:tc>
              <w:tc>
                <w:tcPr>
                  <w:tcW w:w="7690" w:type="dxa"/>
                  <w:gridSpan w:val="5"/>
                  <w:tcBorders>
                    <w:tl2br w:val="nil"/>
                    <w:tr2bl w:val="nil"/>
                  </w:tcBorders>
                  <w:vAlign w:val="center"/>
                </w:tcPr>
                <w:p w14:paraId="670A9CD0">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本项目厂界外50m范围内无环境敏感目标</w:t>
                  </w:r>
                </w:p>
              </w:tc>
            </w:tr>
            <w:tr w14:paraId="07D17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624F50E5">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地下水</w:t>
                  </w:r>
                </w:p>
              </w:tc>
              <w:tc>
                <w:tcPr>
                  <w:tcW w:w="7690" w:type="dxa"/>
                  <w:gridSpan w:val="5"/>
                  <w:tcBorders>
                    <w:tl2br w:val="nil"/>
                    <w:tr2bl w:val="nil"/>
                  </w:tcBorders>
                  <w:vAlign w:val="center"/>
                </w:tcPr>
                <w:p w14:paraId="2817DBF2">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经现场勘探，本项目500m范围内无地下水集中式饮用水水源、矿泉水以及温泉等特殊地下水资源。</w:t>
                  </w:r>
                </w:p>
              </w:tc>
            </w:tr>
            <w:tr w14:paraId="73859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tcBorders>
                    <w:tl2br w:val="nil"/>
                    <w:tr2bl w:val="nil"/>
                  </w:tcBorders>
                  <w:vAlign w:val="center"/>
                </w:tcPr>
                <w:p w14:paraId="04F647E4">
                  <w:pPr>
                    <w:pStyle w:val="170"/>
                    <w:adjustRightInd/>
                    <w:snapToGrid/>
                    <w:spacing w:before="0" w:after="0"/>
                    <w:jc w:val="left"/>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土壤</w:t>
                  </w:r>
                </w:p>
              </w:tc>
              <w:tc>
                <w:tcPr>
                  <w:tcW w:w="7690" w:type="dxa"/>
                  <w:gridSpan w:val="5"/>
                  <w:tcBorders>
                    <w:tl2br w:val="nil"/>
                    <w:tr2bl w:val="nil"/>
                  </w:tcBorders>
                  <w:vAlign w:val="center"/>
                </w:tcPr>
                <w:p w14:paraId="1F1E911B">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本项目土壤环境保护目标为厂区边界外500m范围内分布的耕地。</w:t>
                  </w:r>
                </w:p>
              </w:tc>
            </w:tr>
            <w:tr w14:paraId="3A917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4" w:type="dxa"/>
                  <w:tcBorders>
                    <w:tl2br w:val="nil"/>
                    <w:tr2bl w:val="nil"/>
                  </w:tcBorders>
                  <w:vAlign w:val="center"/>
                </w:tcPr>
                <w:p w14:paraId="44929195">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生态</w:t>
                  </w:r>
                </w:p>
                <w:p w14:paraId="20B97448">
                  <w:pPr>
                    <w:pStyle w:val="170"/>
                    <w:adjustRightInd/>
                    <w:snapToGrid/>
                    <w:spacing w:before="0" w:after="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w:t>
                  </w:r>
                </w:p>
              </w:tc>
              <w:tc>
                <w:tcPr>
                  <w:tcW w:w="7690" w:type="dxa"/>
                  <w:gridSpan w:val="5"/>
                  <w:tcBorders>
                    <w:tl2br w:val="nil"/>
                    <w:tr2bl w:val="nil"/>
                  </w:tcBorders>
                  <w:vAlign w:val="center"/>
                </w:tcPr>
                <w:p w14:paraId="1F5948BA">
                  <w:pPr>
                    <w:pStyle w:val="170"/>
                    <w:adjustRightInd/>
                    <w:snapToGrid/>
                    <w:spacing w:before="0" w:after="0"/>
                    <w:jc w:val="left"/>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项目位于</w:t>
                  </w:r>
                  <w:r>
                    <w:rPr>
                      <w:rFonts w:hint="eastAsia" w:ascii="Times New Roman" w:hAnsi="Times New Roman" w:eastAsia="宋体" w:cs="Times New Roman"/>
                      <w:color w:val="auto"/>
                      <w:kern w:val="0"/>
                      <w:szCs w:val="21"/>
                      <w:highlight w:val="none"/>
                      <w:lang w:eastAsia="zh-CN"/>
                    </w:rPr>
                    <w:t>长青工业园区内，</w:t>
                  </w:r>
                  <w:r>
                    <w:rPr>
                      <w:rFonts w:hint="eastAsia" w:ascii="Times New Roman" w:hAnsi="Times New Roman" w:eastAsia="宋体" w:cs="Times New Roman"/>
                      <w:color w:val="auto"/>
                      <w:kern w:val="0"/>
                      <w:szCs w:val="21"/>
                      <w:highlight w:val="none"/>
                    </w:rPr>
                    <w:t>厂址范围内不含有生态环境保护目标。</w:t>
                  </w:r>
                </w:p>
              </w:tc>
            </w:tr>
          </w:tbl>
          <w:p w14:paraId="7E55DFCA">
            <w:pPr>
              <w:pStyle w:val="16"/>
              <w:adjustRightInd w:val="0"/>
              <w:snapToGrid w:val="0"/>
              <w:spacing w:line="360" w:lineRule="auto"/>
              <w:jc w:val="both"/>
              <w:rPr>
                <w:rFonts w:hAnsi="宋体" w:cs="宋体"/>
                <w:color w:val="auto"/>
                <w:kern w:val="0"/>
                <w:szCs w:val="21"/>
                <w:highlight w:val="none"/>
              </w:rPr>
            </w:pPr>
          </w:p>
        </w:tc>
      </w:tr>
      <w:tr w14:paraId="74565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F48A1DE">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污染</w:t>
            </w:r>
          </w:p>
          <w:p w14:paraId="31DAF202">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物排</w:t>
            </w:r>
          </w:p>
          <w:p w14:paraId="6B9BBB1B">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放控</w:t>
            </w:r>
          </w:p>
          <w:p w14:paraId="24539E92">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制标</w:t>
            </w:r>
          </w:p>
          <w:p w14:paraId="28A4448C">
            <w:pPr>
              <w:adjustRightInd w:val="0"/>
              <w:snapToGrid w:val="0"/>
              <w:jc w:val="center"/>
              <w:rPr>
                <w:rFonts w:hint="eastAsia" w:ascii="宋体" w:hAnsi="宋体" w:cs="宋体"/>
                <w:color w:val="auto"/>
                <w:kern w:val="0"/>
                <w:highlight w:val="none"/>
              </w:rPr>
            </w:pPr>
            <w:r>
              <w:rPr>
                <w:rFonts w:hint="eastAsia" w:ascii="宋体" w:hAnsi="宋体" w:cs="宋体"/>
                <w:color w:val="auto"/>
                <w:kern w:val="0"/>
                <w:highlight w:val="none"/>
              </w:rPr>
              <w:t>准</w:t>
            </w:r>
          </w:p>
        </w:tc>
        <w:tc>
          <w:tcPr>
            <w:tcW w:w="8623" w:type="dxa"/>
            <w:vAlign w:val="center"/>
          </w:tcPr>
          <w:p w14:paraId="1158110D">
            <w:pPr>
              <w:widowControl/>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1</w:t>
            </w:r>
            <w:r>
              <w:rPr>
                <w:rFonts w:hint="eastAsia"/>
                <w:b/>
                <w:bCs/>
                <w:color w:val="auto"/>
                <w:sz w:val="24"/>
                <w:szCs w:val="24"/>
                <w:highlight w:val="none"/>
                <w:lang w:val="en-US" w:eastAsia="zh-CN"/>
              </w:rPr>
              <w:t>.</w:t>
            </w:r>
            <w:r>
              <w:rPr>
                <w:rFonts w:hint="eastAsia"/>
                <w:b/>
                <w:bCs/>
                <w:color w:val="auto"/>
                <w:sz w:val="24"/>
                <w:szCs w:val="24"/>
                <w:highlight w:val="none"/>
              </w:rPr>
              <w:t>运营期</w:t>
            </w:r>
          </w:p>
          <w:p w14:paraId="2326A3B3">
            <w:pPr>
              <w:widowControl/>
              <w:spacing w:line="360" w:lineRule="auto"/>
              <w:ind w:left="420"/>
              <w:rPr>
                <w:rFonts w:hint="eastAsia"/>
                <w:b/>
                <w:bCs/>
                <w:color w:val="auto"/>
                <w:sz w:val="24"/>
                <w:szCs w:val="24"/>
                <w:highlight w:val="none"/>
              </w:rPr>
            </w:pPr>
            <w:r>
              <w:rPr>
                <w:rFonts w:hint="eastAsia"/>
                <w:b/>
                <w:bCs/>
                <w:color w:val="auto"/>
                <w:sz w:val="24"/>
                <w:szCs w:val="24"/>
                <w:highlight w:val="none"/>
              </w:rPr>
              <w:t>（1）废气排放标准</w:t>
            </w:r>
          </w:p>
          <w:p w14:paraId="5C34D35D">
            <w:pPr>
              <w:widowControl/>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本项目废气主要为危废贮存过程中产生的</w:t>
            </w:r>
            <w:r>
              <w:rPr>
                <w:rFonts w:hint="eastAsia"/>
                <w:color w:val="auto"/>
                <w:sz w:val="24"/>
                <w:szCs w:val="24"/>
                <w:highlight w:val="none"/>
                <w:lang w:eastAsia="zh-CN"/>
              </w:rPr>
              <w:t>有机废气（以非甲烷总烃计）、酸性废气（以硫酸雾、氯化氢计）</w:t>
            </w:r>
            <w:r>
              <w:rPr>
                <w:rFonts w:hint="eastAsia"/>
                <w:color w:val="auto"/>
                <w:sz w:val="24"/>
                <w:szCs w:val="24"/>
                <w:highlight w:val="none"/>
              </w:rPr>
              <w:t>执行《大气污染物综合排放标准》</w:t>
            </w:r>
            <w:r>
              <w:rPr>
                <w:rFonts w:hint="eastAsia"/>
                <w:color w:val="auto"/>
                <w:sz w:val="24"/>
                <w:szCs w:val="24"/>
                <w:highlight w:val="none"/>
                <w:lang w:eastAsia="zh-CN"/>
              </w:rPr>
              <w:t>（</w:t>
            </w:r>
            <w:r>
              <w:rPr>
                <w:rFonts w:hint="eastAsia"/>
                <w:color w:val="auto"/>
                <w:sz w:val="24"/>
                <w:szCs w:val="24"/>
                <w:highlight w:val="none"/>
              </w:rPr>
              <w:t>GB16297-1996</w:t>
            </w:r>
            <w:r>
              <w:rPr>
                <w:rFonts w:hint="eastAsia"/>
                <w:color w:val="auto"/>
                <w:sz w:val="24"/>
                <w:szCs w:val="24"/>
                <w:highlight w:val="none"/>
                <w:lang w:eastAsia="zh-CN"/>
              </w:rPr>
              <w:t>）</w:t>
            </w:r>
            <w:r>
              <w:rPr>
                <w:rFonts w:hint="eastAsia"/>
                <w:color w:val="auto"/>
                <w:sz w:val="24"/>
                <w:szCs w:val="24"/>
                <w:highlight w:val="none"/>
              </w:rPr>
              <w:t>二级标准；</w:t>
            </w:r>
            <w:r>
              <w:rPr>
                <w:rFonts w:hint="eastAsia"/>
                <w:color w:val="auto"/>
                <w:sz w:val="24"/>
                <w:szCs w:val="24"/>
                <w:highlight w:val="none"/>
              </w:rPr>
              <w:t>厂界无组织排放恶臭执行《恶臭污染物排放标准》</w:t>
            </w:r>
            <w:r>
              <w:rPr>
                <w:rFonts w:hint="eastAsia"/>
                <w:color w:val="auto"/>
                <w:sz w:val="24"/>
                <w:szCs w:val="24"/>
                <w:highlight w:val="none"/>
                <w:lang w:eastAsia="zh-CN"/>
              </w:rPr>
              <w:t>（</w:t>
            </w:r>
            <w:r>
              <w:rPr>
                <w:rFonts w:hint="eastAsia"/>
                <w:color w:val="auto"/>
                <w:sz w:val="24"/>
                <w:szCs w:val="24"/>
                <w:highlight w:val="none"/>
              </w:rPr>
              <w:t>GB14554-93</w:t>
            </w:r>
            <w:r>
              <w:rPr>
                <w:rFonts w:hint="eastAsia"/>
                <w:color w:val="auto"/>
                <w:sz w:val="24"/>
                <w:szCs w:val="24"/>
                <w:highlight w:val="none"/>
                <w:lang w:eastAsia="zh-CN"/>
              </w:rPr>
              <w:t>）</w:t>
            </w:r>
            <w:r>
              <w:rPr>
                <w:rFonts w:hint="eastAsia"/>
                <w:color w:val="auto"/>
                <w:sz w:val="24"/>
                <w:szCs w:val="24"/>
                <w:highlight w:val="none"/>
              </w:rPr>
              <w:t>二级标准；</w:t>
            </w:r>
            <w:r>
              <w:rPr>
                <w:rFonts w:hint="eastAsia"/>
                <w:color w:val="auto"/>
                <w:sz w:val="24"/>
                <w:szCs w:val="24"/>
                <w:highlight w:val="none"/>
                <w:lang w:eastAsia="zh-CN"/>
              </w:rPr>
              <w:t>厂界</w:t>
            </w:r>
            <w:r>
              <w:rPr>
                <w:rFonts w:hint="eastAsia"/>
                <w:color w:val="auto"/>
                <w:sz w:val="24"/>
                <w:szCs w:val="24"/>
                <w:highlight w:val="none"/>
              </w:rPr>
              <w:t>无组织排放VOCs执行《挥发性有机物无组织排放控制标准》</w:t>
            </w:r>
            <w:r>
              <w:rPr>
                <w:rFonts w:hint="eastAsia"/>
                <w:color w:val="auto"/>
                <w:sz w:val="24"/>
                <w:szCs w:val="24"/>
                <w:highlight w:val="none"/>
                <w:lang w:eastAsia="zh-CN"/>
              </w:rPr>
              <w:t>（</w:t>
            </w:r>
            <w:r>
              <w:rPr>
                <w:rFonts w:hint="eastAsia"/>
                <w:color w:val="auto"/>
                <w:sz w:val="24"/>
                <w:szCs w:val="24"/>
                <w:highlight w:val="none"/>
              </w:rPr>
              <w:t>GB37822-2019</w:t>
            </w:r>
            <w:r>
              <w:rPr>
                <w:rFonts w:hint="eastAsia"/>
                <w:color w:val="auto"/>
                <w:sz w:val="24"/>
                <w:szCs w:val="24"/>
                <w:highlight w:val="none"/>
                <w:lang w:eastAsia="zh-CN"/>
              </w:rPr>
              <w:t>）</w:t>
            </w:r>
            <w:r>
              <w:rPr>
                <w:rFonts w:hint="eastAsia"/>
                <w:color w:val="auto"/>
                <w:sz w:val="24"/>
                <w:szCs w:val="24"/>
                <w:highlight w:val="none"/>
              </w:rPr>
              <w:t>表A.1</w:t>
            </w:r>
            <w:r>
              <w:rPr>
                <w:rFonts w:hint="eastAsia"/>
                <w:color w:val="auto"/>
                <w:sz w:val="24"/>
                <w:szCs w:val="24"/>
                <w:highlight w:val="none"/>
              </w:rPr>
              <w:t>的排放限值</w:t>
            </w:r>
            <w:r>
              <w:rPr>
                <w:rFonts w:hint="eastAsia"/>
                <w:color w:val="auto"/>
                <w:sz w:val="24"/>
                <w:szCs w:val="24"/>
                <w:highlight w:val="none"/>
                <w:lang w:eastAsia="zh-CN"/>
              </w:rPr>
              <w:t>；厂内</w:t>
            </w:r>
            <w:r>
              <w:rPr>
                <w:rFonts w:hint="eastAsia"/>
                <w:color w:val="auto"/>
                <w:sz w:val="24"/>
                <w:szCs w:val="24"/>
                <w:highlight w:val="none"/>
              </w:rPr>
              <w:t>无组织排放VOCs执行《挥发性有机物排放控制标准》（DB61/T1061-2017）表2限值要求</w:t>
            </w:r>
            <w:r>
              <w:rPr>
                <w:rFonts w:hint="eastAsia"/>
                <w:color w:val="auto"/>
                <w:sz w:val="24"/>
                <w:szCs w:val="24"/>
                <w:highlight w:val="none"/>
                <w:lang w:eastAsia="zh-CN"/>
              </w:rPr>
              <w:t>，</w:t>
            </w:r>
            <w:r>
              <w:rPr>
                <w:rFonts w:hint="eastAsia"/>
                <w:color w:val="auto"/>
                <w:sz w:val="24"/>
                <w:szCs w:val="24"/>
                <w:highlight w:val="none"/>
              </w:rPr>
              <w:t>具体</w:t>
            </w:r>
            <w:r>
              <w:rPr>
                <w:color w:val="auto"/>
                <w:sz w:val="24"/>
                <w:szCs w:val="24"/>
                <w:highlight w:val="none"/>
              </w:rPr>
              <w:t>详见</w:t>
            </w:r>
            <w:r>
              <w:rPr>
                <w:rFonts w:hint="eastAsia"/>
                <w:color w:val="auto"/>
                <w:sz w:val="24"/>
                <w:szCs w:val="24"/>
                <w:highlight w:val="none"/>
              </w:rPr>
              <w:t>下</w:t>
            </w:r>
            <w:r>
              <w:rPr>
                <w:color w:val="auto"/>
                <w:sz w:val="24"/>
                <w:szCs w:val="24"/>
                <w:highlight w:val="none"/>
              </w:rPr>
              <w:t>表</w:t>
            </w:r>
            <w:r>
              <w:rPr>
                <w:rFonts w:hint="eastAsia"/>
                <w:color w:val="auto"/>
                <w:sz w:val="24"/>
                <w:szCs w:val="24"/>
                <w:highlight w:val="none"/>
              </w:rPr>
              <w:t>。</w:t>
            </w:r>
          </w:p>
          <w:p w14:paraId="4AB6BA35">
            <w:pPr>
              <w:widowControl/>
              <w:adjustRightInd w:val="0"/>
              <w:snapToGrid w:val="0"/>
              <w:jc w:val="center"/>
              <w:rPr>
                <w:b/>
                <w:color w:val="auto"/>
                <w:highlight w:val="none"/>
              </w:rPr>
            </w:pPr>
            <w:r>
              <w:rPr>
                <w:b/>
                <w:color w:val="auto"/>
                <w:highlight w:val="none"/>
              </w:rPr>
              <w:t>表3-</w:t>
            </w:r>
            <w:r>
              <w:rPr>
                <w:rFonts w:hint="eastAsia"/>
                <w:b/>
                <w:color w:val="auto"/>
                <w:highlight w:val="none"/>
                <w:lang w:val="en-US" w:eastAsia="zh-CN"/>
              </w:rPr>
              <w:t>9</w:t>
            </w:r>
            <w:r>
              <w:rPr>
                <w:b/>
                <w:color w:val="auto"/>
                <w:highlight w:val="none"/>
              </w:rPr>
              <w:t>大气污染物排放标准</w:t>
            </w:r>
          </w:p>
          <w:tbl>
            <w:tblPr>
              <w:tblStyle w:val="189"/>
              <w:tblW w:w="8256" w:type="dxa"/>
              <w:tblInd w:w="9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16"/>
              <w:gridCol w:w="1395"/>
              <w:gridCol w:w="1095"/>
              <w:gridCol w:w="930"/>
              <w:gridCol w:w="1125"/>
              <w:gridCol w:w="2995"/>
            </w:tblGrid>
            <w:tr w14:paraId="328C2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tcBorders>
                    <w:tl2br w:val="nil"/>
                    <w:tr2bl w:val="nil"/>
                  </w:tcBorders>
                  <w:vAlign w:val="center"/>
                </w:tcPr>
                <w:p w14:paraId="32410D53">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污染源</w:t>
                  </w:r>
                </w:p>
              </w:tc>
              <w:tc>
                <w:tcPr>
                  <w:tcW w:w="1395" w:type="dxa"/>
                  <w:tcBorders>
                    <w:tl2br w:val="nil"/>
                    <w:tr2bl w:val="nil"/>
                  </w:tcBorders>
                  <w:vAlign w:val="center"/>
                </w:tcPr>
                <w:p w14:paraId="1E32859D">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污染物</w:t>
                  </w:r>
                </w:p>
              </w:tc>
              <w:tc>
                <w:tcPr>
                  <w:tcW w:w="1095" w:type="dxa"/>
                  <w:tcBorders>
                    <w:tl2br w:val="nil"/>
                    <w:tr2bl w:val="nil"/>
                  </w:tcBorders>
                  <w:vAlign w:val="center"/>
                </w:tcPr>
                <w:p w14:paraId="68B38340">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最高允许排放浓度（mg/m</w:t>
                  </w:r>
                  <w:r>
                    <w:rPr>
                      <w:rFonts w:hint="eastAsia" w:ascii="Times New Roman" w:hAnsi="Times New Roman" w:eastAsia="宋体" w:cs="Times New Roman"/>
                      <w:b/>
                      <w:bCs/>
                      <w:color w:val="auto"/>
                      <w:kern w:val="0"/>
                      <w:szCs w:val="21"/>
                      <w:highlight w:val="none"/>
                      <w:vertAlign w:val="superscript"/>
                    </w:rPr>
                    <w:t>3</w:t>
                  </w:r>
                  <w:r>
                    <w:rPr>
                      <w:rFonts w:hint="eastAsia" w:ascii="Times New Roman" w:hAnsi="Times New Roman" w:eastAsia="宋体" w:cs="Times New Roman"/>
                      <w:b/>
                      <w:bCs/>
                      <w:color w:val="auto"/>
                      <w:kern w:val="0"/>
                      <w:szCs w:val="21"/>
                      <w:highlight w:val="none"/>
                    </w:rPr>
                    <w:t>）</w:t>
                  </w:r>
                </w:p>
              </w:tc>
              <w:tc>
                <w:tcPr>
                  <w:tcW w:w="930" w:type="dxa"/>
                  <w:tcBorders>
                    <w:tl2br w:val="nil"/>
                    <w:tr2bl w:val="nil"/>
                  </w:tcBorders>
                  <w:vAlign w:val="center"/>
                </w:tcPr>
                <w:p w14:paraId="07CA2FB2">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排放速率（kg/h）</w:t>
                  </w:r>
                </w:p>
              </w:tc>
              <w:tc>
                <w:tcPr>
                  <w:tcW w:w="1125" w:type="dxa"/>
                  <w:tcBorders>
                    <w:tl2br w:val="nil"/>
                    <w:tr2bl w:val="nil"/>
                  </w:tcBorders>
                  <w:vAlign w:val="center"/>
                </w:tcPr>
                <w:p w14:paraId="7CBB3879">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无组织排放监控浓度（mg/m</w:t>
                  </w:r>
                  <w:r>
                    <w:rPr>
                      <w:rFonts w:hint="eastAsia" w:ascii="Times New Roman" w:hAnsi="Times New Roman" w:eastAsia="宋体" w:cs="Times New Roman"/>
                      <w:b/>
                      <w:bCs/>
                      <w:color w:val="auto"/>
                      <w:kern w:val="0"/>
                      <w:szCs w:val="21"/>
                      <w:highlight w:val="none"/>
                      <w:vertAlign w:val="superscript"/>
                    </w:rPr>
                    <w:t>3</w:t>
                  </w:r>
                  <w:r>
                    <w:rPr>
                      <w:rFonts w:hint="eastAsia" w:ascii="Times New Roman" w:hAnsi="Times New Roman" w:eastAsia="宋体" w:cs="Times New Roman"/>
                      <w:b/>
                      <w:bCs/>
                      <w:color w:val="auto"/>
                      <w:kern w:val="0"/>
                      <w:szCs w:val="21"/>
                      <w:highlight w:val="none"/>
                    </w:rPr>
                    <w:t>）</w:t>
                  </w:r>
                </w:p>
              </w:tc>
              <w:tc>
                <w:tcPr>
                  <w:tcW w:w="2995" w:type="dxa"/>
                  <w:tcBorders>
                    <w:tl2br w:val="nil"/>
                    <w:tr2bl w:val="nil"/>
                  </w:tcBorders>
                  <w:vAlign w:val="center"/>
                </w:tcPr>
                <w:p w14:paraId="28FA085A">
                  <w:pPr>
                    <w:pStyle w:val="170"/>
                    <w:adjustRightInd/>
                    <w:snapToGrid/>
                    <w:spacing w:before="0" w:after="0"/>
                    <w:jc w:val="center"/>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标准名称</w:t>
                  </w:r>
                </w:p>
              </w:tc>
            </w:tr>
            <w:tr w14:paraId="27892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restart"/>
                  <w:tcBorders>
                    <w:tl2br w:val="nil"/>
                    <w:tr2bl w:val="nil"/>
                  </w:tcBorders>
                  <w:vAlign w:val="center"/>
                </w:tcPr>
                <w:p w14:paraId="1719C57B">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eastAsia="zh-CN"/>
                    </w:rPr>
                    <w:t>危险</w:t>
                  </w:r>
                  <w:r>
                    <w:rPr>
                      <w:rFonts w:hint="eastAsia" w:ascii="Times New Roman" w:hAnsi="Times New Roman" w:eastAsia="宋体" w:cs="Times New Roman"/>
                      <w:color w:val="auto"/>
                      <w:kern w:val="0"/>
                      <w:szCs w:val="21"/>
                      <w:highlight w:val="none"/>
                    </w:rPr>
                    <w:t>废物暂存过程</w:t>
                  </w:r>
                </w:p>
              </w:tc>
              <w:tc>
                <w:tcPr>
                  <w:tcW w:w="1395" w:type="dxa"/>
                  <w:tcBorders>
                    <w:tl2br w:val="nil"/>
                    <w:tr2bl w:val="nil"/>
                  </w:tcBorders>
                  <w:vAlign w:val="center"/>
                </w:tcPr>
                <w:p w14:paraId="0363DC77">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非甲烷总烃</w:t>
                  </w:r>
                </w:p>
              </w:tc>
              <w:tc>
                <w:tcPr>
                  <w:tcW w:w="1095" w:type="dxa"/>
                  <w:tcBorders>
                    <w:tl2br w:val="nil"/>
                    <w:tr2bl w:val="nil"/>
                  </w:tcBorders>
                  <w:vAlign w:val="center"/>
                </w:tcPr>
                <w:p w14:paraId="17C79FE0">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120</w:t>
                  </w:r>
                </w:p>
              </w:tc>
              <w:tc>
                <w:tcPr>
                  <w:tcW w:w="930" w:type="dxa"/>
                  <w:tcBorders>
                    <w:tl2br w:val="nil"/>
                    <w:tr2bl w:val="nil"/>
                  </w:tcBorders>
                  <w:vAlign w:val="center"/>
                </w:tcPr>
                <w:p w14:paraId="00330EE6">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10</w:t>
                  </w:r>
                </w:p>
              </w:tc>
              <w:tc>
                <w:tcPr>
                  <w:tcW w:w="1125" w:type="dxa"/>
                  <w:tcBorders>
                    <w:tl2br w:val="nil"/>
                    <w:tr2bl w:val="nil"/>
                  </w:tcBorders>
                  <w:vAlign w:val="center"/>
                </w:tcPr>
                <w:p w14:paraId="177240F9">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4.0</w:t>
                  </w:r>
                </w:p>
              </w:tc>
              <w:tc>
                <w:tcPr>
                  <w:tcW w:w="2995" w:type="dxa"/>
                  <w:vMerge w:val="restart"/>
                  <w:tcBorders>
                    <w:tl2br w:val="nil"/>
                    <w:tr2bl w:val="nil"/>
                  </w:tcBorders>
                  <w:vAlign w:val="center"/>
                </w:tcPr>
                <w:p w14:paraId="59EF4CDB">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《大气污染物综合排放标准》（GB16297-1996）表2</w:t>
                  </w:r>
                  <w:r>
                    <w:rPr>
                      <w:rFonts w:hint="eastAsia" w:ascii="Times New Roman" w:hAnsi="Times New Roman" w:eastAsia="宋体" w:cs="Times New Roman"/>
                      <w:color w:val="auto"/>
                      <w:kern w:val="0"/>
                      <w:szCs w:val="21"/>
                      <w:highlight w:val="none"/>
                      <w:lang w:eastAsia="zh-CN"/>
                    </w:rPr>
                    <w:t>；《挥发性有机物无组织排放控制标准》</w:t>
                  </w:r>
                  <w:r>
                    <w:rPr>
                      <w:rFonts w:hint="eastAsia" w:ascii="Times New Roman" w:hAnsi="Times New Roman"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eastAsia="zh-CN"/>
                    </w:rPr>
                    <w:t>GB37822-2019</w:t>
                  </w:r>
                  <w:r>
                    <w:rPr>
                      <w:rFonts w:hint="eastAsia" w:ascii="Times New Roman" w:hAnsi="Times New Roman"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eastAsia="zh-CN"/>
                    </w:rPr>
                    <w:t>表A.1的排放限值</w:t>
                  </w:r>
                </w:p>
              </w:tc>
            </w:tr>
            <w:tr w14:paraId="27824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25EAAC52">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p>
              </w:tc>
              <w:tc>
                <w:tcPr>
                  <w:tcW w:w="1395" w:type="dxa"/>
                  <w:tcBorders>
                    <w:tl2br w:val="nil"/>
                    <w:tr2bl w:val="nil"/>
                  </w:tcBorders>
                  <w:vAlign w:val="center"/>
                </w:tcPr>
                <w:p w14:paraId="020A58D4">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氯化氢</w:t>
                  </w:r>
                </w:p>
              </w:tc>
              <w:tc>
                <w:tcPr>
                  <w:tcW w:w="1095" w:type="dxa"/>
                  <w:tcBorders>
                    <w:tl2br w:val="nil"/>
                    <w:tr2bl w:val="nil"/>
                  </w:tcBorders>
                  <w:vAlign w:val="center"/>
                </w:tcPr>
                <w:p w14:paraId="57910E75">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100</w:t>
                  </w:r>
                </w:p>
              </w:tc>
              <w:tc>
                <w:tcPr>
                  <w:tcW w:w="930" w:type="dxa"/>
                  <w:tcBorders>
                    <w:tl2br w:val="nil"/>
                    <w:tr2bl w:val="nil"/>
                  </w:tcBorders>
                  <w:vAlign w:val="center"/>
                </w:tcPr>
                <w:p w14:paraId="6B1F451D">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0.26</w:t>
                  </w:r>
                </w:p>
              </w:tc>
              <w:tc>
                <w:tcPr>
                  <w:tcW w:w="1125" w:type="dxa"/>
                  <w:tcBorders>
                    <w:tl2br w:val="nil"/>
                    <w:tr2bl w:val="nil"/>
                  </w:tcBorders>
                  <w:vAlign w:val="center"/>
                </w:tcPr>
                <w:p w14:paraId="7AE82AE3">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0.2</w:t>
                  </w:r>
                </w:p>
              </w:tc>
              <w:tc>
                <w:tcPr>
                  <w:tcW w:w="2995" w:type="dxa"/>
                  <w:vMerge w:val="continue"/>
                  <w:tcBorders>
                    <w:tl2br w:val="nil"/>
                    <w:tr2bl w:val="nil"/>
                  </w:tcBorders>
                  <w:vAlign w:val="center"/>
                </w:tcPr>
                <w:p w14:paraId="4C98C5E1">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5637C5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6791BB9E">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p>
              </w:tc>
              <w:tc>
                <w:tcPr>
                  <w:tcW w:w="1395" w:type="dxa"/>
                  <w:tcBorders>
                    <w:tl2br w:val="nil"/>
                    <w:tr2bl w:val="nil"/>
                  </w:tcBorders>
                  <w:vAlign w:val="center"/>
                </w:tcPr>
                <w:p w14:paraId="7BF11483">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硫酸雾</w:t>
                  </w:r>
                </w:p>
              </w:tc>
              <w:tc>
                <w:tcPr>
                  <w:tcW w:w="1095" w:type="dxa"/>
                  <w:tcBorders>
                    <w:tl2br w:val="nil"/>
                    <w:tr2bl w:val="nil"/>
                  </w:tcBorders>
                  <w:vAlign w:val="center"/>
                </w:tcPr>
                <w:p w14:paraId="422199FB">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45</w:t>
                  </w:r>
                </w:p>
              </w:tc>
              <w:tc>
                <w:tcPr>
                  <w:tcW w:w="930" w:type="dxa"/>
                  <w:tcBorders>
                    <w:tl2br w:val="nil"/>
                    <w:tr2bl w:val="nil"/>
                  </w:tcBorders>
                  <w:vAlign w:val="center"/>
                </w:tcPr>
                <w:p w14:paraId="5D00905E">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1.5</w:t>
                  </w:r>
                </w:p>
              </w:tc>
              <w:tc>
                <w:tcPr>
                  <w:tcW w:w="1125" w:type="dxa"/>
                  <w:tcBorders>
                    <w:tl2br w:val="nil"/>
                    <w:tr2bl w:val="nil"/>
                  </w:tcBorders>
                  <w:vAlign w:val="center"/>
                </w:tcPr>
                <w:p w14:paraId="3702B7FC">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1.2</w:t>
                  </w:r>
                </w:p>
              </w:tc>
              <w:tc>
                <w:tcPr>
                  <w:tcW w:w="2995" w:type="dxa"/>
                  <w:vMerge w:val="continue"/>
                  <w:tcBorders>
                    <w:tl2br w:val="nil"/>
                    <w:tr2bl w:val="nil"/>
                  </w:tcBorders>
                  <w:vAlign w:val="center"/>
                </w:tcPr>
                <w:p w14:paraId="6B1FBB53">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67B83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0CBD37A0">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p>
              </w:tc>
              <w:tc>
                <w:tcPr>
                  <w:tcW w:w="1395" w:type="dxa"/>
                  <w:tcBorders>
                    <w:tl2br w:val="nil"/>
                    <w:tr2bl w:val="nil"/>
                  </w:tcBorders>
                  <w:vAlign w:val="center"/>
                </w:tcPr>
                <w:p w14:paraId="6C7DC3C5">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kern w:val="0"/>
                      <w:szCs w:val="21"/>
                      <w:highlight w:val="none"/>
                      <w:lang w:eastAsia="zh-CN"/>
                    </w:rPr>
                    <w:t>氟化物</w:t>
                  </w:r>
                </w:p>
              </w:tc>
              <w:tc>
                <w:tcPr>
                  <w:tcW w:w="1095" w:type="dxa"/>
                  <w:tcBorders>
                    <w:tl2br w:val="nil"/>
                    <w:tr2bl w:val="nil"/>
                  </w:tcBorders>
                  <w:vAlign w:val="center"/>
                </w:tcPr>
                <w:p w14:paraId="6D6FF52A">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9</w:t>
                  </w:r>
                </w:p>
              </w:tc>
              <w:tc>
                <w:tcPr>
                  <w:tcW w:w="930" w:type="dxa"/>
                  <w:tcBorders>
                    <w:tl2br w:val="nil"/>
                    <w:tr2bl w:val="nil"/>
                  </w:tcBorders>
                  <w:vAlign w:val="center"/>
                </w:tcPr>
                <w:p w14:paraId="5567A55F">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0.1</w:t>
                  </w:r>
                </w:p>
              </w:tc>
              <w:tc>
                <w:tcPr>
                  <w:tcW w:w="1125" w:type="dxa"/>
                  <w:tcBorders>
                    <w:tl2br w:val="nil"/>
                    <w:tr2bl w:val="nil"/>
                  </w:tcBorders>
                  <w:vAlign w:val="center"/>
                </w:tcPr>
                <w:p w14:paraId="3C0BB157">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0.15</w:t>
                  </w:r>
                </w:p>
              </w:tc>
              <w:tc>
                <w:tcPr>
                  <w:tcW w:w="2995" w:type="dxa"/>
                  <w:vMerge w:val="continue"/>
                  <w:tcBorders>
                    <w:tl2br w:val="nil"/>
                    <w:tr2bl w:val="nil"/>
                  </w:tcBorders>
                  <w:vAlign w:val="center"/>
                </w:tcPr>
                <w:p w14:paraId="4C13A50B">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6F92D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7A54E8CE">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2BF98B9C">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氨</w:t>
                  </w:r>
                </w:p>
              </w:tc>
              <w:tc>
                <w:tcPr>
                  <w:tcW w:w="1095" w:type="dxa"/>
                  <w:tcBorders>
                    <w:tl2br w:val="nil"/>
                    <w:tr2bl w:val="nil"/>
                  </w:tcBorders>
                  <w:vAlign w:val="center"/>
                </w:tcPr>
                <w:p w14:paraId="410E71D8">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30" w:type="dxa"/>
                  <w:tcBorders>
                    <w:tl2br w:val="nil"/>
                    <w:tr2bl w:val="nil"/>
                  </w:tcBorders>
                  <w:vAlign w:val="center"/>
                </w:tcPr>
                <w:p w14:paraId="0FE3BEA7">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4.9</w:t>
                  </w:r>
                </w:p>
              </w:tc>
              <w:tc>
                <w:tcPr>
                  <w:tcW w:w="1125" w:type="dxa"/>
                  <w:tcBorders>
                    <w:tl2br w:val="nil"/>
                    <w:tr2bl w:val="nil"/>
                  </w:tcBorders>
                  <w:vAlign w:val="center"/>
                </w:tcPr>
                <w:p w14:paraId="2873D72B">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1.5</w:t>
                  </w:r>
                </w:p>
              </w:tc>
              <w:tc>
                <w:tcPr>
                  <w:tcW w:w="2995" w:type="dxa"/>
                  <w:vMerge w:val="restart"/>
                  <w:tcBorders>
                    <w:tl2br w:val="nil"/>
                    <w:tr2bl w:val="nil"/>
                  </w:tcBorders>
                  <w:vAlign w:val="center"/>
                </w:tcPr>
                <w:p w14:paraId="57160D58">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《恶臭污染物排放标准》（GB14554-93）二级标准</w:t>
                  </w:r>
                </w:p>
              </w:tc>
            </w:tr>
            <w:tr w14:paraId="6D526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3AA8866B">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67FF6B96">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硫化氢</w:t>
                  </w:r>
                </w:p>
              </w:tc>
              <w:tc>
                <w:tcPr>
                  <w:tcW w:w="1095" w:type="dxa"/>
                  <w:tcBorders>
                    <w:tl2br w:val="nil"/>
                    <w:tr2bl w:val="nil"/>
                  </w:tcBorders>
                  <w:vAlign w:val="center"/>
                </w:tcPr>
                <w:p w14:paraId="70CFC5EF">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30" w:type="dxa"/>
                  <w:tcBorders>
                    <w:tl2br w:val="nil"/>
                    <w:tr2bl w:val="nil"/>
                  </w:tcBorders>
                  <w:vAlign w:val="center"/>
                </w:tcPr>
                <w:p w14:paraId="0CCCAB89">
                  <w:pPr>
                    <w:pStyle w:val="170"/>
                    <w:adjustRightInd/>
                    <w:snapToGrid/>
                    <w:spacing w:before="0" w:after="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0.33</w:t>
                  </w:r>
                </w:p>
              </w:tc>
              <w:tc>
                <w:tcPr>
                  <w:tcW w:w="1125" w:type="dxa"/>
                  <w:tcBorders>
                    <w:tl2br w:val="nil"/>
                    <w:tr2bl w:val="nil"/>
                  </w:tcBorders>
                  <w:vAlign w:val="center"/>
                </w:tcPr>
                <w:p w14:paraId="57093706">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0.06</w:t>
                  </w:r>
                </w:p>
              </w:tc>
              <w:tc>
                <w:tcPr>
                  <w:tcW w:w="2995" w:type="dxa"/>
                  <w:vMerge w:val="continue"/>
                  <w:tcBorders>
                    <w:tl2br w:val="nil"/>
                    <w:tr2bl w:val="nil"/>
                  </w:tcBorders>
                  <w:vAlign w:val="center"/>
                </w:tcPr>
                <w:p w14:paraId="1055BB01">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1E29F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50E0D512">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418265C2">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臭气浓度</w:t>
                  </w:r>
                </w:p>
              </w:tc>
              <w:tc>
                <w:tcPr>
                  <w:tcW w:w="1095" w:type="dxa"/>
                  <w:tcBorders>
                    <w:tl2br w:val="nil"/>
                    <w:tr2bl w:val="nil"/>
                  </w:tcBorders>
                  <w:vAlign w:val="center"/>
                </w:tcPr>
                <w:p w14:paraId="6AFDDD63">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930" w:type="dxa"/>
                  <w:tcBorders>
                    <w:tl2br w:val="nil"/>
                    <w:tr2bl w:val="nil"/>
                  </w:tcBorders>
                  <w:vAlign w:val="center"/>
                </w:tcPr>
                <w:p w14:paraId="22CEBB6D">
                  <w:pPr>
                    <w:pStyle w:val="170"/>
                    <w:adjustRightInd/>
                    <w:snapToGrid/>
                    <w:spacing w:before="0" w:after="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w:t>
                  </w:r>
                </w:p>
              </w:tc>
              <w:tc>
                <w:tcPr>
                  <w:tcW w:w="1125" w:type="dxa"/>
                  <w:tcBorders>
                    <w:tl2br w:val="nil"/>
                    <w:tr2bl w:val="nil"/>
                  </w:tcBorders>
                  <w:vAlign w:val="center"/>
                </w:tcPr>
                <w:p w14:paraId="3F1E521A">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20（无量纲）</w:t>
                  </w:r>
                </w:p>
              </w:tc>
              <w:tc>
                <w:tcPr>
                  <w:tcW w:w="2995" w:type="dxa"/>
                  <w:vMerge w:val="continue"/>
                  <w:tcBorders>
                    <w:tl2br w:val="nil"/>
                    <w:tr2bl w:val="nil"/>
                  </w:tcBorders>
                  <w:vAlign w:val="center"/>
                </w:tcPr>
                <w:p w14:paraId="25F223DF">
                  <w:pPr>
                    <w:pStyle w:val="170"/>
                    <w:adjustRightInd/>
                    <w:snapToGrid/>
                    <w:spacing w:before="0" w:after="0"/>
                    <w:jc w:val="center"/>
                    <w:rPr>
                      <w:rFonts w:hint="eastAsia" w:ascii="Times New Roman" w:hAnsi="Times New Roman" w:eastAsia="宋体" w:cs="Times New Roman"/>
                      <w:color w:val="auto"/>
                      <w:kern w:val="0"/>
                      <w:szCs w:val="21"/>
                      <w:highlight w:val="none"/>
                    </w:rPr>
                  </w:pPr>
                </w:p>
              </w:tc>
            </w:tr>
            <w:tr w14:paraId="2EC3EA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6" w:type="dxa"/>
                  <w:vMerge w:val="continue"/>
                  <w:tcBorders>
                    <w:tl2br w:val="nil"/>
                    <w:tr2bl w:val="nil"/>
                  </w:tcBorders>
                  <w:vAlign w:val="center"/>
                </w:tcPr>
                <w:p w14:paraId="5A7A4CAB">
                  <w:pPr>
                    <w:pStyle w:val="170"/>
                    <w:adjustRightInd/>
                    <w:snapToGrid/>
                    <w:spacing w:before="0" w:after="0"/>
                    <w:jc w:val="center"/>
                    <w:rPr>
                      <w:rFonts w:hint="eastAsia" w:ascii="Times New Roman" w:hAnsi="Times New Roman" w:eastAsia="宋体" w:cs="Times New Roman"/>
                      <w:color w:val="auto"/>
                      <w:kern w:val="0"/>
                      <w:szCs w:val="21"/>
                      <w:highlight w:val="none"/>
                    </w:rPr>
                  </w:pPr>
                </w:p>
              </w:tc>
              <w:tc>
                <w:tcPr>
                  <w:tcW w:w="1395" w:type="dxa"/>
                  <w:tcBorders>
                    <w:tl2br w:val="nil"/>
                    <w:tr2bl w:val="nil"/>
                  </w:tcBorders>
                  <w:vAlign w:val="center"/>
                </w:tcPr>
                <w:p w14:paraId="2FD396DA">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非甲烷总烃</w:t>
                  </w:r>
                </w:p>
              </w:tc>
              <w:tc>
                <w:tcPr>
                  <w:tcW w:w="1095" w:type="dxa"/>
                  <w:tcBorders>
                    <w:tl2br w:val="nil"/>
                    <w:tr2bl w:val="nil"/>
                  </w:tcBorders>
                  <w:vAlign w:val="center"/>
                </w:tcPr>
                <w:p w14:paraId="22413A39">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w:t>
                  </w:r>
                </w:p>
              </w:tc>
              <w:tc>
                <w:tcPr>
                  <w:tcW w:w="930" w:type="dxa"/>
                  <w:tcBorders>
                    <w:tl2br w:val="nil"/>
                    <w:tr2bl w:val="nil"/>
                  </w:tcBorders>
                  <w:vAlign w:val="center"/>
                </w:tcPr>
                <w:p w14:paraId="32CFE350">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厂区内</w:t>
                  </w:r>
                </w:p>
              </w:tc>
              <w:tc>
                <w:tcPr>
                  <w:tcW w:w="1125" w:type="dxa"/>
                  <w:tcBorders>
                    <w:tl2br w:val="nil"/>
                    <w:tr2bl w:val="nil"/>
                  </w:tcBorders>
                  <w:vAlign w:val="center"/>
                </w:tcPr>
                <w:p w14:paraId="69571968">
                  <w:pPr>
                    <w:pStyle w:val="170"/>
                    <w:adjustRightInd/>
                    <w:snapToGrid/>
                    <w:spacing w:before="0" w:after="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10（最高值</w:t>
                  </w:r>
                  <w:r>
                    <w:rPr>
                      <w:rFonts w:hint="eastAsia" w:ascii="Times New Roman" w:hAnsi="Times New Roman" w:cs="Times New Roman"/>
                      <w:color w:val="auto"/>
                      <w:kern w:val="0"/>
                      <w:szCs w:val="21"/>
                      <w:highlight w:val="none"/>
                      <w:lang w:eastAsia="zh-CN"/>
                    </w:rPr>
                    <w:t>）</w:t>
                  </w:r>
                </w:p>
              </w:tc>
              <w:tc>
                <w:tcPr>
                  <w:tcW w:w="2995" w:type="dxa"/>
                  <w:tcBorders>
                    <w:tl2br w:val="nil"/>
                    <w:tr2bl w:val="nil"/>
                  </w:tcBorders>
                  <w:vAlign w:val="center"/>
                </w:tcPr>
                <w:p w14:paraId="69C1AA9B">
                  <w:pPr>
                    <w:pStyle w:val="170"/>
                    <w:adjustRightInd/>
                    <w:snapToGrid/>
                    <w:spacing w:before="0" w:after="0"/>
                    <w:jc w:val="center"/>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《挥发性有机物排放控制标准</w:t>
                  </w:r>
                  <w:r>
                    <w:rPr>
                      <w:rFonts w:hint="eastAsia" w:ascii="Times New Roman" w:hAnsi="Times New Roman"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rPr>
                    <w:t>（DB61/T1061-2017）</w:t>
                  </w:r>
                </w:p>
              </w:tc>
            </w:tr>
          </w:tbl>
          <w:p w14:paraId="2295CC37">
            <w:pPr>
              <w:widowControl/>
              <w:spacing w:line="360" w:lineRule="auto"/>
              <w:ind w:firstLine="482" w:firstLineChars="200"/>
              <w:rPr>
                <w:b/>
                <w:bCs/>
                <w:color w:val="auto"/>
                <w:sz w:val="24"/>
                <w:szCs w:val="24"/>
                <w:highlight w:val="none"/>
              </w:rPr>
            </w:pPr>
            <w:r>
              <w:rPr>
                <w:rFonts w:hint="eastAsia"/>
                <w:b/>
                <w:bCs/>
                <w:color w:val="auto"/>
                <w:sz w:val="24"/>
                <w:szCs w:val="24"/>
                <w:highlight w:val="none"/>
              </w:rPr>
              <w:t>（</w:t>
            </w:r>
            <w:r>
              <w:rPr>
                <w:rFonts w:hint="eastAsia"/>
                <w:b/>
                <w:bCs/>
                <w:color w:val="auto"/>
                <w:sz w:val="24"/>
                <w:szCs w:val="24"/>
                <w:highlight w:val="none"/>
                <w:lang w:val="en-US" w:eastAsia="zh-CN"/>
              </w:rPr>
              <w:t>2</w:t>
            </w:r>
            <w:r>
              <w:rPr>
                <w:rFonts w:hint="eastAsia"/>
                <w:b/>
                <w:bCs/>
                <w:color w:val="auto"/>
                <w:sz w:val="24"/>
                <w:szCs w:val="24"/>
                <w:highlight w:val="none"/>
              </w:rPr>
              <w:t>）</w:t>
            </w:r>
            <w:r>
              <w:rPr>
                <w:b/>
                <w:bCs/>
                <w:color w:val="auto"/>
                <w:sz w:val="24"/>
                <w:szCs w:val="24"/>
                <w:highlight w:val="none"/>
              </w:rPr>
              <w:t>噪声排放标准</w:t>
            </w:r>
          </w:p>
          <w:p w14:paraId="62B380D4">
            <w:pPr>
              <w:adjustRightInd w:val="0"/>
              <w:snapToGrid w:val="0"/>
              <w:spacing w:line="360" w:lineRule="auto"/>
              <w:ind w:firstLine="480" w:firstLineChars="200"/>
              <w:jc w:val="both"/>
              <w:rPr>
                <w:rFonts w:hint="eastAsia"/>
                <w:color w:val="auto"/>
                <w:sz w:val="24"/>
                <w:szCs w:val="24"/>
                <w:highlight w:val="none"/>
              </w:rPr>
            </w:pPr>
            <w:r>
              <w:rPr>
                <w:rFonts w:hint="eastAsia"/>
                <w:color w:val="auto"/>
                <w:sz w:val="24"/>
                <w:szCs w:val="24"/>
                <w:highlight w:val="none"/>
              </w:rPr>
              <w:t>本项目运营期厂界</w:t>
            </w:r>
            <w:r>
              <w:rPr>
                <w:color w:val="auto"/>
                <w:sz w:val="24"/>
                <w:szCs w:val="24"/>
                <w:highlight w:val="none"/>
              </w:rPr>
              <w:t>噪声排放执行《工业企业厂界环境噪声排放标准》（</w:t>
            </w:r>
            <w:r>
              <w:rPr>
                <w:rFonts w:hint="eastAsia"/>
                <w:color w:val="auto"/>
                <w:sz w:val="24"/>
                <w:szCs w:val="24"/>
                <w:highlight w:val="none"/>
                <w:lang w:eastAsia="zh-CN"/>
              </w:rPr>
              <w:t>GB-</w:t>
            </w:r>
            <w:r>
              <w:rPr>
                <w:color w:val="auto"/>
                <w:sz w:val="24"/>
                <w:szCs w:val="24"/>
                <w:highlight w:val="none"/>
              </w:rPr>
              <w:t>12348-2008）</w:t>
            </w:r>
            <w:r>
              <w:rPr>
                <w:rFonts w:hint="eastAsia"/>
                <w:color w:val="auto"/>
                <w:sz w:val="24"/>
                <w:szCs w:val="24"/>
                <w:highlight w:val="none"/>
                <w:lang w:val="en-US" w:eastAsia="zh-CN"/>
              </w:rPr>
              <w:t>3</w:t>
            </w:r>
            <w:r>
              <w:rPr>
                <w:rFonts w:hint="eastAsia"/>
                <w:color w:val="auto"/>
                <w:sz w:val="24"/>
                <w:szCs w:val="24"/>
                <w:highlight w:val="none"/>
              </w:rPr>
              <w:t>类</w:t>
            </w:r>
            <w:r>
              <w:rPr>
                <w:color w:val="auto"/>
                <w:sz w:val="24"/>
                <w:szCs w:val="24"/>
                <w:highlight w:val="none"/>
              </w:rPr>
              <w:t>标准限值</w:t>
            </w:r>
            <w:r>
              <w:rPr>
                <w:rFonts w:hint="eastAsia"/>
                <w:color w:val="auto"/>
                <w:sz w:val="24"/>
                <w:szCs w:val="24"/>
                <w:highlight w:val="none"/>
              </w:rPr>
              <w:t>。具体</w:t>
            </w:r>
            <w:r>
              <w:rPr>
                <w:color w:val="auto"/>
                <w:sz w:val="24"/>
                <w:szCs w:val="24"/>
                <w:highlight w:val="none"/>
              </w:rPr>
              <w:t>详见</w:t>
            </w:r>
            <w:r>
              <w:rPr>
                <w:rFonts w:hint="eastAsia"/>
                <w:color w:val="auto"/>
                <w:sz w:val="24"/>
                <w:szCs w:val="24"/>
                <w:highlight w:val="none"/>
              </w:rPr>
              <w:t>下</w:t>
            </w:r>
            <w:r>
              <w:rPr>
                <w:color w:val="auto"/>
                <w:sz w:val="24"/>
                <w:szCs w:val="24"/>
                <w:highlight w:val="none"/>
              </w:rPr>
              <w:t>表</w:t>
            </w:r>
            <w:r>
              <w:rPr>
                <w:rFonts w:hint="eastAsia"/>
                <w:color w:val="auto"/>
                <w:sz w:val="24"/>
                <w:szCs w:val="24"/>
                <w:highlight w:val="none"/>
              </w:rPr>
              <w:t>。</w:t>
            </w:r>
          </w:p>
          <w:p w14:paraId="5BC3CBEE">
            <w:pPr>
              <w:widowControl/>
              <w:adjustRightInd w:val="0"/>
              <w:snapToGrid w:val="0"/>
              <w:jc w:val="center"/>
              <w:rPr>
                <w:b/>
                <w:color w:val="auto"/>
                <w:highlight w:val="none"/>
              </w:rPr>
            </w:pPr>
            <w:r>
              <w:rPr>
                <w:b/>
                <w:color w:val="auto"/>
                <w:highlight w:val="none"/>
              </w:rPr>
              <w:t>表3</w:t>
            </w:r>
            <w:r>
              <w:rPr>
                <w:rFonts w:hint="eastAsia"/>
                <w:b/>
                <w:color w:val="auto"/>
                <w:highlight w:val="none"/>
              </w:rPr>
              <w:t>-</w:t>
            </w:r>
            <w:r>
              <w:rPr>
                <w:rFonts w:hint="eastAsia"/>
                <w:b/>
                <w:color w:val="auto"/>
                <w:highlight w:val="none"/>
                <w:lang w:val="en-US" w:eastAsia="zh-CN"/>
              </w:rPr>
              <w:t>10</w:t>
            </w:r>
            <w:r>
              <w:rPr>
                <w:b/>
                <w:color w:val="auto"/>
                <w:highlight w:val="none"/>
              </w:rPr>
              <w:t>《工业企业厂界环境噪声排放标准》（</w:t>
            </w:r>
            <w:r>
              <w:rPr>
                <w:rFonts w:hint="eastAsia"/>
                <w:b/>
                <w:color w:val="auto"/>
                <w:highlight w:val="none"/>
                <w:lang w:eastAsia="zh-CN"/>
              </w:rPr>
              <w:t>GB-</w:t>
            </w:r>
            <w:r>
              <w:rPr>
                <w:b/>
                <w:color w:val="auto"/>
                <w:highlight w:val="none"/>
              </w:rPr>
              <w:t>12348-2008）单位dB（A）</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59"/>
              <w:gridCol w:w="1806"/>
              <w:gridCol w:w="1856"/>
              <w:gridCol w:w="1454"/>
            </w:tblGrid>
            <w:tr w14:paraId="4305C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5" w:type="pct"/>
                  <w:vAlign w:val="center"/>
                </w:tcPr>
                <w:p w14:paraId="0894B548">
                  <w:pPr>
                    <w:widowControl/>
                    <w:autoSpaceDE w:val="0"/>
                    <w:adjustRightInd w:val="0"/>
                    <w:snapToGrid w:val="0"/>
                    <w:jc w:val="center"/>
                    <w:rPr>
                      <w:rFonts w:ascii="宋体" w:hAnsi="宋体" w:cs="宋体"/>
                      <w:b/>
                      <w:bCs/>
                      <w:color w:val="auto"/>
                      <w:kern w:val="0"/>
                      <w:highlight w:val="none"/>
                    </w:rPr>
                  </w:pPr>
                  <w:r>
                    <w:rPr>
                      <w:rFonts w:ascii="宋体" w:hAnsi="宋体" w:cs="宋体"/>
                      <w:b/>
                      <w:bCs/>
                      <w:color w:val="auto"/>
                      <w:kern w:val="0"/>
                      <w:highlight w:val="none"/>
                    </w:rPr>
                    <w:t>声环境功能区类别</w:t>
                  </w:r>
                </w:p>
              </w:tc>
              <w:tc>
                <w:tcPr>
                  <w:tcW w:w="1078" w:type="pct"/>
                  <w:vAlign w:val="center"/>
                </w:tcPr>
                <w:p w14:paraId="011431DE">
                  <w:pPr>
                    <w:widowControl/>
                    <w:autoSpaceDE w:val="0"/>
                    <w:adjustRightInd w:val="0"/>
                    <w:snapToGrid w:val="0"/>
                    <w:jc w:val="center"/>
                    <w:rPr>
                      <w:rFonts w:ascii="宋体" w:hAnsi="宋体" w:cs="宋体"/>
                      <w:b/>
                      <w:bCs/>
                      <w:color w:val="auto"/>
                      <w:kern w:val="0"/>
                      <w:highlight w:val="none"/>
                    </w:rPr>
                  </w:pPr>
                  <w:r>
                    <w:rPr>
                      <w:rFonts w:hint="eastAsia" w:ascii="宋体" w:hAnsi="宋体" w:cs="宋体"/>
                      <w:b/>
                      <w:bCs/>
                      <w:color w:val="auto"/>
                      <w:kern w:val="0"/>
                      <w:highlight w:val="none"/>
                    </w:rPr>
                    <w:t>方位</w:t>
                  </w:r>
                </w:p>
              </w:tc>
              <w:tc>
                <w:tcPr>
                  <w:tcW w:w="1108" w:type="pct"/>
                  <w:vAlign w:val="center"/>
                </w:tcPr>
                <w:p w14:paraId="44219389">
                  <w:pPr>
                    <w:widowControl/>
                    <w:autoSpaceDE w:val="0"/>
                    <w:adjustRightInd w:val="0"/>
                    <w:snapToGrid w:val="0"/>
                    <w:jc w:val="center"/>
                    <w:rPr>
                      <w:rFonts w:ascii="宋体" w:hAnsi="宋体" w:cs="宋体"/>
                      <w:b/>
                      <w:bCs/>
                      <w:color w:val="auto"/>
                      <w:kern w:val="0"/>
                      <w:highlight w:val="none"/>
                    </w:rPr>
                  </w:pPr>
                  <w:r>
                    <w:rPr>
                      <w:rFonts w:ascii="宋体" w:hAnsi="宋体" w:cs="宋体"/>
                      <w:b/>
                      <w:bCs/>
                      <w:color w:val="auto"/>
                      <w:kern w:val="0"/>
                      <w:highlight w:val="none"/>
                    </w:rPr>
                    <w:t>昼间</w:t>
                  </w:r>
                </w:p>
              </w:tc>
              <w:tc>
                <w:tcPr>
                  <w:tcW w:w="868" w:type="pct"/>
                  <w:vAlign w:val="center"/>
                </w:tcPr>
                <w:p w14:paraId="3F2F52E8">
                  <w:pPr>
                    <w:widowControl/>
                    <w:autoSpaceDE w:val="0"/>
                    <w:adjustRightInd w:val="0"/>
                    <w:snapToGrid w:val="0"/>
                    <w:jc w:val="center"/>
                    <w:rPr>
                      <w:rFonts w:ascii="宋体" w:hAnsi="宋体" w:cs="宋体"/>
                      <w:b/>
                      <w:bCs/>
                      <w:color w:val="auto"/>
                      <w:kern w:val="0"/>
                      <w:highlight w:val="none"/>
                    </w:rPr>
                  </w:pPr>
                  <w:r>
                    <w:rPr>
                      <w:rFonts w:ascii="宋体" w:hAnsi="宋体" w:cs="宋体"/>
                      <w:b/>
                      <w:bCs/>
                      <w:color w:val="auto"/>
                      <w:kern w:val="0"/>
                      <w:highlight w:val="none"/>
                    </w:rPr>
                    <w:t>夜间</w:t>
                  </w:r>
                </w:p>
              </w:tc>
            </w:tr>
            <w:tr w14:paraId="1AC68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5" w:type="pct"/>
                  <w:vAlign w:val="center"/>
                </w:tcPr>
                <w:p w14:paraId="2DC3A149">
                  <w:pPr>
                    <w:widowControl/>
                    <w:autoSpaceDE w:val="0"/>
                    <w:adjustRightInd w:val="0"/>
                    <w:snapToGrid w:val="0"/>
                    <w:jc w:val="center"/>
                    <w:rPr>
                      <w:color w:val="auto"/>
                      <w:kern w:val="0"/>
                      <w:highlight w:val="none"/>
                    </w:rPr>
                  </w:pPr>
                  <w:r>
                    <w:rPr>
                      <w:rFonts w:hint="eastAsia"/>
                      <w:color w:val="auto"/>
                      <w:kern w:val="0"/>
                      <w:highlight w:val="none"/>
                      <w:lang w:val="en-US" w:eastAsia="zh-CN"/>
                    </w:rPr>
                    <w:t>3</w:t>
                  </w:r>
                  <w:r>
                    <w:rPr>
                      <w:color w:val="auto"/>
                      <w:kern w:val="0"/>
                      <w:highlight w:val="none"/>
                    </w:rPr>
                    <w:t>类</w:t>
                  </w:r>
                </w:p>
              </w:tc>
              <w:tc>
                <w:tcPr>
                  <w:tcW w:w="1078" w:type="pct"/>
                  <w:vAlign w:val="center"/>
                </w:tcPr>
                <w:p w14:paraId="1F02C3B5">
                  <w:pPr>
                    <w:widowControl/>
                    <w:autoSpaceDE w:val="0"/>
                    <w:adjustRightInd w:val="0"/>
                    <w:snapToGrid w:val="0"/>
                    <w:jc w:val="center"/>
                    <w:rPr>
                      <w:color w:val="auto"/>
                      <w:kern w:val="0"/>
                      <w:highlight w:val="none"/>
                    </w:rPr>
                  </w:pPr>
                  <w:r>
                    <w:rPr>
                      <w:rFonts w:hint="eastAsia"/>
                      <w:color w:val="auto"/>
                      <w:kern w:val="0"/>
                      <w:highlight w:val="none"/>
                    </w:rPr>
                    <w:t>厂界四周</w:t>
                  </w:r>
                </w:p>
              </w:tc>
              <w:tc>
                <w:tcPr>
                  <w:tcW w:w="1108" w:type="pct"/>
                  <w:vAlign w:val="center"/>
                </w:tcPr>
                <w:p w14:paraId="18011DC5">
                  <w:pPr>
                    <w:widowControl/>
                    <w:autoSpaceDE w:val="0"/>
                    <w:adjustRightInd w:val="0"/>
                    <w:snapToGrid w:val="0"/>
                    <w:jc w:val="center"/>
                    <w:rPr>
                      <w:rFonts w:hint="default" w:eastAsia="宋体"/>
                      <w:color w:val="auto"/>
                      <w:kern w:val="0"/>
                      <w:highlight w:val="none"/>
                      <w:lang w:val="en-US" w:eastAsia="zh-CN"/>
                    </w:rPr>
                  </w:pPr>
                  <w:r>
                    <w:rPr>
                      <w:rFonts w:hint="eastAsia"/>
                      <w:color w:val="auto"/>
                      <w:kern w:val="0"/>
                      <w:highlight w:val="none"/>
                      <w:lang w:val="en-US" w:eastAsia="zh-CN"/>
                    </w:rPr>
                    <w:t>65</w:t>
                  </w:r>
                </w:p>
              </w:tc>
              <w:tc>
                <w:tcPr>
                  <w:tcW w:w="868" w:type="pct"/>
                  <w:vAlign w:val="center"/>
                </w:tcPr>
                <w:p w14:paraId="517318CD">
                  <w:pPr>
                    <w:widowControl/>
                    <w:autoSpaceDE w:val="0"/>
                    <w:adjustRightInd w:val="0"/>
                    <w:snapToGrid w:val="0"/>
                    <w:jc w:val="center"/>
                    <w:rPr>
                      <w:rFonts w:hint="default" w:eastAsia="宋体"/>
                      <w:color w:val="auto"/>
                      <w:kern w:val="0"/>
                      <w:highlight w:val="none"/>
                      <w:lang w:val="en-US" w:eastAsia="zh-CN"/>
                    </w:rPr>
                  </w:pPr>
                  <w:r>
                    <w:rPr>
                      <w:rFonts w:hint="eastAsia"/>
                      <w:color w:val="auto"/>
                      <w:kern w:val="0"/>
                      <w:highlight w:val="none"/>
                      <w:lang w:val="en-US" w:eastAsia="zh-CN"/>
                    </w:rPr>
                    <w:t>55</w:t>
                  </w:r>
                </w:p>
              </w:tc>
            </w:tr>
          </w:tbl>
          <w:p w14:paraId="3FD82F18">
            <w:pPr>
              <w:widowControl/>
              <w:spacing w:line="360" w:lineRule="auto"/>
              <w:ind w:firstLine="482" w:firstLineChars="200"/>
              <w:rPr>
                <w:color w:val="auto"/>
                <w:sz w:val="24"/>
                <w:szCs w:val="24"/>
                <w:highlight w:val="none"/>
              </w:rPr>
            </w:pPr>
            <w:r>
              <w:rPr>
                <w:rFonts w:hint="eastAsia"/>
                <w:b/>
                <w:bCs/>
                <w:color w:val="auto"/>
                <w:sz w:val="24"/>
                <w:szCs w:val="24"/>
                <w:highlight w:val="none"/>
              </w:rPr>
              <w:t>（</w:t>
            </w:r>
            <w:r>
              <w:rPr>
                <w:rFonts w:hint="eastAsia"/>
                <w:b/>
                <w:bCs/>
                <w:color w:val="auto"/>
                <w:sz w:val="24"/>
                <w:szCs w:val="24"/>
                <w:highlight w:val="none"/>
                <w:lang w:val="en-US" w:eastAsia="zh-CN"/>
              </w:rPr>
              <w:t>3</w:t>
            </w:r>
            <w:r>
              <w:rPr>
                <w:rFonts w:hint="eastAsia"/>
                <w:b/>
                <w:bCs/>
                <w:color w:val="auto"/>
                <w:sz w:val="24"/>
                <w:szCs w:val="24"/>
                <w:highlight w:val="none"/>
              </w:rPr>
              <w:t>）</w:t>
            </w:r>
            <w:r>
              <w:rPr>
                <w:b/>
                <w:bCs/>
                <w:color w:val="auto"/>
                <w:sz w:val="24"/>
                <w:szCs w:val="24"/>
                <w:highlight w:val="none"/>
              </w:rPr>
              <w:t>固体废物</w:t>
            </w:r>
          </w:p>
          <w:p w14:paraId="344FC8E4">
            <w:pPr>
              <w:adjustRightInd w:val="0"/>
              <w:snapToGrid w:val="0"/>
              <w:spacing w:line="360" w:lineRule="auto"/>
              <w:ind w:firstLine="480" w:firstLineChars="200"/>
              <w:jc w:val="left"/>
              <w:rPr>
                <w:bCs/>
                <w:color w:val="auto"/>
                <w:sz w:val="24"/>
                <w:szCs w:val="24"/>
                <w:highlight w:val="none"/>
              </w:rPr>
            </w:pPr>
            <w:r>
              <w:rPr>
                <w:color w:val="auto"/>
                <w:sz w:val="24"/>
                <w:szCs w:val="24"/>
                <w:highlight w:val="none"/>
              </w:rPr>
              <w:t>本项目固体废物的处理、处置均应满足《中华人民共和国固体废物污染环境防治法》中的有关规定要求</w:t>
            </w:r>
            <w:r>
              <w:rPr>
                <w:bCs/>
                <w:color w:val="auto"/>
                <w:sz w:val="24"/>
                <w:szCs w:val="24"/>
                <w:highlight w:val="none"/>
              </w:rPr>
              <w:t>。</w:t>
            </w:r>
            <w:r>
              <w:rPr>
                <w:rFonts w:hint="eastAsia"/>
                <w:color w:val="auto"/>
                <w:sz w:val="24"/>
                <w:szCs w:val="24"/>
                <w:highlight w:val="none"/>
              </w:rPr>
              <w:t>采用库房、包装工具（罐、桶、包装袋等）贮存一般工业固体废物过程的污染控制，其贮存过程应满足相应防渗漏、防雨淋、防扬尘等环境保护要求</w:t>
            </w:r>
            <w:r>
              <w:rPr>
                <w:bCs/>
                <w:color w:val="auto"/>
                <w:sz w:val="24"/>
                <w:szCs w:val="24"/>
                <w:highlight w:val="none"/>
              </w:rPr>
              <w:t>。</w:t>
            </w:r>
          </w:p>
          <w:p w14:paraId="248CAA29">
            <w:pPr>
              <w:adjustRightInd w:val="0"/>
              <w:snapToGrid w:val="0"/>
              <w:spacing w:line="360" w:lineRule="auto"/>
              <w:ind w:firstLine="480" w:firstLineChars="200"/>
              <w:jc w:val="left"/>
              <w:rPr>
                <w:rFonts w:hint="eastAsia"/>
                <w:color w:val="auto"/>
                <w:sz w:val="24"/>
                <w:szCs w:val="24"/>
                <w:highlight w:val="none"/>
              </w:rPr>
            </w:pPr>
            <w:r>
              <w:rPr>
                <w:rFonts w:hint="eastAsia"/>
                <w:color w:val="auto"/>
                <w:sz w:val="24"/>
                <w:szCs w:val="24"/>
                <w:highlight w:val="none"/>
              </w:rPr>
              <w:t>本项目对固体废物应进行分类贮存，采取防渗、防漏措施，一般工业固体废物的处理、处置均应满足《中华人民共和国固体废物污染环境防治法》中的有关规定要求。危险废物执行《危险废物贮存污染控制标准》GB18597-2023及《危险废物识别标志设置技术规范》（HJ 1276-2022）。</w:t>
            </w:r>
          </w:p>
          <w:p w14:paraId="438A488D">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本项目对现有</w:t>
            </w:r>
            <w:r>
              <w:rPr>
                <w:rFonts w:hint="eastAsia" w:ascii="Times New Roman" w:hAnsi="Times New Roman" w:eastAsia="宋体" w:cs="Times New Roman"/>
                <w:color w:val="auto"/>
                <w:sz w:val="24"/>
                <w:szCs w:val="24"/>
                <w:highlight w:val="none"/>
                <w:lang w:eastAsia="zh-CN"/>
              </w:rPr>
              <w:t>综合用房</w:t>
            </w:r>
            <w:r>
              <w:rPr>
                <w:rFonts w:hint="eastAsia" w:ascii="Times New Roman" w:hAnsi="Times New Roman" w:eastAsia="宋体" w:cs="Times New Roman"/>
                <w:color w:val="auto"/>
                <w:sz w:val="24"/>
                <w:szCs w:val="24"/>
                <w:highlight w:val="none"/>
              </w:rPr>
              <w:t>进行改造，改造后贮存设施应满足如下要求：</w:t>
            </w:r>
          </w:p>
          <w:p w14:paraId="1BCA671E">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（一）《危险废物贮存污染控制标准》（</w:t>
            </w:r>
            <w:r>
              <w:rPr>
                <w:rFonts w:hint="eastAsia" w:cs="Times New Roman"/>
                <w:color w:val="auto"/>
                <w:sz w:val="24"/>
                <w:szCs w:val="24"/>
                <w:highlight w:val="none"/>
                <w:lang w:eastAsia="zh-CN"/>
              </w:rPr>
              <w:t>GB 18597-2023</w:t>
            </w:r>
            <w:r>
              <w:rPr>
                <w:rFonts w:hint="eastAsia" w:ascii="Times New Roman" w:hAnsi="Times New Roman" w:eastAsia="宋体" w:cs="Times New Roman"/>
                <w:color w:val="auto"/>
                <w:sz w:val="24"/>
                <w:szCs w:val="24"/>
                <w:highlight w:val="none"/>
              </w:rPr>
              <w:t>）：</w:t>
            </w:r>
          </w:p>
          <w:p w14:paraId="60CF398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（1）贮存设施的设计方面</w:t>
            </w:r>
          </w:p>
          <w:p w14:paraId="209369D6">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l）设施底部必须高于地下水最高水位。</w:t>
            </w:r>
          </w:p>
          <w:p w14:paraId="4779B507">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2）地面与裙脚要用坚固、防渗的材料建造，建筑材料必须与危险废物相容。</w:t>
            </w:r>
          </w:p>
          <w:p w14:paraId="0D32488D">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3）必须有泄漏液体收集装置、气体导出口及气体净化装置。</w:t>
            </w:r>
          </w:p>
          <w:p w14:paraId="55B53C13">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4）设施内要有安全照明设施和观察窗口。</w:t>
            </w:r>
          </w:p>
          <w:p w14:paraId="119EED1F">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5）用以存放装载液体、半固体危险废物容器的地方，必须有耐腐蚀的硬化地面，且表面无裂隙。</w:t>
            </w:r>
          </w:p>
          <w:p w14:paraId="2336A9B2">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6）应设计堵截泄漏的裙脚，地面与裙脚所围建的容积不低于堵截最大容器的最大储量或总储量的五分之一。</w:t>
            </w:r>
          </w:p>
          <w:p w14:paraId="3C6D5AAF">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7）不相容的危险废物必须分开存放，并设有隔离间隔断。</w:t>
            </w:r>
          </w:p>
          <w:p w14:paraId="7BF3B0A3">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（2）危险废物贮存设施的安全防护</w:t>
            </w:r>
          </w:p>
          <w:p w14:paraId="7B6447B7">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1）危险废物贮存设施都必须按</w:t>
            </w:r>
            <w:r>
              <w:rPr>
                <w:rFonts w:hint="eastAsia" w:cs="Times New Roman"/>
                <w:color w:val="auto"/>
                <w:sz w:val="24"/>
                <w:szCs w:val="24"/>
                <w:highlight w:val="none"/>
                <w:lang w:eastAsia="zh-CN"/>
              </w:rPr>
              <w:t>GB 15562.2-1995</w:t>
            </w:r>
            <w:r>
              <w:rPr>
                <w:rFonts w:hint="eastAsia" w:ascii="Times New Roman" w:hAnsi="Times New Roman" w:eastAsia="宋体" w:cs="Times New Roman"/>
                <w:color w:val="auto"/>
                <w:sz w:val="24"/>
                <w:szCs w:val="24"/>
                <w:highlight w:val="none"/>
              </w:rPr>
              <w:t>的规定设置警示标志。</w:t>
            </w:r>
          </w:p>
          <w:p w14:paraId="38F35B6B">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2）危险废物贮存设施周围应设置围墙</w:t>
            </w:r>
            <w:r>
              <w:rPr>
                <w:rFonts w:hint="eastAsia" w:cs="Times New Roman"/>
                <w:color w:val="auto"/>
                <w:sz w:val="24"/>
                <w:szCs w:val="24"/>
                <w:highlight w:val="none"/>
                <w:lang w:eastAsia="zh-CN"/>
              </w:rPr>
              <w:t>或其他</w:t>
            </w:r>
            <w:r>
              <w:rPr>
                <w:rFonts w:hint="eastAsia" w:ascii="Times New Roman" w:hAnsi="Times New Roman" w:eastAsia="宋体" w:cs="Times New Roman"/>
                <w:color w:val="auto"/>
                <w:sz w:val="24"/>
                <w:szCs w:val="24"/>
                <w:highlight w:val="none"/>
              </w:rPr>
              <w:t>防护栅栏。</w:t>
            </w:r>
          </w:p>
          <w:p w14:paraId="6D8DAF11">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3）危险废物贮存设施应配备通讯设备、照明设施、安全防护服装及工具，并设有应急防护设施。</w:t>
            </w:r>
          </w:p>
          <w:p w14:paraId="59614C5D">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4）危险废物贮存设施内清理出来的泄漏物，一律按危险废物处理。</w:t>
            </w:r>
          </w:p>
          <w:p w14:paraId="39ECC6E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（二）HW06废有机溶剂</w:t>
            </w:r>
          </w:p>
          <w:p w14:paraId="2211B703">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暂存参照执行《废矿物油回收利用污染控制技术规范》（HJ607-2011）。</w:t>
            </w:r>
          </w:p>
          <w:p w14:paraId="53B0B3F6">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（1）贮存污染控制应符合</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危险废物贮存污染控制标准</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（GB 18597-2023中的有关规定。</w:t>
            </w:r>
          </w:p>
          <w:p w14:paraId="10B78D7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（2）贮存设施的设计、建设除符合危险废物贮存设计原则外，还应符合有关消防和危险品贮存设计规范。</w:t>
            </w:r>
          </w:p>
          <w:p w14:paraId="6A3398F8">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（3）贮存设施应远离火源，并避免高温和阳光直射。</w:t>
            </w:r>
          </w:p>
          <w:p w14:paraId="0D9C9A5E">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（4）应使用专用设施贮存，贮存前应进行检验，不应与不相容的废物混合，实行分类存放。</w:t>
            </w:r>
          </w:p>
          <w:p w14:paraId="1358EEA4">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（5）贮存设施内地面应做防渗处理，并建设废矿物油收集和倒流系统，用于收集不慎泄漏的液态物质。</w:t>
            </w:r>
          </w:p>
          <w:p w14:paraId="396FC77F">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（6）容器盛装液态危险废物时，应留有足够的膨胀余量，预留容积应不少于总容积的5%。</w:t>
            </w:r>
          </w:p>
          <w:p w14:paraId="0CB171F4">
            <w:pPr>
              <w:adjustRightInd w:val="0"/>
              <w:snapToGrid w:val="0"/>
              <w:spacing w:line="360" w:lineRule="auto"/>
              <w:ind w:firstLine="480" w:firstLineChars="200"/>
              <w:jc w:val="left"/>
              <w:rPr>
                <w:rFonts w:hint="eastAsia"/>
                <w:color w:val="auto"/>
                <w:sz w:val="24"/>
                <w:szCs w:val="24"/>
                <w:highlight w:val="none"/>
              </w:rPr>
            </w:pPr>
            <w:r>
              <w:rPr>
                <w:rFonts w:hint="eastAsia" w:ascii="Times New Roman" w:hAnsi="Times New Roman" w:eastAsia="宋体" w:cs="Times New Roman"/>
                <w:color w:val="auto"/>
                <w:sz w:val="24"/>
                <w:szCs w:val="24"/>
                <w:highlight w:val="none"/>
              </w:rPr>
              <w:t>（7）已盛装液态危险废物的容器应密封，且设置呼吸孔，防止气体膨胀，并安装防护罩，防止杂质落入。</w:t>
            </w:r>
          </w:p>
        </w:tc>
      </w:tr>
      <w:tr w14:paraId="26D58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1" w:hRule="atLeast"/>
          <w:jc w:val="center"/>
        </w:trPr>
        <w:tc>
          <w:tcPr>
            <w:tcW w:w="800" w:type="dxa"/>
            <w:vAlign w:val="center"/>
          </w:tcPr>
          <w:p w14:paraId="5E1689B7">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14:paraId="3467B012">
            <w:pPr>
              <w:adjustRightInd w:val="0"/>
              <w:snapToGrid w:val="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14:paraId="53F8B450">
            <w:pPr>
              <w:adjustRightInd w:val="0"/>
              <w:snapToGrid w:val="0"/>
              <w:jc w:val="center"/>
              <w:rPr>
                <w:rFonts w:hint="eastAsia" w:ascii="宋体" w:hAnsi="宋体" w:cs="宋体"/>
                <w:color w:val="auto"/>
                <w:kern w:val="0"/>
                <w:highlight w:val="none"/>
              </w:rPr>
            </w:pPr>
            <w:r>
              <w:rPr>
                <w:rFonts w:hint="eastAsia" w:ascii="宋体" w:hAnsi="宋体" w:cs="宋体"/>
                <w:color w:val="auto"/>
                <w:kern w:val="0"/>
                <w:sz w:val="24"/>
                <w:szCs w:val="24"/>
                <w:highlight w:val="none"/>
              </w:rPr>
              <w:t>指标</w:t>
            </w:r>
          </w:p>
        </w:tc>
        <w:tc>
          <w:tcPr>
            <w:tcW w:w="8623" w:type="dxa"/>
            <w:vAlign w:val="center"/>
          </w:tcPr>
          <w:p w14:paraId="41C49604">
            <w:pPr>
              <w:adjustRightInd w:val="0"/>
              <w:snapToGrid w:val="0"/>
              <w:spacing w:line="360" w:lineRule="auto"/>
              <w:ind w:firstLine="480" w:firstLineChars="200"/>
              <w:jc w:val="left"/>
              <w:rPr>
                <w:color w:val="auto"/>
                <w:sz w:val="24"/>
                <w:szCs w:val="24"/>
                <w:highlight w:val="none"/>
              </w:rPr>
            </w:pPr>
          </w:p>
          <w:p w14:paraId="79821918">
            <w:pPr>
              <w:spacing w:line="360" w:lineRule="auto"/>
              <w:ind w:firstLine="480" w:firstLineChars="200"/>
              <w:jc w:val="left"/>
              <w:rPr>
                <w:color w:val="auto"/>
                <w:sz w:val="24"/>
                <w:szCs w:val="32"/>
                <w:highlight w:val="none"/>
              </w:rPr>
            </w:pPr>
            <w:r>
              <w:rPr>
                <w:color w:val="auto"/>
                <w:sz w:val="24"/>
                <w:szCs w:val="32"/>
                <w:highlight w:val="none"/>
              </w:rPr>
              <w:t>根据“十四五”期间总量控制要求，并结合本项目实际情况，本项目涉及总量控制指标为</w:t>
            </w:r>
            <w:r>
              <w:rPr>
                <w:rFonts w:hint="eastAsia"/>
                <w:color w:val="auto"/>
                <w:sz w:val="24"/>
                <w:szCs w:val="32"/>
                <w:highlight w:val="none"/>
              </w:rPr>
              <w:t>COD、氨氮、</w:t>
            </w:r>
            <w:r>
              <w:rPr>
                <w:color w:val="auto"/>
                <w:sz w:val="24"/>
                <w:szCs w:val="32"/>
                <w:highlight w:val="none"/>
              </w:rPr>
              <w:t>氮氧化物和</w:t>
            </w:r>
            <w:r>
              <w:rPr>
                <w:rFonts w:hint="eastAsia"/>
                <w:color w:val="auto"/>
                <w:sz w:val="24"/>
                <w:szCs w:val="32"/>
                <w:highlight w:val="none"/>
              </w:rPr>
              <w:t>挥发性有机物</w:t>
            </w:r>
            <w:r>
              <w:rPr>
                <w:color w:val="auto"/>
                <w:sz w:val="24"/>
                <w:szCs w:val="32"/>
                <w:highlight w:val="none"/>
              </w:rPr>
              <w:t>。</w:t>
            </w:r>
          </w:p>
          <w:p w14:paraId="724527ED">
            <w:pPr>
              <w:spacing w:line="360" w:lineRule="auto"/>
              <w:ind w:firstLine="480" w:firstLineChars="200"/>
              <w:rPr>
                <w:color w:val="auto"/>
                <w:sz w:val="24"/>
                <w:szCs w:val="32"/>
                <w:highlight w:val="none"/>
              </w:rPr>
            </w:pPr>
            <w:r>
              <w:rPr>
                <w:color w:val="auto"/>
                <w:sz w:val="24"/>
                <w:szCs w:val="32"/>
                <w:highlight w:val="none"/>
              </w:rPr>
              <w:t>本项目</w:t>
            </w:r>
            <w:r>
              <w:rPr>
                <w:rFonts w:hint="eastAsia"/>
                <w:color w:val="auto"/>
                <w:sz w:val="24"/>
                <w:szCs w:val="32"/>
                <w:highlight w:val="none"/>
                <w:lang w:eastAsia="zh-CN"/>
              </w:rPr>
              <w:t>不涉及</w:t>
            </w:r>
            <w:r>
              <w:rPr>
                <w:color w:val="auto"/>
                <w:sz w:val="24"/>
                <w:szCs w:val="32"/>
                <w:highlight w:val="none"/>
              </w:rPr>
              <w:t>生产废水</w:t>
            </w:r>
            <w:r>
              <w:rPr>
                <w:rFonts w:hint="eastAsia"/>
                <w:color w:val="auto"/>
                <w:sz w:val="24"/>
                <w:szCs w:val="32"/>
                <w:highlight w:val="none"/>
                <w:lang w:eastAsia="zh-CN"/>
              </w:rPr>
              <w:t>产生，原有项目生活污水经化粪池（餐饮废水经油水分离器）预处理后由园区市政污水管网排入长青工业园污水处理厂处理，</w:t>
            </w:r>
            <w:r>
              <w:rPr>
                <w:rFonts w:hint="eastAsia"/>
                <w:color w:val="auto"/>
                <w:sz w:val="24"/>
                <w:szCs w:val="32"/>
                <w:highlight w:val="none"/>
              </w:rPr>
              <w:t>属于间接排放，故不涉及COD和NH</w:t>
            </w:r>
            <w:r>
              <w:rPr>
                <w:rFonts w:hint="eastAsia"/>
                <w:color w:val="auto"/>
                <w:sz w:val="24"/>
                <w:szCs w:val="32"/>
                <w:highlight w:val="none"/>
                <w:vertAlign w:val="subscript"/>
              </w:rPr>
              <w:t>3</w:t>
            </w:r>
            <w:r>
              <w:rPr>
                <w:rFonts w:hint="eastAsia"/>
                <w:color w:val="auto"/>
                <w:sz w:val="24"/>
                <w:szCs w:val="32"/>
                <w:highlight w:val="none"/>
              </w:rPr>
              <w:t>-N的总量控制指标。</w:t>
            </w:r>
          </w:p>
          <w:p w14:paraId="3E8A86F7">
            <w:pPr>
              <w:spacing w:line="360" w:lineRule="auto"/>
              <w:ind w:firstLine="480" w:firstLineChars="200"/>
              <w:rPr>
                <w:color w:val="auto"/>
                <w:sz w:val="24"/>
                <w:szCs w:val="32"/>
                <w:highlight w:val="none"/>
              </w:rPr>
            </w:pPr>
            <w:r>
              <w:rPr>
                <w:color w:val="auto"/>
                <w:sz w:val="24"/>
                <w:szCs w:val="32"/>
                <w:highlight w:val="none"/>
              </w:rPr>
              <w:t>本项目运营期涉及的废气控制指标主要为有机废气（以非甲烷总烃计），根据</w:t>
            </w:r>
            <w:r>
              <w:rPr>
                <w:color w:val="auto"/>
                <w:sz w:val="24"/>
                <w:szCs w:val="32"/>
                <w:highlight w:val="none"/>
              </w:rPr>
              <w:t>源强核算结果，</w:t>
            </w:r>
            <w:r>
              <w:rPr>
                <w:rFonts w:hint="eastAsia"/>
                <w:color w:val="auto"/>
                <w:sz w:val="24"/>
                <w:szCs w:val="32"/>
                <w:highlight w:val="none"/>
                <w:lang w:eastAsia="zh-CN"/>
              </w:rPr>
              <w:t>本项目</w:t>
            </w:r>
            <w:r>
              <w:rPr>
                <w:rFonts w:hint="eastAsia"/>
                <w:color w:val="auto"/>
                <w:sz w:val="24"/>
                <w:szCs w:val="32"/>
                <w:highlight w:val="none"/>
              </w:rPr>
              <w:t>挥发性有机物</w:t>
            </w:r>
            <w:r>
              <w:rPr>
                <w:color w:val="auto"/>
                <w:sz w:val="24"/>
                <w:szCs w:val="32"/>
                <w:highlight w:val="none"/>
              </w:rPr>
              <w:t>的排放量约为</w:t>
            </w:r>
            <w:r>
              <w:rPr>
                <w:rFonts w:hint="eastAsia"/>
                <w:color w:val="auto"/>
                <w:sz w:val="24"/>
                <w:szCs w:val="32"/>
                <w:highlight w:val="none"/>
                <w:lang w:val="en-US" w:eastAsia="zh-CN"/>
              </w:rPr>
              <w:t>1.96</w:t>
            </w:r>
            <w:r>
              <w:rPr>
                <w:color w:val="auto"/>
                <w:sz w:val="24"/>
                <w:szCs w:val="32"/>
                <w:highlight w:val="none"/>
              </w:rPr>
              <w:t>t/a，因此本项目建成后全厂的总量控制指标具体见下表。</w:t>
            </w:r>
          </w:p>
          <w:p w14:paraId="7BBED8BF">
            <w:pPr>
              <w:adjustRightInd w:val="0"/>
              <w:snapToGrid w:val="0"/>
              <w:ind w:firstLine="422" w:firstLineChars="200"/>
              <w:jc w:val="center"/>
              <w:rPr>
                <w:rFonts w:hint="eastAsia" w:eastAsia="宋体"/>
                <w:b/>
                <w:bCs/>
                <w:color w:val="auto"/>
                <w:szCs w:val="21"/>
                <w:highlight w:val="none"/>
                <w:lang w:eastAsia="zh-CN"/>
              </w:rPr>
            </w:pPr>
            <w:r>
              <w:rPr>
                <w:b/>
                <w:bCs/>
                <w:color w:val="auto"/>
                <w:szCs w:val="21"/>
                <w:highlight w:val="none"/>
              </w:rPr>
              <w:t>表3-</w:t>
            </w:r>
            <w:r>
              <w:rPr>
                <w:rFonts w:hint="eastAsia"/>
                <w:b/>
                <w:bCs/>
                <w:color w:val="auto"/>
                <w:szCs w:val="21"/>
                <w:highlight w:val="none"/>
              </w:rPr>
              <w:t>9</w:t>
            </w:r>
            <w:r>
              <w:rPr>
                <w:b/>
                <w:bCs/>
                <w:color w:val="auto"/>
                <w:szCs w:val="21"/>
                <w:highlight w:val="none"/>
              </w:rPr>
              <w:t xml:space="preserve">  污染物总量控制指标一览表</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428"/>
              <w:gridCol w:w="1560"/>
              <w:gridCol w:w="1737"/>
              <w:gridCol w:w="1738"/>
            </w:tblGrid>
            <w:tr w14:paraId="6D8F7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14:paraId="4B4D1A0B">
                  <w:pPr>
                    <w:adjustRightInd w:val="0"/>
                    <w:snapToGrid w:val="0"/>
                    <w:jc w:val="center"/>
                    <w:rPr>
                      <w:b/>
                      <w:bCs/>
                      <w:color w:val="auto"/>
                      <w:highlight w:val="none"/>
                    </w:rPr>
                  </w:pPr>
                  <w:r>
                    <w:rPr>
                      <w:rFonts w:hint="eastAsia"/>
                      <w:b/>
                      <w:bCs/>
                      <w:color w:val="auto"/>
                      <w:highlight w:val="none"/>
                    </w:rPr>
                    <w:t>污染物</w:t>
                  </w:r>
                </w:p>
              </w:tc>
              <w:tc>
                <w:tcPr>
                  <w:tcW w:w="1428" w:type="dxa"/>
                  <w:tcBorders>
                    <w:tl2br w:val="nil"/>
                    <w:tr2bl w:val="nil"/>
                  </w:tcBorders>
                  <w:vAlign w:val="center"/>
                </w:tcPr>
                <w:p w14:paraId="3220E80A">
                  <w:pPr>
                    <w:adjustRightInd w:val="0"/>
                    <w:snapToGrid w:val="0"/>
                    <w:jc w:val="center"/>
                    <w:rPr>
                      <w:b/>
                      <w:bCs/>
                      <w:color w:val="auto"/>
                      <w:highlight w:val="none"/>
                    </w:rPr>
                  </w:pPr>
                  <w:r>
                    <w:rPr>
                      <w:rFonts w:hint="eastAsia"/>
                      <w:b/>
                      <w:bCs/>
                      <w:color w:val="auto"/>
                      <w:highlight w:val="none"/>
                    </w:rPr>
                    <w:t>原有项目排放量</w:t>
                  </w:r>
                </w:p>
              </w:tc>
              <w:tc>
                <w:tcPr>
                  <w:tcW w:w="1560" w:type="dxa"/>
                  <w:tcBorders>
                    <w:tl2br w:val="nil"/>
                    <w:tr2bl w:val="nil"/>
                  </w:tcBorders>
                  <w:vAlign w:val="center"/>
                </w:tcPr>
                <w:p w14:paraId="534E1C31">
                  <w:pPr>
                    <w:adjustRightInd w:val="0"/>
                    <w:snapToGrid w:val="0"/>
                    <w:jc w:val="center"/>
                    <w:rPr>
                      <w:b/>
                      <w:bCs/>
                      <w:color w:val="auto"/>
                      <w:highlight w:val="none"/>
                    </w:rPr>
                  </w:pPr>
                  <w:r>
                    <w:rPr>
                      <w:rFonts w:hint="eastAsia"/>
                      <w:b/>
                      <w:bCs/>
                      <w:color w:val="auto"/>
                      <w:highlight w:val="none"/>
                    </w:rPr>
                    <w:t>本次项目排放量</w:t>
                  </w:r>
                </w:p>
              </w:tc>
              <w:tc>
                <w:tcPr>
                  <w:tcW w:w="1737" w:type="dxa"/>
                  <w:tcBorders>
                    <w:tl2br w:val="nil"/>
                    <w:tr2bl w:val="nil"/>
                  </w:tcBorders>
                  <w:vAlign w:val="center"/>
                </w:tcPr>
                <w:p w14:paraId="5BED96B7">
                  <w:pPr>
                    <w:adjustRightInd w:val="0"/>
                    <w:snapToGrid w:val="0"/>
                    <w:rPr>
                      <w:b/>
                      <w:bCs/>
                      <w:color w:val="auto"/>
                      <w:highlight w:val="none"/>
                    </w:rPr>
                  </w:pPr>
                  <w:r>
                    <w:rPr>
                      <w:b/>
                      <w:bCs/>
                      <w:color w:val="auto"/>
                      <w:highlight w:val="none"/>
                    </w:rPr>
                    <w:t>以新带老削减量</w:t>
                  </w:r>
                </w:p>
              </w:tc>
              <w:tc>
                <w:tcPr>
                  <w:tcW w:w="1738" w:type="dxa"/>
                  <w:tcBorders>
                    <w:tl2br w:val="nil"/>
                    <w:tr2bl w:val="nil"/>
                  </w:tcBorders>
                  <w:vAlign w:val="center"/>
                </w:tcPr>
                <w:p w14:paraId="3E55836F">
                  <w:pPr>
                    <w:adjustRightInd w:val="0"/>
                    <w:snapToGrid w:val="0"/>
                    <w:jc w:val="center"/>
                    <w:rPr>
                      <w:b/>
                      <w:bCs/>
                      <w:color w:val="auto"/>
                      <w:highlight w:val="none"/>
                    </w:rPr>
                  </w:pPr>
                  <w:r>
                    <w:rPr>
                      <w:rFonts w:hint="eastAsia"/>
                      <w:b/>
                      <w:bCs/>
                      <w:color w:val="auto"/>
                      <w:highlight w:val="none"/>
                    </w:rPr>
                    <w:t>扩建后建议申请总量控制指标量</w:t>
                  </w:r>
                </w:p>
              </w:tc>
            </w:tr>
            <w:tr w14:paraId="18DA3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14:paraId="20B4BAA5">
                  <w:pPr>
                    <w:adjustRightInd w:val="0"/>
                    <w:snapToGrid w:val="0"/>
                    <w:jc w:val="center"/>
                    <w:rPr>
                      <w:color w:val="auto"/>
                      <w:szCs w:val="21"/>
                      <w:highlight w:val="none"/>
                    </w:rPr>
                  </w:pPr>
                  <w:r>
                    <w:rPr>
                      <w:rFonts w:hint="eastAsia"/>
                      <w:color w:val="auto"/>
                      <w:szCs w:val="21"/>
                      <w:highlight w:val="none"/>
                    </w:rPr>
                    <w:t>挥发性有机物</w:t>
                  </w:r>
                </w:p>
              </w:tc>
              <w:tc>
                <w:tcPr>
                  <w:tcW w:w="1428" w:type="dxa"/>
                  <w:tcBorders>
                    <w:tl2br w:val="nil"/>
                    <w:tr2bl w:val="nil"/>
                  </w:tcBorders>
                  <w:vAlign w:val="center"/>
                </w:tcPr>
                <w:p w14:paraId="17370D9E">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0.233</w:t>
                  </w:r>
                  <w:r>
                    <w:rPr>
                      <w:color w:val="auto"/>
                      <w:highlight w:val="none"/>
                    </w:rPr>
                    <w:t>t/a</w:t>
                  </w:r>
                </w:p>
              </w:tc>
              <w:tc>
                <w:tcPr>
                  <w:tcW w:w="1560" w:type="dxa"/>
                  <w:tcBorders>
                    <w:tl2br w:val="nil"/>
                    <w:tr2bl w:val="nil"/>
                  </w:tcBorders>
                  <w:vAlign w:val="center"/>
                </w:tcPr>
                <w:p w14:paraId="2A2E1DB6">
                  <w:pPr>
                    <w:adjustRightInd w:val="0"/>
                    <w:snapToGrid w:val="0"/>
                    <w:jc w:val="center"/>
                    <w:rPr>
                      <w:rFonts w:eastAsia="等线"/>
                      <w:color w:val="auto"/>
                      <w:szCs w:val="21"/>
                      <w:highlight w:val="none"/>
                    </w:rPr>
                  </w:pPr>
                  <w:r>
                    <w:rPr>
                      <w:rFonts w:hint="eastAsia" w:eastAsia="等线"/>
                      <w:color w:val="auto"/>
                      <w:szCs w:val="21"/>
                      <w:highlight w:val="none"/>
                      <w:lang w:val="en-US" w:eastAsia="zh-CN"/>
                    </w:rPr>
                    <w:t>1.96</w:t>
                  </w:r>
                  <w:r>
                    <w:rPr>
                      <w:color w:val="auto"/>
                      <w:highlight w:val="none"/>
                    </w:rPr>
                    <w:t>t/a</w:t>
                  </w:r>
                </w:p>
              </w:tc>
              <w:tc>
                <w:tcPr>
                  <w:tcW w:w="1737" w:type="dxa"/>
                  <w:tcBorders>
                    <w:tl2br w:val="nil"/>
                    <w:tr2bl w:val="nil"/>
                  </w:tcBorders>
                  <w:vAlign w:val="center"/>
                </w:tcPr>
                <w:p w14:paraId="312875CD">
                  <w:pPr>
                    <w:adjustRightInd w:val="0"/>
                    <w:snapToGrid w:val="0"/>
                    <w:jc w:val="center"/>
                    <w:rPr>
                      <w:rFonts w:eastAsia="等线"/>
                      <w:color w:val="auto"/>
                      <w:szCs w:val="21"/>
                      <w:highlight w:val="none"/>
                    </w:rPr>
                  </w:pPr>
                  <w:r>
                    <w:rPr>
                      <w:rFonts w:hint="eastAsia"/>
                      <w:color w:val="auto"/>
                      <w:highlight w:val="none"/>
                      <w:lang w:val="en-US" w:eastAsia="zh-CN"/>
                    </w:rPr>
                    <w:t>0</w:t>
                  </w:r>
                </w:p>
              </w:tc>
              <w:tc>
                <w:tcPr>
                  <w:tcW w:w="1738" w:type="dxa"/>
                  <w:tcBorders>
                    <w:tl2br w:val="nil"/>
                    <w:tr2bl w:val="nil"/>
                  </w:tcBorders>
                  <w:vAlign w:val="center"/>
                </w:tcPr>
                <w:p w14:paraId="6685CCBB">
                  <w:pPr>
                    <w:adjustRightInd w:val="0"/>
                    <w:snapToGrid w:val="0"/>
                    <w:jc w:val="center"/>
                    <w:rPr>
                      <w:rFonts w:eastAsia="等线"/>
                      <w:color w:val="auto"/>
                      <w:szCs w:val="21"/>
                      <w:highlight w:val="none"/>
                    </w:rPr>
                  </w:pPr>
                  <w:r>
                    <w:rPr>
                      <w:rFonts w:hint="eastAsia" w:eastAsia="等线"/>
                      <w:color w:val="auto"/>
                      <w:szCs w:val="21"/>
                      <w:highlight w:val="none"/>
                      <w:lang w:val="en-US" w:eastAsia="zh-CN"/>
                    </w:rPr>
                    <w:t>2.193</w:t>
                  </w:r>
                  <w:r>
                    <w:rPr>
                      <w:color w:val="auto"/>
                      <w:highlight w:val="none"/>
                    </w:rPr>
                    <w:t>t/a</w:t>
                  </w:r>
                </w:p>
              </w:tc>
            </w:tr>
          </w:tbl>
          <w:p w14:paraId="3231D250">
            <w:pPr>
              <w:spacing w:line="360" w:lineRule="auto"/>
              <w:ind w:firstLine="480" w:firstLineChars="200"/>
              <w:rPr>
                <w:color w:val="auto"/>
                <w:sz w:val="24"/>
                <w:szCs w:val="24"/>
                <w:highlight w:val="none"/>
              </w:rPr>
            </w:pPr>
          </w:p>
        </w:tc>
      </w:tr>
    </w:tbl>
    <w:p w14:paraId="63FAD533">
      <w:pPr>
        <w:pStyle w:val="30"/>
        <w:jc w:val="center"/>
        <w:outlineLvl w:val="9"/>
        <w:rPr>
          <w:rFonts w:hint="eastAsia" w:ascii="黑体" w:hAnsi="黑体" w:eastAsia="黑体"/>
          <w:snapToGrid w:val="0"/>
          <w:color w:val="auto"/>
          <w:sz w:val="30"/>
          <w:szCs w:val="30"/>
          <w:highlight w:val="none"/>
        </w:rPr>
        <w:sectPr>
          <w:pgSz w:w="11907" w:h="16840"/>
          <w:pgMar w:top="1701" w:right="1531" w:bottom="2127" w:left="1531" w:header="851" w:footer="1701" w:gutter="0"/>
          <w:pgBorders>
            <w:top w:val="none" w:sz="0" w:space="0"/>
            <w:left w:val="none" w:sz="0" w:space="0"/>
            <w:bottom w:val="none" w:sz="0" w:space="0"/>
            <w:right w:val="none" w:sz="0" w:space="0"/>
          </w:pgBorders>
          <w:cols w:space="720" w:num="1"/>
          <w:docGrid w:linePitch="312" w:charSpace="0"/>
        </w:sectPr>
      </w:pPr>
    </w:p>
    <w:p w14:paraId="34C1DE0A">
      <w:pPr>
        <w:pStyle w:val="30"/>
        <w:jc w:val="center"/>
        <w:outlineLvl w:val="0"/>
        <w:rPr>
          <w:rFonts w:ascii="黑体" w:hAnsi="黑体" w:eastAsia="黑体"/>
          <w:snapToGrid w:val="0"/>
          <w:color w:val="auto"/>
          <w:sz w:val="21"/>
          <w:szCs w:val="21"/>
          <w:highlight w:val="none"/>
        </w:rPr>
      </w:pPr>
      <w:bookmarkStart w:id="69" w:name="_Toc3337"/>
      <w:bookmarkStart w:id="70" w:name="_Toc27565"/>
      <w:bookmarkStart w:id="71" w:name="_Toc25748"/>
      <w:bookmarkStart w:id="72" w:name="_Toc24344"/>
      <w:r>
        <w:rPr>
          <w:rFonts w:hint="eastAsia" w:ascii="黑体" w:hAnsi="黑体" w:eastAsia="黑体"/>
          <w:snapToGrid w:val="0"/>
          <w:color w:val="auto"/>
          <w:sz w:val="30"/>
          <w:szCs w:val="30"/>
          <w:highlight w:val="none"/>
        </w:rPr>
        <w:t>四、主要环境影响和保护措施</w:t>
      </w:r>
      <w:bookmarkEnd w:id="69"/>
      <w:bookmarkEnd w:id="70"/>
      <w:bookmarkEnd w:id="71"/>
      <w:bookmarkEnd w:id="72"/>
    </w:p>
    <w:tbl>
      <w:tblPr>
        <w:tblStyle w:val="35"/>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364"/>
      </w:tblGrid>
      <w:tr w14:paraId="78BB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617" w:type="dxa"/>
            <w:tcBorders>
              <w:tl2br w:val="nil"/>
              <w:tr2bl w:val="nil"/>
            </w:tcBorders>
            <w:tcMar>
              <w:left w:w="28" w:type="dxa"/>
              <w:right w:w="28" w:type="dxa"/>
            </w:tcMar>
            <w:vAlign w:val="center"/>
          </w:tcPr>
          <w:p w14:paraId="51990F76">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14:paraId="115DE259">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14:paraId="2C11AE94">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14:paraId="52EAEB7D">
            <w:pPr>
              <w:pStyle w:val="3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14:paraId="24A154F5">
            <w:pPr>
              <w:pStyle w:val="30"/>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364" w:type="dxa"/>
            <w:tcBorders>
              <w:tl2br w:val="nil"/>
              <w:tr2bl w:val="nil"/>
            </w:tcBorders>
            <w:vAlign w:val="center"/>
          </w:tcPr>
          <w:p w14:paraId="43735F9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本扩建项目</w:t>
            </w:r>
            <w:r>
              <w:rPr>
                <w:rFonts w:hint="eastAsia" w:cs="Times New Roman"/>
                <w:color w:val="auto"/>
                <w:sz w:val="24"/>
                <w:szCs w:val="24"/>
                <w:highlight w:val="none"/>
                <w:shd w:val="clear" w:color="auto" w:fill="FFFFFF"/>
                <w:lang w:val="en-US" w:eastAsia="zh-CN"/>
              </w:rPr>
              <w:t>拆除部分</w:t>
            </w:r>
            <w:r>
              <w:rPr>
                <w:rFonts w:hint="default" w:ascii="Times New Roman" w:hAnsi="Times New Roman" w:eastAsia="宋体" w:cs="Times New Roman"/>
                <w:color w:val="auto"/>
                <w:sz w:val="24"/>
                <w:szCs w:val="24"/>
                <w:highlight w:val="none"/>
                <w:shd w:val="clear" w:color="auto" w:fill="FFFFFF"/>
              </w:rPr>
              <w:t>原有厂内进行钢结构厂房建设，不涉及土建工程，根据项目特点，施工期主要是</w:t>
            </w:r>
            <w:r>
              <w:rPr>
                <w:rFonts w:hint="eastAsia" w:ascii="Times New Roman" w:hAnsi="Times New Roman" w:eastAsia="宋体" w:cs="Times New Roman"/>
                <w:color w:val="auto"/>
                <w:sz w:val="24"/>
                <w:szCs w:val="24"/>
                <w:highlight w:val="none"/>
                <w:shd w:val="clear" w:color="auto" w:fill="FFFFFF"/>
                <w:lang w:val="en-US" w:eastAsia="zh-CN"/>
              </w:rPr>
              <w:t>贮存库主题库房</w:t>
            </w:r>
            <w:r>
              <w:rPr>
                <w:rFonts w:hint="default" w:ascii="Times New Roman" w:hAnsi="Times New Roman" w:eastAsia="宋体" w:cs="Times New Roman"/>
                <w:color w:val="auto"/>
                <w:sz w:val="24"/>
                <w:szCs w:val="24"/>
                <w:highlight w:val="none"/>
                <w:shd w:val="clear" w:color="auto" w:fill="FFFFFF"/>
              </w:rPr>
              <w:t>的建设，建设工期为</w:t>
            </w:r>
            <w:r>
              <w:rPr>
                <w:rFonts w:hint="eastAsia" w:ascii="Times New Roman" w:hAnsi="Times New Roman" w:eastAsia="宋体" w:cs="Times New Roman"/>
                <w:color w:val="auto"/>
                <w:sz w:val="24"/>
                <w:szCs w:val="24"/>
                <w:highlight w:val="none"/>
                <w:shd w:val="clear" w:color="auto" w:fill="FFFFFF"/>
                <w:lang w:val="en-US" w:eastAsia="zh-CN"/>
              </w:rPr>
              <w:t>3</w:t>
            </w:r>
            <w:r>
              <w:rPr>
                <w:rFonts w:hint="default" w:ascii="Times New Roman" w:hAnsi="Times New Roman" w:eastAsia="宋体" w:cs="Times New Roman"/>
                <w:color w:val="auto"/>
                <w:sz w:val="24"/>
                <w:szCs w:val="24"/>
                <w:highlight w:val="none"/>
                <w:shd w:val="clear" w:color="auto" w:fill="FFFFFF"/>
              </w:rPr>
              <w:t>个月。</w:t>
            </w:r>
          </w:p>
          <w:p w14:paraId="6B23796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本项目施工期大气污染物主要是施工场地平整、机械车辆运输中产生的扬尘及施工机械排放的烟气。</w:t>
            </w:r>
          </w:p>
          <w:p w14:paraId="21CB5E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1、扬尘</w:t>
            </w:r>
          </w:p>
          <w:p w14:paraId="3D5495D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扬尘产生的途径主要为车辆运输等。浓度影响值随风速的变化而变化，当小风、静风天气作业时，影响范围较小；而当大风天气作业时起尘量大，扬尘污染范围也较大；扬尘对500m以外的环境空气影响微小。</w:t>
            </w:r>
          </w:p>
          <w:p w14:paraId="1B5C9C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根据现场勘查，本项目</w:t>
            </w:r>
            <w:r>
              <w:rPr>
                <w:rFonts w:hint="eastAsia" w:ascii="Times New Roman" w:hAnsi="Times New Roman" w:eastAsia="宋体" w:cs="Times New Roman"/>
                <w:color w:val="auto"/>
                <w:sz w:val="24"/>
                <w:szCs w:val="24"/>
                <w:highlight w:val="none"/>
                <w:shd w:val="clear" w:color="auto" w:fill="FFFFFF"/>
                <w:lang w:val="en-US" w:eastAsia="zh-CN"/>
              </w:rPr>
              <w:t>主要为钢结构厂房的建设</w:t>
            </w:r>
            <w:r>
              <w:rPr>
                <w:rFonts w:hint="default" w:ascii="Times New Roman" w:hAnsi="Times New Roman" w:eastAsia="宋体" w:cs="Times New Roman"/>
                <w:color w:val="auto"/>
                <w:sz w:val="24"/>
                <w:szCs w:val="24"/>
                <w:highlight w:val="none"/>
                <w:shd w:val="clear" w:color="auto" w:fill="FFFFFF"/>
              </w:rPr>
              <w:t>，</w:t>
            </w:r>
            <w:r>
              <w:rPr>
                <w:rFonts w:hint="eastAsia" w:ascii="Times New Roman" w:hAnsi="Times New Roman" w:eastAsia="宋体" w:cs="Times New Roman"/>
                <w:color w:val="auto"/>
                <w:sz w:val="24"/>
                <w:szCs w:val="24"/>
                <w:highlight w:val="none"/>
                <w:shd w:val="clear" w:color="auto" w:fill="FFFFFF"/>
                <w:lang w:val="en-US" w:eastAsia="zh-CN"/>
              </w:rPr>
              <w:t>不涉及</w:t>
            </w:r>
            <w:r>
              <w:rPr>
                <w:rFonts w:hint="default" w:ascii="Times New Roman" w:hAnsi="Times New Roman" w:eastAsia="宋体" w:cs="Times New Roman"/>
                <w:color w:val="auto"/>
                <w:sz w:val="24"/>
                <w:szCs w:val="24"/>
                <w:highlight w:val="none"/>
                <w:shd w:val="clear" w:color="auto" w:fill="FFFFFF"/>
              </w:rPr>
              <w:t>土方开挖，项目施工扬尘量较小。</w:t>
            </w:r>
          </w:p>
          <w:p w14:paraId="0DD51D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为降低扬尘对周边环境的影响，采取如下减缓及保护措施：</w:t>
            </w:r>
          </w:p>
          <w:p w14:paraId="6BDFB5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shd w:val="clear" w:color="auto" w:fill="FFFFFF"/>
                <w:lang w:eastAsia="zh-CN"/>
              </w:rPr>
            </w:pPr>
            <w:r>
              <w:rPr>
                <w:rFonts w:hint="default" w:ascii="Times New Roman" w:hAnsi="Times New Roman" w:eastAsia="宋体" w:cs="Times New Roman"/>
                <w:color w:val="auto"/>
                <w:sz w:val="24"/>
                <w:szCs w:val="24"/>
                <w:highlight w:val="none"/>
                <w:shd w:val="clear" w:color="auto" w:fill="FFFFFF"/>
              </w:rPr>
              <w:t>在施工期间对车辆行驶的路面实施洒水抑尘</w:t>
            </w:r>
            <w:r>
              <w:rPr>
                <w:rFonts w:hint="eastAsia" w:ascii="Times New Roman" w:hAnsi="Times New Roman" w:eastAsia="宋体" w:cs="Times New Roman"/>
                <w:color w:val="auto"/>
                <w:sz w:val="24"/>
                <w:szCs w:val="24"/>
                <w:highlight w:val="none"/>
                <w:shd w:val="clear" w:color="auto" w:fill="FFFFFF"/>
                <w:lang w:eastAsia="zh-CN"/>
              </w:rPr>
              <w:t>。</w:t>
            </w:r>
          </w:p>
          <w:p w14:paraId="20C0F20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运输车辆必须密闭化，严禁跑冒滴漏，装卸时严禁凌空抛撒。</w:t>
            </w:r>
          </w:p>
          <w:p w14:paraId="601EEC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（3）禁止在道路和</w:t>
            </w:r>
            <w:r>
              <w:rPr>
                <w:rFonts w:hint="eastAsia" w:ascii="Times New Roman" w:hAnsi="Times New Roman" w:eastAsia="宋体" w:cs="Times New Roman"/>
                <w:color w:val="auto"/>
                <w:sz w:val="24"/>
                <w:szCs w:val="24"/>
                <w:highlight w:val="none"/>
                <w:shd w:val="clear" w:color="auto" w:fill="FFFFFF"/>
                <w:lang w:val="en-US" w:eastAsia="zh-CN"/>
              </w:rPr>
              <w:t>人</w:t>
            </w:r>
            <w:r>
              <w:rPr>
                <w:rFonts w:hint="default" w:ascii="Times New Roman" w:hAnsi="Times New Roman" w:eastAsia="宋体" w:cs="Times New Roman"/>
                <w:color w:val="auto"/>
                <w:sz w:val="24"/>
                <w:szCs w:val="24"/>
                <w:highlight w:val="none"/>
                <w:shd w:val="clear" w:color="auto" w:fill="FFFFFF"/>
              </w:rPr>
              <w:t>行道上堆放、转运产生扬尘污染的建筑材料。</w:t>
            </w:r>
          </w:p>
          <w:p w14:paraId="7E1132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（4）在施工区与道路结合段设置洒水抑尘设施，对施工扬尘产生的作业点定时洒水，减小起尘。</w:t>
            </w:r>
          </w:p>
          <w:p w14:paraId="4A1B29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（5）施工现场主要道路必须进行硬化处理，易产生扬尘的物料堆置必须采取密闭、遮盖、洒水等抑尘措施，减少露天装卸作业，严禁渣土车遗撒。</w:t>
            </w:r>
          </w:p>
          <w:p w14:paraId="46ED13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w:t>
            </w:r>
            <w:r>
              <w:rPr>
                <w:rFonts w:hint="eastAsia" w:ascii="Times New Roman" w:hAnsi="Times New Roman" w:eastAsia="宋体" w:cs="Times New Roman"/>
                <w:color w:val="auto"/>
                <w:sz w:val="24"/>
                <w:szCs w:val="24"/>
                <w:highlight w:val="none"/>
                <w:shd w:val="clear" w:color="auto" w:fill="FFFFFF"/>
                <w:lang w:val="en-US" w:eastAsia="zh-CN"/>
              </w:rPr>
              <w:t>6</w:t>
            </w:r>
            <w:r>
              <w:rPr>
                <w:rFonts w:hint="default" w:ascii="Times New Roman" w:hAnsi="Times New Roman" w:eastAsia="宋体" w:cs="Times New Roman"/>
                <w:color w:val="auto"/>
                <w:sz w:val="24"/>
                <w:szCs w:val="24"/>
                <w:highlight w:val="none"/>
                <w:shd w:val="clear" w:color="auto" w:fill="FFFFFF"/>
                <w:lang w:val="en-US" w:eastAsia="zh-CN"/>
              </w:rPr>
              <w:t>）满足陕西省地方环境保护标准《施工场界扬尘排放限值》（DB61/1078-2017）相关标准要求。</w:t>
            </w:r>
          </w:p>
          <w:p w14:paraId="66FF25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施工期扬尘抑制必须做到“六个百分百”</w:t>
            </w:r>
          </w:p>
          <w:p w14:paraId="17A261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（1）工地周边100%围挡</w:t>
            </w:r>
          </w:p>
          <w:p w14:paraId="036A16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施工现场硬质围挡应连续设置，城区主要路段工地围挡高度不低于2.5m，一般路段的工地不低于1.8m，做到坚固、平稳、整洁、美观。在建工程外立面应用安全网实现全封闭围护。</w:t>
            </w:r>
          </w:p>
          <w:p w14:paraId="1DDE226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（2）物料堆放100%覆盖</w:t>
            </w:r>
          </w:p>
          <w:p w14:paraId="1538A0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易产生扬尘的建筑材料、渣土应采取密闭搬运、存储或采用防尘布苫盖等防尘措施。严禁熔融沥青、焚烧垃圾等有毒有害物质，禁止无牌无证车辆进入施工现场。</w:t>
            </w:r>
          </w:p>
          <w:p w14:paraId="2765B2B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（3）出入车辆100%冲洗</w:t>
            </w:r>
          </w:p>
          <w:p w14:paraId="14E816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施工现场出入口处设置自动车辆冲洗装置和沉淀池，运输车辆底盘和车轮冲洗干净后方可驶离施工现场。</w:t>
            </w:r>
          </w:p>
          <w:p w14:paraId="639D06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（4）施工现场地面100%硬化</w:t>
            </w:r>
          </w:p>
          <w:p w14:paraId="27A3798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主要通道、进出道路、材料加工区及办公生活区地面进行硬化处理。</w:t>
            </w:r>
          </w:p>
          <w:p w14:paraId="7A2A54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（5）拆迁工地100%湿法作业</w:t>
            </w:r>
          </w:p>
          <w:p w14:paraId="3D394BB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1EB1F74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（6）渣土车辆100%密闭运输</w:t>
            </w:r>
          </w:p>
          <w:p w14:paraId="286812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施工现场内裸露的场地和集中堆放的土方应采取覆盖、固化或绿化等防尘措施。易产生扬尘的物料要篷盖。</w:t>
            </w:r>
          </w:p>
          <w:p w14:paraId="0880C6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通过采取以上措施后，本项目施工期对周边环境影响小，同时施工周期短，施工期影响随着施工期的结束而结束。</w:t>
            </w:r>
          </w:p>
          <w:p w14:paraId="33F9A3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2、施工机械和汽车燃油废气</w:t>
            </w:r>
          </w:p>
          <w:p w14:paraId="66120D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区的燃油设备主要是施工机械和运输车辆，其排放的尾气在施工期间对施工作业点和运输道路附近的大气环境会造成一定程度的污染，产生NOX、CO、THC等污染物。运输车辆的废气是沿交通路线排放，施工机械的废气基本以点源形式排放。</w:t>
            </w:r>
          </w:p>
          <w:p w14:paraId="7B9686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场区空气流通性好，排放废气中的各项污染物能够很快扩散，不会引起局部大气环境质量的恶化。另外合理规划运输路线，加强设备维护，使设备处于良好的运行状态，限制车速都能减少废气的产生。加之废气</w:t>
            </w:r>
            <w:r>
              <w:rPr>
                <w:rFonts w:hint="default" w:ascii="Times New Roman" w:hAnsi="Times New Roman" w:eastAsia="宋体" w:cs="Times New Roman"/>
                <w:color w:val="auto"/>
                <w:sz w:val="24"/>
                <w:szCs w:val="24"/>
                <w:highlight w:val="none"/>
                <w:shd w:val="clear" w:color="auto" w:fill="FFFFFF"/>
              </w:rPr>
              <w:t>排放的不连续性和工程施工期有限，排放的废气对区域的环境空气质量影响不大。</w:t>
            </w:r>
          </w:p>
          <w:p w14:paraId="33C5AC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二、施工期水污染</w:t>
            </w:r>
            <w:r>
              <w:rPr>
                <w:rFonts w:hint="eastAsia" w:ascii="Times New Roman" w:hAnsi="Times New Roman" w:eastAsia="宋体" w:cs="Times New Roman"/>
                <w:color w:val="auto"/>
                <w:sz w:val="24"/>
                <w:szCs w:val="24"/>
                <w:highlight w:val="none"/>
                <w:shd w:val="clear" w:color="auto" w:fill="FFFFFF"/>
                <w:lang w:val="en-US" w:eastAsia="zh-CN"/>
              </w:rPr>
              <w:t>防治措施</w:t>
            </w:r>
          </w:p>
          <w:p w14:paraId="7ADD27D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施工期污水包括施工作业产生的废水和施工人员生活污水。</w:t>
            </w:r>
          </w:p>
          <w:p w14:paraId="3CCAA8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1、施工废水</w:t>
            </w:r>
          </w:p>
          <w:p w14:paraId="0C8CF48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施工废水包括施工机械运作和养护中产生的少量废水，废水中的污染物主要为SS。施工期间产生的施工废水排入临时沉淀池，经沉淀处理后施工回用和用于场区洒水抑尘，对环境影响不大。</w:t>
            </w:r>
          </w:p>
          <w:p w14:paraId="4222807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2、生活污水</w:t>
            </w:r>
          </w:p>
          <w:p w14:paraId="1DDD03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本项目施工期施工人员不在施工场区食宿。生活污水</w:t>
            </w:r>
            <w:r>
              <w:rPr>
                <w:rFonts w:hint="eastAsia" w:ascii="Times New Roman" w:hAnsi="Times New Roman" w:eastAsia="宋体" w:cs="Times New Roman"/>
                <w:color w:val="auto"/>
                <w:sz w:val="24"/>
                <w:szCs w:val="24"/>
                <w:highlight w:val="none"/>
                <w:shd w:val="clear" w:color="auto" w:fill="FFFFFF"/>
                <w:lang w:val="en-US" w:eastAsia="zh-CN"/>
              </w:rPr>
              <w:t>依托现有厂区</w:t>
            </w:r>
            <w:r>
              <w:rPr>
                <w:rFonts w:hint="default" w:ascii="Times New Roman" w:hAnsi="Times New Roman" w:eastAsia="宋体" w:cs="Times New Roman"/>
                <w:color w:val="auto"/>
                <w:sz w:val="24"/>
                <w:szCs w:val="24"/>
                <w:highlight w:val="none"/>
                <w:shd w:val="clear" w:color="auto" w:fill="FFFFFF"/>
              </w:rPr>
              <w:t>化粪池处理，由附近村民拖运用于肥田。因此，施工人员的生活污水对周边环境影响不大。</w:t>
            </w:r>
          </w:p>
          <w:p w14:paraId="3965069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采取防范措施后，本工程生活污水、施工废水对水环境的影响较小。</w:t>
            </w:r>
          </w:p>
          <w:p w14:paraId="57C527E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三、施工期噪声</w:t>
            </w:r>
            <w:r>
              <w:rPr>
                <w:rFonts w:hint="eastAsia" w:ascii="Times New Roman" w:hAnsi="Times New Roman" w:eastAsia="宋体" w:cs="Times New Roman"/>
                <w:color w:val="auto"/>
                <w:sz w:val="24"/>
                <w:szCs w:val="24"/>
                <w:highlight w:val="none"/>
                <w:shd w:val="clear" w:color="auto" w:fill="FFFFFF"/>
                <w:lang w:val="en-US" w:eastAsia="zh-CN"/>
              </w:rPr>
              <w:t>防治措施</w:t>
            </w:r>
          </w:p>
          <w:p w14:paraId="313596E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1、施工期间噪声</w:t>
            </w:r>
          </w:p>
          <w:p w14:paraId="7E2CF1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lang w:val="en-US" w:eastAsia="zh-CN"/>
              </w:rPr>
              <w:t>项目施工期噪声主要来源于施工机械，如推土机、挖掘机、静压打桩机、电锯等。虽然施工噪声仅在施工期的土建施工阶段产生，随着施工的结束而消失，但由于噪声较强，将会对周围声环境产生严重影响，极易引起人们的反感与不适，所以必须重视对施工期噪声的控制。</w:t>
            </w:r>
          </w:p>
          <w:p w14:paraId="1D5F01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为减少项目施工环境噪声的影响，施工单位应采取以下措施减少噪声对周围环境的影响：</w:t>
            </w:r>
            <w:r>
              <w:rPr>
                <w:rFonts w:hint="default" w:ascii="Times New Roman" w:hAnsi="Times New Roman" w:eastAsia="宋体" w:cs="Times New Roman"/>
                <w:color w:val="auto"/>
                <w:sz w:val="24"/>
                <w:szCs w:val="24"/>
                <w:highlight w:val="none"/>
                <w:shd w:val="clear" w:color="auto" w:fill="FFFFFF"/>
                <w:lang w:val="en-US" w:eastAsia="zh-CN"/>
              </w:rPr>
              <w:t>合理布置施工场地，安排施工方式，控制环境噪声污染。</w:t>
            </w:r>
          </w:p>
          <w:p w14:paraId="1DC57AF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选用低噪声施工机械，严格限制或禁止使用高噪声设备，推行混凝土灌注桩和静压桩等低噪音新工艺；</w:t>
            </w:r>
          </w:p>
          <w:p w14:paraId="5ECC4B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（3）要求使用商品混凝土。与施工场地设置混凝土搅拌机相比，商品混凝土具有占地少、施工量小、施工方便、噪声污染小等特点，同时可大大减少建筑材料水泥、</w:t>
            </w:r>
          </w:p>
          <w:p w14:paraId="7FDA3E1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沙石的汽车运量，减轻车辆交通噪声影响。</w:t>
            </w:r>
          </w:p>
          <w:p w14:paraId="00D52D2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4）严格操作规程，加强施工机械管理，降低人为噪声影响。不合理施工作业是产生人为噪声的主要原因，如脚手架的安装、拆除，钢筋材料的装卸，以及钢结构厂房安装过程产生的金属撞击声和落料声等均会产生较大距离的声环境影响，因此要杜绝人为敲打、野蛮装卸现象，规范建筑物料、土石方清运车辆进出工地高速行驶、鸣笛等。</w:t>
            </w:r>
          </w:p>
          <w:p w14:paraId="022903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5）采取有效的隔声、减振措施，降低噪声级。高层建筑施工时应随着施工高度的增加对施工楼层设置围挡，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14:paraId="4DDEC7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（6）严格控制施工车辆运输路线，减少对周围敏感点的影响，施工车辆运输物料进入施工场地时应禁止鸣笛，尽量放慢车速。</w:t>
            </w:r>
          </w:p>
          <w:p w14:paraId="32883F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（7）严格控制施工时间。</w:t>
            </w:r>
          </w:p>
          <w:p w14:paraId="5B5794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根据不同季节合理安排施工计划，尽可能避开午休时间动用高噪声设备，禁止夜间（22：00～06：00）进行产生环境噪声污染的建筑施工作业，避免扰民。</w:t>
            </w:r>
          </w:p>
          <w:p w14:paraId="648163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lang w:val="en-US" w:eastAsia="zh-CN"/>
              </w:rPr>
              <w:t>采取以上措施后，可大大减轻项目施工噪声对周边敏感点</w:t>
            </w:r>
            <w:r>
              <w:rPr>
                <w:rFonts w:hint="default" w:ascii="Times New Roman" w:hAnsi="Times New Roman" w:eastAsia="宋体" w:cs="Times New Roman"/>
                <w:color w:val="auto"/>
                <w:sz w:val="24"/>
                <w:szCs w:val="24"/>
                <w:highlight w:val="none"/>
                <w:shd w:val="clear" w:color="auto" w:fill="FFFFFF"/>
              </w:rPr>
              <w:t>的影响。</w:t>
            </w:r>
          </w:p>
          <w:p w14:paraId="79B45F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2、施工车辆运输噪声</w:t>
            </w:r>
          </w:p>
          <w:p w14:paraId="26B816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施工过程所需的大量建筑材料均由运输车辆沿附近公路线运入和运出，应保持低速匀速行驶，在途经居民区等环境噪声敏感目标时应禁止鸣喇叭，同时应合理安排施工物料的运输时间，避开交通高峰期，并尽量避开在休息时间经过环境敏感目标，以减小车辆噪声对沿途敏感目标的影响。采取以上措施后，项目运输车辆对周围环境影响小。</w:t>
            </w:r>
          </w:p>
          <w:p w14:paraId="6FE08B6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rPr>
              <w:t>四、施工期固体废弃物</w:t>
            </w:r>
            <w:r>
              <w:rPr>
                <w:rFonts w:hint="eastAsia" w:ascii="Times New Roman" w:hAnsi="Times New Roman" w:eastAsia="宋体" w:cs="Times New Roman"/>
                <w:color w:val="auto"/>
                <w:sz w:val="24"/>
                <w:szCs w:val="24"/>
                <w:highlight w:val="none"/>
                <w:shd w:val="clear" w:color="auto" w:fill="FFFFFF"/>
                <w:lang w:val="en-US" w:eastAsia="zh-CN"/>
              </w:rPr>
              <w:t>防治措施</w:t>
            </w:r>
          </w:p>
          <w:p w14:paraId="2D9C0CF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施工期固体废物主要包括施工</w:t>
            </w:r>
            <w:r>
              <w:rPr>
                <w:rFonts w:hint="eastAsia" w:ascii="Times New Roman" w:hAnsi="Times New Roman" w:eastAsia="宋体" w:cs="Times New Roman"/>
                <w:color w:val="auto"/>
                <w:sz w:val="24"/>
                <w:szCs w:val="24"/>
                <w:highlight w:val="none"/>
                <w:shd w:val="clear" w:color="auto" w:fill="FFFFFF"/>
                <w:lang w:val="en-US" w:eastAsia="zh-CN"/>
              </w:rPr>
              <w:t>拆除旧建筑的</w:t>
            </w:r>
            <w:r>
              <w:rPr>
                <w:rFonts w:hint="default" w:ascii="Times New Roman" w:hAnsi="Times New Roman" w:eastAsia="宋体" w:cs="Times New Roman"/>
                <w:color w:val="auto"/>
                <w:sz w:val="24"/>
                <w:szCs w:val="24"/>
                <w:highlight w:val="none"/>
                <w:shd w:val="clear" w:color="auto" w:fill="FFFFFF"/>
              </w:rPr>
              <w:t>建筑垃圾和工人生活垃圾。</w:t>
            </w:r>
          </w:p>
          <w:p w14:paraId="24AA964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本项目钢构结构</w:t>
            </w:r>
            <w:r>
              <w:rPr>
                <w:rFonts w:hint="eastAsia" w:ascii="Times New Roman" w:hAnsi="Times New Roman" w:eastAsia="宋体" w:cs="Times New Roman"/>
                <w:color w:val="auto"/>
                <w:sz w:val="24"/>
                <w:szCs w:val="24"/>
                <w:highlight w:val="none"/>
                <w:shd w:val="clear" w:color="auto" w:fill="FFFFFF"/>
                <w:lang w:val="en-US" w:eastAsia="zh-CN"/>
              </w:rPr>
              <w:t>库房建设</w:t>
            </w:r>
            <w:r>
              <w:rPr>
                <w:rFonts w:hint="default" w:ascii="Times New Roman" w:hAnsi="Times New Roman" w:eastAsia="宋体" w:cs="Times New Roman"/>
                <w:color w:val="auto"/>
                <w:sz w:val="24"/>
                <w:szCs w:val="24"/>
                <w:highlight w:val="none"/>
                <w:shd w:val="clear" w:color="auto" w:fill="FFFFFF"/>
              </w:rPr>
              <w:t>，</w:t>
            </w:r>
            <w:r>
              <w:rPr>
                <w:rFonts w:hint="eastAsia" w:ascii="Times New Roman" w:hAnsi="Times New Roman" w:eastAsia="宋体" w:cs="Times New Roman"/>
                <w:color w:val="auto"/>
                <w:sz w:val="24"/>
                <w:szCs w:val="24"/>
                <w:highlight w:val="none"/>
                <w:shd w:val="clear" w:color="auto" w:fill="FFFFFF"/>
                <w:lang w:val="en-US" w:eastAsia="zh-CN"/>
              </w:rPr>
              <w:t>不涉及</w:t>
            </w:r>
            <w:r>
              <w:rPr>
                <w:rFonts w:hint="default" w:ascii="Times New Roman" w:hAnsi="Times New Roman" w:eastAsia="宋体" w:cs="Times New Roman"/>
                <w:color w:val="auto"/>
                <w:sz w:val="24"/>
                <w:szCs w:val="24"/>
                <w:highlight w:val="none"/>
                <w:shd w:val="clear" w:color="auto" w:fill="FFFFFF"/>
              </w:rPr>
              <w:t>场地平整</w:t>
            </w:r>
            <w:r>
              <w:rPr>
                <w:rFonts w:hint="eastAsia" w:ascii="Times New Roman" w:hAnsi="Times New Roman" w:eastAsia="宋体" w:cs="Times New Roman"/>
                <w:color w:val="auto"/>
                <w:sz w:val="24"/>
                <w:szCs w:val="24"/>
                <w:highlight w:val="none"/>
                <w:shd w:val="clear" w:color="auto" w:fill="FFFFFF"/>
                <w:lang w:val="en-US" w:eastAsia="zh-CN"/>
              </w:rPr>
              <w:t>及</w:t>
            </w:r>
            <w:r>
              <w:rPr>
                <w:rFonts w:hint="default" w:ascii="Times New Roman" w:hAnsi="Times New Roman" w:eastAsia="宋体" w:cs="Times New Roman"/>
                <w:color w:val="auto"/>
                <w:sz w:val="24"/>
                <w:szCs w:val="24"/>
                <w:highlight w:val="none"/>
                <w:shd w:val="clear" w:color="auto" w:fill="FFFFFF"/>
              </w:rPr>
              <w:t>土石方挖填，</w:t>
            </w:r>
            <w:r>
              <w:rPr>
                <w:rFonts w:hint="eastAsia" w:ascii="Times New Roman" w:hAnsi="Times New Roman" w:eastAsia="宋体" w:cs="Times New Roman"/>
                <w:color w:val="auto"/>
                <w:sz w:val="24"/>
                <w:szCs w:val="24"/>
                <w:highlight w:val="none"/>
                <w:shd w:val="clear" w:color="auto" w:fill="FFFFFF"/>
                <w:lang w:val="en-US" w:eastAsia="zh-CN"/>
              </w:rPr>
              <w:t>仅拆除旧</w:t>
            </w:r>
            <w:r>
              <w:rPr>
                <w:rFonts w:hint="default" w:ascii="Times New Roman" w:hAnsi="Times New Roman" w:eastAsia="宋体" w:cs="Times New Roman"/>
                <w:color w:val="auto"/>
                <w:sz w:val="24"/>
                <w:szCs w:val="24"/>
                <w:highlight w:val="none"/>
                <w:shd w:val="clear" w:color="auto" w:fill="FFFFFF"/>
              </w:rPr>
              <w:t>建设构筑物等过程中会产生</w:t>
            </w:r>
            <w:r>
              <w:rPr>
                <w:rFonts w:hint="eastAsia" w:ascii="Times New Roman" w:hAnsi="Times New Roman" w:eastAsia="宋体" w:cs="Times New Roman"/>
                <w:color w:val="auto"/>
                <w:sz w:val="24"/>
                <w:szCs w:val="24"/>
                <w:highlight w:val="none"/>
                <w:shd w:val="clear" w:color="auto" w:fill="FFFFFF"/>
                <w:lang w:val="en-US" w:eastAsia="zh-CN"/>
              </w:rPr>
              <w:t>部分</w:t>
            </w:r>
            <w:r>
              <w:rPr>
                <w:rFonts w:hint="default" w:ascii="Times New Roman" w:hAnsi="Times New Roman" w:eastAsia="宋体" w:cs="Times New Roman"/>
                <w:color w:val="auto"/>
                <w:sz w:val="24"/>
                <w:szCs w:val="24"/>
                <w:highlight w:val="none"/>
                <w:shd w:val="clear" w:color="auto" w:fill="FFFFFF"/>
              </w:rPr>
              <w:t>建筑垃圾，运至指定地点进行处理。</w:t>
            </w:r>
          </w:p>
          <w:p w14:paraId="407B22E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val="en-US" w:eastAsia="zh-CN"/>
              </w:rPr>
              <w:t>生活垃圾</w:t>
            </w:r>
          </w:p>
          <w:p w14:paraId="2E0585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shd w:val="clear" w:color="auto" w:fill="FFFFFF"/>
              </w:rPr>
              <w:t>员工生活垃圾按0.5kg/人·d，施工人员按30人计，则产生的生活垃圾产生量为15kg/d，生活垃圾统一收集后，由环卫部门统一清运。</w:t>
            </w:r>
          </w:p>
          <w:p w14:paraId="70C1D7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FFFFFF"/>
                <w:lang w:val="en-US"/>
              </w:rPr>
            </w:pPr>
            <w:r>
              <w:rPr>
                <w:rFonts w:hint="default" w:ascii="Times New Roman" w:hAnsi="Times New Roman" w:eastAsia="宋体" w:cs="Times New Roman"/>
                <w:color w:val="auto"/>
                <w:sz w:val="24"/>
                <w:szCs w:val="24"/>
                <w:highlight w:val="none"/>
                <w:shd w:val="clear" w:color="auto" w:fill="FFFFFF"/>
                <w:lang w:val="en-US" w:eastAsia="zh-CN"/>
              </w:rPr>
              <w:t>综上措施，本项目施工期产生的污染物在采取本环评提出的措施后可将对环境的影响降到最低，施工结束后，施工期环境影响消失。</w:t>
            </w:r>
          </w:p>
          <w:p w14:paraId="64751B7C">
            <w:pPr>
              <w:spacing w:line="360" w:lineRule="auto"/>
              <w:ind w:firstLine="422" w:firstLineChars="200"/>
              <w:rPr>
                <w:rFonts w:hint="default" w:ascii="Times New Roman" w:hAnsi="Times New Roman" w:cs="Times New Roman"/>
                <w:b/>
                <w:bCs/>
                <w:color w:val="auto"/>
                <w:sz w:val="21"/>
                <w:szCs w:val="21"/>
                <w:highlight w:val="none"/>
              </w:rPr>
            </w:pPr>
          </w:p>
        </w:tc>
      </w:tr>
      <w:tr w14:paraId="7D93C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59" w:hRule="atLeast"/>
          <w:jc w:val="center"/>
        </w:trPr>
        <w:tc>
          <w:tcPr>
            <w:tcW w:w="617" w:type="dxa"/>
            <w:tcBorders>
              <w:tl2br w:val="nil"/>
              <w:tr2bl w:val="nil"/>
            </w:tcBorders>
            <w:tcMar>
              <w:left w:w="28" w:type="dxa"/>
              <w:right w:w="28" w:type="dxa"/>
            </w:tcMar>
            <w:vAlign w:val="center"/>
          </w:tcPr>
          <w:p w14:paraId="11DF4981">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运营</w:t>
            </w:r>
          </w:p>
          <w:p w14:paraId="5B416B09">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期环</w:t>
            </w:r>
          </w:p>
          <w:p w14:paraId="184DF6B7">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境影</w:t>
            </w:r>
          </w:p>
          <w:p w14:paraId="1ABE2F0F">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响和</w:t>
            </w:r>
          </w:p>
          <w:p w14:paraId="44D96841">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保护</w:t>
            </w:r>
          </w:p>
          <w:p w14:paraId="339AC4D0">
            <w:pPr>
              <w:adjustRightInd w:val="0"/>
              <w:snapToGrid w:val="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措施</w:t>
            </w:r>
          </w:p>
        </w:tc>
        <w:tc>
          <w:tcPr>
            <w:tcW w:w="8364" w:type="dxa"/>
            <w:tcBorders>
              <w:tl2br w:val="nil"/>
              <w:tr2bl w:val="nil"/>
            </w:tcBorders>
            <w:vAlign w:val="center"/>
          </w:tcPr>
          <w:p w14:paraId="33603831">
            <w:pPr>
              <w:widowControl/>
              <w:adjustRightInd w:val="0"/>
              <w:snapToGrid w:val="0"/>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一、运营期大气环境影响和保护措施</w:t>
            </w:r>
          </w:p>
          <w:p w14:paraId="54942231">
            <w:pPr>
              <w:spacing w:line="360" w:lineRule="auto"/>
              <w:ind w:firstLine="496" w:firstLineChars="200"/>
              <w:rPr>
                <w:rFonts w:hint="default" w:ascii="Times New Roman" w:hAnsi="Times New Roman" w:eastAsia="宋体" w:cs="Times New Roman"/>
                <w:bCs/>
                <w:color w:val="auto"/>
                <w:spacing w:val="4"/>
                <w:kern w:val="0"/>
                <w:sz w:val="24"/>
                <w:szCs w:val="24"/>
                <w:highlight w:val="none"/>
                <w:lang w:val="en-US" w:eastAsia="zh-CN" w:bidi="ar-SA"/>
              </w:rPr>
            </w:pPr>
            <w:r>
              <w:rPr>
                <w:rFonts w:hint="default" w:ascii="Times New Roman" w:hAnsi="Times New Roman" w:eastAsia="宋体" w:cs="Times New Roman"/>
                <w:bCs/>
                <w:color w:val="auto"/>
                <w:spacing w:val="4"/>
                <w:kern w:val="0"/>
                <w:sz w:val="24"/>
                <w:szCs w:val="24"/>
                <w:highlight w:val="none"/>
                <w:lang w:val="en-US" w:eastAsia="zh-CN" w:bidi="ar-SA"/>
              </w:rPr>
              <w:t>本项目不对危险废物进行处置，危险废物转运为委托具有危险货物运输资质的第三方机构进行。根据前述工程分析，项目</w:t>
            </w:r>
            <w:r>
              <w:rPr>
                <w:rFonts w:hint="default" w:ascii="Times New Roman" w:hAnsi="Times New Roman" w:cs="Times New Roman"/>
                <w:bCs/>
                <w:color w:val="auto"/>
                <w:spacing w:val="4"/>
                <w:kern w:val="0"/>
                <w:sz w:val="24"/>
                <w:szCs w:val="24"/>
                <w:highlight w:val="none"/>
                <w:lang w:val="en-US" w:eastAsia="zh-CN" w:bidi="ar-SA"/>
              </w:rPr>
              <w:t>厂区</w:t>
            </w:r>
            <w:r>
              <w:rPr>
                <w:rFonts w:hint="default" w:ascii="Times New Roman" w:hAnsi="Times New Roman" w:eastAsia="宋体" w:cs="Times New Roman"/>
                <w:bCs/>
                <w:color w:val="auto"/>
                <w:spacing w:val="4"/>
                <w:kern w:val="0"/>
                <w:sz w:val="24"/>
                <w:szCs w:val="24"/>
                <w:highlight w:val="none"/>
                <w:lang w:val="en-US" w:eastAsia="zh-CN" w:bidi="ar-SA"/>
              </w:rPr>
              <w:t>不设置检验，故项目废气主要产生于危险废物贮存过程。主要包括有机废气、酸性废气及异味。</w:t>
            </w:r>
          </w:p>
          <w:p w14:paraId="196E0115">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污染物排放汇总</w:t>
            </w:r>
          </w:p>
          <w:p w14:paraId="7280DC76">
            <w:pPr>
              <w:widowControl/>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项目运营期污染物排放情况见下表。</w:t>
            </w:r>
          </w:p>
          <w:p w14:paraId="48AB1099">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表4-1项目运营期污染物及源强一览表</w:t>
            </w:r>
          </w:p>
          <w:tbl>
            <w:tblPr>
              <w:tblStyle w:val="35"/>
              <w:tblW w:w="81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
              <w:gridCol w:w="519"/>
              <w:gridCol w:w="681"/>
              <w:gridCol w:w="759"/>
              <w:gridCol w:w="735"/>
              <w:gridCol w:w="810"/>
              <w:gridCol w:w="735"/>
              <w:gridCol w:w="810"/>
              <w:gridCol w:w="780"/>
              <w:gridCol w:w="1033"/>
              <w:gridCol w:w="1033"/>
            </w:tblGrid>
            <w:tr w14:paraId="6B01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16" w:type="pct"/>
                  <w:gridSpan w:val="3"/>
                  <w:vAlign w:val="center"/>
                </w:tcPr>
                <w:p w14:paraId="244E45EC">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产排污环节</w:t>
                  </w:r>
                </w:p>
              </w:tc>
              <w:tc>
                <w:tcPr>
                  <w:tcW w:w="911" w:type="pct"/>
                  <w:gridSpan w:val="2"/>
                  <w:vAlign w:val="center"/>
                </w:tcPr>
                <w:p w14:paraId="421130CE">
                  <w:pPr>
                    <w:adjustRightInd w:val="0"/>
                    <w:snapToGrid w:val="0"/>
                    <w:jc w:val="center"/>
                    <w:rPr>
                      <w:rFonts w:hint="default" w:ascii="Times New Roman" w:hAnsi="Times New Roman" w:eastAsia="宋体" w:cs="Times New Roman"/>
                      <w:b/>
                      <w:bCs/>
                      <w:color w:val="auto"/>
                      <w:highlight w:val="none"/>
                      <w:lang w:eastAsia="zh-CN"/>
                    </w:rPr>
                  </w:pPr>
                  <w:r>
                    <w:rPr>
                      <w:rFonts w:hint="eastAsia" w:cs="Times New Roman"/>
                      <w:b/>
                      <w:bCs/>
                      <w:color w:val="auto"/>
                      <w:highlight w:val="none"/>
                      <w:lang w:eastAsia="zh-CN"/>
                    </w:rPr>
                    <w:t>有机废气</w:t>
                  </w:r>
                </w:p>
              </w:tc>
              <w:tc>
                <w:tcPr>
                  <w:tcW w:w="3172" w:type="pct"/>
                  <w:gridSpan w:val="6"/>
                  <w:vAlign w:val="center"/>
                </w:tcPr>
                <w:p w14:paraId="430EB4EE">
                  <w:pPr>
                    <w:adjustRightInd w:val="0"/>
                    <w:snapToGrid w:val="0"/>
                    <w:jc w:val="center"/>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酸性废气</w:t>
                  </w:r>
                </w:p>
              </w:tc>
            </w:tr>
            <w:tr w14:paraId="419FE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16" w:type="pct"/>
                  <w:gridSpan w:val="3"/>
                  <w:vAlign w:val="center"/>
                </w:tcPr>
                <w:p w14:paraId="5B73681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污染物种类</w:t>
                  </w:r>
                </w:p>
              </w:tc>
              <w:tc>
                <w:tcPr>
                  <w:tcW w:w="911" w:type="pct"/>
                  <w:gridSpan w:val="2"/>
                  <w:vAlign w:val="center"/>
                </w:tcPr>
                <w:p w14:paraId="27E649F0">
                  <w:pPr>
                    <w:adjustRightInd w:val="0"/>
                    <w:snapToGrid w:val="0"/>
                    <w:jc w:val="center"/>
                    <w:rPr>
                      <w:rFonts w:hint="eastAsia" w:cs="Times New Roman"/>
                      <w:color w:val="auto"/>
                      <w:highlight w:val="none"/>
                      <w:lang w:val="en-US" w:eastAsia="zh-CN"/>
                    </w:rPr>
                  </w:pPr>
                  <w:r>
                    <w:rPr>
                      <w:rFonts w:hint="eastAsia" w:cs="Times New Roman"/>
                      <w:color w:val="auto"/>
                      <w:highlight w:val="none"/>
                      <w:lang w:val="en-US" w:eastAsia="zh-CN"/>
                    </w:rPr>
                    <w:t>非甲烷总烃</w:t>
                  </w:r>
                </w:p>
              </w:tc>
              <w:tc>
                <w:tcPr>
                  <w:tcW w:w="942" w:type="pct"/>
                  <w:gridSpan w:val="2"/>
                  <w:vAlign w:val="center"/>
                </w:tcPr>
                <w:p w14:paraId="1C40237C">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氟化物</w:t>
                  </w:r>
                </w:p>
              </w:tc>
              <w:tc>
                <w:tcPr>
                  <w:tcW w:w="969" w:type="pct"/>
                  <w:gridSpan w:val="2"/>
                  <w:vAlign w:val="center"/>
                </w:tcPr>
                <w:p w14:paraId="4931DE6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硫酸雾</w:t>
                  </w:r>
                </w:p>
              </w:tc>
              <w:tc>
                <w:tcPr>
                  <w:tcW w:w="1260" w:type="pct"/>
                  <w:gridSpan w:val="2"/>
                  <w:vAlign w:val="center"/>
                </w:tcPr>
                <w:p w14:paraId="10A0444C">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氯化氢</w:t>
                  </w:r>
                </w:p>
              </w:tc>
            </w:tr>
            <w:tr w14:paraId="617EF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916" w:type="pct"/>
                  <w:gridSpan w:val="3"/>
                  <w:vAlign w:val="center"/>
                </w:tcPr>
                <w:p w14:paraId="40CB183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产生量t/a</w:t>
                  </w:r>
                </w:p>
              </w:tc>
              <w:tc>
                <w:tcPr>
                  <w:tcW w:w="911" w:type="pct"/>
                  <w:gridSpan w:val="2"/>
                  <w:vAlign w:val="center"/>
                </w:tcPr>
                <w:p w14:paraId="7D6E238C">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0.825</w:t>
                  </w:r>
                </w:p>
              </w:tc>
              <w:tc>
                <w:tcPr>
                  <w:tcW w:w="942" w:type="pct"/>
                  <w:gridSpan w:val="2"/>
                  <w:vAlign w:val="center"/>
                </w:tcPr>
                <w:p w14:paraId="46DD777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w:t>
                  </w:r>
                </w:p>
              </w:tc>
              <w:tc>
                <w:tcPr>
                  <w:tcW w:w="969" w:type="pct"/>
                  <w:gridSpan w:val="2"/>
                  <w:vAlign w:val="center"/>
                </w:tcPr>
                <w:p w14:paraId="38524117">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w:t>
                  </w:r>
                  <w:r>
                    <w:rPr>
                      <w:rFonts w:hint="eastAsia" w:cs="Times New Roman"/>
                      <w:color w:val="auto"/>
                      <w:highlight w:val="none"/>
                      <w:lang w:val="en-US" w:eastAsia="zh-CN"/>
                    </w:rPr>
                    <w:t>5</w:t>
                  </w:r>
                </w:p>
              </w:tc>
              <w:tc>
                <w:tcPr>
                  <w:tcW w:w="1260" w:type="pct"/>
                  <w:gridSpan w:val="2"/>
                  <w:vAlign w:val="center"/>
                </w:tcPr>
                <w:p w14:paraId="3194C9E6">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0.05</w:t>
                  </w:r>
                </w:p>
              </w:tc>
            </w:tr>
            <w:tr w14:paraId="2E365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916" w:type="pct"/>
                  <w:gridSpan w:val="3"/>
                  <w:vAlign w:val="center"/>
                </w:tcPr>
                <w:p w14:paraId="3DBD39B0">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产生</w:t>
                  </w:r>
                  <w:r>
                    <w:rPr>
                      <w:rFonts w:hint="default" w:ascii="Times New Roman" w:hAnsi="Times New Roman" w:cs="Times New Roman"/>
                      <w:color w:val="auto"/>
                      <w:highlight w:val="none"/>
                      <w:lang w:eastAsia="zh-CN"/>
                    </w:rPr>
                    <w:t>速率</w:t>
                  </w:r>
                  <w:r>
                    <w:rPr>
                      <w:rFonts w:hint="default" w:ascii="Times New Roman" w:hAnsi="Times New Roman" w:cs="Times New Roman"/>
                      <w:bCs/>
                      <w:color w:val="auto"/>
                      <w:highlight w:val="none"/>
                      <w:lang w:val="en-US" w:eastAsia="zh-CN"/>
                    </w:rPr>
                    <w:t>k</w:t>
                  </w:r>
                  <w:r>
                    <w:rPr>
                      <w:rFonts w:hint="default" w:ascii="Times New Roman" w:hAnsi="Times New Roman" w:cs="Times New Roman"/>
                      <w:bCs/>
                      <w:color w:val="auto"/>
                      <w:highlight w:val="none"/>
                    </w:rPr>
                    <w:t>g/</w:t>
                  </w:r>
                  <w:r>
                    <w:rPr>
                      <w:rFonts w:hint="default" w:ascii="Times New Roman" w:hAnsi="Times New Roman" w:cs="Times New Roman"/>
                      <w:bCs/>
                      <w:color w:val="auto"/>
                      <w:highlight w:val="none"/>
                      <w:lang w:val="en-US" w:eastAsia="zh-CN"/>
                    </w:rPr>
                    <w:t>h</w:t>
                  </w:r>
                </w:p>
              </w:tc>
              <w:tc>
                <w:tcPr>
                  <w:tcW w:w="911" w:type="pct"/>
                  <w:gridSpan w:val="2"/>
                  <w:vAlign w:val="center"/>
                </w:tcPr>
                <w:p w14:paraId="4A1ED2D9">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0.094</w:t>
                  </w:r>
                </w:p>
              </w:tc>
              <w:tc>
                <w:tcPr>
                  <w:tcW w:w="942" w:type="pct"/>
                  <w:gridSpan w:val="2"/>
                  <w:vAlign w:val="center"/>
                </w:tcPr>
                <w:p w14:paraId="77477F44">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0.0013</w:t>
                  </w:r>
                </w:p>
              </w:tc>
              <w:tc>
                <w:tcPr>
                  <w:tcW w:w="969" w:type="pct"/>
                  <w:gridSpan w:val="2"/>
                  <w:vAlign w:val="center"/>
                </w:tcPr>
                <w:p w14:paraId="64B65A50">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0.06</w:t>
                  </w:r>
                  <w:r>
                    <w:rPr>
                      <w:rFonts w:hint="eastAsia" w:cs="Times New Roman"/>
                      <w:color w:val="auto"/>
                      <w:highlight w:val="none"/>
                      <w:lang w:val="en-US" w:eastAsia="zh-CN"/>
                    </w:rPr>
                    <w:t>9</w:t>
                  </w:r>
                </w:p>
              </w:tc>
              <w:tc>
                <w:tcPr>
                  <w:tcW w:w="1260" w:type="pct"/>
                  <w:gridSpan w:val="2"/>
                  <w:vAlign w:val="center"/>
                </w:tcPr>
                <w:p w14:paraId="122B6E6A">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0.006</w:t>
                  </w:r>
                </w:p>
              </w:tc>
            </w:tr>
            <w:tr w14:paraId="420E5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16" w:type="pct"/>
                  <w:gridSpan w:val="3"/>
                  <w:vAlign w:val="center"/>
                </w:tcPr>
                <w:p w14:paraId="0C60F55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排放形式</w:t>
                  </w:r>
                </w:p>
              </w:tc>
              <w:tc>
                <w:tcPr>
                  <w:tcW w:w="462" w:type="pct"/>
                  <w:vAlign w:val="center"/>
                </w:tcPr>
                <w:p w14:paraId="4C85641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448" w:type="pct"/>
                  <w:vAlign w:val="center"/>
                </w:tcPr>
                <w:p w14:paraId="0ECEEBE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494" w:type="pct"/>
                  <w:vAlign w:val="center"/>
                </w:tcPr>
                <w:p w14:paraId="1BE5681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448" w:type="pct"/>
                  <w:vAlign w:val="center"/>
                </w:tcPr>
                <w:p w14:paraId="47C4D77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494" w:type="pct"/>
                  <w:vAlign w:val="center"/>
                </w:tcPr>
                <w:p w14:paraId="0738ADD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475" w:type="pct"/>
                  <w:vAlign w:val="center"/>
                </w:tcPr>
                <w:p w14:paraId="7690831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1033" w:type="dxa"/>
                  <w:vAlign w:val="center"/>
                </w:tcPr>
                <w:p w14:paraId="07FF790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1033" w:type="dxa"/>
                  <w:vAlign w:val="center"/>
                </w:tcPr>
                <w:p w14:paraId="757878D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r>
            <w:tr w14:paraId="50465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84" w:type="pct"/>
                  <w:vMerge w:val="restart"/>
                  <w:vAlign w:val="center"/>
                </w:tcPr>
                <w:p w14:paraId="6FA7BDA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治理设施</w:t>
                  </w:r>
                </w:p>
              </w:tc>
              <w:tc>
                <w:tcPr>
                  <w:tcW w:w="731" w:type="pct"/>
                  <w:gridSpan w:val="2"/>
                  <w:vAlign w:val="center"/>
                </w:tcPr>
                <w:p w14:paraId="2721E98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911" w:type="pct"/>
                  <w:gridSpan w:val="2"/>
                  <w:vAlign w:val="center"/>
                </w:tcPr>
                <w:p w14:paraId="7A9BBDB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密闭微负压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二级活性炭</w:t>
                  </w:r>
                  <w:r>
                    <w:rPr>
                      <w:rFonts w:hint="default" w:ascii="Times New Roman" w:hAnsi="Times New Roman" w:cs="Times New Roman"/>
                      <w:color w:val="auto"/>
                      <w:highlight w:val="none"/>
                    </w:rPr>
                    <w:t>+15m排气筒（DA001</w:t>
                  </w:r>
                  <w:r>
                    <w:rPr>
                      <w:rFonts w:hint="default" w:ascii="Times New Roman" w:hAnsi="Times New Roman" w:cs="Times New Roman"/>
                      <w:color w:val="auto"/>
                      <w:highlight w:val="none"/>
                      <w:lang w:eastAsia="zh-CN"/>
                    </w:rPr>
                    <w:t>）</w:t>
                  </w:r>
                </w:p>
              </w:tc>
              <w:tc>
                <w:tcPr>
                  <w:tcW w:w="3172" w:type="pct"/>
                  <w:gridSpan w:val="6"/>
                  <w:vAlign w:val="center"/>
                </w:tcPr>
                <w:p w14:paraId="5DA931A9">
                  <w:pPr>
                    <w:adjustRightInd w:val="0"/>
                    <w:snapToGrid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密闭微负压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碱液喷淋塔</w:t>
                  </w:r>
                  <w:r>
                    <w:rPr>
                      <w:rFonts w:hint="default" w:ascii="Times New Roman" w:hAnsi="Times New Roman" w:cs="Times New Roman"/>
                      <w:color w:val="auto"/>
                      <w:highlight w:val="none"/>
                      <w:lang w:val="en-US" w:eastAsia="zh-CN"/>
                    </w:rPr>
                    <w:t>+干式过滤</w:t>
                  </w:r>
                  <w:r>
                    <w:rPr>
                      <w:rFonts w:hint="eastAsia" w:cs="Times New Roman"/>
                      <w:color w:val="auto"/>
                      <w:highlight w:val="none"/>
                      <w:lang w:val="en-US" w:eastAsia="zh-CN"/>
                    </w:rPr>
                    <w:t>+活性炭</w:t>
                  </w:r>
                  <w:r>
                    <w:rPr>
                      <w:rFonts w:hint="default" w:ascii="Times New Roman" w:hAnsi="Times New Roman" w:cs="Times New Roman"/>
                      <w:color w:val="auto"/>
                      <w:highlight w:val="none"/>
                    </w:rPr>
                    <w:t>+15m排气筒（DA00</w:t>
                  </w:r>
                  <w:r>
                    <w:rPr>
                      <w:rFonts w:hint="default" w:ascii="Times New Roman" w:hAnsi="Times New Roman" w:cs="Times New Roman"/>
                      <w:color w:val="auto"/>
                      <w:highlight w:val="none"/>
                      <w:lang w:val="en-US" w:eastAsia="zh-CN"/>
                    </w:rPr>
                    <w:t>2）</w:t>
                  </w:r>
                </w:p>
              </w:tc>
            </w:tr>
            <w:tr w14:paraId="38921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1E414188">
                  <w:pPr>
                    <w:rPr>
                      <w:rFonts w:hint="default" w:ascii="Times New Roman" w:hAnsi="Times New Roman" w:cs="Times New Roman"/>
                      <w:color w:val="auto"/>
                      <w:highlight w:val="none"/>
                    </w:rPr>
                  </w:pPr>
                </w:p>
              </w:tc>
              <w:tc>
                <w:tcPr>
                  <w:tcW w:w="731" w:type="pct"/>
                  <w:gridSpan w:val="2"/>
                  <w:vAlign w:val="center"/>
                </w:tcPr>
                <w:p w14:paraId="05284A7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处理能力</w:t>
                  </w:r>
                </w:p>
              </w:tc>
              <w:tc>
                <w:tcPr>
                  <w:tcW w:w="911" w:type="pct"/>
                  <w:gridSpan w:val="2"/>
                  <w:vAlign w:val="center"/>
                </w:tcPr>
                <w:p w14:paraId="7411D51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p>
              </w:tc>
              <w:tc>
                <w:tcPr>
                  <w:tcW w:w="3172" w:type="pct"/>
                  <w:gridSpan w:val="6"/>
                  <w:vAlign w:val="center"/>
                </w:tcPr>
                <w:p w14:paraId="2C4B99A5">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p>
              </w:tc>
            </w:tr>
            <w:tr w14:paraId="0732D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7415EB8D">
                  <w:pPr>
                    <w:rPr>
                      <w:rFonts w:hint="default" w:ascii="Times New Roman" w:hAnsi="Times New Roman" w:cs="Times New Roman"/>
                      <w:color w:val="auto"/>
                      <w:highlight w:val="none"/>
                    </w:rPr>
                  </w:pPr>
                </w:p>
              </w:tc>
              <w:tc>
                <w:tcPr>
                  <w:tcW w:w="731" w:type="pct"/>
                  <w:gridSpan w:val="2"/>
                  <w:vAlign w:val="center"/>
                </w:tcPr>
                <w:p w14:paraId="55A5C1F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收集效率</w:t>
                  </w:r>
                </w:p>
              </w:tc>
              <w:tc>
                <w:tcPr>
                  <w:tcW w:w="462" w:type="pct"/>
                  <w:vAlign w:val="center"/>
                </w:tcPr>
                <w:p w14:paraId="1510750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tc>
              <w:tc>
                <w:tcPr>
                  <w:tcW w:w="448" w:type="pct"/>
                  <w:vAlign w:val="center"/>
                </w:tcPr>
                <w:p w14:paraId="015D60A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79B3BE6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tc>
              <w:tc>
                <w:tcPr>
                  <w:tcW w:w="448" w:type="pct"/>
                  <w:vAlign w:val="center"/>
                </w:tcPr>
                <w:p w14:paraId="47325737">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494" w:type="pct"/>
                  <w:vAlign w:val="center"/>
                </w:tcPr>
                <w:p w14:paraId="5F49BAF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tc>
              <w:tc>
                <w:tcPr>
                  <w:tcW w:w="475" w:type="pct"/>
                  <w:vAlign w:val="center"/>
                </w:tcPr>
                <w:p w14:paraId="308ECD5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7DFD043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tc>
              <w:tc>
                <w:tcPr>
                  <w:tcW w:w="1033" w:type="dxa"/>
                  <w:vAlign w:val="center"/>
                </w:tcPr>
                <w:p w14:paraId="7E0BBBB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746B1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45C28AF7">
                  <w:pPr>
                    <w:rPr>
                      <w:rFonts w:hint="default" w:ascii="Times New Roman" w:hAnsi="Times New Roman" w:cs="Times New Roman"/>
                      <w:color w:val="auto"/>
                      <w:highlight w:val="none"/>
                    </w:rPr>
                  </w:pPr>
                </w:p>
              </w:tc>
              <w:tc>
                <w:tcPr>
                  <w:tcW w:w="731" w:type="pct"/>
                  <w:gridSpan w:val="2"/>
                  <w:vAlign w:val="center"/>
                </w:tcPr>
                <w:p w14:paraId="042673F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去除效率</w:t>
                  </w:r>
                </w:p>
              </w:tc>
              <w:tc>
                <w:tcPr>
                  <w:tcW w:w="462" w:type="pct"/>
                  <w:vAlign w:val="center"/>
                </w:tcPr>
                <w:p w14:paraId="410033A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r>
                    <w:rPr>
                      <w:rFonts w:hint="default" w:ascii="Times New Roman" w:hAnsi="Times New Roman" w:cs="Times New Roman"/>
                      <w:color w:val="auto"/>
                      <w:highlight w:val="none"/>
                    </w:rPr>
                    <w:t>%</w:t>
                  </w:r>
                </w:p>
              </w:tc>
              <w:tc>
                <w:tcPr>
                  <w:tcW w:w="448" w:type="pct"/>
                  <w:vAlign w:val="center"/>
                </w:tcPr>
                <w:p w14:paraId="5595662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14F52BA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w:t>
                  </w:r>
                </w:p>
              </w:tc>
              <w:tc>
                <w:tcPr>
                  <w:tcW w:w="448" w:type="pct"/>
                  <w:vAlign w:val="center"/>
                </w:tcPr>
                <w:p w14:paraId="336049E1">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494" w:type="pct"/>
                  <w:vAlign w:val="center"/>
                </w:tcPr>
                <w:p w14:paraId="0C51610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w:t>
                  </w:r>
                </w:p>
              </w:tc>
              <w:tc>
                <w:tcPr>
                  <w:tcW w:w="475" w:type="pct"/>
                  <w:vAlign w:val="center"/>
                </w:tcPr>
                <w:p w14:paraId="3A0D16F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1AA852D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r>
                    <w:rPr>
                      <w:rFonts w:hint="default" w:ascii="Times New Roman" w:hAnsi="Times New Roman" w:cs="Times New Roman"/>
                      <w:color w:val="auto"/>
                      <w:highlight w:val="none"/>
                    </w:rPr>
                    <w:t>%</w:t>
                  </w:r>
                </w:p>
              </w:tc>
              <w:tc>
                <w:tcPr>
                  <w:tcW w:w="1033" w:type="dxa"/>
                  <w:vAlign w:val="center"/>
                </w:tcPr>
                <w:p w14:paraId="7226EB8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2CA8E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continue"/>
                  <w:vAlign w:val="center"/>
                </w:tcPr>
                <w:p w14:paraId="0E47C8B2">
                  <w:pPr>
                    <w:rPr>
                      <w:rFonts w:hint="default" w:ascii="Times New Roman" w:hAnsi="Times New Roman" w:cs="Times New Roman"/>
                      <w:color w:val="auto"/>
                      <w:highlight w:val="none"/>
                    </w:rPr>
                  </w:pPr>
                </w:p>
              </w:tc>
              <w:tc>
                <w:tcPr>
                  <w:tcW w:w="731" w:type="pct"/>
                  <w:gridSpan w:val="2"/>
                  <w:vAlign w:val="center"/>
                </w:tcPr>
                <w:p w14:paraId="1688DAB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是否可行</w:t>
                  </w:r>
                </w:p>
              </w:tc>
              <w:tc>
                <w:tcPr>
                  <w:tcW w:w="462" w:type="pct"/>
                  <w:vAlign w:val="center"/>
                </w:tcPr>
                <w:p w14:paraId="3481585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542C7F3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BFACAA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2E1A140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910CD1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75" w:type="pct"/>
                  <w:vAlign w:val="center"/>
                </w:tcPr>
                <w:p w14:paraId="5A54E58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01C45D2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1033" w:type="dxa"/>
                  <w:vAlign w:val="center"/>
                </w:tcPr>
                <w:p w14:paraId="03006D2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02DC3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16" w:type="pct"/>
                  <w:gridSpan w:val="3"/>
                  <w:vAlign w:val="center"/>
                </w:tcPr>
                <w:p w14:paraId="4BD4164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排放浓度（mg/m³）</w:t>
                  </w:r>
                </w:p>
              </w:tc>
              <w:tc>
                <w:tcPr>
                  <w:tcW w:w="462" w:type="pct"/>
                  <w:vAlign w:val="center"/>
                </w:tcPr>
                <w:p w14:paraId="21E5B986">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4.036</w:t>
                  </w:r>
                </w:p>
              </w:tc>
              <w:tc>
                <w:tcPr>
                  <w:tcW w:w="448" w:type="pct"/>
                  <w:vAlign w:val="center"/>
                </w:tcPr>
                <w:p w14:paraId="476EEE3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08B52EFC">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0.030</w:t>
                  </w:r>
                </w:p>
              </w:tc>
              <w:tc>
                <w:tcPr>
                  <w:tcW w:w="448" w:type="pct"/>
                  <w:vAlign w:val="center"/>
                </w:tcPr>
                <w:p w14:paraId="67558B3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E54385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625</w:t>
                  </w:r>
                </w:p>
              </w:tc>
              <w:tc>
                <w:tcPr>
                  <w:tcW w:w="475" w:type="pct"/>
                  <w:vAlign w:val="center"/>
                </w:tcPr>
                <w:p w14:paraId="1FD691F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05409EFE">
                  <w:pPr>
                    <w:adjustRightInd w:val="0"/>
                    <w:snapToGrid w:val="0"/>
                    <w:jc w:val="center"/>
                    <w:rPr>
                      <w:rFonts w:hint="default" w:ascii="Times New Roman" w:hAnsi="Times New Roman" w:cs="Times New Roman"/>
                      <w:color w:val="auto"/>
                      <w:highlight w:val="none"/>
                      <w:lang w:val="en-US"/>
                    </w:rPr>
                  </w:pPr>
                  <w:r>
                    <w:rPr>
                      <w:rFonts w:hint="eastAsia" w:ascii="Times New Roman" w:hAnsi="Times New Roman" w:eastAsia="宋体" w:cs="Times New Roman"/>
                      <w:color w:val="auto"/>
                      <w:highlight w:val="none"/>
                      <w:lang w:val="en-US" w:eastAsia="zh-CN"/>
                    </w:rPr>
                    <w:t>0.151</w:t>
                  </w:r>
                </w:p>
              </w:tc>
              <w:tc>
                <w:tcPr>
                  <w:tcW w:w="1033" w:type="dxa"/>
                  <w:vAlign w:val="center"/>
                </w:tcPr>
                <w:p w14:paraId="1DFEE1B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1ED0E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16" w:type="pct"/>
                  <w:gridSpan w:val="3"/>
                  <w:vAlign w:val="center"/>
                </w:tcPr>
                <w:p w14:paraId="7D7BD68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排放速率（kg/h）</w:t>
                  </w:r>
                </w:p>
              </w:tc>
              <w:tc>
                <w:tcPr>
                  <w:tcW w:w="462" w:type="pct"/>
                  <w:vAlign w:val="center"/>
                </w:tcPr>
                <w:p w14:paraId="57ADABB3">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0.028</w:t>
                  </w:r>
                </w:p>
              </w:tc>
              <w:tc>
                <w:tcPr>
                  <w:tcW w:w="448" w:type="pct"/>
                  <w:vAlign w:val="center"/>
                </w:tcPr>
                <w:p w14:paraId="00C79E61">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0.004</w:t>
                  </w:r>
                </w:p>
              </w:tc>
              <w:tc>
                <w:tcPr>
                  <w:tcW w:w="494" w:type="pct"/>
                  <w:vAlign w:val="center"/>
                </w:tcPr>
                <w:p w14:paraId="4676E4BA">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0.0001</w:t>
                  </w:r>
                </w:p>
              </w:tc>
              <w:tc>
                <w:tcPr>
                  <w:tcW w:w="448" w:type="pct"/>
                  <w:vAlign w:val="center"/>
                </w:tcPr>
                <w:p w14:paraId="45E71B7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0.00006</w:t>
                  </w:r>
                </w:p>
              </w:tc>
              <w:tc>
                <w:tcPr>
                  <w:tcW w:w="494" w:type="pct"/>
                  <w:vAlign w:val="center"/>
                </w:tcPr>
                <w:p w14:paraId="06B0C9E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0.006</w:t>
                  </w:r>
                  <w:r>
                    <w:rPr>
                      <w:rFonts w:hint="eastAsia" w:cs="Times New Roman"/>
                      <w:color w:val="auto"/>
                      <w:highlight w:val="none"/>
                      <w:lang w:val="en-US" w:eastAsia="zh-CN"/>
                    </w:rPr>
                    <w:t>5</w:t>
                  </w:r>
                </w:p>
              </w:tc>
              <w:tc>
                <w:tcPr>
                  <w:tcW w:w="475" w:type="pct"/>
                  <w:vAlign w:val="center"/>
                </w:tcPr>
                <w:p w14:paraId="3BD7AC2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0.003</w:t>
                  </w:r>
                </w:p>
              </w:tc>
              <w:tc>
                <w:tcPr>
                  <w:tcW w:w="1033" w:type="dxa"/>
                  <w:vAlign w:val="center"/>
                </w:tcPr>
                <w:p w14:paraId="48E16A4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w:t>
                  </w:r>
                  <w:r>
                    <w:rPr>
                      <w:rFonts w:hint="eastAsia" w:ascii="Times New Roman" w:hAnsi="Times New Roman" w:eastAsia="宋体" w:cs="Times New Roman"/>
                      <w:color w:val="auto"/>
                      <w:highlight w:val="none"/>
                      <w:lang w:val="en-US" w:eastAsia="zh-CN"/>
                    </w:rPr>
                    <w:t>6</w:t>
                  </w:r>
                </w:p>
              </w:tc>
              <w:tc>
                <w:tcPr>
                  <w:tcW w:w="1033" w:type="dxa"/>
                  <w:vAlign w:val="center"/>
                </w:tcPr>
                <w:p w14:paraId="58C85AEB">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w:t>
                  </w:r>
                  <w:r>
                    <w:rPr>
                      <w:rFonts w:hint="eastAsia" w:ascii="Times New Roman" w:hAnsi="Times New Roman" w:eastAsia="宋体" w:cs="Times New Roman"/>
                      <w:color w:val="auto"/>
                      <w:highlight w:val="none"/>
                      <w:lang w:val="en-US" w:eastAsia="zh-CN"/>
                    </w:rPr>
                    <w:t>3</w:t>
                  </w:r>
                </w:p>
              </w:tc>
            </w:tr>
            <w:tr w14:paraId="61236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16" w:type="pct"/>
                  <w:gridSpan w:val="3"/>
                  <w:vAlign w:val="center"/>
                </w:tcPr>
                <w:p w14:paraId="4361884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排放量（t/a）</w:t>
                  </w:r>
                </w:p>
              </w:tc>
              <w:tc>
                <w:tcPr>
                  <w:tcW w:w="462" w:type="pct"/>
                  <w:vAlign w:val="center"/>
                </w:tcPr>
                <w:p w14:paraId="2E84D7CE">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0.248</w:t>
                  </w:r>
                </w:p>
              </w:tc>
              <w:tc>
                <w:tcPr>
                  <w:tcW w:w="448" w:type="pct"/>
                  <w:vAlign w:val="center"/>
                </w:tcPr>
                <w:p w14:paraId="35D0CB81">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0.034</w:t>
                  </w:r>
                </w:p>
              </w:tc>
              <w:tc>
                <w:tcPr>
                  <w:tcW w:w="494" w:type="pct"/>
                  <w:vAlign w:val="center"/>
                </w:tcPr>
                <w:p w14:paraId="46094E0A">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w:t>
                  </w:r>
                </w:p>
              </w:tc>
              <w:tc>
                <w:tcPr>
                  <w:tcW w:w="448" w:type="pct"/>
                  <w:vAlign w:val="center"/>
                </w:tcPr>
                <w:p w14:paraId="4DE4C097">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0.0001</w:t>
                  </w:r>
                </w:p>
              </w:tc>
              <w:tc>
                <w:tcPr>
                  <w:tcW w:w="494" w:type="pct"/>
                  <w:vAlign w:val="center"/>
                </w:tcPr>
                <w:p w14:paraId="417C49FD">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52</w:t>
                  </w:r>
                </w:p>
              </w:tc>
              <w:tc>
                <w:tcPr>
                  <w:tcW w:w="475" w:type="pct"/>
                  <w:vAlign w:val="center"/>
                </w:tcPr>
                <w:p w14:paraId="6538FDA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0.025</w:t>
                  </w:r>
                </w:p>
              </w:tc>
              <w:tc>
                <w:tcPr>
                  <w:tcW w:w="1033" w:type="dxa"/>
                  <w:vAlign w:val="center"/>
                </w:tcPr>
                <w:p w14:paraId="4FFF446C">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0.0048</w:t>
                  </w:r>
                </w:p>
              </w:tc>
              <w:tc>
                <w:tcPr>
                  <w:tcW w:w="1033" w:type="dxa"/>
                  <w:vAlign w:val="center"/>
                </w:tcPr>
                <w:p w14:paraId="067014DE">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w:t>
                  </w:r>
                  <w:r>
                    <w:rPr>
                      <w:rFonts w:hint="eastAsia" w:ascii="Times New Roman" w:hAnsi="Times New Roman" w:eastAsia="宋体" w:cs="Times New Roman"/>
                      <w:color w:val="auto"/>
                      <w:highlight w:val="none"/>
                      <w:lang w:val="en-US" w:eastAsia="zh-CN"/>
                    </w:rPr>
                    <w:t>25</w:t>
                  </w:r>
                </w:p>
              </w:tc>
            </w:tr>
            <w:tr w14:paraId="6895A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84" w:type="pct"/>
                  <w:vMerge w:val="restart"/>
                  <w:vAlign w:val="center"/>
                </w:tcPr>
                <w:p w14:paraId="639FAC4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排放口基本情况</w:t>
                  </w:r>
                </w:p>
              </w:tc>
              <w:tc>
                <w:tcPr>
                  <w:tcW w:w="731" w:type="pct"/>
                  <w:gridSpan w:val="2"/>
                  <w:vAlign w:val="center"/>
                </w:tcPr>
                <w:p w14:paraId="63565D00">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高度m</w:t>
                  </w:r>
                </w:p>
              </w:tc>
              <w:tc>
                <w:tcPr>
                  <w:tcW w:w="462" w:type="pct"/>
                  <w:vAlign w:val="center"/>
                </w:tcPr>
                <w:p w14:paraId="0218158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448" w:type="pct"/>
                  <w:vAlign w:val="center"/>
                </w:tcPr>
                <w:p w14:paraId="0BC32EB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362872E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448" w:type="pct"/>
                  <w:vAlign w:val="center"/>
                </w:tcPr>
                <w:p w14:paraId="65731F9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2159098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475" w:type="pct"/>
                  <w:vAlign w:val="center"/>
                </w:tcPr>
                <w:p w14:paraId="3D995CA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69E1673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33" w:type="dxa"/>
                  <w:vAlign w:val="center"/>
                </w:tcPr>
                <w:p w14:paraId="7EEAFA7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018D7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323BB69">
                  <w:pPr>
                    <w:rPr>
                      <w:rFonts w:hint="default" w:ascii="Times New Roman" w:hAnsi="Times New Roman" w:cs="Times New Roman"/>
                      <w:color w:val="auto"/>
                      <w:highlight w:val="none"/>
                    </w:rPr>
                  </w:pPr>
                </w:p>
              </w:tc>
              <w:tc>
                <w:tcPr>
                  <w:tcW w:w="731" w:type="pct"/>
                  <w:gridSpan w:val="2"/>
                  <w:vAlign w:val="center"/>
                </w:tcPr>
                <w:p w14:paraId="1CBB08C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排气筒内径m</w:t>
                  </w:r>
                </w:p>
              </w:tc>
              <w:tc>
                <w:tcPr>
                  <w:tcW w:w="462" w:type="pct"/>
                  <w:vAlign w:val="center"/>
                </w:tcPr>
                <w:p w14:paraId="3F0C618F">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448" w:type="pct"/>
                  <w:vAlign w:val="center"/>
                </w:tcPr>
                <w:p w14:paraId="4DFAAC3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C53BDD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448" w:type="pct"/>
                  <w:vAlign w:val="center"/>
                </w:tcPr>
                <w:p w14:paraId="111D1D0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72314B8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475" w:type="pct"/>
                  <w:vAlign w:val="center"/>
                </w:tcPr>
                <w:p w14:paraId="56B7605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5DF07D9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4</w:t>
                  </w:r>
                </w:p>
              </w:tc>
              <w:tc>
                <w:tcPr>
                  <w:tcW w:w="1033" w:type="dxa"/>
                  <w:vAlign w:val="center"/>
                </w:tcPr>
                <w:p w14:paraId="1D32D63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338F8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6582C18C">
                  <w:pPr>
                    <w:rPr>
                      <w:rFonts w:hint="default" w:ascii="Times New Roman" w:hAnsi="Times New Roman" w:cs="Times New Roman"/>
                      <w:color w:val="auto"/>
                      <w:highlight w:val="none"/>
                    </w:rPr>
                  </w:pPr>
                </w:p>
              </w:tc>
              <w:tc>
                <w:tcPr>
                  <w:tcW w:w="731" w:type="pct"/>
                  <w:gridSpan w:val="2"/>
                  <w:vAlign w:val="center"/>
                </w:tcPr>
                <w:p w14:paraId="68A4ED5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温度</w:t>
                  </w:r>
                </w:p>
              </w:tc>
              <w:tc>
                <w:tcPr>
                  <w:tcW w:w="462" w:type="pct"/>
                  <w:vAlign w:val="center"/>
                </w:tcPr>
                <w:p w14:paraId="4E35833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448" w:type="pct"/>
                  <w:vAlign w:val="center"/>
                </w:tcPr>
                <w:p w14:paraId="27A0E4F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05BA59C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448" w:type="pct"/>
                  <w:vAlign w:val="center"/>
                </w:tcPr>
                <w:p w14:paraId="54CA4F8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C96770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475" w:type="pct"/>
                  <w:vAlign w:val="center"/>
                </w:tcPr>
                <w:p w14:paraId="082D93E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34F1902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常温</w:t>
                  </w:r>
                </w:p>
              </w:tc>
              <w:tc>
                <w:tcPr>
                  <w:tcW w:w="1033" w:type="dxa"/>
                  <w:vAlign w:val="center"/>
                </w:tcPr>
                <w:p w14:paraId="498BA4E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518CF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84" w:type="pct"/>
                  <w:vMerge w:val="continue"/>
                  <w:vAlign w:val="center"/>
                </w:tcPr>
                <w:p w14:paraId="1D06A834">
                  <w:pPr>
                    <w:rPr>
                      <w:rFonts w:hint="default" w:ascii="Times New Roman" w:hAnsi="Times New Roman" w:cs="Times New Roman"/>
                      <w:color w:val="auto"/>
                      <w:highlight w:val="none"/>
                    </w:rPr>
                  </w:pPr>
                </w:p>
              </w:tc>
              <w:tc>
                <w:tcPr>
                  <w:tcW w:w="731" w:type="pct"/>
                  <w:gridSpan w:val="2"/>
                  <w:vAlign w:val="center"/>
                </w:tcPr>
                <w:p w14:paraId="2E90C07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编号</w:t>
                  </w:r>
                </w:p>
              </w:tc>
              <w:tc>
                <w:tcPr>
                  <w:tcW w:w="462" w:type="pct"/>
                  <w:vAlign w:val="center"/>
                </w:tcPr>
                <w:p w14:paraId="6902070D">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DA001</w:t>
                  </w:r>
                </w:p>
              </w:tc>
              <w:tc>
                <w:tcPr>
                  <w:tcW w:w="448" w:type="pct"/>
                  <w:vAlign w:val="center"/>
                </w:tcPr>
                <w:p w14:paraId="44D92DC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6808F870">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DA00</w:t>
                  </w:r>
                  <w:r>
                    <w:rPr>
                      <w:rFonts w:hint="default" w:ascii="Times New Roman" w:hAnsi="Times New Roman" w:eastAsia="宋体" w:cs="Times New Roman"/>
                      <w:color w:val="auto"/>
                      <w:highlight w:val="none"/>
                      <w:lang w:val="en-US" w:eastAsia="zh-CN"/>
                    </w:rPr>
                    <w:t>2</w:t>
                  </w:r>
                </w:p>
              </w:tc>
              <w:tc>
                <w:tcPr>
                  <w:tcW w:w="448" w:type="pct"/>
                  <w:vAlign w:val="center"/>
                </w:tcPr>
                <w:p w14:paraId="1828F52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1CBA71C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DA00</w:t>
                  </w:r>
                  <w:r>
                    <w:rPr>
                      <w:rFonts w:hint="default" w:ascii="Times New Roman" w:hAnsi="Times New Roman" w:eastAsia="宋体" w:cs="Times New Roman"/>
                      <w:color w:val="auto"/>
                      <w:highlight w:val="none"/>
                      <w:lang w:val="en-US" w:eastAsia="zh-CN"/>
                    </w:rPr>
                    <w:t>2</w:t>
                  </w:r>
                </w:p>
              </w:tc>
              <w:tc>
                <w:tcPr>
                  <w:tcW w:w="475" w:type="pct"/>
                  <w:vAlign w:val="center"/>
                </w:tcPr>
                <w:p w14:paraId="1A504F4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33" w:type="dxa"/>
                  <w:vAlign w:val="center"/>
                </w:tcPr>
                <w:p w14:paraId="30CACB9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DA00</w:t>
                  </w:r>
                  <w:r>
                    <w:rPr>
                      <w:rFonts w:hint="default" w:ascii="Times New Roman" w:hAnsi="Times New Roman" w:eastAsia="宋体" w:cs="Times New Roman"/>
                      <w:color w:val="auto"/>
                      <w:highlight w:val="none"/>
                      <w:lang w:val="en-US" w:eastAsia="zh-CN"/>
                    </w:rPr>
                    <w:t>2</w:t>
                  </w:r>
                </w:p>
              </w:tc>
              <w:tc>
                <w:tcPr>
                  <w:tcW w:w="1033" w:type="dxa"/>
                  <w:vAlign w:val="center"/>
                </w:tcPr>
                <w:p w14:paraId="25AA861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12C52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vMerge w:val="continue"/>
                  <w:vAlign w:val="center"/>
                </w:tcPr>
                <w:p w14:paraId="52CB73DA">
                  <w:pPr>
                    <w:rPr>
                      <w:rFonts w:hint="default" w:ascii="Times New Roman" w:hAnsi="Times New Roman" w:cs="Times New Roman"/>
                      <w:color w:val="auto"/>
                      <w:highlight w:val="none"/>
                    </w:rPr>
                  </w:pPr>
                </w:p>
              </w:tc>
              <w:tc>
                <w:tcPr>
                  <w:tcW w:w="731" w:type="pct"/>
                  <w:gridSpan w:val="2"/>
                  <w:vAlign w:val="center"/>
                </w:tcPr>
                <w:p w14:paraId="7BF6861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911" w:type="pct"/>
                  <w:gridSpan w:val="2"/>
                  <w:vAlign w:val="center"/>
                </w:tcPr>
                <w:p w14:paraId="31A1A39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废气排放口</w:t>
                  </w:r>
                </w:p>
              </w:tc>
              <w:tc>
                <w:tcPr>
                  <w:tcW w:w="3172" w:type="pct"/>
                  <w:gridSpan w:val="6"/>
                  <w:vAlign w:val="center"/>
                </w:tcPr>
                <w:p w14:paraId="3C46E18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废气排放口</w:t>
                  </w:r>
                </w:p>
              </w:tc>
            </w:tr>
            <w:tr w14:paraId="4A7BE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vMerge w:val="continue"/>
                  <w:vAlign w:val="center"/>
                </w:tcPr>
                <w:p w14:paraId="6B6D9ED0">
                  <w:pPr>
                    <w:rPr>
                      <w:rFonts w:hint="default" w:ascii="Times New Roman" w:hAnsi="Times New Roman" w:cs="Times New Roman"/>
                      <w:color w:val="auto"/>
                      <w:highlight w:val="none"/>
                    </w:rPr>
                  </w:pPr>
                </w:p>
              </w:tc>
              <w:tc>
                <w:tcPr>
                  <w:tcW w:w="731" w:type="pct"/>
                  <w:gridSpan w:val="2"/>
                  <w:vAlign w:val="center"/>
                </w:tcPr>
                <w:p w14:paraId="31A4F3C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类型</w:t>
                  </w:r>
                </w:p>
              </w:tc>
              <w:tc>
                <w:tcPr>
                  <w:tcW w:w="911" w:type="pct"/>
                  <w:gridSpan w:val="2"/>
                  <w:vAlign w:val="center"/>
                </w:tcPr>
                <w:p w14:paraId="2550F31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c>
                <w:tcPr>
                  <w:tcW w:w="3172" w:type="pct"/>
                  <w:gridSpan w:val="6"/>
                  <w:vAlign w:val="center"/>
                </w:tcPr>
                <w:p w14:paraId="1CE9B07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r>
            <w:tr w14:paraId="0636F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4" w:type="pct"/>
                  <w:vMerge w:val="continue"/>
                  <w:vAlign w:val="center"/>
                </w:tcPr>
                <w:p w14:paraId="23CC2B11">
                  <w:pPr>
                    <w:rPr>
                      <w:rFonts w:hint="default" w:ascii="Times New Roman" w:hAnsi="Times New Roman" w:cs="Times New Roman"/>
                      <w:color w:val="auto"/>
                      <w:highlight w:val="none"/>
                    </w:rPr>
                  </w:pPr>
                </w:p>
              </w:tc>
              <w:tc>
                <w:tcPr>
                  <w:tcW w:w="316" w:type="pct"/>
                  <w:vMerge w:val="restart"/>
                  <w:vAlign w:val="center"/>
                </w:tcPr>
                <w:p w14:paraId="29F2934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415" w:type="pct"/>
                  <w:vAlign w:val="center"/>
                </w:tcPr>
                <w:p w14:paraId="422D051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911" w:type="pct"/>
                  <w:gridSpan w:val="2"/>
                  <w:vAlign w:val="center"/>
                </w:tcPr>
                <w:p w14:paraId="39642A2C">
                  <w:pPr>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107.26788937</w:t>
                  </w:r>
                </w:p>
              </w:tc>
              <w:tc>
                <w:tcPr>
                  <w:tcW w:w="3172" w:type="pct"/>
                  <w:gridSpan w:val="6"/>
                  <w:vAlign w:val="center"/>
                </w:tcPr>
                <w:p w14:paraId="650FB0C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107.268039574</w:t>
                  </w:r>
                </w:p>
              </w:tc>
            </w:tr>
            <w:tr w14:paraId="3261D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FFA1A9B">
                  <w:pPr>
                    <w:rPr>
                      <w:rFonts w:hint="default" w:ascii="Times New Roman" w:hAnsi="Times New Roman" w:cs="Times New Roman"/>
                      <w:color w:val="auto"/>
                      <w:highlight w:val="none"/>
                    </w:rPr>
                  </w:pPr>
                </w:p>
              </w:tc>
              <w:tc>
                <w:tcPr>
                  <w:tcW w:w="316" w:type="pct"/>
                  <w:vMerge w:val="continue"/>
                  <w:vAlign w:val="center"/>
                </w:tcPr>
                <w:p w14:paraId="6E79CAD2">
                  <w:pPr>
                    <w:adjustRightInd w:val="0"/>
                    <w:snapToGrid w:val="0"/>
                    <w:jc w:val="center"/>
                    <w:rPr>
                      <w:rFonts w:hint="default" w:ascii="Times New Roman" w:hAnsi="Times New Roman" w:cs="Times New Roman"/>
                      <w:color w:val="auto"/>
                      <w:highlight w:val="none"/>
                    </w:rPr>
                  </w:pPr>
                </w:p>
              </w:tc>
              <w:tc>
                <w:tcPr>
                  <w:tcW w:w="415" w:type="pct"/>
                  <w:vAlign w:val="center"/>
                </w:tcPr>
                <w:p w14:paraId="69BBDE7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911" w:type="pct"/>
                  <w:gridSpan w:val="2"/>
                  <w:vAlign w:val="center"/>
                </w:tcPr>
                <w:p w14:paraId="2ED92788">
                  <w:pPr>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34.466345651</w:t>
                  </w:r>
                </w:p>
              </w:tc>
              <w:tc>
                <w:tcPr>
                  <w:tcW w:w="3172" w:type="pct"/>
                  <w:gridSpan w:val="6"/>
                  <w:vAlign w:val="center"/>
                </w:tcPr>
                <w:p w14:paraId="31BD6F9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34.46640466</w:t>
                  </w:r>
                </w:p>
              </w:tc>
            </w:tr>
            <w:tr w14:paraId="75DBD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vMerge w:val="restart"/>
                  <w:vAlign w:val="center"/>
                </w:tcPr>
                <w:p w14:paraId="3B21321F">
                  <w:pPr>
                    <w:rPr>
                      <w:rFonts w:hint="default" w:ascii="Times New Roman" w:hAnsi="Times New Roman" w:cs="Times New Roman"/>
                      <w:color w:val="auto"/>
                      <w:highlight w:val="none"/>
                    </w:rPr>
                  </w:pPr>
                  <w:r>
                    <w:rPr>
                      <w:rFonts w:hint="default" w:ascii="Times New Roman" w:hAnsi="Times New Roman" w:cs="Times New Roman"/>
                      <w:color w:val="auto"/>
                      <w:highlight w:val="none"/>
                    </w:rPr>
                    <w:t>排放标准</w:t>
                  </w:r>
                </w:p>
              </w:tc>
              <w:tc>
                <w:tcPr>
                  <w:tcW w:w="731" w:type="pct"/>
                  <w:gridSpan w:val="2"/>
                  <w:vAlign w:val="center"/>
                </w:tcPr>
                <w:p w14:paraId="527DD76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标准名称</w:t>
                  </w:r>
                </w:p>
              </w:tc>
              <w:tc>
                <w:tcPr>
                  <w:tcW w:w="4083" w:type="pct"/>
                  <w:gridSpan w:val="8"/>
                  <w:vAlign w:val="center"/>
                </w:tcPr>
                <w:p w14:paraId="53682A5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《大气污染物综合排放标准》（</w:t>
                  </w:r>
                  <w:r>
                    <w:rPr>
                      <w:rFonts w:hint="default" w:ascii="Times New Roman" w:hAnsi="Times New Roman" w:cs="Times New Roman"/>
                      <w:color w:val="auto"/>
                      <w:highlight w:val="none"/>
                      <w:lang w:eastAsia="zh-CN"/>
                    </w:rPr>
                    <w:t>GB-</w:t>
                  </w:r>
                  <w:r>
                    <w:rPr>
                      <w:rFonts w:hint="default" w:ascii="Times New Roman" w:hAnsi="Times New Roman" w:cs="Times New Roman"/>
                      <w:color w:val="auto"/>
                      <w:highlight w:val="none"/>
                    </w:rPr>
                    <w:t>16297-1996）相关标准限值</w:t>
                  </w:r>
                  <w:r>
                    <w:rPr>
                      <w:rFonts w:hint="default" w:ascii="Times New Roman" w:hAnsi="Times New Roman" w:cs="Times New Roman"/>
                      <w:color w:val="auto"/>
                      <w:highlight w:val="none"/>
                      <w:lang w:eastAsia="zh-CN"/>
                    </w:rPr>
                    <w:t>；</w:t>
                  </w:r>
                </w:p>
              </w:tc>
            </w:tr>
            <w:tr w14:paraId="49759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F70EA42">
                  <w:pPr>
                    <w:rPr>
                      <w:rFonts w:hint="default" w:ascii="Times New Roman" w:hAnsi="Times New Roman" w:cs="Times New Roman"/>
                      <w:color w:val="auto"/>
                      <w:highlight w:val="none"/>
                    </w:rPr>
                  </w:pPr>
                </w:p>
              </w:tc>
              <w:tc>
                <w:tcPr>
                  <w:tcW w:w="731" w:type="pct"/>
                  <w:gridSpan w:val="2"/>
                  <w:vAlign w:val="center"/>
                </w:tcPr>
                <w:p w14:paraId="07B0695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浓度限值（mg/m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462" w:type="pct"/>
                  <w:vAlign w:val="center"/>
                </w:tcPr>
                <w:p w14:paraId="009DBD8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p>
              </w:tc>
              <w:tc>
                <w:tcPr>
                  <w:tcW w:w="448" w:type="pct"/>
                  <w:vAlign w:val="center"/>
                </w:tcPr>
                <w:p w14:paraId="48BEA5A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494" w:type="pct"/>
                  <w:vAlign w:val="center"/>
                </w:tcPr>
                <w:p w14:paraId="7AAB883F">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9</w:t>
                  </w:r>
                </w:p>
              </w:tc>
              <w:tc>
                <w:tcPr>
                  <w:tcW w:w="448" w:type="pct"/>
                  <w:vAlign w:val="center"/>
                </w:tcPr>
                <w:p w14:paraId="13C52CD6">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0.15</w:t>
                  </w:r>
                </w:p>
              </w:tc>
              <w:tc>
                <w:tcPr>
                  <w:tcW w:w="494" w:type="pct"/>
                  <w:vAlign w:val="center"/>
                </w:tcPr>
                <w:p w14:paraId="1DD65367">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45</w:t>
                  </w:r>
                </w:p>
              </w:tc>
              <w:tc>
                <w:tcPr>
                  <w:tcW w:w="475" w:type="pct"/>
                  <w:vAlign w:val="center"/>
                </w:tcPr>
                <w:p w14:paraId="7C1ADC15">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630" w:type="pct"/>
                  <w:vAlign w:val="center"/>
                </w:tcPr>
                <w:p w14:paraId="3171B121">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100</w:t>
                  </w:r>
                </w:p>
              </w:tc>
              <w:tc>
                <w:tcPr>
                  <w:tcW w:w="630" w:type="pct"/>
                  <w:vAlign w:val="center"/>
                </w:tcPr>
                <w:p w14:paraId="3A9D2165">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w:t>
                  </w:r>
                </w:p>
              </w:tc>
            </w:tr>
            <w:tr w14:paraId="5BFF3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84" w:type="pct"/>
                  <w:vMerge w:val="continue"/>
                  <w:vAlign w:val="center"/>
                </w:tcPr>
                <w:p w14:paraId="26340026">
                  <w:pPr>
                    <w:rPr>
                      <w:rFonts w:hint="default" w:ascii="Times New Roman" w:hAnsi="Times New Roman" w:cs="Times New Roman"/>
                      <w:color w:val="auto"/>
                      <w:highlight w:val="none"/>
                    </w:rPr>
                  </w:pPr>
                </w:p>
              </w:tc>
              <w:tc>
                <w:tcPr>
                  <w:tcW w:w="731" w:type="pct"/>
                  <w:gridSpan w:val="2"/>
                  <w:vAlign w:val="center"/>
                </w:tcPr>
                <w:p w14:paraId="08A0ED0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速率限值</w:t>
                  </w:r>
                </w:p>
                <w:p w14:paraId="2FC19E04">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（kg/h）</w:t>
                  </w:r>
                </w:p>
              </w:tc>
              <w:tc>
                <w:tcPr>
                  <w:tcW w:w="462" w:type="pct"/>
                  <w:vAlign w:val="center"/>
                </w:tcPr>
                <w:p w14:paraId="06A8F20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448" w:type="pct"/>
                  <w:vAlign w:val="center"/>
                </w:tcPr>
                <w:p w14:paraId="24A9DCE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4" w:type="pct"/>
                  <w:vAlign w:val="center"/>
                </w:tcPr>
                <w:p w14:paraId="2570C488">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0.1</w:t>
                  </w:r>
                </w:p>
              </w:tc>
              <w:tc>
                <w:tcPr>
                  <w:tcW w:w="448" w:type="pct"/>
                  <w:vAlign w:val="center"/>
                </w:tcPr>
                <w:p w14:paraId="6C70B453">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94" w:type="pct"/>
                  <w:vAlign w:val="center"/>
                </w:tcPr>
                <w:p w14:paraId="29C594B0">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2.6</w:t>
                  </w:r>
                </w:p>
              </w:tc>
              <w:tc>
                <w:tcPr>
                  <w:tcW w:w="475" w:type="pct"/>
                  <w:vAlign w:val="center"/>
                </w:tcPr>
                <w:p w14:paraId="455B2A98">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30" w:type="pct"/>
                  <w:vAlign w:val="center"/>
                </w:tcPr>
                <w:p w14:paraId="1FDA0B31">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0.26</w:t>
                  </w:r>
                </w:p>
              </w:tc>
              <w:tc>
                <w:tcPr>
                  <w:tcW w:w="630" w:type="pct"/>
                  <w:vAlign w:val="center"/>
                </w:tcPr>
                <w:p w14:paraId="06758ACB">
                  <w:pPr>
                    <w:adjustRightInd w:val="0"/>
                    <w:snapToGrid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7543D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16" w:type="pct"/>
                  <w:gridSpan w:val="3"/>
                  <w:vAlign w:val="center"/>
                </w:tcPr>
                <w:p w14:paraId="636772B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是否达标</w:t>
                  </w:r>
                </w:p>
              </w:tc>
              <w:tc>
                <w:tcPr>
                  <w:tcW w:w="462" w:type="pct"/>
                  <w:vAlign w:val="center"/>
                </w:tcPr>
                <w:p w14:paraId="3BD1233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1B55A1C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94" w:type="pct"/>
                  <w:vAlign w:val="center"/>
                </w:tcPr>
                <w:p w14:paraId="3EC4C52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48" w:type="pct"/>
                  <w:vAlign w:val="center"/>
                </w:tcPr>
                <w:p w14:paraId="1EB2EDE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94" w:type="pct"/>
                  <w:vAlign w:val="center"/>
                </w:tcPr>
                <w:p w14:paraId="7FE0013A">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475" w:type="pct"/>
                  <w:vAlign w:val="center"/>
                </w:tcPr>
                <w:p w14:paraId="64FC98E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630" w:type="pct"/>
                  <w:vAlign w:val="center"/>
                </w:tcPr>
                <w:p w14:paraId="3595B0B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c>
                <w:tcPr>
                  <w:tcW w:w="630" w:type="pct"/>
                  <w:vAlign w:val="center"/>
                </w:tcPr>
                <w:p w14:paraId="244E4A5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r>
          </w:tbl>
          <w:p w14:paraId="2E8BF52C">
            <w:pPr>
              <w:widowControl/>
              <w:adjustRightInd w:val="0"/>
              <w:snapToGrid w:val="0"/>
              <w:jc w:val="center"/>
              <w:rPr>
                <w:rFonts w:hint="default" w:ascii="Times New Roman" w:hAnsi="Times New Roman" w:cs="Times New Roman"/>
                <w:b/>
                <w:bCs/>
                <w:color w:val="auto"/>
                <w:kern w:val="0"/>
                <w:sz w:val="24"/>
                <w:szCs w:val="24"/>
                <w:highlight w:val="none"/>
              </w:rPr>
            </w:pPr>
            <w:r>
              <w:rPr>
                <w:rFonts w:hint="eastAsia" w:ascii="Times New Roman" w:hAnsi="Times New Roman" w:cs="Times New Roman"/>
                <w:b/>
                <w:color w:val="auto"/>
                <w:highlight w:val="none"/>
                <w:lang w:val="en-US" w:eastAsia="zh-CN"/>
              </w:rPr>
              <w:t>续</w:t>
            </w:r>
            <w:r>
              <w:rPr>
                <w:rFonts w:hint="default" w:ascii="Times New Roman" w:hAnsi="Times New Roman" w:cs="Times New Roman"/>
                <w:b/>
                <w:color w:val="auto"/>
                <w:highlight w:val="none"/>
              </w:rPr>
              <w:t>表4-1项目运营期污染物及源强一览表</w:t>
            </w:r>
          </w:p>
          <w:tbl>
            <w:tblPr>
              <w:tblStyle w:val="35"/>
              <w:tblW w:w="499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508"/>
              <w:gridCol w:w="2054"/>
              <w:gridCol w:w="2555"/>
            </w:tblGrid>
            <w:tr w14:paraId="67B1EAB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160" w:type="pct"/>
                  <w:gridSpan w:val="2"/>
                  <w:tcBorders>
                    <w:top w:val="single" w:color="auto" w:sz="6" w:space="0"/>
                    <w:left w:val="single" w:color="auto" w:sz="6" w:space="0"/>
                    <w:bottom w:val="single" w:color="auto" w:sz="4" w:space="0"/>
                    <w:right w:val="single" w:color="auto" w:sz="4" w:space="0"/>
                    <w:tl2br w:val="nil"/>
                    <w:tr2bl w:val="nil"/>
                  </w:tcBorders>
                  <w:noWrap w:val="0"/>
                  <w:vAlign w:val="center"/>
                </w:tcPr>
                <w:p w14:paraId="1F268045">
                  <w:pPr>
                    <w:widowControl w:val="0"/>
                    <w:adjustRightInd w:val="0"/>
                    <w:snapToGri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2839" w:type="pct"/>
                  <w:gridSpan w:val="2"/>
                  <w:tcBorders>
                    <w:top w:val="single" w:color="auto" w:sz="6" w:space="0"/>
                    <w:left w:val="single" w:color="auto" w:sz="4" w:space="0"/>
                    <w:bottom w:val="single" w:color="auto" w:sz="4" w:space="0"/>
                    <w:right w:val="single" w:color="auto" w:sz="6" w:space="0"/>
                    <w:tl2br w:val="nil"/>
                    <w:tr2bl w:val="nil"/>
                  </w:tcBorders>
                  <w:noWrap w:val="0"/>
                  <w:vAlign w:val="center"/>
                </w:tcPr>
                <w:p w14:paraId="10489DFB">
                  <w:pPr>
                    <w:widowControl w:val="0"/>
                    <w:adjustRightInd w:val="0"/>
                    <w:snapToGrid w:val="0"/>
                    <w:jc w:val="center"/>
                    <w:rPr>
                      <w:rFonts w:hint="default" w:ascii="Times New Roman" w:hAnsi="Times New Roman" w:eastAsia="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恶臭</w:t>
                  </w:r>
                </w:p>
              </w:tc>
            </w:tr>
            <w:tr w14:paraId="15FB9A7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0320614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污染物种类</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DAF41C">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氨</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11591A3">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硫化氢</w:t>
                  </w:r>
                </w:p>
              </w:tc>
            </w:tr>
            <w:tr w14:paraId="4E63870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1A12B4FD">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污染物产生量（t/a）</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518A90">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bidi="ar"/>
                    </w:rPr>
                    <w:t>34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08CC76FB">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0.007</w:t>
                  </w:r>
                </w:p>
              </w:tc>
            </w:tr>
            <w:tr w14:paraId="425D16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789384C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产生速率（kg/h）</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F15922">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3F5E93F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0.0008</w:t>
                  </w:r>
                </w:p>
              </w:tc>
            </w:tr>
            <w:tr w14:paraId="2DECE47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7DC936F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产生浓度（mg/m</w:t>
                  </w:r>
                  <w:r>
                    <w:rPr>
                      <w:rFonts w:hint="default" w:ascii="Times New Roman" w:hAnsi="Times New Roman" w:eastAsia="Times New Roman"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9EBF20">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33C79D1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F8BD9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2480D965">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排放形式</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0460007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14:paraId="630801F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restart"/>
                  <w:tcBorders>
                    <w:top w:val="single" w:color="auto" w:sz="4" w:space="0"/>
                    <w:left w:val="single" w:color="auto" w:sz="6" w:space="0"/>
                    <w:bottom w:val="single" w:color="auto" w:sz="4" w:space="0"/>
                    <w:right w:val="single" w:color="auto" w:sz="4" w:space="0"/>
                    <w:tl2br w:val="nil"/>
                    <w:tr2bl w:val="nil"/>
                  </w:tcBorders>
                  <w:noWrap w:val="0"/>
                  <w:vAlign w:val="center"/>
                </w:tcPr>
                <w:p w14:paraId="378ED5B3">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治理设施</w:t>
                  </w: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7CAF84">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处理设施</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33FF2513">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密闭贮存间</w:t>
                  </w:r>
                </w:p>
              </w:tc>
            </w:tr>
            <w:tr w14:paraId="49CF130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7E4921B6">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A8E7D4">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收集效率%</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772A8D28">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48D397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4FCB5BC7">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4AE1CD">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治理工艺去除率%</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60D46AA9">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0B08BE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06018C02">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5F0DEC">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是否为可行技术</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698BDB4D">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28FC0E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10200F1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污染物排放浓度（mg/m</w:t>
                  </w:r>
                  <w:r>
                    <w:rPr>
                      <w:rFonts w:hint="default" w:ascii="Times New Roman" w:hAnsi="Times New Roman" w:eastAsia="Times New Roman"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36E18AA4">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B19D5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0C7A4731">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污染物排放速率（kg/h）</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742D59">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09638336">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0.0008</w:t>
                  </w:r>
                </w:p>
              </w:tc>
            </w:tr>
            <w:tr w14:paraId="00DDAC4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2C00D13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污染物排放量（t/a）</w:t>
                  </w:r>
                </w:p>
              </w:tc>
              <w:tc>
                <w:tcPr>
                  <w:tcW w:w="126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0405FC">
                  <w:pPr>
                    <w:widowControl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bidi="ar"/>
                    </w:rPr>
                    <w:t>34</w:t>
                  </w:r>
                </w:p>
              </w:tc>
              <w:tc>
                <w:tcPr>
                  <w:tcW w:w="1574" w:type="pct"/>
                  <w:tcBorders>
                    <w:top w:val="single" w:color="auto" w:sz="4" w:space="0"/>
                    <w:left w:val="single" w:color="auto" w:sz="4" w:space="0"/>
                    <w:bottom w:val="single" w:color="auto" w:sz="4" w:space="0"/>
                    <w:right w:val="single" w:color="auto" w:sz="6" w:space="0"/>
                    <w:tl2br w:val="nil"/>
                    <w:tr2bl w:val="nil"/>
                  </w:tcBorders>
                  <w:noWrap w:val="0"/>
                  <w:vAlign w:val="center"/>
                </w:tcPr>
                <w:p w14:paraId="7A95EB9F">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0.007</w:t>
                  </w:r>
                </w:p>
              </w:tc>
            </w:tr>
            <w:tr w14:paraId="0B70BBA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restart"/>
                  <w:tcBorders>
                    <w:top w:val="single" w:color="auto" w:sz="4" w:space="0"/>
                    <w:left w:val="single" w:color="auto" w:sz="6" w:space="0"/>
                    <w:bottom w:val="single" w:color="auto" w:sz="4" w:space="0"/>
                    <w:right w:val="single" w:color="auto" w:sz="4" w:space="0"/>
                    <w:tl2br w:val="nil"/>
                    <w:tr2bl w:val="nil"/>
                  </w:tcBorders>
                  <w:noWrap w:val="0"/>
                  <w:vAlign w:val="center"/>
                </w:tcPr>
                <w:p w14:paraId="52ECDDE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排放口基本信息</w:t>
                  </w: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ADAFB">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高度（m）</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60D14B69">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9AF6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4ED01C1C">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5E70A6">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排气筒内径（m）</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7DAD89E3">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C5945C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246E0F8F">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00B312">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温度（℃）</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19768D12">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6FB5B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40A7E1CF">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DCA05E">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编号及名称</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190036A7">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EB4BD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15" w:type="pct"/>
                  <w:vMerge w:val="continue"/>
                  <w:tcBorders>
                    <w:top w:val="single" w:color="auto" w:sz="4" w:space="0"/>
                    <w:left w:val="single" w:color="auto" w:sz="6" w:space="0"/>
                    <w:bottom w:val="single" w:color="auto" w:sz="4" w:space="0"/>
                    <w:right w:val="single" w:color="auto" w:sz="4" w:space="0"/>
                    <w:tl2br w:val="nil"/>
                    <w:tr2bl w:val="nil"/>
                  </w:tcBorders>
                  <w:noWrap w:val="0"/>
                  <w:vAlign w:val="center"/>
                </w:tcPr>
                <w:p w14:paraId="58E6B846">
                  <w:pPr>
                    <w:widowControl w:val="0"/>
                    <w:adjustRightInd w:val="0"/>
                    <w:snapToGrid w:val="0"/>
                    <w:jc w:val="center"/>
                    <w:rPr>
                      <w:rFonts w:hint="default" w:ascii="Times New Roman" w:hAnsi="Times New Roman" w:eastAsia="Times New Roman" w:cs="Times New Roman"/>
                      <w:color w:val="auto"/>
                      <w:sz w:val="21"/>
                      <w:szCs w:val="21"/>
                      <w:highlight w:val="none"/>
                    </w:rPr>
                  </w:pPr>
                </w:p>
              </w:tc>
              <w:tc>
                <w:tcPr>
                  <w:tcW w:w="154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9B2FAC">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48899A91">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04F31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60" w:type="pct"/>
                  <w:gridSpan w:val="2"/>
                  <w:tcBorders>
                    <w:top w:val="single" w:color="auto" w:sz="4" w:space="0"/>
                    <w:left w:val="single" w:color="auto" w:sz="6" w:space="0"/>
                    <w:bottom w:val="single" w:color="auto" w:sz="4" w:space="0"/>
                    <w:right w:val="single" w:color="auto" w:sz="4" w:space="0"/>
                    <w:tl2br w:val="nil"/>
                    <w:tr2bl w:val="nil"/>
                  </w:tcBorders>
                  <w:noWrap w:val="0"/>
                  <w:vAlign w:val="center"/>
                </w:tcPr>
                <w:p w14:paraId="1DB39F8D">
                  <w:pPr>
                    <w:widowControl w:val="0"/>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排放限值标准</w:t>
                  </w:r>
                </w:p>
              </w:tc>
              <w:tc>
                <w:tcPr>
                  <w:tcW w:w="2839" w:type="pct"/>
                  <w:gridSpan w:val="2"/>
                  <w:tcBorders>
                    <w:top w:val="single" w:color="auto" w:sz="4" w:space="0"/>
                    <w:left w:val="single" w:color="auto" w:sz="4" w:space="0"/>
                    <w:bottom w:val="single" w:color="auto" w:sz="4" w:space="0"/>
                    <w:right w:val="single" w:color="auto" w:sz="6" w:space="0"/>
                    <w:tl2br w:val="nil"/>
                    <w:tr2bl w:val="nil"/>
                  </w:tcBorders>
                  <w:noWrap w:val="0"/>
                  <w:vAlign w:val="center"/>
                </w:tcPr>
                <w:p w14:paraId="79E08E34">
                  <w:pPr>
                    <w:adjustRightInd w:val="0"/>
                    <w:snapToGrid w:val="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《恶臭污染物排放标准》（GB14554-93）表1</w:t>
                  </w:r>
                </w:p>
              </w:tc>
            </w:tr>
          </w:tbl>
          <w:p w14:paraId="4743D726">
            <w:pPr>
              <w:spacing w:line="360" w:lineRule="auto"/>
              <w:ind w:firstLine="482"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b/>
                <w:bCs/>
                <w:color w:val="auto"/>
                <w:kern w:val="0"/>
                <w:sz w:val="24"/>
                <w:szCs w:val="24"/>
                <w:highlight w:val="none"/>
              </w:rPr>
              <w:t>2</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污染源源强核算过程</w:t>
            </w:r>
          </w:p>
          <w:p w14:paraId="197C106C">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lang w:eastAsia="zh-CN"/>
              </w:rPr>
              <w:t>有机</w:t>
            </w:r>
            <w:r>
              <w:rPr>
                <w:rFonts w:hint="default" w:ascii="Times New Roman" w:hAnsi="Times New Roman" w:cs="Times New Roman"/>
                <w:color w:val="auto"/>
                <w:sz w:val="24"/>
                <w:szCs w:val="24"/>
                <w:highlight w:val="none"/>
              </w:rPr>
              <w:t>废气</w:t>
            </w:r>
          </w:p>
          <w:p w14:paraId="62ECF876">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各类危险废物入库和转运出库的包装方式不变，所有危险废物均不分装、不倒罐，同时均采用密闭包装容器进行储存，正常情况下不会或会有极少量有机废气产生，故本项目有机废气主要产生于有机溶剂、含有或沾染有挥发性有机物的危险废物等在贮存过程中因疏忽致使包装破损或包装不严密使包装内的物料挥发出来。</w:t>
            </w:r>
          </w:p>
          <w:p w14:paraId="552D801C">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项目可能涉及产生</w:t>
            </w:r>
            <w:r>
              <w:rPr>
                <w:rFonts w:hint="default" w:ascii="Times New Roman" w:hAnsi="Times New Roman" w:cs="Times New Roman"/>
                <w:color w:val="auto"/>
                <w:sz w:val="24"/>
                <w:szCs w:val="24"/>
                <w:highlight w:val="none"/>
                <w:lang w:eastAsia="zh-CN"/>
              </w:rPr>
              <w:t>有机</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eastAsia="zh-CN"/>
              </w:rPr>
              <w:t>（以非甲烷总烃计）</w:t>
            </w:r>
            <w:r>
              <w:rPr>
                <w:rFonts w:hint="default" w:ascii="Times New Roman" w:hAnsi="Times New Roman" w:cs="Times New Roman"/>
                <w:color w:val="auto"/>
                <w:sz w:val="24"/>
                <w:szCs w:val="24"/>
                <w:highlight w:val="none"/>
              </w:rPr>
              <w:t>的危险废物主要包括，HW10多氯（溴）联苯类废物，HW12染料、涂料废物，HW13有机树脂类废物，HW37有机磷化合物废物，HW49其他废物类危险废物在贮存过程中逸散出少量的有机废气。</w:t>
            </w:r>
          </w:p>
          <w:p w14:paraId="2996871D">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根据建设单位提供的危险废物主要成分</w:t>
            </w:r>
            <w:r>
              <w:rPr>
                <w:rFonts w:hint="eastAsia" w:cs="Times New Roman"/>
                <w:color w:val="auto"/>
                <w:sz w:val="24"/>
                <w:szCs w:val="24"/>
                <w:highlight w:val="none"/>
                <w:lang w:eastAsia="zh-CN"/>
              </w:rPr>
              <w:t>，HW10类危险废物主要成分为多氯联苯（PCBs）或多溴联苯（PBBs）（核心成分，占比5%-100%，PCBs（多氯联苯）、PBBs（多溴联苯））；载体介质（占比0%-95%，变压器油（矿物油或合成油）、土壤/沉积物、塑料/橡胶）；其他污染物（占比1%-20%，重金属、水分/杂质等）。</w:t>
            </w:r>
          </w:p>
          <w:p w14:paraId="6A3E7257">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HW12类危险废物主要成分为有机成分（核心成分，占比50%-90%，树脂/成膜物质，丙烯酸树脂、环氧树脂、醇酸树脂，硫化染料、溶剂、偶氮染料苯系物）；颜料/填料（占比5%-30%，钛白粉（TiO₂）、炭黑、氧化铁（Fe₂O₃），有机颜料（酞菁蓝、偶氮红））；重金属（占比0.1%-10%，铅、铬、镉、锌）；添加剂（占比1%-15%，邻苯二甲酸酯、有机锡、钡/锌化合物、异噻唑啉酮类）；水分/杂质（占比0%-30%）</w:t>
            </w:r>
            <w:r>
              <w:rPr>
                <w:rFonts w:hint="eastAsia" w:cs="Times New Roman"/>
                <w:color w:val="auto"/>
                <w:sz w:val="24"/>
                <w:szCs w:val="24"/>
                <w:highlight w:val="none"/>
                <w:lang w:eastAsia="zh-CN"/>
              </w:rPr>
              <w:t>。</w:t>
            </w:r>
          </w:p>
          <w:p w14:paraId="455EDAB7">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HW13类危险废物主要成分为树脂基体（核心成分，占比50%-95%，热固性树脂如环氧树脂，酚醛树脂；热塑性树脂如聚氨酯、聚丙烯酸酯、聚苯乙烯）；填料/增强材料（占比5%-40%，玻璃纤维，碳酸钙/滑石粉，炭黑/二氧化硅）；添加剂（占比1%-15%，溴化环氧树脂、磷酸酯类阻燃剂；邻苯二甲酸酯类增塑剂；胺类、过氧化物等固化剂/催化剂）；残留溶剂/单体（占比0%-20%，不饱和聚酯树脂未反应单体，丙酮/丁酮）；重金属及其他污染物（占比0.1%-5%）。</w:t>
            </w:r>
          </w:p>
          <w:p w14:paraId="0A0E36CA">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HW37类危险废物主要成分为有机磷农药类（占比30%-70%，磷酸酯类、硫代磷酸酯类、氨基甲酸酯类）；工业有机磷化合物（占比20%-60%，阻燃剂如磷酸三苯酯、TCPP；萃取剂如磷酸三丁酯，TBP；增塑剂如磷酸三甲苯酯，TCP）；溶剂及副产物（占比10%-40%；苯系溶剂如甲苯、二甲苯；氯化烃如二氯甲烷、三氯乙烯；反应副产物如硫化物、氯化物）；重金属及其他污染物（占比0.1%-5%）</w:t>
            </w:r>
          </w:p>
          <w:p w14:paraId="2B31D6ED">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HW49类危险废物内有机挥发类危险废物主要成分为多氯联苯（PCBs）废物（如旧变压器）、有机卤化物废物（如四氯化碳）以及废油桶等沾染废物。</w:t>
            </w:r>
          </w:p>
          <w:p w14:paraId="7E7DDD62">
            <w:pPr>
              <w:adjustRightInd w:val="0"/>
              <w:snapToGrid w:val="0"/>
              <w:spacing w:line="360" w:lineRule="auto"/>
              <w:ind w:firstLine="480" w:firstLineChars="200"/>
              <w:rPr>
                <w:rFonts w:hint="eastAsia"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鉴于项目危险废物贮存过程中有机废气产生的不确定性，本次评价采用文献结合类比法确定</w:t>
            </w:r>
            <w:r>
              <w:rPr>
                <w:rFonts w:hint="eastAsia" w:cs="Times New Roman"/>
                <w:color w:val="auto"/>
                <w:sz w:val="24"/>
                <w:szCs w:val="24"/>
                <w:highlight w:val="none"/>
                <w:lang w:eastAsia="zh-CN"/>
              </w:rPr>
              <w:t>非甲烷总烃</w:t>
            </w:r>
            <w:r>
              <w:rPr>
                <w:rFonts w:hint="default" w:ascii="Times New Roman" w:hAnsi="Times New Roman" w:cs="Times New Roman" w:eastAsiaTheme="minorEastAsia"/>
                <w:color w:val="auto"/>
                <w:sz w:val="24"/>
                <w:szCs w:val="24"/>
                <w:highlight w:val="none"/>
                <w:lang w:eastAsia="zh-CN"/>
              </w:rPr>
              <w:t>产生量。根据《大气环境影响评价实用技术》（王栋成主编，中国标准出版社，2010年9月，第156页）</w:t>
            </w:r>
            <w:r>
              <w:rPr>
                <w:rFonts w:hint="eastAsia" w:cs="Times New Roman" w:eastAsiaTheme="minorEastAsia"/>
                <w:color w:val="auto"/>
                <w:sz w:val="24"/>
                <w:szCs w:val="24"/>
                <w:highlight w:val="none"/>
                <w:lang w:eastAsia="zh-CN"/>
              </w:rPr>
              <w:t>及同类危险废物收集贮存项目《成都川蓝环保科技有限责任公司龙泉驿区固体废物收集、贮存、转运站项目》（该项目设计最大贮存规模2000t，年周转总量为20000t）</w:t>
            </w:r>
            <w:r>
              <w:rPr>
                <w:rFonts w:hint="default" w:ascii="Times New Roman" w:hAnsi="Times New Roman" w:cs="Times New Roman" w:eastAsiaTheme="minorEastAsia"/>
                <w:color w:val="auto"/>
                <w:sz w:val="24"/>
                <w:szCs w:val="24"/>
                <w:highlight w:val="none"/>
                <w:lang w:eastAsia="zh-CN"/>
              </w:rPr>
              <w:t>，贮存场所不分季节和地区，无组织排放量的比例为</w:t>
            </w:r>
            <w:r>
              <w:rPr>
                <w:rFonts w:hint="default" w:ascii="Times New Roman" w:hAnsi="Times New Roman" w:cs="Times New Roman" w:eastAsiaTheme="minorEastAsia"/>
                <w:color w:val="auto"/>
                <w:sz w:val="24"/>
                <w:szCs w:val="24"/>
                <w:highlight w:val="none"/>
                <w:lang w:val="en-US" w:eastAsia="zh-CN"/>
              </w:rPr>
              <w:t>0.5‰-5‰</w:t>
            </w:r>
            <w:r>
              <w:rPr>
                <w:rFonts w:hint="eastAsia" w:cs="Times New Roman" w:eastAsiaTheme="minorEastAsia"/>
                <w:color w:val="auto"/>
                <w:sz w:val="24"/>
                <w:szCs w:val="24"/>
                <w:highlight w:val="none"/>
                <w:lang w:eastAsia="zh-CN"/>
              </w:rPr>
              <w:t>。</w:t>
            </w:r>
          </w:p>
          <w:p w14:paraId="566EC37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本项目上述危险废物预计全年总周转量约为</w:t>
            </w:r>
            <w:r>
              <w:rPr>
                <w:rFonts w:hint="eastAsia" w:cs="Times New Roman" w:eastAsiaTheme="minorEastAsia"/>
                <w:color w:val="auto"/>
                <w:sz w:val="24"/>
                <w:szCs w:val="24"/>
                <w:highlight w:val="none"/>
                <w:lang w:val="en-US" w:eastAsia="zh-CN"/>
              </w:rPr>
              <w:t>1650</w:t>
            </w:r>
            <w:r>
              <w:rPr>
                <w:rFonts w:hint="default" w:ascii="Times New Roman" w:hAnsi="Times New Roman" w:cs="Times New Roman" w:eastAsiaTheme="minorEastAsia"/>
                <w:color w:val="auto"/>
                <w:sz w:val="24"/>
                <w:szCs w:val="24"/>
                <w:highlight w:val="none"/>
                <w:lang w:eastAsia="zh-CN"/>
              </w:rPr>
              <w:t>t/a，本项目在贮存期间危险废物使用PE槽或PE箱进行储存，贮存期间以上类别危险废物有机废气的无组织排放量以0.05‰计，则非甲烷总烃的产生量为</w:t>
            </w:r>
            <w:r>
              <w:rPr>
                <w:rFonts w:hint="eastAsia" w:cs="Times New Roman" w:eastAsiaTheme="minorEastAsia"/>
                <w:color w:val="auto"/>
                <w:sz w:val="24"/>
                <w:szCs w:val="24"/>
                <w:highlight w:val="none"/>
                <w:lang w:val="en-US" w:eastAsia="zh-CN"/>
              </w:rPr>
              <w:t>0.825</w:t>
            </w:r>
            <w:r>
              <w:rPr>
                <w:rFonts w:hint="default" w:ascii="Times New Roman" w:hAnsi="Times New Roman" w:cs="Times New Roman" w:eastAsiaTheme="minorEastAsia"/>
                <w:color w:val="auto"/>
                <w:sz w:val="24"/>
                <w:szCs w:val="24"/>
                <w:highlight w:val="none"/>
                <w:lang w:eastAsia="zh-CN"/>
              </w:rPr>
              <w:t>t/a。</w:t>
            </w:r>
          </w:p>
          <w:p w14:paraId="04EF5C20">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项目危废贮存为间歇式贮存，贮存时间按</w:t>
            </w:r>
            <w:r>
              <w:rPr>
                <w:rFonts w:hint="eastAsia" w:cs="Times New Roman" w:eastAsiaTheme="minorEastAsia"/>
                <w:color w:val="auto"/>
                <w:sz w:val="24"/>
                <w:szCs w:val="24"/>
                <w:highlight w:val="none"/>
                <w:lang w:val="en-US" w:eastAsia="zh-CN"/>
              </w:rPr>
              <w:t>365</w:t>
            </w:r>
            <w:r>
              <w:rPr>
                <w:rFonts w:hint="default" w:ascii="Times New Roman" w:hAnsi="Times New Roman" w:cs="Times New Roman" w:eastAsiaTheme="minorEastAsia"/>
                <w:color w:val="auto"/>
                <w:sz w:val="24"/>
                <w:szCs w:val="24"/>
                <w:highlight w:val="none"/>
                <w:lang w:eastAsia="zh-CN"/>
              </w:rPr>
              <w:t>d/a、</w:t>
            </w:r>
            <w:r>
              <w:rPr>
                <w:rFonts w:hint="eastAsia" w:cs="Times New Roman" w:eastAsiaTheme="minorEastAsia"/>
                <w:color w:val="auto"/>
                <w:sz w:val="24"/>
                <w:szCs w:val="24"/>
                <w:highlight w:val="none"/>
                <w:lang w:val="en-US" w:eastAsia="zh-CN"/>
              </w:rPr>
              <w:t>8760</w:t>
            </w:r>
            <w:r>
              <w:rPr>
                <w:rFonts w:hint="default" w:ascii="Times New Roman" w:hAnsi="Times New Roman" w:cs="Times New Roman" w:eastAsiaTheme="minorEastAsia"/>
                <w:color w:val="auto"/>
                <w:sz w:val="24"/>
                <w:szCs w:val="24"/>
                <w:highlight w:val="none"/>
                <w:lang w:eastAsia="zh-CN"/>
              </w:rPr>
              <w:t>h/a计，项目不同废物类别均贮存在单独密闭间，贮存</w:t>
            </w:r>
            <w:r>
              <w:rPr>
                <w:rFonts w:hint="eastAsia" w:cs="Times New Roman" w:eastAsiaTheme="minorEastAsia"/>
                <w:color w:val="auto"/>
                <w:sz w:val="24"/>
                <w:szCs w:val="24"/>
                <w:highlight w:val="none"/>
                <w:lang w:val="en-US" w:eastAsia="zh-CN"/>
              </w:rPr>
              <w:t>间</w:t>
            </w:r>
            <w:r>
              <w:rPr>
                <w:rFonts w:hint="default" w:ascii="Times New Roman" w:hAnsi="Times New Roman" w:cs="Times New Roman" w:eastAsiaTheme="minorEastAsia"/>
                <w:color w:val="auto"/>
                <w:sz w:val="24"/>
                <w:szCs w:val="24"/>
                <w:highlight w:val="none"/>
                <w:lang w:eastAsia="zh-CN"/>
              </w:rPr>
              <w:t>内顶部均设置有集气口对贮存期间产生的有机废气进行统一收集处理，以上产生有机废气的各贮存单元通过微负压收集后（集气效率95%</w:t>
            </w:r>
            <w:r>
              <w:rPr>
                <w:rFonts w:hint="eastAsia"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eastAsia="zh-CN"/>
              </w:rPr>
              <w:t>，风机风量为7</w:t>
            </w:r>
            <w:r>
              <w:rPr>
                <w:rFonts w:hint="default"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eastAsia="zh-CN"/>
              </w:rPr>
              <w:t>00m³/h，采用两级活性炭吸附装置处理后，通过15m的排气筒（</w:t>
            </w:r>
            <w:r>
              <w:rPr>
                <w:rFonts w:hint="default" w:ascii="Times New Roman" w:hAnsi="Times New Roman" w:cs="Times New Roman" w:eastAsiaTheme="minorEastAsia"/>
                <w:color w:val="auto"/>
                <w:sz w:val="24"/>
                <w:szCs w:val="24"/>
                <w:highlight w:val="none"/>
                <w:lang w:val="en-US" w:eastAsia="zh-CN"/>
              </w:rPr>
              <w:t>DA001</w:t>
            </w:r>
            <w:r>
              <w:rPr>
                <w:rFonts w:hint="default" w:ascii="Times New Roman" w:hAnsi="Times New Roman" w:cs="Times New Roman" w:eastAsiaTheme="minorEastAsia"/>
                <w:color w:val="auto"/>
                <w:sz w:val="24"/>
                <w:szCs w:val="24"/>
                <w:highlight w:val="none"/>
                <w:lang w:eastAsia="zh-CN"/>
              </w:rPr>
              <w:t>）有组织排放。处理效率按70%计，则本项目</w:t>
            </w:r>
            <w:r>
              <w:rPr>
                <w:color w:val="auto"/>
                <w:sz w:val="24"/>
                <w:szCs w:val="32"/>
                <w:highlight w:val="none"/>
              </w:rPr>
              <w:t>有机废气（以非甲烷总烃计）</w:t>
            </w:r>
            <w:r>
              <w:rPr>
                <w:rFonts w:hint="default" w:ascii="Times New Roman" w:hAnsi="Times New Roman" w:cs="Times New Roman" w:eastAsiaTheme="minorEastAsia"/>
                <w:color w:val="auto"/>
                <w:sz w:val="24"/>
                <w:szCs w:val="24"/>
                <w:highlight w:val="none"/>
                <w:lang w:eastAsia="zh-CN"/>
              </w:rPr>
              <w:t>有组织排放量为</w:t>
            </w:r>
            <w:r>
              <w:rPr>
                <w:rFonts w:hint="eastAsia" w:cs="Times New Roman" w:eastAsiaTheme="minorEastAsia"/>
                <w:color w:val="auto"/>
                <w:sz w:val="24"/>
                <w:szCs w:val="24"/>
                <w:highlight w:val="none"/>
                <w:lang w:val="en-US" w:eastAsia="zh-CN"/>
              </w:rPr>
              <w:t>0.248</w:t>
            </w:r>
            <w:r>
              <w:rPr>
                <w:rFonts w:hint="default" w:ascii="Times New Roman" w:hAnsi="Times New Roman" w:cs="Times New Roman" w:eastAsiaTheme="minorEastAsia"/>
                <w:color w:val="auto"/>
                <w:sz w:val="24"/>
                <w:szCs w:val="24"/>
                <w:highlight w:val="none"/>
                <w:lang w:eastAsia="zh-CN"/>
              </w:rPr>
              <w:t>t/a，排放速率</w:t>
            </w:r>
            <w:r>
              <w:rPr>
                <w:rFonts w:hint="eastAsia" w:cs="Times New Roman" w:eastAsiaTheme="minorEastAsia"/>
                <w:color w:val="auto"/>
                <w:sz w:val="24"/>
                <w:szCs w:val="24"/>
                <w:highlight w:val="none"/>
                <w:lang w:val="en-US" w:eastAsia="zh-CN"/>
              </w:rPr>
              <w:t>0.028</w:t>
            </w:r>
            <w:r>
              <w:rPr>
                <w:rFonts w:hint="default" w:ascii="Times New Roman" w:hAnsi="Times New Roman" w:cs="Times New Roman" w:eastAsiaTheme="minorEastAsia"/>
                <w:color w:val="auto"/>
                <w:sz w:val="24"/>
                <w:szCs w:val="24"/>
                <w:highlight w:val="none"/>
                <w:lang w:eastAsia="zh-CN"/>
              </w:rPr>
              <w:t>kg/h，排放浓度</w:t>
            </w:r>
            <w:r>
              <w:rPr>
                <w:rFonts w:hint="eastAsia" w:cs="Times New Roman" w:eastAsiaTheme="minorEastAsia"/>
                <w:color w:val="auto"/>
                <w:sz w:val="24"/>
                <w:szCs w:val="24"/>
                <w:highlight w:val="none"/>
                <w:lang w:val="en-US" w:eastAsia="zh-CN"/>
              </w:rPr>
              <w:t>4.036</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eastAsia="zh-CN"/>
              </w:rPr>
              <w:t>。</w:t>
            </w:r>
          </w:p>
          <w:p w14:paraId="56B59CBA">
            <w:pPr>
              <w:adjustRightInd w:val="0"/>
              <w:snapToGrid w:val="0"/>
              <w:spacing w:line="360" w:lineRule="auto"/>
              <w:ind w:left="420"/>
              <w:jc w:val="left"/>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②</w:t>
            </w:r>
            <w:r>
              <w:rPr>
                <w:rFonts w:hint="default" w:ascii="Times New Roman" w:hAnsi="Times New Roman" w:cs="Times New Roman"/>
                <w:color w:val="auto"/>
                <w:sz w:val="24"/>
                <w:highlight w:val="none"/>
                <w:lang w:eastAsia="zh-CN"/>
              </w:rPr>
              <w:t>酸性废气</w:t>
            </w:r>
          </w:p>
          <w:p w14:paraId="1035BA78">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本项目各类危险废物入库和转运出库的包装方式不变，所有危险废物均不分装、不倒罐，同时均采用密闭包装容器进行储存，正常情况下不会或会有极少量</w:t>
            </w:r>
            <w:r>
              <w:rPr>
                <w:rFonts w:hint="eastAsia" w:cs="Times New Roman"/>
                <w:color w:val="auto"/>
                <w:kern w:val="0"/>
                <w:sz w:val="24"/>
                <w:szCs w:val="24"/>
                <w:highlight w:val="none"/>
                <w:lang w:eastAsia="zh-CN"/>
              </w:rPr>
              <w:t>酸性</w:t>
            </w:r>
            <w:r>
              <w:rPr>
                <w:rFonts w:hint="default" w:ascii="Times New Roman" w:hAnsi="Times New Roman" w:cs="Times New Roman"/>
                <w:color w:val="auto"/>
                <w:kern w:val="0"/>
                <w:sz w:val="24"/>
                <w:szCs w:val="24"/>
                <w:highlight w:val="none"/>
              </w:rPr>
              <w:t>废气产生，故本项目</w:t>
            </w:r>
            <w:r>
              <w:rPr>
                <w:rFonts w:hint="eastAsia" w:cs="Times New Roman"/>
                <w:color w:val="auto"/>
                <w:kern w:val="0"/>
                <w:sz w:val="24"/>
                <w:szCs w:val="24"/>
                <w:highlight w:val="none"/>
                <w:lang w:eastAsia="zh-CN"/>
              </w:rPr>
              <w:t>酸性</w:t>
            </w:r>
            <w:r>
              <w:rPr>
                <w:rFonts w:hint="default" w:ascii="Times New Roman" w:hAnsi="Times New Roman" w:cs="Times New Roman"/>
                <w:color w:val="auto"/>
                <w:kern w:val="0"/>
                <w:sz w:val="24"/>
                <w:szCs w:val="24"/>
                <w:highlight w:val="none"/>
              </w:rPr>
              <w:t>废气主要产生于</w:t>
            </w:r>
            <w:r>
              <w:rPr>
                <w:rFonts w:hint="eastAsia" w:cs="Times New Roman"/>
                <w:color w:val="auto"/>
                <w:kern w:val="0"/>
                <w:sz w:val="24"/>
                <w:szCs w:val="24"/>
                <w:highlight w:val="none"/>
                <w:lang w:eastAsia="zh-CN"/>
              </w:rPr>
              <w:t>废酸液</w:t>
            </w:r>
            <w:r>
              <w:rPr>
                <w:rFonts w:hint="default" w:ascii="Times New Roman" w:hAnsi="Times New Roman" w:cs="Times New Roman"/>
                <w:color w:val="auto"/>
                <w:kern w:val="0"/>
                <w:sz w:val="24"/>
                <w:szCs w:val="24"/>
                <w:highlight w:val="none"/>
              </w:rPr>
              <w:t>、含</w:t>
            </w:r>
            <w:r>
              <w:rPr>
                <w:rFonts w:hint="default" w:ascii="Times New Roman" w:hAnsi="Times New Roman" w:cs="Times New Roman"/>
                <w:color w:val="auto"/>
                <w:kern w:val="0"/>
                <w:sz w:val="24"/>
                <w:szCs w:val="24"/>
                <w:highlight w:val="none"/>
              </w:rPr>
              <w:t>有或沾染有</w:t>
            </w:r>
            <w:r>
              <w:rPr>
                <w:rFonts w:hint="eastAsia" w:cs="Times New Roman"/>
                <w:color w:val="auto"/>
                <w:kern w:val="0"/>
                <w:sz w:val="24"/>
                <w:szCs w:val="24"/>
                <w:highlight w:val="none"/>
                <w:lang w:eastAsia="zh-CN"/>
              </w:rPr>
              <w:t>废酸</w:t>
            </w:r>
            <w:r>
              <w:rPr>
                <w:rFonts w:hint="default" w:ascii="Times New Roman" w:hAnsi="Times New Roman" w:cs="Times New Roman"/>
                <w:color w:val="auto"/>
                <w:kern w:val="0"/>
                <w:sz w:val="24"/>
                <w:szCs w:val="24"/>
                <w:highlight w:val="none"/>
              </w:rPr>
              <w:t>的危险废物等在贮存过程中因疏忽致使包装破损或包装不严密使包装内的物料挥发出来。</w:t>
            </w:r>
          </w:p>
          <w:p w14:paraId="1C84327A">
            <w:pPr>
              <w:adjustRightInd w:val="0"/>
              <w:snapToGrid w:val="0"/>
              <w:spacing w:line="360" w:lineRule="auto"/>
              <w:ind w:firstLine="480" w:firstLineChars="200"/>
              <w:jc w:val="both"/>
              <w:rPr>
                <w:rFonts w:hint="eastAsia"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eastAsia="zh-CN"/>
              </w:rPr>
              <w:t>项目可能涉及产生</w:t>
            </w:r>
            <w:r>
              <w:rPr>
                <w:rFonts w:hint="eastAsia" w:ascii="Times New Roman" w:hAnsi="Times New Roman" w:cs="Times New Roman"/>
                <w:color w:val="auto"/>
                <w:kern w:val="0"/>
                <w:sz w:val="24"/>
                <w:szCs w:val="24"/>
                <w:highlight w:val="none"/>
                <w:lang w:eastAsia="zh-CN"/>
              </w:rPr>
              <w:t>酸性废气</w:t>
            </w:r>
            <w:r>
              <w:rPr>
                <w:rFonts w:hint="default" w:ascii="Times New Roman" w:hAnsi="Times New Roman" w:cs="Times New Roman"/>
                <w:color w:val="auto"/>
                <w:kern w:val="0"/>
                <w:sz w:val="24"/>
                <w:szCs w:val="24"/>
                <w:highlight w:val="none"/>
                <w:lang w:eastAsia="zh-CN"/>
              </w:rPr>
              <w:t>的危险废物主要</w:t>
            </w:r>
            <w:r>
              <w:rPr>
                <w:rFonts w:hint="eastAsia" w:ascii="Times New Roman" w:hAnsi="Times New Roman" w:cs="Times New Roman"/>
                <w:color w:val="auto"/>
                <w:kern w:val="0"/>
                <w:sz w:val="24"/>
                <w:szCs w:val="24"/>
                <w:highlight w:val="none"/>
                <w:lang w:eastAsia="zh-CN"/>
              </w:rPr>
              <w:t>有HW17表面处理废物、</w:t>
            </w:r>
            <w:r>
              <w:rPr>
                <w:rFonts w:hint="default" w:ascii="Times New Roman" w:hAnsi="Times New Roman" w:cs="Times New Roman"/>
                <w:color w:val="auto"/>
                <w:kern w:val="0"/>
                <w:sz w:val="24"/>
                <w:szCs w:val="24"/>
                <w:highlight w:val="none"/>
                <w:lang w:eastAsia="zh-CN"/>
              </w:rPr>
              <w:t>HW31含铅废物、HW32无机氟化物废物</w:t>
            </w:r>
            <w:r>
              <w:rPr>
                <w:rFonts w:hint="eastAsia" w:ascii="Times New Roman" w:hAnsi="Times New Roman" w:cs="Times New Roman"/>
                <w:color w:val="auto"/>
                <w:kern w:val="0"/>
                <w:sz w:val="24"/>
                <w:szCs w:val="24"/>
                <w:highlight w:val="none"/>
                <w:lang w:val="en-US" w:eastAsia="zh-CN"/>
              </w:rPr>
              <w:t>。其中HW17表面处理废物一般包括：电镀行业的电镀槽渣、槽液及水</w:t>
            </w:r>
            <w:r>
              <w:rPr>
                <w:rFonts w:hint="eastAsia" w:cs="Times New Roman"/>
                <w:color w:val="auto"/>
                <w:kern w:val="0"/>
                <w:sz w:val="24"/>
                <w:szCs w:val="24"/>
                <w:highlight w:val="none"/>
                <w:lang w:val="en-US" w:eastAsia="zh-CN"/>
              </w:rPr>
              <w:t>处理污泥；金属和塑料表面酸（碱）洗、除油、除锈、洗涤工艺产生的腐蚀液、洗涤液和污泥；金属和塑料表面磷化、出光、化抛过程中产生的残渣（液）及污泥；镀层剥除过程中产生的废液及残渣；废电镀溶液，镀槽淤渣，电镀水处理污泥，表面处理酸碱渣，氧化槽渣，磷化渣等。</w:t>
            </w:r>
            <w:r>
              <w:rPr>
                <w:rFonts w:hint="eastAsia" w:cs="Times New Roman"/>
                <w:color w:val="auto"/>
                <w:sz w:val="24"/>
                <w:szCs w:val="24"/>
                <w:highlight w:val="none"/>
                <w:lang w:eastAsia="zh-CN"/>
              </w:rPr>
              <w:t>HW49</w:t>
            </w:r>
            <w:r>
              <w:rPr>
                <w:rFonts w:hint="eastAsia" w:cs="Times New Roman"/>
                <w:color w:val="auto"/>
                <w:kern w:val="0"/>
                <w:sz w:val="24"/>
                <w:szCs w:val="24"/>
                <w:highlight w:val="none"/>
                <w:lang w:val="en-US" w:eastAsia="zh-CN"/>
              </w:rPr>
              <w:t>其他废物中900-047-49类危险废物中废酸、废碱，具有危险特性的残留样品。废液、残渣、污泥、废酸、废碱</w:t>
            </w:r>
            <w:r>
              <w:rPr>
                <w:rFonts w:hint="default" w:cs="Times New Roman"/>
                <w:color w:val="auto"/>
                <w:kern w:val="0"/>
                <w:sz w:val="24"/>
                <w:szCs w:val="24"/>
                <w:highlight w:val="none"/>
                <w:lang w:val="en-US" w:eastAsia="zh-CN"/>
              </w:rPr>
              <w:t>收集</w:t>
            </w:r>
            <w:r>
              <w:rPr>
                <w:rFonts w:hint="eastAsia" w:cs="Times New Roman"/>
                <w:color w:val="auto"/>
                <w:kern w:val="0"/>
                <w:sz w:val="24"/>
                <w:szCs w:val="24"/>
                <w:highlight w:val="none"/>
                <w:lang w:val="en-US" w:eastAsia="zh-CN"/>
              </w:rPr>
              <w:t>中</w:t>
            </w:r>
            <w:r>
              <w:rPr>
                <w:rFonts w:hint="default" w:cs="Times New Roman"/>
                <w:color w:val="auto"/>
                <w:kern w:val="0"/>
                <w:sz w:val="24"/>
                <w:szCs w:val="24"/>
                <w:highlight w:val="none"/>
                <w:lang w:val="en-US" w:eastAsia="zh-CN"/>
              </w:rPr>
              <w:t>在产废单位</w:t>
            </w:r>
            <w:r>
              <w:rPr>
                <w:rFonts w:hint="eastAsia" w:cs="Times New Roman"/>
                <w:color w:val="auto"/>
                <w:kern w:val="0"/>
                <w:sz w:val="24"/>
                <w:szCs w:val="24"/>
                <w:highlight w:val="none"/>
                <w:lang w:val="en-US" w:eastAsia="zh-CN"/>
              </w:rPr>
              <w:t>就</w:t>
            </w:r>
            <w:r>
              <w:rPr>
                <w:rFonts w:hint="default" w:cs="Times New Roman"/>
                <w:color w:val="auto"/>
                <w:kern w:val="0"/>
                <w:sz w:val="24"/>
                <w:szCs w:val="24"/>
                <w:highlight w:val="none"/>
                <w:lang w:val="en-US" w:eastAsia="zh-CN"/>
              </w:rPr>
              <w:t>密封包装好后再运输至项目贮存库贮存，不涉及处理、拆</w:t>
            </w:r>
            <w:r>
              <w:rPr>
                <w:rFonts w:hint="default" w:ascii="Times New Roman" w:hAnsi="Times New Roman" w:cs="Times New Roman"/>
                <w:color w:val="auto"/>
                <w:kern w:val="0"/>
                <w:sz w:val="24"/>
                <w:szCs w:val="24"/>
                <w:highlight w:val="none"/>
                <w:lang w:val="en-US" w:eastAsia="zh-CN"/>
              </w:rPr>
              <w:t>封、倒罐等操作</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正常情况下不会有酸性废气产生，</w:t>
            </w:r>
            <w:r>
              <w:rPr>
                <w:rFonts w:hint="eastAsia" w:cs="Times New Roman"/>
                <w:color w:val="auto"/>
                <w:kern w:val="0"/>
                <w:sz w:val="24"/>
                <w:szCs w:val="24"/>
                <w:highlight w:val="none"/>
                <w:lang w:val="en-US" w:eastAsia="zh-CN"/>
              </w:rPr>
              <w:t>产生</w:t>
            </w:r>
            <w:r>
              <w:rPr>
                <w:rFonts w:hint="default" w:ascii="Times New Roman" w:hAnsi="Times New Roman" w:cs="Times New Roman"/>
                <w:color w:val="auto"/>
                <w:kern w:val="0"/>
                <w:sz w:val="24"/>
                <w:szCs w:val="24"/>
                <w:highlight w:val="none"/>
                <w:lang w:val="en-US" w:eastAsia="zh-CN"/>
              </w:rPr>
              <w:t>酸性废气主要在贮存过程中因疏忽致使包装破损或包装不严密使包装内的物料挥发出来，主要产生的废气污染物</w:t>
            </w:r>
            <w:r>
              <w:rPr>
                <w:rFonts w:hint="eastAsia" w:cs="Times New Roman"/>
                <w:color w:val="auto"/>
                <w:kern w:val="0"/>
                <w:sz w:val="24"/>
                <w:szCs w:val="24"/>
                <w:highlight w:val="none"/>
                <w:lang w:val="en-US" w:eastAsia="zh-CN"/>
              </w:rPr>
              <w:t>主要</w:t>
            </w:r>
            <w:r>
              <w:rPr>
                <w:rFonts w:hint="default" w:ascii="Times New Roman" w:hAnsi="Times New Roman"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氯化氢</w:t>
            </w:r>
            <w:r>
              <w:rPr>
                <w:rFonts w:hint="default" w:ascii="Times New Roman" w:hAnsi="Times New Roman" w:cs="Times New Roman"/>
                <w:color w:val="auto"/>
                <w:kern w:val="0"/>
                <w:sz w:val="24"/>
                <w:szCs w:val="24"/>
                <w:highlight w:val="none"/>
                <w:lang w:val="en-US" w:eastAsia="zh-CN"/>
              </w:rPr>
              <w:t>。</w:t>
            </w:r>
          </w:p>
          <w:p w14:paraId="7EB4096B">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项目收集的电池大部分为各收集点更换下来的完整废铅酸蓄电池，一般情况下密封性较好，无废气产生。但部分破损的废弃铅酸蓄电池存在密封阀或壳体轻微破损，从而导致电解液会产生少量</w:t>
            </w:r>
            <w:r>
              <w:rPr>
                <w:rFonts w:hint="eastAsia" w:cs="Times New Roman"/>
                <w:color w:val="auto"/>
                <w:kern w:val="0"/>
                <w:sz w:val="24"/>
                <w:szCs w:val="24"/>
                <w:highlight w:val="none"/>
                <w:lang w:val="en-US" w:eastAsia="zh-CN"/>
              </w:rPr>
              <w:t>硫</w:t>
            </w:r>
            <w:r>
              <w:rPr>
                <w:rFonts w:hint="default" w:ascii="Times New Roman" w:hAnsi="Times New Roman" w:cs="Times New Roman"/>
                <w:color w:val="auto"/>
                <w:kern w:val="0"/>
                <w:sz w:val="24"/>
                <w:szCs w:val="24"/>
                <w:highlight w:val="none"/>
                <w:lang w:val="en-US" w:eastAsia="zh-CN"/>
              </w:rPr>
              <w:t>酸雾。</w:t>
            </w:r>
          </w:p>
          <w:p w14:paraId="2E0B5013">
            <w:pPr>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收集的无机氟化物废物在产废单位密封包装好后再运输至项目贮存库贮存，且不涉及处理、拆封、倒罐等操作，正常情况下不会有酸性废气产生，故本项目酸性废气主要产生于无机氟化物危险废物在贮存过程中因疏忽致使包装破损或包装不严密使包装内的物料挥发出来，主要产生的废气污染物为HF。</w:t>
            </w:r>
          </w:p>
          <w:p w14:paraId="1445294C">
            <w:pPr>
              <w:adjustRightInd w:val="0"/>
              <w:snapToGrid w:val="0"/>
              <w:spacing w:line="360" w:lineRule="auto"/>
              <w:ind w:firstLine="480" w:firstLineChars="200"/>
              <w:jc w:val="left"/>
              <w:rPr>
                <w:rFonts w:hint="eastAsia"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根据建设单位提供的资料，项目HW17表面处理废物</w:t>
            </w:r>
            <w:r>
              <w:rPr>
                <w:rFonts w:hint="default" w:ascii="Times New Roman" w:hAnsi="Times New Roman" w:cs="Times New Roman"/>
                <w:color w:val="auto"/>
                <w:sz w:val="24"/>
                <w:szCs w:val="24"/>
                <w:highlight w:val="none"/>
                <w:lang w:val="en-US" w:eastAsia="zh-CN"/>
              </w:rPr>
              <w:t>最大贮存量为</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t，</w:t>
            </w:r>
            <w:r>
              <w:rPr>
                <w:rFonts w:hint="eastAsia" w:ascii="Times New Roman" w:hAnsi="Times New Roman" w:cs="Times New Roman"/>
                <w:color w:val="auto"/>
                <w:sz w:val="24"/>
                <w:szCs w:val="24"/>
                <w:highlight w:val="none"/>
                <w:lang w:val="en-US" w:eastAsia="zh-CN"/>
              </w:rPr>
              <w:t>中</w:t>
            </w:r>
            <w:r>
              <w:rPr>
                <w:rFonts w:hint="default" w:ascii="Times New Roman" w:hAnsi="Times New Roman" w:cs="Times New Roman"/>
                <w:color w:val="auto"/>
                <w:sz w:val="24"/>
                <w:szCs w:val="24"/>
                <w:highlight w:val="none"/>
                <w:lang w:val="en-US" w:eastAsia="zh-CN"/>
              </w:rPr>
              <w:t>转量为</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lang w:val="en-US" w:eastAsia="zh-CN"/>
              </w:rPr>
              <w:t>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HW31含铅废物最大存在量</w:t>
            </w:r>
            <w:r>
              <w:rPr>
                <w:rFonts w:hint="eastAsia"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lang w:val="en-US" w:eastAsia="zh-CN"/>
              </w:rPr>
              <w:t>t，中转量</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000t/a；HW32无机氟化物废物最大存在量0.5t，中转量100t/a；HW33无机氰化物废物中转量50t/a</w:t>
            </w:r>
            <w:r>
              <w:rPr>
                <w:rFonts w:hint="eastAsia" w:cs="Times New Roman"/>
                <w:color w:val="auto"/>
                <w:kern w:val="0"/>
                <w:sz w:val="24"/>
                <w:szCs w:val="24"/>
                <w:highlight w:val="none"/>
                <w:lang w:val="en-US" w:eastAsia="zh-CN"/>
              </w:rPr>
              <w:t>。</w:t>
            </w:r>
            <w:r>
              <w:rPr>
                <w:rFonts w:hint="eastAsia" w:cs="Times New Roman"/>
                <w:color w:val="auto"/>
                <w:sz w:val="24"/>
                <w:szCs w:val="24"/>
                <w:highlight w:val="none"/>
                <w:lang w:eastAsia="zh-CN"/>
              </w:rPr>
              <w:t>HW49</w:t>
            </w:r>
            <w:r>
              <w:rPr>
                <w:rFonts w:hint="eastAsia" w:cs="Times New Roman"/>
                <w:color w:val="auto"/>
                <w:kern w:val="0"/>
                <w:sz w:val="24"/>
                <w:szCs w:val="24"/>
                <w:highlight w:val="none"/>
                <w:lang w:val="en-US" w:eastAsia="zh-CN"/>
              </w:rPr>
              <w:t>其他废物中900-047-49类危险废物</w:t>
            </w:r>
            <w:r>
              <w:rPr>
                <w:rFonts w:hint="default" w:ascii="Times New Roman" w:hAnsi="Times New Roman" w:cs="Times New Roman"/>
                <w:color w:val="auto"/>
                <w:kern w:val="0"/>
                <w:sz w:val="24"/>
                <w:szCs w:val="24"/>
                <w:highlight w:val="none"/>
                <w:lang w:val="en-US" w:eastAsia="zh-CN"/>
              </w:rPr>
              <w:t>最大存在量0.</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t，中转量</w:t>
            </w:r>
            <w:r>
              <w:rPr>
                <w:rFonts w:hint="eastAsia" w:cs="Times New Roman"/>
                <w:color w:val="auto"/>
                <w:kern w:val="0"/>
                <w:sz w:val="24"/>
                <w:szCs w:val="24"/>
                <w:highlight w:val="none"/>
                <w:lang w:val="en-US" w:eastAsia="zh-CN"/>
              </w:rPr>
              <w:t>8</w:t>
            </w:r>
            <w:r>
              <w:rPr>
                <w:rFonts w:hint="default" w:ascii="Times New Roman" w:hAnsi="Times New Roman" w:cs="Times New Roman"/>
                <w:color w:val="auto"/>
                <w:kern w:val="0"/>
                <w:sz w:val="24"/>
                <w:szCs w:val="24"/>
                <w:highlight w:val="none"/>
                <w:lang w:val="en-US" w:eastAsia="zh-CN"/>
              </w:rPr>
              <w:t>t/a</w:t>
            </w:r>
            <w:r>
              <w:rPr>
                <w:rFonts w:hint="eastAsia" w:cs="Times New Roman"/>
                <w:color w:val="auto"/>
                <w:kern w:val="0"/>
                <w:sz w:val="24"/>
                <w:szCs w:val="24"/>
                <w:highlight w:val="none"/>
                <w:lang w:val="en-US" w:eastAsia="zh-CN"/>
              </w:rPr>
              <w:t>。</w:t>
            </w:r>
          </w:p>
          <w:p w14:paraId="4513BEF5">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鉴于项目危险废物贮存过程中有机废气产生的不确定性，本次评价采用文献结合类比法确定</w:t>
            </w:r>
            <w:r>
              <w:rPr>
                <w:rFonts w:hint="eastAsia" w:cs="Times New Roman" w:eastAsiaTheme="minorEastAsia"/>
                <w:color w:val="auto"/>
                <w:sz w:val="24"/>
                <w:szCs w:val="24"/>
                <w:highlight w:val="none"/>
                <w:lang w:eastAsia="zh-CN"/>
              </w:rPr>
              <w:t>污染物</w:t>
            </w:r>
            <w:r>
              <w:rPr>
                <w:rFonts w:hint="default" w:ascii="Times New Roman" w:hAnsi="Times New Roman" w:cs="Times New Roman" w:eastAsiaTheme="minorEastAsia"/>
                <w:color w:val="auto"/>
                <w:sz w:val="24"/>
                <w:szCs w:val="24"/>
                <w:highlight w:val="none"/>
                <w:lang w:eastAsia="zh-CN"/>
              </w:rPr>
              <w:t>产生量。根据《大气环境影响评价实用技术》（王栋成主编，中国标准出版社，2010年9月，第156页）及同类危险废物收集贮存项目《成都川蓝环保科技有限责任公司龙泉驿区固体废物收集、贮存、转运站项目》（该项目设计最大贮存规模2000t，年周转总量为20000t），贮存场所不分季节和地区，排放量的比例为0.</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lang w:eastAsia="zh-CN"/>
              </w:rPr>
              <w:t>‰，项目危废贮存为间歇式贮存，贮存时间按330d/a、7920h/a计，则酸性</w:t>
            </w:r>
            <w:r>
              <w:rPr>
                <w:rFonts w:hint="default" w:ascii="Times New Roman" w:hAnsi="Times New Roman" w:cs="Times New Roman"/>
                <w:color w:val="auto"/>
                <w:kern w:val="0"/>
                <w:sz w:val="24"/>
                <w:szCs w:val="24"/>
                <w:highlight w:val="none"/>
                <w:lang w:val="en-US" w:eastAsia="zh-CN"/>
              </w:rPr>
              <w:t>废气</w:t>
            </w:r>
            <w:r>
              <w:rPr>
                <w:rFonts w:hint="eastAsia" w:ascii="Times New Roman" w:hAnsi="Times New Roman" w:cs="Times New Roman"/>
                <w:color w:val="auto"/>
                <w:kern w:val="0"/>
                <w:sz w:val="24"/>
                <w:szCs w:val="24"/>
                <w:highlight w:val="none"/>
                <w:lang w:val="en-US" w:eastAsia="zh-CN"/>
              </w:rPr>
              <w:t>的</w:t>
            </w:r>
            <w:r>
              <w:rPr>
                <w:rFonts w:hint="default" w:ascii="Times New Roman" w:hAnsi="Times New Roman" w:cs="Times New Roman"/>
                <w:color w:val="auto"/>
                <w:kern w:val="0"/>
                <w:sz w:val="24"/>
                <w:szCs w:val="24"/>
                <w:highlight w:val="none"/>
                <w:lang w:val="en-US" w:eastAsia="zh-CN"/>
              </w:rPr>
              <w:t>污染物HF</w:t>
            </w:r>
            <w:r>
              <w:rPr>
                <w:rFonts w:hint="default" w:ascii="Times New Roman" w:hAnsi="Times New Roman" w:cs="Times New Roman" w:eastAsiaTheme="minorEastAsia"/>
                <w:color w:val="auto"/>
                <w:sz w:val="24"/>
                <w:szCs w:val="24"/>
                <w:highlight w:val="none"/>
                <w:lang w:eastAsia="zh-CN"/>
              </w:rPr>
              <w:t>产生量约</w:t>
            </w:r>
            <w:r>
              <w:rPr>
                <w:rFonts w:hint="default" w:ascii="Times New Roman" w:hAnsi="Times New Roman" w:cs="Times New Roman" w:eastAsiaTheme="minorEastAsia"/>
                <w:color w:val="auto"/>
                <w:sz w:val="24"/>
                <w:szCs w:val="24"/>
                <w:highlight w:val="none"/>
                <w:lang w:val="en-US" w:eastAsia="zh-CN"/>
              </w:rPr>
              <w:t>0.01t/a，产生速率0.0013</w:t>
            </w:r>
            <w:r>
              <w:rPr>
                <w:rFonts w:hint="default" w:ascii="Times New Roman" w:hAnsi="Times New Roman" w:cs="Times New Roman" w:eastAsiaTheme="minorEastAsia"/>
                <w:color w:val="auto"/>
                <w:sz w:val="24"/>
                <w:szCs w:val="24"/>
                <w:highlight w:val="none"/>
                <w:lang w:eastAsia="zh-CN"/>
              </w:rPr>
              <w:t>kg/h</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硫酸雾</w:t>
            </w:r>
            <w:r>
              <w:rPr>
                <w:rFonts w:hint="default" w:ascii="Times New Roman" w:hAnsi="Times New Roman" w:cs="Times New Roman" w:eastAsiaTheme="minorEastAsia"/>
                <w:color w:val="auto"/>
                <w:sz w:val="24"/>
                <w:szCs w:val="24"/>
                <w:highlight w:val="none"/>
                <w:lang w:eastAsia="zh-CN"/>
              </w:rPr>
              <w:t>产生量</w:t>
            </w:r>
            <w:r>
              <w:rPr>
                <w:rFonts w:hint="default" w:ascii="Times New Roman" w:hAnsi="Times New Roman" w:cs="Times New Roman" w:eastAsiaTheme="minorEastAsia"/>
                <w:color w:val="auto"/>
                <w:sz w:val="24"/>
                <w:szCs w:val="24"/>
                <w:highlight w:val="none"/>
                <w:lang w:val="en-US" w:eastAsia="zh-CN"/>
              </w:rPr>
              <w:t>0.5</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t/a，产生速率0.</w:t>
            </w:r>
            <w:r>
              <w:rPr>
                <w:rFonts w:hint="default" w:ascii="Times New Roman" w:hAnsi="Times New Roman" w:cs="Times New Roman" w:eastAsiaTheme="minorEastAsia"/>
                <w:color w:val="auto"/>
                <w:sz w:val="24"/>
                <w:szCs w:val="24"/>
                <w:highlight w:val="none"/>
                <w:lang w:val="en-US" w:eastAsia="zh-CN"/>
              </w:rPr>
              <w:t>06</w:t>
            </w:r>
            <w:r>
              <w:rPr>
                <w:rFonts w:hint="eastAsia"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lang w:eastAsia="zh-CN"/>
              </w:rPr>
              <w:t>kg/h</w:t>
            </w:r>
            <w:r>
              <w:rPr>
                <w:rFonts w:hint="eastAsia" w:cs="Times New Roman" w:eastAsiaTheme="minorEastAsia"/>
                <w:color w:val="auto"/>
                <w:sz w:val="24"/>
                <w:szCs w:val="24"/>
                <w:highlight w:val="none"/>
                <w:lang w:eastAsia="zh-CN"/>
              </w:rPr>
              <w:t>；氯化氢</w:t>
            </w:r>
            <w:r>
              <w:rPr>
                <w:rFonts w:hint="default" w:ascii="Times New Roman" w:hAnsi="Times New Roman" w:cs="Times New Roman" w:eastAsiaTheme="minorEastAsia"/>
                <w:color w:val="auto"/>
                <w:sz w:val="24"/>
                <w:szCs w:val="24"/>
                <w:highlight w:val="none"/>
                <w:lang w:eastAsia="zh-CN"/>
              </w:rPr>
              <w:t>产生量</w:t>
            </w:r>
            <w:r>
              <w:rPr>
                <w:rFonts w:hint="default" w:ascii="Times New Roman" w:hAnsi="Times New Roman" w:cs="Times New Roman" w:eastAsiaTheme="minorEastAsia"/>
                <w:color w:val="auto"/>
                <w:sz w:val="24"/>
                <w:szCs w:val="24"/>
                <w:highlight w:val="none"/>
                <w:lang w:val="en-US" w:eastAsia="zh-CN"/>
              </w:rPr>
              <w:t>0.</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t/a，产生速率0.</w:t>
            </w:r>
            <w:r>
              <w:rPr>
                <w:rFonts w:hint="default" w:ascii="Times New Roman" w:hAnsi="Times New Roman" w:cs="Times New Roman" w:eastAsiaTheme="minorEastAsia"/>
                <w:color w:val="auto"/>
                <w:sz w:val="24"/>
                <w:szCs w:val="24"/>
                <w:highlight w:val="none"/>
                <w:lang w:val="en-US" w:eastAsia="zh-CN"/>
              </w:rPr>
              <w:t>063</w:t>
            </w:r>
            <w:r>
              <w:rPr>
                <w:rFonts w:hint="default" w:ascii="Times New Roman" w:hAnsi="Times New Roman" w:cs="Times New Roman" w:eastAsiaTheme="minorEastAsia"/>
                <w:color w:val="auto"/>
                <w:sz w:val="24"/>
                <w:szCs w:val="24"/>
                <w:highlight w:val="none"/>
                <w:lang w:eastAsia="zh-CN"/>
              </w:rPr>
              <w:t>kg/h</w:t>
            </w:r>
            <w:r>
              <w:rPr>
                <w:rFonts w:hint="eastAsia" w:ascii="Times New Roman" w:hAnsi="Times New Roman" w:cs="Times New Roman" w:eastAsiaTheme="minorEastAsia"/>
                <w:color w:val="auto"/>
                <w:sz w:val="24"/>
                <w:szCs w:val="24"/>
                <w:highlight w:val="none"/>
                <w:lang w:eastAsia="zh-CN"/>
              </w:rPr>
              <w:t>。</w:t>
            </w:r>
          </w:p>
          <w:p w14:paraId="440AE51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vertAlign w:val="baseline"/>
                <w:lang w:val="en-US" w:eastAsia="zh-CN"/>
              </w:rPr>
            </w:pPr>
            <w:r>
              <w:rPr>
                <w:rFonts w:hint="default" w:ascii="Times New Roman" w:hAnsi="Times New Roman" w:cs="Times New Roman" w:eastAsiaTheme="minorEastAsia"/>
                <w:color w:val="auto"/>
                <w:sz w:val="24"/>
                <w:szCs w:val="24"/>
                <w:highlight w:val="none"/>
                <w:lang w:eastAsia="zh-CN"/>
              </w:rPr>
              <w:t>本项目不同废物类别均贮存在单独密闭间，并设置微负压收集装置，产生酸性废气的各贮存单元通过微负压收集后（集气效率95%</w:t>
            </w:r>
            <w:r>
              <w:rPr>
                <w:rFonts w:hint="eastAsia"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eastAsia="zh-CN"/>
              </w:rPr>
              <w:t>，风机风量为</w:t>
            </w:r>
            <w:r>
              <w:rPr>
                <w:rFonts w:hint="default" w:ascii="Times New Roman" w:hAnsi="Times New Roman" w:cs="Times New Roman" w:eastAsiaTheme="minorEastAsia"/>
                <w:color w:val="auto"/>
                <w:sz w:val="24"/>
                <w:szCs w:val="24"/>
                <w:highlight w:val="none"/>
                <w:lang w:val="en-US" w:eastAsia="zh-CN"/>
              </w:rPr>
              <w:t>4000</w:t>
            </w:r>
            <w:r>
              <w:rPr>
                <w:rFonts w:hint="default" w:ascii="Times New Roman" w:hAnsi="Times New Roman" w:cs="Times New Roman" w:eastAsiaTheme="minorEastAsia"/>
                <w:color w:val="auto"/>
                <w:sz w:val="24"/>
                <w:szCs w:val="24"/>
                <w:highlight w:val="none"/>
                <w:lang w:eastAsia="zh-CN"/>
              </w:rPr>
              <w:t>m³/h，</w:t>
            </w:r>
            <w:r>
              <w:rPr>
                <w:rFonts w:hint="default" w:ascii="Times New Roman" w:hAnsi="Times New Roman" w:cs="Times New Roman"/>
                <w:color w:val="auto"/>
                <w:kern w:val="0"/>
                <w:sz w:val="24"/>
                <w:szCs w:val="24"/>
                <w:highlight w:val="none"/>
                <w:lang w:val="en-US" w:eastAsia="zh-CN"/>
              </w:rPr>
              <w:t>采用碱液喷淋+干式过滤</w:t>
            </w:r>
            <w:r>
              <w:rPr>
                <w:rFonts w:hint="eastAsia" w:cs="Times New Roman"/>
                <w:color w:val="auto"/>
                <w:kern w:val="0"/>
                <w:sz w:val="24"/>
                <w:szCs w:val="24"/>
                <w:highlight w:val="none"/>
                <w:lang w:val="en-US" w:eastAsia="zh-CN"/>
              </w:rPr>
              <w:t>+活性炭</w:t>
            </w:r>
            <w:r>
              <w:rPr>
                <w:rFonts w:hint="default" w:ascii="Times New Roman" w:hAnsi="Times New Roman" w:cs="Times New Roman"/>
                <w:color w:val="auto"/>
                <w:kern w:val="0"/>
                <w:sz w:val="24"/>
                <w:szCs w:val="24"/>
                <w:highlight w:val="none"/>
                <w:lang w:val="en-US" w:eastAsia="zh-CN"/>
              </w:rPr>
              <w:t>处理后由15m排气筒（DA002）排放。</w:t>
            </w:r>
            <w:r>
              <w:rPr>
                <w:rFonts w:hint="default" w:ascii="Times New Roman" w:hAnsi="Times New Roman" w:cs="Times New Roman" w:eastAsiaTheme="minorEastAsia"/>
                <w:color w:val="auto"/>
                <w:sz w:val="24"/>
                <w:szCs w:val="24"/>
                <w:highlight w:val="none"/>
                <w:lang w:eastAsia="zh-CN"/>
              </w:rPr>
              <w:t>处理效率按</w:t>
            </w:r>
            <w:r>
              <w:rPr>
                <w:rFonts w:hint="default" w:ascii="Times New Roman" w:hAnsi="Times New Roman" w:cs="Times New Roman" w:eastAsiaTheme="minorEastAsia"/>
                <w:color w:val="auto"/>
                <w:sz w:val="24"/>
                <w:szCs w:val="24"/>
                <w:highlight w:val="none"/>
                <w:lang w:val="en-US" w:eastAsia="zh-CN"/>
              </w:rPr>
              <w:t>90</w:t>
            </w:r>
            <w:r>
              <w:rPr>
                <w:rFonts w:hint="default" w:ascii="Times New Roman" w:hAnsi="Times New Roman" w:cs="Times New Roman" w:eastAsiaTheme="minorEastAsia"/>
                <w:color w:val="auto"/>
                <w:sz w:val="24"/>
                <w:szCs w:val="24"/>
                <w:highlight w:val="none"/>
                <w:lang w:eastAsia="zh-CN"/>
              </w:rPr>
              <w:t>%计，则本项目酸性</w:t>
            </w:r>
            <w:r>
              <w:rPr>
                <w:rFonts w:hint="default" w:ascii="Times New Roman" w:hAnsi="Times New Roman" w:cs="Times New Roman"/>
                <w:color w:val="auto"/>
                <w:kern w:val="0"/>
                <w:sz w:val="24"/>
                <w:szCs w:val="24"/>
                <w:highlight w:val="none"/>
                <w:lang w:val="en-US" w:eastAsia="zh-CN"/>
              </w:rPr>
              <w:t>废气污染物HF</w:t>
            </w:r>
            <w:r>
              <w:rPr>
                <w:rFonts w:hint="default" w:ascii="Times New Roman" w:hAnsi="Times New Roman" w:cs="Times New Roman" w:eastAsiaTheme="minorEastAsia"/>
                <w:color w:val="auto"/>
                <w:sz w:val="24"/>
                <w:szCs w:val="24"/>
                <w:highlight w:val="none"/>
                <w:lang w:eastAsia="zh-CN"/>
              </w:rPr>
              <w:t>有组织排放量为</w:t>
            </w:r>
            <w:r>
              <w:rPr>
                <w:rFonts w:hint="default" w:ascii="Times New Roman" w:hAnsi="Times New Roman" w:cs="Times New Roman" w:eastAsiaTheme="minorEastAsia"/>
                <w:color w:val="auto"/>
                <w:sz w:val="24"/>
                <w:szCs w:val="24"/>
                <w:highlight w:val="none"/>
                <w:lang w:val="en-US" w:eastAsia="zh-CN"/>
              </w:rPr>
              <w:t>0.001</w:t>
            </w:r>
            <w:r>
              <w:rPr>
                <w:rFonts w:hint="default" w:ascii="Times New Roman" w:hAnsi="Times New Roman" w:cs="Times New Roman" w:eastAsiaTheme="minorEastAsia"/>
                <w:color w:val="auto"/>
                <w:sz w:val="24"/>
                <w:szCs w:val="24"/>
                <w:highlight w:val="none"/>
                <w:lang w:eastAsia="zh-CN"/>
              </w:rPr>
              <w:t>t/a，排放速率</w:t>
            </w:r>
            <w:r>
              <w:rPr>
                <w:rFonts w:hint="default" w:ascii="Times New Roman" w:hAnsi="Times New Roman" w:cs="Times New Roman" w:eastAsiaTheme="minorEastAsia"/>
                <w:color w:val="auto"/>
                <w:sz w:val="24"/>
                <w:szCs w:val="24"/>
                <w:highlight w:val="none"/>
                <w:lang w:val="en-US" w:eastAsia="zh-CN"/>
              </w:rPr>
              <w:t>0.0001</w:t>
            </w:r>
            <w:r>
              <w:rPr>
                <w:rFonts w:hint="default" w:ascii="Times New Roman" w:hAnsi="Times New Roman" w:cs="Times New Roman" w:eastAsiaTheme="minorEastAsia"/>
                <w:color w:val="auto"/>
                <w:sz w:val="24"/>
                <w:szCs w:val="24"/>
                <w:highlight w:val="none"/>
                <w:lang w:eastAsia="zh-CN"/>
              </w:rPr>
              <w:t>kg/h，排放浓度</w:t>
            </w:r>
            <w:r>
              <w:rPr>
                <w:rFonts w:hint="default" w:ascii="Times New Roman" w:hAnsi="Times New Roman" w:cs="Times New Roman" w:eastAsiaTheme="minorEastAsia"/>
                <w:color w:val="auto"/>
                <w:sz w:val="24"/>
                <w:szCs w:val="24"/>
                <w:highlight w:val="none"/>
                <w:lang w:val="en-US" w:eastAsia="zh-CN"/>
              </w:rPr>
              <w:t>0.030mg/m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vertAlign w:val="baseline"/>
                <w:lang w:val="en-US" w:eastAsia="zh-CN"/>
              </w:rPr>
              <w:t>；</w:t>
            </w:r>
            <w:r>
              <w:rPr>
                <w:rFonts w:hint="default" w:ascii="Times New Roman" w:hAnsi="Times New Roman" w:cs="Times New Roman"/>
                <w:color w:val="auto"/>
                <w:kern w:val="0"/>
                <w:sz w:val="24"/>
                <w:szCs w:val="24"/>
                <w:highlight w:val="none"/>
                <w:lang w:val="en-US" w:eastAsia="zh-CN"/>
              </w:rPr>
              <w:t>硫酸雾</w:t>
            </w:r>
            <w:r>
              <w:rPr>
                <w:rFonts w:hint="default" w:ascii="Times New Roman" w:hAnsi="Times New Roman" w:cs="Times New Roman" w:eastAsiaTheme="minorEastAsia"/>
                <w:color w:val="auto"/>
                <w:sz w:val="24"/>
                <w:szCs w:val="24"/>
                <w:highlight w:val="none"/>
                <w:lang w:eastAsia="zh-CN"/>
              </w:rPr>
              <w:t>有组织排放量为</w:t>
            </w:r>
            <w:r>
              <w:rPr>
                <w:rFonts w:hint="default" w:ascii="Times New Roman" w:hAnsi="Times New Roman" w:cs="Times New Roman" w:eastAsiaTheme="minorEastAsia"/>
                <w:color w:val="auto"/>
                <w:sz w:val="24"/>
                <w:szCs w:val="24"/>
                <w:highlight w:val="none"/>
                <w:lang w:val="en-US" w:eastAsia="zh-CN"/>
              </w:rPr>
              <w:t>0.0</w:t>
            </w:r>
            <w:r>
              <w:rPr>
                <w:rFonts w:hint="eastAsia" w:cs="Times New Roman" w:eastAsiaTheme="minorEastAsia"/>
                <w:color w:val="auto"/>
                <w:sz w:val="24"/>
                <w:szCs w:val="24"/>
                <w:highlight w:val="none"/>
                <w:lang w:val="en-US" w:eastAsia="zh-CN"/>
              </w:rPr>
              <w:t>52</w:t>
            </w:r>
            <w:r>
              <w:rPr>
                <w:rFonts w:hint="default" w:ascii="Times New Roman" w:hAnsi="Times New Roman" w:cs="Times New Roman" w:eastAsiaTheme="minorEastAsia"/>
                <w:color w:val="auto"/>
                <w:sz w:val="24"/>
                <w:szCs w:val="24"/>
                <w:highlight w:val="none"/>
                <w:lang w:eastAsia="zh-CN"/>
              </w:rPr>
              <w:t>t/a，排放速率</w:t>
            </w:r>
            <w:r>
              <w:rPr>
                <w:rFonts w:hint="default" w:ascii="Times New Roman" w:hAnsi="Times New Roman" w:cs="Times New Roman" w:eastAsiaTheme="minorEastAsia"/>
                <w:color w:val="auto"/>
                <w:sz w:val="24"/>
                <w:szCs w:val="24"/>
                <w:highlight w:val="none"/>
                <w:lang w:val="en-US" w:eastAsia="zh-CN"/>
              </w:rPr>
              <w:t>0.006</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kg/h，排放浓度</w:t>
            </w:r>
            <w:r>
              <w:rPr>
                <w:rFonts w:hint="default" w:ascii="Times New Roman" w:hAnsi="Times New Roman" w:cs="Times New Roman" w:eastAsiaTheme="minorEastAsia"/>
                <w:color w:val="auto"/>
                <w:sz w:val="24"/>
                <w:szCs w:val="24"/>
                <w:highlight w:val="none"/>
                <w:lang w:val="en-US" w:eastAsia="zh-CN"/>
              </w:rPr>
              <w:t>1.</w:t>
            </w:r>
            <w:r>
              <w:rPr>
                <w:rFonts w:hint="eastAsia" w:cs="Times New Roman" w:eastAsiaTheme="minorEastAsia"/>
                <w:color w:val="auto"/>
                <w:sz w:val="24"/>
                <w:szCs w:val="24"/>
                <w:highlight w:val="none"/>
                <w:lang w:val="en-US" w:eastAsia="zh-CN"/>
              </w:rPr>
              <w:t>625</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eastAsia" w:cs="Times New Roman" w:eastAsiaTheme="minorEastAsia"/>
                <w:color w:val="auto"/>
                <w:sz w:val="24"/>
                <w:szCs w:val="24"/>
                <w:highlight w:val="none"/>
                <w:lang w:eastAsia="zh-CN"/>
              </w:rPr>
              <w:t>；氯化氢</w:t>
            </w:r>
            <w:r>
              <w:rPr>
                <w:rFonts w:hint="default" w:ascii="Times New Roman" w:hAnsi="Times New Roman" w:cs="Times New Roman" w:eastAsiaTheme="minorEastAsia"/>
                <w:color w:val="auto"/>
                <w:sz w:val="24"/>
                <w:szCs w:val="24"/>
                <w:highlight w:val="none"/>
                <w:lang w:eastAsia="zh-CN"/>
              </w:rPr>
              <w:t>有组织排放量为</w:t>
            </w:r>
            <w:r>
              <w:rPr>
                <w:rFonts w:hint="default" w:ascii="Times New Roman" w:hAnsi="Times New Roman" w:cs="Times New Roman" w:eastAsiaTheme="minorEastAsia"/>
                <w:color w:val="auto"/>
                <w:sz w:val="24"/>
                <w:szCs w:val="24"/>
                <w:highlight w:val="none"/>
                <w:lang w:val="en-US" w:eastAsia="zh-CN"/>
              </w:rPr>
              <w:t>0.0</w:t>
            </w:r>
            <w:r>
              <w:rPr>
                <w:rFonts w:hint="eastAsia" w:ascii="Times New Roman" w:hAnsi="Times New Roman" w:cs="Times New Roman" w:eastAsiaTheme="minorEastAsia"/>
                <w:color w:val="auto"/>
                <w:sz w:val="24"/>
                <w:szCs w:val="24"/>
                <w:highlight w:val="none"/>
                <w:lang w:val="en-US" w:eastAsia="zh-CN"/>
              </w:rPr>
              <w:t>048</w:t>
            </w:r>
            <w:r>
              <w:rPr>
                <w:rFonts w:hint="default" w:ascii="Times New Roman" w:hAnsi="Times New Roman" w:cs="Times New Roman" w:eastAsiaTheme="minorEastAsia"/>
                <w:color w:val="auto"/>
                <w:sz w:val="24"/>
                <w:szCs w:val="24"/>
                <w:highlight w:val="none"/>
                <w:lang w:eastAsia="zh-CN"/>
              </w:rPr>
              <w:t>t/a，排放速率</w:t>
            </w:r>
            <w:r>
              <w:rPr>
                <w:rFonts w:hint="default" w:ascii="Times New Roman" w:hAnsi="Times New Roman" w:cs="Times New Roman" w:eastAsiaTheme="minorEastAsia"/>
                <w:color w:val="auto"/>
                <w:sz w:val="24"/>
                <w:szCs w:val="24"/>
                <w:highlight w:val="none"/>
                <w:lang w:val="en-US" w:eastAsia="zh-CN"/>
              </w:rPr>
              <w:t>0.00</w:t>
            </w:r>
            <w:r>
              <w:rPr>
                <w:rFonts w:hint="eastAsia" w:ascii="Times New Roman" w:hAnsi="Times New Roman" w:cs="Times New Roman" w:eastAsiaTheme="minorEastAsia"/>
                <w:color w:val="auto"/>
                <w:sz w:val="24"/>
                <w:szCs w:val="24"/>
                <w:highlight w:val="none"/>
                <w:lang w:val="en-US" w:eastAsia="zh-CN"/>
              </w:rPr>
              <w:t>0</w:t>
            </w:r>
            <w:r>
              <w:rPr>
                <w:rFonts w:hint="default"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eastAsia="zh-CN"/>
              </w:rPr>
              <w:t>kg/h，排放浓度</w:t>
            </w:r>
            <w:r>
              <w:rPr>
                <w:rFonts w:hint="eastAsia" w:ascii="Times New Roman" w:hAnsi="Times New Roman" w:cs="Times New Roman" w:eastAsiaTheme="minorEastAsia"/>
                <w:color w:val="auto"/>
                <w:sz w:val="24"/>
                <w:szCs w:val="24"/>
                <w:highlight w:val="none"/>
                <w:lang w:val="en-US" w:eastAsia="zh-CN"/>
              </w:rPr>
              <w:t>0.151</w:t>
            </w:r>
            <w:r>
              <w:rPr>
                <w:rFonts w:hint="default" w:ascii="Times New Roman" w:hAnsi="Times New Roman" w:cs="Times New Roman" w:eastAsiaTheme="minorEastAsia"/>
                <w:color w:val="auto"/>
                <w:sz w:val="24"/>
                <w:szCs w:val="24"/>
                <w:highlight w:val="none"/>
                <w:lang w:val="en-US" w:eastAsia="zh-CN"/>
              </w:rPr>
              <w:t>mg/m</w:t>
            </w:r>
            <w:r>
              <w:rPr>
                <w:rFonts w:hint="default"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vertAlign w:val="baseline"/>
                <w:lang w:val="en-US" w:eastAsia="zh-CN"/>
              </w:rPr>
              <w:t>。</w:t>
            </w:r>
          </w:p>
          <w:p w14:paraId="570F186C">
            <w:pPr>
              <w:adjustRightInd w:val="0"/>
              <w:snapToGrid w:val="0"/>
              <w:spacing w:line="360" w:lineRule="auto"/>
              <w:ind w:left="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eastAsia" w:cs="Times New Roman"/>
                <w:color w:val="auto"/>
                <w:sz w:val="24"/>
                <w:highlight w:val="none"/>
                <w:lang w:val="en-US" w:eastAsia="zh-CN"/>
              </w:rPr>
              <w:t>恶臭废气</w:t>
            </w:r>
          </w:p>
          <w:p w14:paraId="0B611DFC">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本项目贮存区内HW13有机树脂类废物、HW17表面处理废物等危险废物中含有污泥类危废，该类危险物在贮存过程会有少量废气（其中污染物为氨、硫化氢）产生。根据建设单位提供的资料，此类污泥类危废年转运量约500t/a。参照《大气环境影响评价实用技术》（王栋成E编，中国标准出版社，2010年9月）中资料，在污泥自然散发时，每万吨污泥的产生氨为0.086kg/h、硫化氢为0.016kg/h，则本项目1#贮存库内污泥类危废挥发废气中，氨的产生速率为0.004kg/h，产生量为0.034t/a，硫化氢产生速率为0.0008kg/h，产生量为6.76×10-3t/a，本项目收集的危险废物均在产废单位密封包装好后再运输至项目贮存库贮存，且不涉及处理、拆封、倒罐等操作，因此贮存过程废气产生量很小，经厂房通风换气后挥发产生的恶臭废气量较少，可忽略不计，在车间内设置轴流风机加强车间机械通风，因此项目恶臭废气无组织排放可行。</w:t>
            </w:r>
          </w:p>
          <w:p w14:paraId="573D21B5">
            <w:pPr>
              <w:keepNext/>
              <w:keepLines/>
              <w:widowControl/>
              <w:adjustRightInd w:val="0"/>
              <w:snapToGrid w:val="0"/>
              <w:spacing w:line="360" w:lineRule="auto"/>
              <w:ind w:firstLine="482" w:firstLineChars="200"/>
              <w:jc w:val="left"/>
              <w:outlineLvl w:val="1"/>
              <w:rPr>
                <w:rFonts w:hint="default" w:ascii="Times New Roman" w:hAnsi="Times New Roman" w:cs="Times New Roman"/>
                <w:b/>
                <w:bCs/>
                <w:color w:val="auto"/>
                <w:kern w:val="0"/>
                <w:sz w:val="24"/>
                <w:szCs w:val="24"/>
                <w:highlight w:val="none"/>
              </w:rPr>
            </w:pPr>
            <w:bookmarkStart w:id="73" w:name="_Toc12858"/>
            <w:bookmarkStart w:id="74" w:name="_Toc6636"/>
            <w:r>
              <w:rPr>
                <w:rFonts w:hint="default" w:ascii="Times New Roman" w:hAnsi="Times New Roman" w:cs="Times New Roman"/>
                <w:b/>
                <w:bCs/>
                <w:color w:val="auto"/>
                <w:kern w:val="0"/>
                <w:sz w:val="24"/>
                <w:szCs w:val="24"/>
                <w:highlight w:val="none"/>
              </w:rPr>
              <w:t>3</w:t>
            </w:r>
            <w:r>
              <w:rPr>
                <w:rFonts w:hint="default" w:ascii="Times New Roman" w:hAnsi="Times New Roman" w:cs="Times New Roman"/>
                <w:b/>
                <w:bCs/>
                <w:color w:val="auto"/>
                <w:kern w:val="0"/>
                <w:sz w:val="24"/>
                <w:szCs w:val="24"/>
                <w:highlight w:val="none"/>
                <w:lang w:val="en-US" w:eastAsia="zh-CN"/>
              </w:rPr>
              <w:t>.废气治理设施可行性分析</w:t>
            </w:r>
            <w:bookmarkEnd w:id="73"/>
            <w:bookmarkEnd w:id="74"/>
          </w:p>
          <w:p w14:paraId="4118CCE8">
            <w:pPr>
              <w:pStyle w:val="195"/>
              <w:spacing w:before="181" w:line="220" w:lineRule="auto"/>
              <w:ind w:left="607"/>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1）废气收集措施可行性</w:t>
            </w:r>
          </w:p>
          <w:p w14:paraId="6991DBD4">
            <w:pPr>
              <w:pStyle w:val="195"/>
              <w:spacing w:before="180" w:line="338" w:lineRule="auto"/>
              <w:ind w:left="103" w:right="96" w:firstLine="489"/>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项目危险废物暂存严格落实分类、隔离、分区布置暂存措施（包装桶加盖，包装袋及时扎口减少有机废气排放），有机类危险废物设置封闭暂存间，暂存期间产生的有机废气经收集后经活性炭吸附设施（风量7000m</w:t>
            </w:r>
            <w:r>
              <w:rPr>
                <w:rFonts w:hint="default" w:ascii="Times New Roman" w:hAnsi="Times New Roman" w:cs="Times New Roman" w:eastAsiaTheme="minorEastAsia"/>
                <w:color w:val="auto"/>
                <w:kern w:val="2"/>
                <w:sz w:val="24"/>
                <w:szCs w:val="24"/>
                <w:highlight w:val="none"/>
                <w:vertAlign w:val="superscript"/>
                <w:lang w:val="en-US" w:eastAsia="zh-CN" w:bidi="ar-SA"/>
              </w:rPr>
              <w:t>3</w:t>
            </w:r>
            <w:r>
              <w:rPr>
                <w:rFonts w:hint="default" w:ascii="Times New Roman" w:hAnsi="Times New Roman" w:cs="Times New Roman" w:eastAsiaTheme="minorEastAsia"/>
                <w:color w:val="auto"/>
                <w:kern w:val="2"/>
                <w:sz w:val="24"/>
                <w:szCs w:val="24"/>
                <w:highlight w:val="none"/>
                <w:lang w:val="en-US" w:eastAsia="zh-CN" w:bidi="ar-SA"/>
              </w:rPr>
              <w:t>/h，去除效率70%）处理后经15米排气筒排放。采取上述收集措施可行。</w:t>
            </w:r>
          </w:p>
          <w:p w14:paraId="1C4032AC">
            <w:pPr>
              <w:pStyle w:val="195"/>
              <w:spacing w:before="143" w:line="221" w:lineRule="auto"/>
              <w:ind w:left="584"/>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2）治理措施可行性</w:t>
            </w:r>
          </w:p>
          <w:p w14:paraId="04B99603">
            <w:pPr>
              <w:pStyle w:val="195"/>
              <w:spacing w:before="118" w:line="360" w:lineRule="auto"/>
              <w:ind w:right="101" w:firstLine="480" w:firstLineChars="200"/>
              <w:rPr>
                <w:rFonts w:hint="default" w:ascii="Times New Roman" w:hAnsi="Times New Roman" w:cs="Times New Roman"/>
                <w:color w:val="auto"/>
                <w:spacing w:val="-1"/>
                <w:highlight w:val="none"/>
              </w:rPr>
            </w:pPr>
            <w:r>
              <w:rPr>
                <w:rFonts w:hint="default" w:ascii="Times New Roman" w:hAnsi="Times New Roman" w:cs="Times New Roman" w:eastAsiaTheme="minorEastAsia"/>
                <w:color w:val="auto"/>
                <w:kern w:val="2"/>
                <w:sz w:val="24"/>
                <w:szCs w:val="24"/>
                <w:highlight w:val="none"/>
                <w:lang w:val="en-US" w:eastAsia="zh-CN" w:bidi="ar-SA"/>
              </w:rPr>
              <w:t>经收集的有机废气经二级活性炭吸附处理后经15米高排气筒（DA001）排放。参照关于印发《重点行业挥发性有机物综合治理方案》的通知，鼓励企业采用多种技术的组合工艺，提高VOCs治理效率。低浓度、大风量废气，宜采用沸石转轮吸附、活性炭吸附、减风增浓等浓缩技术，提高VOCs浓度后净化处理；低温等离子、光催化、光氧化技术主要适用于恶臭异味等治理；采用一次性活性炭吸附技术的，应定期更换活性炭，废旧活性炭应再生或处理处置。本项目有机废气属于典型的低浓度废气，可采用活性炭吸附工艺。根据《排放源统计调查产排污核算方法和系数手册》（生态环境部公告2021年24号，2021.6.9），活性炭吸附设施对非甲烷总烃治理效率为70%，经活</w:t>
            </w:r>
            <w:r>
              <w:rPr>
                <w:rFonts w:hint="default" w:ascii="Times New Roman" w:hAnsi="Times New Roman" w:cs="Times New Roman"/>
                <w:color w:val="auto"/>
                <w:spacing w:val="18"/>
                <w:highlight w:val="none"/>
              </w:rPr>
              <w:t>性炭吸附装置吸附后的有机废气浓度满足《大气</w:t>
            </w:r>
            <w:r>
              <w:rPr>
                <w:rFonts w:hint="default" w:ascii="Times New Roman" w:hAnsi="Times New Roman" w:cs="Times New Roman"/>
                <w:color w:val="auto"/>
                <w:spacing w:val="17"/>
                <w:highlight w:val="none"/>
              </w:rPr>
              <w:t>污染物综合排放标准》</w:t>
            </w:r>
            <w:r>
              <w:rPr>
                <w:rFonts w:hint="default" w:ascii="Times New Roman" w:hAnsi="Times New Roman" w:cs="Times New Roman"/>
                <w:color w:val="auto"/>
                <w:spacing w:val="-1"/>
                <w:highlight w:val="none"/>
              </w:rPr>
              <w:t>（</w:t>
            </w:r>
            <w:r>
              <w:rPr>
                <w:rFonts w:hint="default" w:ascii="Times New Roman" w:hAnsi="Times New Roman" w:eastAsia="Times New Roman" w:cs="Times New Roman"/>
                <w:color w:val="auto"/>
                <w:spacing w:val="-1"/>
                <w:highlight w:val="none"/>
              </w:rPr>
              <w:t>GB16297-1996</w:t>
            </w:r>
            <w:r>
              <w:rPr>
                <w:rFonts w:hint="default" w:ascii="Times New Roman" w:hAnsi="Times New Roman" w:cs="Times New Roman"/>
                <w:color w:val="auto"/>
                <w:spacing w:val="-1"/>
                <w:highlight w:val="none"/>
              </w:rPr>
              <w:t>）表</w:t>
            </w:r>
            <w:r>
              <w:rPr>
                <w:rFonts w:hint="default" w:ascii="Times New Roman" w:hAnsi="Times New Roman" w:eastAsia="Times New Roman" w:cs="Times New Roman"/>
                <w:color w:val="auto"/>
                <w:spacing w:val="-1"/>
                <w:highlight w:val="none"/>
              </w:rPr>
              <w:t>2</w:t>
            </w:r>
            <w:r>
              <w:rPr>
                <w:rFonts w:hint="default" w:ascii="Times New Roman" w:hAnsi="Times New Roman" w:cs="Times New Roman"/>
                <w:color w:val="auto"/>
                <w:spacing w:val="-1"/>
                <w:highlight w:val="none"/>
              </w:rPr>
              <w:t>的标准要求。因此本项目有机类危险废物</w:t>
            </w:r>
            <w:r>
              <w:rPr>
                <w:rFonts w:hint="default" w:ascii="Times New Roman" w:hAnsi="Times New Roman" w:cs="Times New Roman"/>
                <w:color w:val="auto"/>
                <w:spacing w:val="-2"/>
                <w:highlight w:val="none"/>
              </w:rPr>
              <w:t>暂存期间产</w:t>
            </w:r>
            <w:r>
              <w:rPr>
                <w:rFonts w:hint="default" w:ascii="Times New Roman" w:hAnsi="Times New Roman" w:cs="Times New Roman"/>
                <w:color w:val="auto"/>
                <w:spacing w:val="2"/>
                <w:highlight w:val="none"/>
              </w:rPr>
              <w:t>生的有机废气采取活性炭吸附设施处理后经排气筒排放，采取的治理设施为《重点行业挥发性有机物综合治理方案》等文件推荐的有机废气治理设施，</w:t>
            </w:r>
            <w:r>
              <w:rPr>
                <w:rFonts w:hint="default" w:ascii="Times New Roman" w:hAnsi="Times New Roman" w:cs="Times New Roman"/>
                <w:color w:val="auto"/>
                <w:spacing w:val="-1"/>
                <w:highlight w:val="none"/>
              </w:rPr>
              <w:t>措施可行，符合相关可行性技术要求。</w:t>
            </w:r>
          </w:p>
          <w:p w14:paraId="6407969A">
            <w:pPr>
              <w:pStyle w:val="195"/>
              <w:spacing w:before="118" w:line="360" w:lineRule="auto"/>
              <w:ind w:right="101" w:firstLine="476" w:firstLineChars="200"/>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lang w:val="en-US" w:eastAsia="zh-CN"/>
              </w:rPr>
              <w:t>废酸废气收集到的废气通过引风机进入碱液喷淋塔，经循环喷淋作用，使废气中酸性物质成分直接与吸收液接触</w:t>
            </w:r>
            <w:r>
              <w:rPr>
                <w:rFonts w:hint="eastAsia" w:ascii="Times New Roman" w:hAnsi="Times New Roman" w:cs="Times New Roman"/>
                <w:color w:val="auto"/>
                <w:spacing w:val="-1"/>
                <w:highlight w:val="none"/>
                <w:lang w:val="en-US" w:eastAsia="zh-CN"/>
              </w:rPr>
              <w:t>进行</w:t>
            </w:r>
            <w:r>
              <w:rPr>
                <w:rFonts w:hint="default" w:ascii="Times New Roman" w:hAnsi="Times New Roman" w:cs="Times New Roman"/>
                <w:color w:val="auto"/>
                <w:spacing w:val="-1"/>
                <w:highlight w:val="none"/>
                <w:lang w:val="en-US" w:eastAsia="zh-CN"/>
              </w:rPr>
              <w:t>中和反应而去除；之后废气进入干式过滤柜中，经过滤袋的作用去除废气中的水汽等，保证废气处理系统正常、安全、稳定运行，</w:t>
            </w:r>
            <w:r>
              <w:rPr>
                <w:rFonts w:hint="default" w:ascii="Times New Roman" w:hAnsi="Times New Roman" w:cs="Times New Roman"/>
                <w:color w:val="auto"/>
                <w:spacing w:val="-1"/>
                <w:highlight w:val="none"/>
              </w:rPr>
              <w:t>符合相关可行性技术要求。</w:t>
            </w:r>
          </w:p>
          <w:p w14:paraId="1DABFD58">
            <w:pPr>
              <w:keepNext/>
              <w:keepLines/>
              <w:widowControl/>
              <w:adjustRightInd w:val="0"/>
              <w:snapToGrid w:val="0"/>
              <w:spacing w:line="360" w:lineRule="auto"/>
              <w:ind w:firstLine="482" w:firstLineChars="200"/>
              <w:jc w:val="left"/>
              <w:outlineLvl w:val="1"/>
              <w:rPr>
                <w:rFonts w:hint="default" w:ascii="Times New Roman" w:hAnsi="Times New Roman" w:cs="Times New Roman"/>
                <w:color w:val="auto"/>
                <w:kern w:val="0"/>
                <w:sz w:val="24"/>
                <w:szCs w:val="24"/>
                <w:highlight w:val="none"/>
              </w:rPr>
            </w:pPr>
            <w:bookmarkStart w:id="75" w:name="_Toc21261"/>
            <w:bookmarkStart w:id="76" w:name="_Toc27782"/>
            <w:r>
              <w:rPr>
                <w:rFonts w:hint="default" w:ascii="Times New Roman" w:hAnsi="Times New Roman" w:cs="Times New Roman"/>
                <w:b/>
                <w:bCs/>
                <w:color w:val="auto"/>
                <w:sz w:val="24"/>
                <w:szCs w:val="24"/>
                <w:highlight w:val="none"/>
              </w:rPr>
              <w:t>4</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kern w:val="0"/>
                <w:sz w:val="24"/>
                <w:szCs w:val="24"/>
                <w:highlight w:val="none"/>
              </w:rPr>
              <w:t>达标排放可行性分析</w:t>
            </w:r>
            <w:bookmarkEnd w:id="75"/>
            <w:bookmarkEnd w:id="76"/>
          </w:p>
          <w:p w14:paraId="1E76C25B">
            <w:pPr>
              <w:pStyle w:val="26"/>
              <w:adjustRightInd w:val="0"/>
              <w:snapToGrid w:val="0"/>
              <w:spacing w:before="0" w:beforeAutospacing="0" w:after="0" w:afterAutospacing="0"/>
              <w:ind w:leftChars="0" w:firstLine="480" w:firstLineChars="200"/>
              <w:rPr>
                <w:rFonts w:hint="eastAsia"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本项目排放的污染物为</w:t>
            </w:r>
            <w:r>
              <w:rPr>
                <w:rFonts w:hint="eastAsia"/>
                <w:color w:val="auto"/>
                <w:highlight w:val="none"/>
                <w:lang w:val="en-US" w:eastAsia="zh-CN"/>
              </w:rPr>
              <w:t>非甲烷总烃</w:t>
            </w:r>
            <w:r>
              <w:rPr>
                <w:rFonts w:hint="default" w:ascii="Times New Roman" w:hAnsi="Times New Roman" w:cs="Times New Roman"/>
                <w:color w:val="auto"/>
                <w:szCs w:val="24"/>
                <w:highlight w:val="none"/>
                <w:lang w:eastAsia="zh-CN"/>
              </w:rPr>
              <w:t>、氟化物、硫酸雾、氯化氢满足</w:t>
            </w:r>
            <w:r>
              <w:rPr>
                <w:rFonts w:hint="default" w:ascii="Times New Roman" w:hAnsi="Times New Roman" w:cs="Times New Roman"/>
                <w:color w:val="auto"/>
                <w:szCs w:val="24"/>
                <w:highlight w:val="none"/>
              </w:rPr>
              <w:t>执行《大气污染物综合排放标准》（</w:t>
            </w:r>
            <w:r>
              <w:rPr>
                <w:rFonts w:hint="default" w:ascii="Times New Roman" w:hAnsi="Times New Roman" w:cs="Times New Roman"/>
                <w:color w:val="auto"/>
                <w:szCs w:val="24"/>
                <w:highlight w:val="none"/>
                <w:lang w:eastAsia="zh-CN"/>
              </w:rPr>
              <w:t>GB-</w:t>
            </w:r>
            <w:r>
              <w:rPr>
                <w:rFonts w:hint="default" w:ascii="Times New Roman" w:hAnsi="Times New Roman" w:cs="Times New Roman"/>
                <w:color w:val="auto"/>
                <w:szCs w:val="24"/>
                <w:highlight w:val="none"/>
              </w:rPr>
              <w:t>16297-1996）的二级标准，按照《大气污染物综合排放标准》（</w:t>
            </w:r>
            <w:r>
              <w:rPr>
                <w:rFonts w:hint="default" w:ascii="Times New Roman" w:hAnsi="Times New Roman" w:cs="Times New Roman"/>
                <w:color w:val="auto"/>
                <w:szCs w:val="24"/>
                <w:highlight w:val="none"/>
                <w:lang w:eastAsia="zh-CN"/>
              </w:rPr>
              <w:t>GB-</w:t>
            </w:r>
            <w:r>
              <w:rPr>
                <w:rFonts w:hint="default" w:ascii="Times New Roman" w:hAnsi="Times New Roman" w:cs="Times New Roman"/>
                <w:color w:val="auto"/>
                <w:szCs w:val="24"/>
                <w:highlight w:val="none"/>
              </w:rPr>
              <w:t>16297-1996）中相关规定</w:t>
            </w:r>
            <w:r>
              <w:rPr>
                <w:rFonts w:hint="default" w:ascii="Times New Roman" w:hAnsi="Times New Roman" w:cs="Times New Roman"/>
                <w:color w:val="auto"/>
                <w:szCs w:val="24"/>
                <w:highlight w:val="none"/>
                <w:lang w:eastAsia="zh-CN"/>
              </w:rPr>
              <w:t>。</w:t>
            </w:r>
            <w:r>
              <w:rPr>
                <w:rFonts w:hint="eastAsia" w:cs="Times New Roman"/>
                <w:color w:val="auto"/>
                <w:szCs w:val="24"/>
                <w:highlight w:val="none"/>
                <w:lang w:eastAsia="zh-CN"/>
              </w:rPr>
              <w:t>恶臭废气无组织排放满足</w:t>
            </w:r>
            <w:r>
              <w:rPr>
                <w:rFonts w:hint="default" w:ascii="Times New Roman" w:hAnsi="Times New Roman" w:cs="Times New Roman"/>
                <w:color w:val="auto"/>
                <w:szCs w:val="24"/>
                <w:highlight w:val="none"/>
                <w:lang w:eastAsia="zh-CN"/>
              </w:rPr>
              <w:t>《恶臭污染物排放标准》（GB14554-93）二级标准</w:t>
            </w:r>
            <w:r>
              <w:rPr>
                <w:rFonts w:hint="eastAsia"/>
                <w:color w:val="auto"/>
                <w:highlight w:val="none"/>
                <w:lang w:eastAsia="zh-CN"/>
              </w:rPr>
              <w:t>。</w:t>
            </w:r>
          </w:p>
          <w:p w14:paraId="4457EA03">
            <w:pPr>
              <w:pStyle w:val="26"/>
              <w:adjustRightInd w:val="0"/>
              <w:snapToGrid w:val="0"/>
              <w:spacing w:before="0" w:beforeAutospacing="0" w:after="0" w:afterAutospacing="0"/>
              <w:ind w:leftChars="0" w:firstLine="482" w:firstLineChars="200"/>
              <w:rPr>
                <w:rFonts w:hint="default" w:ascii="Times New Roman" w:hAnsi="Times New Roman" w:cs="Times New Roman"/>
                <w:b/>
                <w:bCs/>
                <w:color w:val="auto"/>
                <w:kern w:val="0"/>
                <w:szCs w:val="24"/>
                <w:highlight w:val="none"/>
              </w:rPr>
            </w:pPr>
            <w:r>
              <w:rPr>
                <w:rFonts w:hint="default" w:ascii="Times New Roman" w:hAnsi="Times New Roman" w:cs="Times New Roman"/>
                <w:b/>
                <w:bCs/>
                <w:color w:val="auto"/>
                <w:kern w:val="0"/>
                <w:szCs w:val="24"/>
                <w:highlight w:val="none"/>
              </w:rPr>
              <w:t>5</w:t>
            </w:r>
            <w:r>
              <w:rPr>
                <w:rFonts w:hint="default" w:ascii="Times New Roman" w:hAnsi="Times New Roman" w:cs="Times New Roman"/>
                <w:b/>
                <w:bCs/>
                <w:color w:val="auto"/>
                <w:kern w:val="0"/>
                <w:szCs w:val="24"/>
                <w:highlight w:val="none"/>
                <w:lang w:val="en-US" w:eastAsia="zh-CN"/>
              </w:rPr>
              <w:t>.</w:t>
            </w:r>
            <w:r>
              <w:rPr>
                <w:rFonts w:hint="default" w:ascii="Times New Roman" w:hAnsi="Times New Roman" w:cs="Times New Roman"/>
                <w:b/>
                <w:bCs/>
                <w:color w:val="auto"/>
                <w:kern w:val="0"/>
                <w:szCs w:val="24"/>
                <w:highlight w:val="none"/>
              </w:rPr>
              <w:t>非正常工况废气</w:t>
            </w:r>
          </w:p>
          <w:p w14:paraId="1D204C88">
            <w:pPr>
              <w:adjustRightInd w:val="0"/>
              <w:snapToGrid w:val="0"/>
              <w:spacing w:line="360" w:lineRule="auto"/>
              <w:ind w:firstLine="482"/>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非正常工况指生产系统开停车、设备检修停车、设备故障、环保设施达不到要求等情况，由于本项目环保设施先于主体设备开车，后于主体设备停车；主体设备故障时停车检修，检修合格后再开车，故本次环评不考虑开停车、主体设备检修、故障等非正常工况，只考虑环保设施达不到要求的情况。</w:t>
            </w:r>
          </w:p>
          <w:p w14:paraId="3C139FAC">
            <w:pPr>
              <w:pStyle w:val="26"/>
              <w:widowControl w:val="0"/>
              <w:adjustRightInd w:val="0"/>
              <w:snapToGrid w:val="0"/>
              <w:spacing w:before="0" w:beforeAutospacing="0" w:after="0" w:afterAutospacing="0"/>
              <w:ind w:leftChars="0" w:firstLine="480" w:firstLineChars="200"/>
              <w:jc w:val="both"/>
              <w:rPr>
                <w:rFonts w:hint="default" w:ascii="Times New Roman" w:hAnsi="Times New Roman" w:cs="Times New Roman"/>
                <w:bCs/>
                <w:color w:val="auto"/>
                <w:kern w:val="0"/>
                <w:szCs w:val="24"/>
                <w:highlight w:val="none"/>
              </w:rPr>
            </w:pPr>
            <w:r>
              <w:rPr>
                <w:rFonts w:hint="default" w:ascii="Times New Roman" w:hAnsi="Times New Roman" w:cs="Times New Roman"/>
                <w:bCs/>
                <w:color w:val="auto"/>
                <w:kern w:val="0"/>
                <w:szCs w:val="24"/>
                <w:highlight w:val="none"/>
              </w:rPr>
              <w:t>本项目非正常工况主要是指当喷淋塔除尘器发生故障时，产生的废气超标排放，以最不利情况下布袋除尘器全部失效处理效率为0且无法正常运行时考虑，源强最大的时段废气排放15min对周围环境的影响。</w:t>
            </w:r>
          </w:p>
          <w:p w14:paraId="14E87965">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表4-2非正常工况废气排放情况一览表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1755"/>
              <w:gridCol w:w="2006"/>
            </w:tblGrid>
            <w:tr w14:paraId="5D380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682" w:type="pct"/>
                  <w:tcBorders>
                    <w:tl2br w:val="nil"/>
                    <w:tr2bl w:val="nil"/>
                  </w:tcBorders>
                  <w:vAlign w:val="center"/>
                </w:tcPr>
                <w:p w14:paraId="101AACB3">
                  <w:pPr>
                    <w:jc w:val="center"/>
                    <w:rPr>
                      <w:rFonts w:hint="default" w:ascii="Times New Roman" w:hAnsi="Times New Roman" w:cs="Times New Roman"/>
                      <w:b/>
                      <w:bCs/>
                      <w:color w:val="auto"/>
                      <w:spacing w:val="-10"/>
                      <w:highlight w:val="none"/>
                    </w:rPr>
                  </w:pPr>
                  <w:r>
                    <w:rPr>
                      <w:rFonts w:hint="default" w:ascii="Times New Roman" w:hAnsi="Times New Roman" w:cs="Times New Roman"/>
                      <w:b/>
                      <w:bCs/>
                      <w:color w:val="auto"/>
                      <w:spacing w:val="-10"/>
                      <w:highlight w:val="none"/>
                    </w:rPr>
                    <w:t>污染物种类</w:t>
                  </w:r>
                </w:p>
              </w:tc>
              <w:tc>
                <w:tcPr>
                  <w:tcW w:w="1081" w:type="pct"/>
                  <w:tcBorders>
                    <w:tl2br w:val="nil"/>
                    <w:tr2bl w:val="nil"/>
                  </w:tcBorders>
                  <w:vAlign w:val="center"/>
                </w:tcPr>
                <w:p w14:paraId="51399491">
                  <w:pPr>
                    <w:jc w:val="center"/>
                    <w:rPr>
                      <w:rFonts w:hint="default" w:ascii="Times New Roman" w:hAnsi="Times New Roman" w:cs="Times New Roman"/>
                      <w:b/>
                      <w:bCs/>
                      <w:color w:val="auto"/>
                      <w:spacing w:val="-10"/>
                      <w:highlight w:val="none"/>
                    </w:rPr>
                  </w:pPr>
                  <w:r>
                    <w:rPr>
                      <w:rFonts w:hint="default" w:ascii="Times New Roman" w:hAnsi="Times New Roman" w:cs="Times New Roman"/>
                      <w:b/>
                      <w:bCs/>
                      <w:color w:val="auto"/>
                      <w:spacing w:val="-10"/>
                      <w:highlight w:val="none"/>
                    </w:rPr>
                    <w:t>持续时间</w:t>
                  </w:r>
                </w:p>
              </w:tc>
              <w:tc>
                <w:tcPr>
                  <w:tcW w:w="1235" w:type="pct"/>
                  <w:tcBorders>
                    <w:tl2br w:val="nil"/>
                    <w:tr2bl w:val="nil"/>
                  </w:tcBorders>
                  <w:vAlign w:val="center"/>
                </w:tcPr>
                <w:p w14:paraId="3765F7FD">
                  <w:pPr>
                    <w:jc w:val="center"/>
                    <w:rPr>
                      <w:rFonts w:hint="default" w:ascii="Times New Roman" w:hAnsi="Times New Roman" w:cs="Times New Roman"/>
                      <w:b/>
                      <w:bCs/>
                      <w:color w:val="auto"/>
                      <w:spacing w:val="-10"/>
                      <w:highlight w:val="none"/>
                    </w:rPr>
                  </w:pPr>
                  <w:r>
                    <w:rPr>
                      <w:rFonts w:hint="default" w:ascii="Times New Roman" w:hAnsi="Times New Roman" w:cs="Times New Roman"/>
                      <w:b/>
                      <w:bCs/>
                      <w:color w:val="auto"/>
                      <w:spacing w:val="-10"/>
                      <w:highlight w:val="none"/>
                    </w:rPr>
                    <w:t>排放量</w:t>
                  </w:r>
                </w:p>
              </w:tc>
            </w:tr>
            <w:tr w14:paraId="72E00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2" w:type="pct"/>
                  <w:tcBorders>
                    <w:tl2br w:val="nil"/>
                    <w:tr2bl w:val="nil"/>
                  </w:tcBorders>
                  <w:vAlign w:val="center"/>
                </w:tcPr>
                <w:p w14:paraId="5EBEF45D">
                  <w:pPr>
                    <w:jc w:val="both"/>
                    <w:rPr>
                      <w:rFonts w:hint="default" w:ascii="Times New Roman" w:hAnsi="Times New Roman" w:eastAsia="宋体" w:cs="Times New Roman"/>
                      <w:color w:val="auto"/>
                      <w:spacing w:val="-10"/>
                      <w:highlight w:val="none"/>
                      <w:lang w:eastAsia="zh-CN"/>
                    </w:rPr>
                  </w:pPr>
                  <w:r>
                    <w:rPr>
                      <w:rFonts w:hint="default" w:ascii="Times New Roman" w:hAnsi="Times New Roman" w:cs="Times New Roman"/>
                      <w:color w:val="auto"/>
                      <w:spacing w:val="-10"/>
                      <w:highlight w:val="none"/>
                      <w:lang w:eastAsia="zh-CN"/>
                    </w:rPr>
                    <w:t>有机废气（</w:t>
                  </w:r>
                  <w:r>
                    <w:rPr>
                      <w:rFonts w:hint="default" w:ascii="Times New Roman" w:hAnsi="Times New Roman" w:cs="Times New Roman"/>
                      <w:color w:val="auto"/>
                      <w:spacing w:val="-10"/>
                      <w:highlight w:val="none"/>
                      <w:lang w:val="en-US" w:eastAsia="zh-CN"/>
                    </w:rPr>
                    <w:t>VOCS</w:t>
                  </w:r>
                  <w:r>
                    <w:rPr>
                      <w:rFonts w:hint="default" w:ascii="Times New Roman" w:hAnsi="Times New Roman" w:cs="Times New Roman"/>
                      <w:color w:val="auto"/>
                      <w:spacing w:val="-10"/>
                      <w:highlight w:val="none"/>
                      <w:lang w:eastAsia="zh-CN"/>
                    </w:rPr>
                    <w:t>）</w:t>
                  </w:r>
                </w:p>
              </w:tc>
              <w:tc>
                <w:tcPr>
                  <w:tcW w:w="1081" w:type="pct"/>
                  <w:tcBorders>
                    <w:tl2br w:val="nil"/>
                    <w:tr2bl w:val="nil"/>
                  </w:tcBorders>
                  <w:vAlign w:val="center"/>
                </w:tcPr>
                <w:p w14:paraId="368D8EA8">
                  <w:pPr>
                    <w:jc w:val="center"/>
                    <w:rPr>
                      <w:rFonts w:hint="default" w:ascii="Times New Roman" w:hAnsi="Times New Roman" w:cs="Times New Roman"/>
                      <w:color w:val="auto"/>
                      <w:spacing w:val="-10"/>
                      <w:highlight w:val="none"/>
                    </w:rPr>
                  </w:pPr>
                  <w:r>
                    <w:rPr>
                      <w:rFonts w:hint="default" w:ascii="Times New Roman" w:hAnsi="Times New Roman" w:cs="Times New Roman"/>
                      <w:bCs/>
                      <w:color w:val="auto"/>
                      <w:kern w:val="0"/>
                      <w:highlight w:val="none"/>
                      <w:lang w:val="en-US" w:eastAsia="zh-CN"/>
                    </w:rPr>
                    <w:t>30</w:t>
                  </w:r>
                  <w:r>
                    <w:rPr>
                      <w:rFonts w:hint="default" w:ascii="Times New Roman" w:hAnsi="Times New Roman" w:cs="Times New Roman"/>
                      <w:bCs/>
                      <w:color w:val="auto"/>
                      <w:kern w:val="0"/>
                      <w:highlight w:val="none"/>
                    </w:rPr>
                    <w:t>min</w:t>
                  </w:r>
                </w:p>
              </w:tc>
              <w:tc>
                <w:tcPr>
                  <w:tcW w:w="1235" w:type="pct"/>
                  <w:tcBorders>
                    <w:tl2br w:val="nil"/>
                    <w:tr2bl w:val="nil"/>
                  </w:tcBorders>
                  <w:vAlign w:val="center"/>
                </w:tcPr>
                <w:p w14:paraId="442D6579">
                  <w:pPr>
                    <w:jc w:val="center"/>
                    <w:rPr>
                      <w:rFonts w:hint="default" w:ascii="Times New Roman" w:hAnsi="Times New Roman" w:cs="Times New Roman"/>
                      <w:color w:val="auto"/>
                      <w:spacing w:val="-10"/>
                      <w:highlight w:val="none"/>
                    </w:rPr>
                  </w:pPr>
                  <w:r>
                    <w:rPr>
                      <w:rFonts w:hint="eastAsia" w:cs="Times New Roman"/>
                      <w:color w:val="auto"/>
                      <w:spacing w:val="-10"/>
                      <w:highlight w:val="none"/>
                      <w:lang w:val="en-US" w:eastAsia="zh-CN"/>
                    </w:rPr>
                    <w:t>0.047</w:t>
                  </w:r>
                  <w:r>
                    <w:rPr>
                      <w:rFonts w:hint="default" w:ascii="Times New Roman" w:hAnsi="Times New Roman" w:cs="Times New Roman"/>
                      <w:color w:val="auto"/>
                      <w:spacing w:val="-10"/>
                      <w:highlight w:val="none"/>
                    </w:rPr>
                    <w:t>kg</w:t>
                  </w:r>
                </w:p>
              </w:tc>
            </w:tr>
            <w:tr w14:paraId="783AD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2" w:type="pct"/>
                  <w:tcBorders>
                    <w:tl2br w:val="nil"/>
                    <w:tr2bl w:val="nil"/>
                  </w:tcBorders>
                  <w:vAlign w:val="center"/>
                </w:tcPr>
                <w:p w14:paraId="0855D0A8">
                  <w:pPr>
                    <w:jc w:val="both"/>
                    <w:rPr>
                      <w:rFonts w:hint="default" w:ascii="Times New Roman" w:hAnsi="Times New Roman" w:eastAsia="宋体" w:cs="Times New Roman"/>
                      <w:color w:val="auto"/>
                      <w:spacing w:val="-10"/>
                      <w:highlight w:val="none"/>
                      <w:lang w:eastAsia="zh-CN"/>
                    </w:rPr>
                  </w:pPr>
                  <w:r>
                    <w:rPr>
                      <w:rFonts w:hint="default" w:ascii="Times New Roman" w:hAnsi="Times New Roman" w:cs="Times New Roman"/>
                      <w:color w:val="auto"/>
                      <w:spacing w:val="-10"/>
                      <w:highlight w:val="none"/>
                      <w:lang w:eastAsia="zh-CN"/>
                    </w:rPr>
                    <w:t>含酸废气（</w:t>
                  </w:r>
                  <w:r>
                    <w:rPr>
                      <w:rFonts w:hint="default" w:ascii="Times New Roman" w:hAnsi="Times New Roman" w:cs="Times New Roman"/>
                      <w:color w:val="auto"/>
                      <w:spacing w:val="-10"/>
                      <w:highlight w:val="none"/>
                      <w:lang w:val="en-US" w:eastAsia="zh-CN"/>
                    </w:rPr>
                    <w:t>HF、硫酸雾</w:t>
                  </w:r>
                  <w:r>
                    <w:rPr>
                      <w:rFonts w:hint="eastAsia" w:cs="Times New Roman"/>
                      <w:color w:val="auto"/>
                      <w:spacing w:val="-10"/>
                      <w:highlight w:val="none"/>
                      <w:lang w:val="en-US" w:eastAsia="zh-CN"/>
                    </w:rPr>
                    <w:t>、氯化氢</w:t>
                  </w:r>
                  <w:r>
                    <w:rPr>
                      <w:rFonts w:hint="default" w:ascii="Times New Roman" w:hAnsi="Times New Roman" w:cs="Times New Roman"/>
                      <w:color w:val="auto"/>
                      <w:spacing w:val="-10"/>
                      <w:highlight w:val="none"/>
                      <w:lang w:eastAsia="zh-CN"/>
                    </w:rPr>
                    <w:t>）</w:t>
                  </w:r>
                </w:p>
              </w:tc>
              <w:tc>
                <w:tcPr>
                  <w:tcW w:w="1081" w:type="pct"/>
                  <w:tcBorders>
                    <w:tl2br w:val="nil"/>
                    <w:tr2bl w:val="nil"/>
                  </w:tcBorders>
                  <w:vAlign w:val="center"/>
                </w:tcPr>
                <w:p w14:paraId="5AEC5124">
                  <w:pPr>
                    <w:jc w:val="center"/>
                    <w:rPr>
                      <w:rFonts w:hint="default" w:ascii="Times New Roman" w:hAnsi="Times New Roman" w:eastAsia="宋体" w:cs="Times New Roman"/>
                      <w:bCs/>
                      <w:color w:val="auto"/>
                      <w:kern w:val="0"/>
                      <w:highlight w:val="none"/>
                      <w:lang w:val="en-US" w:eastAsia="zh-CN"/>
                    </w:rPr>
                  </w:pPr>
                  <w:r>
                    <w:rPr>
                      <w:rFonts w:hint="default" w:ascii="Times New Roman" w:hAnsi="Times New Roman" w:cs="Times New Roman"/>
                      <w:bCs/>
                      <w:color w:val="auto"/>
                      <w:kern w:val="0"/>
                      <w:highlight w:val="none"/>
                      <w:lang w:val="en-US" w:eastAsia="zh-CN"/>
                    </w:rPr>
                    <w:t>30</w:t>
                  </w:r>
                  <w:r>
                    <w:rPr>
                      <w:rFonts w:hint="default" w:ascii="Times New Roman" w:hAnsi="Times New Roman" w:cs="Times New Roman"/>
                      <w:bCs/>
                      <w:color w:val="auto"/>
                      <w:kern w:val="0"/>
                      <w:highlight w:val="none"/>
                    </w:rPr>
                    <w:t>min</w:t>
                  </w:r>
                </w:p>
              </w:tc>
              <w:tc>
                <w:tcPr>
                  <w:tcW w:w="1235" w:type="pct"/>
                  <w:tcBorders>
                    <w:tl2br w:val="nil"/>
                    <w:tr2bl w:val="nil"/>
                  </w:tcBorders>
                  <w:vAlign w:val="center"/>
                </w:tcPr>
                <w:p w14:paraId="654AE1B4">
                  <w:pPr>
                    <w:jc w:val="center"/>
                    <w:rPr>
                      <w:rFonts w:hint="default" w:ascii="Times New Roman" w:hAnsi="Times New Roman" w:eastAsia="宋体" w:cs="Times New Roman"/>
                      <w:color w:val="auto"/>
                      <w:spacing w:val="-10"/>
                      <w:highlight w:val="none"/>
                      <w:lang w:val="en-US" w:eastAsia="zh-CN"/>
                    </w:rPr>
                  </w:pPr>
                  <w:r>
                    <w:rPr>
                      <w:rFonts w:hint="default" w:ascii="Times New Roman" w:hAnsi="Times New Roman" w:cs="Times New Roman"/>
                      <w:color w:val="auto"/>
                      <w:spacing w:val="-10"/>
                      <w:highlight w:val="none"/>
                      <w:lang w:val="en-US" w:eastAsia="zh-CN"/>
                    </w:rPr>
                    <w:t>0.036</w:t>
                  </w:r>
                  <w:r>
                    <w:rPr>
                      <w:rFonts w:hint="default" w:ascii="Times New Roman" w:hAnsi="Times New Roman" w:cs="Times New Roman"/>
                      <w:color w:val="auto"/>
                      <w:spacing w:val="-10"/>
                      <w:highlight w:val="none"/>
                    </w:rPr>
                    <w:t>kg</w:t>
                  </w:r>
                </w:p>
              </w:tc>
            </w:tr>
          </w:tbl>
          <w:p w14:paraId="5FDCDC5E">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防止生产废气非正常情况排放，企业必须加强废气处理设施的管理，定期检修，确保废气处理设施正常运行，在废气处理设备停止运行或出现故障时，产生废气的各工序也必须相应停止生产。为杜绝废气非正常排放，要求建设单位做好以下措施：</w:t>
            </w:r>
          </w:p>
          <w:p w14:paraId="79B4211F">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①安排专人负责环保设备的日常维护和管理，每隔固定时间检查、汇报情况，及时发现废气处理设备的隐患，确保废气处理系统正常运行；</w:t>
            </w:r>
          </w:p>
          <w:p w14:paraId="7ADC444B">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②严格按照环保设备使用手册，定期对喷淋塔内部进行清理，防止喷嘴堵塞；</w:t>
            </w:r>
          </w:p>
          <w:p w14:paraId="13041CFC">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③建立健全的环保管理机构，对环保管理人员和技术人员进行岗位培训，委托具有专业资质的环境检测单位对项目排放的各类污染物进行定期检测；</w:t>
            </w:r>
          </w:p>
          <w:p w14:paraId="057F39A8">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④应定期维护、检修除尘装置，以保持废气处理装置的除尘能力。</w:t>
            </w:r>
          </w:p>
          <w:p w14:paraId="0823B033">
            <w:pPr>
              <w:keepNext/>
              <w:keepLines/>
              <w:widowControl/>
              <w:adjustRightInd w:val="0"/>
              <w:snapToGrid w:val="0"/>
              <w:spacing w:line="360" w:lineRule="auto"/>
              <w:ind w:firstLine="482" w:firstLineChars="200"/>
              <w:jc w:val="left"/>
              <w:outlineLvl w:val="1"/>
              <w:rPr>
                <w:rFonts w:hint="default" w:ascii="Times New Roman" w:hAnsi="Times New Roman" w:cs="Times New Roman"/>
                <w:b/>
                <w:bCs/>
                <w:color w:val="auto"/>
                <w:kern w:val="0"/>
                <w:sz w:val="24"/>
                <w:szCs w:val="24"/>
                <w:highlight w:val="none"/>
              </w:rPr>
            </w:pPr>
            <w:bookmarkStart w:id="77" w:name="_Toc25536"/>
            <w:bookmarkStart w:id="78" w:name="_Toc28120"/>
            <w:r>
              <w:rPr>
                <w:rFonts w:hint="default" w:ascii="Times New Roman" w:hAnsi="Times New Roman" w:cs="Times New Roman"/>
                <w:b/>
                <w:bCs/>
                <w:color w:val="auto"/>
                <w:kern w:val="0"/>
                <w:sz w:val="24"/>
                <w:szCs w:val="24"/>
                <w:highlight w:val="none"/>
              </w:rPr>
              <w:t>6</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监测计划</w:t>
            </w:r>
            <w:bookmarkEnd w:id="77"/>
            <w:bookmarkEnd w:id="78"/>
          </w:p>
          <w:p w14:paraId="76A6B7C9">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公司根据项目特点与《</w:t>
            </w:r>
            <w:r>
              <w:rPr>
                <w:rFonts w:hint="eastAsia" w:ascii="Times New Roman" w:hAnsi="Times New Roman" w:cs="Times New Roman"/>
                <w:color w:val="auto"/>
                <w:sz w:val="24"/>
                <w:szCs w:val="24"/>
                <w:highlight w:val="none"/>
                <w:lang w:eastAsia="zh-CN"/>
              </w:rPr>
              <w:t>排污单位自行监测技术指南 总则</w:t>
            </w:r>
            <w:r>
              <w:rPr>
                <w:rFonts w:hint="default" w:ascii="Times New Roman" w:hAnsi="Times New Roman" w:cs="Times New Roman"/>
                <w:color w:val="auto"/>
                <w:sz w:val="24"/>
                <w:szCs w:val="24"/>
                <w:highlight w:val="none"/>
              </w:rPr>
              <w:t>》（HJ 819-2017）相关规定要求，对全厂的大气污染源进行统计，制定了详细的例行监测计划。</w:t>
            </w:r>
          </w:p>
          <w:p w14:paraId="3419216E">
            <w:pPr>
              <w:adjustRightInd w:val="0"/>
              <w:snapToGrid w:val="0"/>
              <w:spacing w:line="360" w:lineRule="auto"/>
              <w:ind w:firstLine="480" w:firstLineChars="200"/>
              <w:jc w:val="left"/>
              <w:rPr>
                <w:rFonts w:hint="default" w:ascii="Times New Roman" w:hAnsi="Times New Roman" w:eastAsia="黑体" w:cs="Times New Roman"/>
                <w:bCs/>
                <w:color w:val="auto"/>
                <w:sz w:val="24"/>
                <w:szCs w:val="24"/>
                <w:highlight w:val="none"/>
              </w:rPr>
            </w:pPr>
            <w:r>
              <w:rPr>
                <w:rFonts w:hint="default" w:ascii="Times New Roman" w:hAnsi="Times New Roman" w:cs="Times New Roman"/>
                <w:color w:val="auto"/>
                <w:sz w:val="24"/>
                <w:szCs w:val="24"/>
                <w:highlight w:val="none"/>
              </w:rPr>
              <w:t>具体监测计划详见下表。</w:t>
            </w:r>
          </w:p>
          <w:p w14:paraId="31076ADC">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表4-3运营期污染源监测内容及计划</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3195"/>
              <w:gridCol w:w="1223"/>
            </w:tblGrid>
            <w:tr w14:paraId="6079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56385E0F">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监测点位</w:t>
                  </w:r>
                </w:p>
              </w:tc>
              <w:tc>
                <w:tcPr>
                  <w:tcW w:w="1962" w:type="pct"/>
                  <w:vAlign w:val="center"/>
                </w:tcPr>
                <w:p w14:paraId="257843BF">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监测因子</w:t>
                  </w:r>
                </w:p>
              </w:tc>
              <w:tc>
                <w:tcPr>
                  <w:tcW w:w="751" w:type="pct"/>
                  <w:vAlign w:val="center"/>
                </w:tcPr>
                <w:p w14:paraId="4E50C408">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监测频次</w:t>
                  </w:r>
                </w:p>
              </w:tc>
            </w:tr>
            <w:tr w14:paraId="4E97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54F42E94">
                  <w:pPr>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有机废气</w:t>
                  </w:r>
                  <w:r>
                    <w:rPr>
                      <w:rFonts w:hint="default" w:ascii="Times New Roman" w:hAnsi="Times New Roman" w:cs="Times New Roman"/>
                      <w:color w:val="auto"/>
                      <w:szCs w:val="21"/>
                      <w:highlight w:val="none"/>
                    </w:rPr>
                    <w:t>排放口（DA001）</w:t>
                  </w:r>
                </w:p>
              </w:tc>
              <w:tc>
                <w:tcPr>
                  <w:tcW w:w="1962" w:type="pct"/>
                  <w:vAlign w:val="center"/>
                </w:tcPr>
                <w:p w14:paraId="7D2CB160">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非甲烷总烃</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氨</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硫化氢</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臭气浓度</w:t>
                  </w:r>
                </w:p>
              </w:tc>
              <w:tc>
                <w:tcPr>
                  <w:tcW w:w="751" w:type="pct"/>
                  <w:vAlign w:val="center"/>
                </w:tcPr>
                <w:p w14:paraId="3630817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半年</w:t>
                  </w:r>
                  <w:r>
                    <w:rPr>
                      <w:rFonts w:hint="default" w:ascii="Times New Roman" w:hAnsi="Times New Roman" w:cs="Times New Roman"/>
                      <w:color w:val="auto"/>
                      <w:szCs w:val="21"/>
                      <w:highlight w:val="none"/>
                    </w:rPr>
                    <w:t>一次</w:t>
                  </w:r>
                </w:p>
              </w:tc>
            </w:tr>
            <w:tr w14:paraId="16A7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2820CA8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酸性</w:t>
                  </w:r>
                  <w:r>
                    <w:rPr>
                      <w:rFonts w:hint="default" w:ascii="Times New Roman" w:hAnsi="Times New Roman" w:cs="Times New Roman"/>
                      <w:color w:val="auto"/>
                      <w:szCs w:val="21"/>
                      <w:highlight w:val="none"/>
                    </w:rPr>
                    <w:t>废气排放口（DA002）</w:t>
                  </w:r>
                </w:p>
              </w:tc>
              <w:tc>
                <w:tcPr>
                  <w:tcW w:w="1962" w:type="pct"/>
                  <w:vAlign w:val="center"/>
                </w:tcPr>
                <w:p w14:paraId="446BDC8E">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HF</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硫酸雾</w:t>
                  </w:r>
                  <w:r>
                    <w:rPr>
                      <w:rFonts w:hint="eastAsia" w:cs="Times New Roman"/>
                      <w:color w:val="auto"/>
                      <w:szCs w:val="21"/>
                      <w:highlight w:val="none"/>
                      <w:lang w:eastAsia="zh-CN"/>
                    </w:rPr>
                    <w:t>、氯化氢</w:t>
                  </w:r>
                </w:p>
              </w:tc>
              <w:tc>
                <w:tcPr>
                  <w:tcW w:w="751" w:type="pct"/>
                  <w:vAlign w:val="center"/>
                </w:tcPr>
                <w:p w14:paraId="47B54AE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半</w:t>
                  </w:r>
                  <w:r>
                    <w:rPr>
                      <w:rFonts w:hint="default" w:ascii="Times New Roman" w:hAnsi="Times New Roman" w:cs="Times New Roman"/>
                      <w:color w:val="auto"/>
                      <w:szCs w:val="21"/>
                      <w:highlight w:val="none"/>
                    </w:rPr>
                    <w:t>年一次</w:t>
                  </w:r>
                </w:p>
              </w:tc>
            </w:tr>
            <w:tr w14:paraId="3DFD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4CB2F2D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厂址上风向1个</w:t>
                  </w:r>
                </w:p>
                <w:p w14:paraId="17744BB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厂址下风向3个</w:t>
                  </w:r>
                </w:p>
              </w:tc>
              <w:tc>
                <w:tcPr>
                  <w:tcW w:w="1962" w:type="pct"/>
                  <w:vAlign w:val="center"/>
                </w:tcPr>
                <w:p w14:paraId="4EE5C75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HF</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硫酸雾</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氯化氢、</w:t>
                  </w:r>
                  <w:r>
                    <w:rPr>
                      <w:rFonts w:hint="default" w:ascii="Times New Roman" w:hAnsi="Times New Roman" w:cs="Times New Roman"/>
                      <w:color w:val="auto"/>
                      <w:szCs w:val="21"/>
                      <w:highlight w:val="none"/>
                    </w:rPr>
                    <w:t>非甲烷总烃、氨</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硫化氢</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臭气浓度</w:t>
                  </w:r>
                </w:p>
              </w:tc>
              <w:tc>
                <w:tcPr>
                  <w:tcW w:w="751" w:type="pct"/>
                  <w:vAlign w:val="center"/>
                </w:tcPr>
                <w:p w14:paraId="605F861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每年</w:t>
                  </w:r>
                  <w:r>
                    <w:rPr>
                      <w:rFonts w:hint="default" w:ascii="Times New Roman" w:hAnsi="Times New Roman" w:cs="Times New Roman"/>
                      <w:color w:val="auto"/>
                      <w:szCs w:val="21"/>
                      <w:highlight w:val="none"/>
                    </w:rPr>
                    <w:t>一次</w:t>
                  </w:r>
                </w:p>
              </w:tc>
            </w:tr>
            <w:tr w14:paraId="6712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5" w:type="pct"/>
                  <w:vAlign w:val="center"/>
                </w:tcPr>
                <w:p w14:paraId="4C964B6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车间外</w:t>
                  </w:r>
                </w:p>
              </w:tc>
              <w:tc>
                <w:tcPr>
                  <w:tcW w:w="1962" w:type="pct"/>
                  <w:vAlign w:val="center"/>
                </w:tcPr>
                <w:p w14:paraId="1B90D9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751" w:type="pct"/>
                  <w:vAlign w:val="center"/>
                </w:tcPr>
                <w:p w14:paraId="5943BFC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每年一次</w:t>
                  </w:r>
                </w:p>
              </w:tc>
            </w:tr>
          </w:tbl>
          <w:p w14:paraId="65A1A878">
            <w:pPr>
              <w:widowControl/>
              <w:adjustRightInd w:val="0"/>
              <w:snapToGrid w:val="0"/>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二、运营期废水环境影响和保护措施</w:t>
            </w:r>
          </w:p>
          <w:p w14:paraId="74AA6385">
            <w:pPr>
              <w:spacing w:line="360" w:lineRule="auto"/>
              <w:ind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color w:val="auto"/>
                <w:sz w:val="24"/>
                <w:szCs w:val="24"/>
                <w:highlight w:val="none"/>
              </w:rPr>
              <w:t>废水产生环节及产生量</w:t>
            </w:r>
          </w:p>
          <w:p w14:paraId="6BEB97AF">
            <w:pPr>
              <w:adjustRightInd w:val="0"/>
              <w:snapToGrid w:val="0"/>
              <w:spacing w:beforeLines="0" w:afterLines="0" w:line="36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本项目排水实行雨污分流</w:t>
            </w:r>
            <w:r>
              <w:rPr>
                <w:rFonts w:hint="default" w:ascii="Times New Roman" w:hAnsi="Times New Roman" w:cs="Times New Roman"/>
                <w:color w:val="auto"/>
                <w:sz w:val="24"/>
                <w:szCs w:val="21"/>
                <w:highlight w:val="none"/>
                <w:lang w:val="zh-CN"/>
              </w:rPr>
              <w:t>制。</w:t>
            </w:r>
            <w:r>
              <w:rPr>
                <w:rFonts w:hint="default" w:ascii="Times New Roman" w:hAnsi="Times New Roman" w:cs="Times New Roman"/>
                <w:color w:val="auto"/>
                <w:sz w:val="24"/>
                <w:szCs w:val="21"/>
                <w:highlight w:val="none"/>
              </w:rPr>
              <w:t>厂区雨水</w:t>
            </w:r>
            <w:r>
              <w:rPr>
                <w:rFonts w:hint="default" w:ascii="Times New Roman" w:hAnsi="Times New Roman" w:cs="Times New Roman"/>
                <w:color w:val="auto"/>
                <w:sz w:val="24"/>
                <w:szCs w:val="21"/>
                <w:highlight w:val="none"/>
                <w:lang w:eastAsia="zh-CN"/>
              </w:rPr>
              <w:t>经</w:t>
            </w:r>
            <w:r>
              <w:rPr>
                <w:rFonts w:hint="default" w:ascii="Times New Roman" w:hAnsi="Times New Roman" w:cs="Times New Roman"/>
                <w:color w:val="auto"/>
                <w:sz w:val="24"/>
                <w:szCs w:val="21"/>
                <w:highlight w:val="none"/>
              </w:rPr>
              <w:t>雨水渠排入雨水管网。项目运营期间，不新增生活污水。碱液喷淋塔更换废液作为危废交由有资质单位处置，不外排。</w:t>
            </w:r>
          </w:p>
          <w:p w14:paraId="48105967">
            <w:pPr>
              <w:widowControl/>
              <w:spacing w:line="360" w:lineRule="auto"/>
              <w:ind w:firstLine="42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三、运营期噪声环境影响和保护措施</w:t>
            </w:r>
          </w:p>
          <w:p w14:paraId="2E55D723">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噪声源强分析</w:t>
            </w:r>
          </w:p>
          <w:p w14:paraId="45ECB7D5">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本项目噪声源强本项目噪声主要来源于活性炭吸附设施运行期间风机运行噪声。其噪声声压级为85dB（A）。为确保项目厂界声环境达标，项目拟采取以下措施：</w:t>
            </w:r>
          </w:p>
          <w:p w14:paraId="7B276BD5">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①项目相关运行设备应加强落实基础减振等降噪措施，并布置在库房内东南侧。</w:t>
            </w:r>
          </w:p>
          <w:p w14:paraId="5FFA5F53">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根据《环境影响评价技术导则声环境》（HJ2.4—2021）中附录D的推荐表格进行声源调查，以车间西南角为坐标原点建立坐标系，</w:t>
            </w:r>
            <w:r>
              <w:rPr>
                <w:rFonts w:hint="default" w:ascii="Times New Roman" w:hAnsi="Times New Roman" w:cs="Times New Roman"/>
                <w:color w:val="auto"/>
                <w:sz w:val="24"/>
                <w:szCs w:val="24"/>
                <w:highlight w:val="none"/>
              </w:rPr>
              <w:t>各声源声级值详见下表。</w:t>
            </w:r>
          </w:p>
          <w:p w14:paraId="01F785CF">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噪声源声级值（室外声源）</w:t>
            </w:r>
          </w:p>
          <w:tbl>
            <w:tblPr>
              <w:tblStyle w:val="3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067"/>
              <w:gridCol w:w="515"/>
              <w:gridCol w:w="588"/>
              <w:gridCol w:w="586"/>
              <w:gridCol w:w="1122"/>
              <w:gridCol w:w="1483"/>
              <w:gridCol w:w="713"/>
              <w:gridCol w:w="713"/>
              <w:gridCol w:w="714"/>
            </w:tblGrid>
            <w:tr w14:paraId="1226E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vMerge w:val="restart"/>
                  <w:tcBorders>
                    <w:tl2br w:val="nil"/>
                    <w:tr2bl w:val="nil"/>
                  </w:tcBorders>
                  <w:vAlign w:val="center"/>
                </w:tcPr>
                <w:p w14:paraId="62E5FCFE">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57" w:type="pct"/>
                  <w:vMerge w:val="restart"/>
                  <w:tcBorders>
                    <w:tl2br w:val="nil"/>
                    <w:tr2bl w:val="nil"/>
                  </w:tcBorders>
                  <w:vAlign w:val="center"/>
                </w:tcPr>
                <w:p w14:paraId="6A3DC465">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声源名称</w:t>
                  </w:r>
                </w:p>
              </w:tc>
              <w:tc>
                <w:tcPr>
                  <w:tcW w:w="1040" w:type="pct"/>
                  <w:gridSpan w:val="3"/>
                  <w:tcBorders>
                    <w:tl2br w:val="nil"/>
                    <w:tr2bl w:val="nil"/>
                  </w:tcBorders>
                  <w:vAlign w:val="center"/>
                </w:tcPr>
                <w:p w14:paraId="528AFF18">
                  <w:pPr>
                    <w:pStyle w:val="128"/>
                    <w:adjustRightInd w:val="0"/>
                    <w:snapToGrid w:val="0"/>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空间相对位置</w:t>
                  </w:r>
                  <w:r>
                    <w:rPr>
                      <w:rFonts w:hint="default" w:ascii="Times New Roman" w:hAnsi="Times New Roman" w:eastAsia="Times New Roman" w:cs="Times New Roman"/>
                      <w:color w:val="auto"/>
                      <w:sz w:val="21"/>
                      <w:szCs w:val="21"/>
                      <w:highlight w:val="none"/>
                    </w:rPr>
                    <w:t>/m</w:t>
                  </w:r>
                </w:p>
              </w:tc>
              <w:tc>
                <w:tcPr>
                  <w:tcW w:w="691" w:type="pct"/>
                  <w:vMerge w:val="restart"/>
                  <w:tcBorders>
                    <w:tl2br w:val="nil"/>
                    <w:tr2bl w:val="nil"/>
                  </w:tcBorders>
                  <w:vAlign w:val="center"/>
                </w:tcPr>
                <w:p w14:paraId="5E728783">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声级</w:t>
                  </w:r>
                </w:p>
                <w:p w14:paraId="294D3649">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/dB</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p>
              </w:tc>
              <w:tc>
                <w:tcPr>
                  <w:tcW w:w="913" w:type="pct"/>
                  <w:vMerge w:val="restart"/>
                  <w:tcBorders>
                    <w:tl2br w:val="nil"/>
                    <w:tr2bl w:val="nil"/>
                  </w:tcBorders>
                  <w:vAlign w:val="center"/>
                </w:tcPr>
                <w:p w14:paraId="163444D8">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5"/>
                      <w:sz w:val="21"/>
                      <w:szCs w:val="21"/>
                      <w:highlight w:val="none"/>
                      <w:lang w:eastAsia="zh-CN"/>
                    </w:rPr>
                    <w:t>声源控制措施</w:t>
                  </w:r>
                </w:p>
              </w:tc>
              <w:tc>
                <w:tcPr>
                  <w:tcW w:w="439" w:type="pct"/>
                  <w:vMerge w:val="restart"/>
                  <w:tcBorders>
                    <w:tl2br w:val="nil"/>
                    <w:tr2bl w:val="nil"/>
                  </w:tcBorders>
                  <w:vAlign w:val="center"/>
                </w:tcPr>
                <w:p w14:paraId="74E2BFCD">
                  <w:pPr>
                    <w:pStyle w:val="128"/>
                    <w:adjustRightInd w:val="0"/>
                    <w:snapToGrid w:val="0"/>
                    <w:rPr>
                      <w:rFonts w:hint="default" w:ascii="Times New Roman" w:hAnsi="Times New Roman" w:cs="Times New Roman"/>
                      <w:color w:val="auto"/>
                      <w:spacing w:val="-5"/>
                      <w:sz w:val="21"/>
                      <w:szCs w:val="21"/>
                      <w:highlight w:val="none"/>
                      <w:lang w:eastAsia="zh-CN"/>
                    </w:rPr>
                  </w:pPr>
                  <w:r>
                    <w:rPr>
                      <w:rFonts w:hint="default" w:ascii="Times New Roman" w:hAnsi="Times New Roman" w:cs="Times New Roman"/>
                      <w:color w:val="auto"/>
                      <w:spacing w:val="-5"/>
                      <w:sz w:val="21"/>
                      <w:szCs w:val="21"/>
                      <w:highlight w:val="none"/>
                      <w:lang w:eastAsia="zh-CN"/>
                    </w:rPr>
                    <w:t>降噪效果</w:t>
                  </w:r>
                </w:p>
              </w:tc>
              <w:tc>
                <w:tcPr>
                  <w:tcW w:w="439" w:type="pct"/>
                  <w:vMerge w:val="restart"/>
                  <w:tcBorders>
                    <w:tl2br w:val="nil"/>
                    <w:tr2bl w:val="nil"/>
                  </w:tcBorders>
                  <w:vAlign w:val="center"/>
                </w:tcPr>
                <w:p w14:paraId="520E7FC9">
                  <w:pPr>
                    <w:pStyle w:val="128"/>
                    <w:adjustRightInd w:val="0"/>
                    <w:snapToGrid w:val="0"/>
                    <w:rPr>
                      <w:rFonts w:hint="default" w:ascii="Times New Roman" w:hAnsi="Times New Roman" w:cs="Times New Roman"/>
                      <w:color w:val="auto"/>
                      <w:spacing w:val="-5"/>
                      <w:sz w:val="21"/>
                      <w:szCs w:val="21"/>
                      <w:highlight w:val="none"/>
                      <w:lang w:eastAsia="zh-CN"/>
                    </w:rPr>
                  </w:pPr>
                  <w:r>
                    <w:rPr>
                      <w:rFonts w:hint="default" w:ascii="Times New Roman" w:hAnsi="Times New Roman" w:cs="Times New Roman"/>
                      <w:color w:val="auto"/>
                      <w:spacing w:val="-5"/>
                      <w:sz w:val="21"/>
                      <w:szCs w:val="21"/>
                      <w:highlight w:val="none"/>
                      <w:lang w:eastAsia="zh-CN"/>
                    </w:rPr>
                    <w:t>声压级</w:t>
                  </w:r>
                </w:p>
              </w:tc>
              <w:tc>
                <w:tcPr>
                  <w:tcW w:w="439" w:type="pct"/>
                  <w:vMerge w:val="restart"/>
                  <w:tcBorders>
                    <w:tl2br w:val="nil"/>
                    <w:tr2bl w:val="nil"/>
                  </w:tcBorders>
                  <w:vAlign w:val="center"/>
                </w:tcPr>
                <w:p w14:paraId="327DD8BB">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运行时段</w:t>
                  </w:r>
                </w:p>
              </w:tc>
            </w:tr>
            <w:tr w14:paraId="23D3A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vMerge w:val="continue"/>
                  <w:tcBorders>
                    <w:tl2br w:val="nil"/>
                    <w:tr2bl w:val="nil"/>
                  </w:tcBorders>
                  <w:vAlign w:val="center"/>
                </w:tcPr>
                <w:p w14:paraId="384A1394">
                  <w:pPr>
                    <w:adjustRightInd w:val="0"/>
                    <w:snapToGrid w:val="0"/>
                    <w:jc w:val="center"/>
                    <w:rPr>
                      <w:rFonts w:hint="default" w:ascii="Times New Roman" w:hAnsi="Times New Roman" w:cs="Times New Roman"/>
                      <w:color w:val="auto"/>
                      <w:highlight w:val="none"/>
                    </w:rPr>
                  </w:pPr>
                </w:p>
              </w:tc>
              <w:tc>
                <w:tcPr>
                  <w:tcW w:w="657" w:type="pct"/>
                  <w:vMerge w:val="continue"/>
                  <w:tcBorders>
                    <w:tl2br w:val="nil"/>
                    <w:tr2bl w:val="nil"/>
                  </w:tcBorders>
                  <w:vAlign w:val="center"/>
                </w:tcPr>
                <w:p w14:paraId="3DE4F2EC">
                  <w:pPr>
                    <w:adjustRightInd w:val="0"/>
                    <w:snapToGrid w:val="0"/>
                    <w:jc w:val="center"/>
                    <w:rPr>
                      <w:rFonts w:hint="default" w:ascii="Times New Roman" w:hAnsi="Times New Roman" w:cs="Times New Roman"/>
                      <w:color w:val="auto"/>
                      <w:highlight w:val="none"/>
                    </w:rPr>
                  </w:pPr>
                </w:p>
              </w:tc>
              <w:tc>
                <w:tcPr>
                  <w:tcW w:w="317" w:type="pct"/>
                  <w:tcBorders>
                    <w:tl2br w:val="nil"/>
                    <w:tr2bl w:val="nil"/>
                  </w:tcBorders>
                  <w:vAlign w:val="center"/>
                </w:tcPr>
                <w:p w14:paraId="445B0111">
                  <w:pPr>
                    <w:pStyle w:val="128"/>
                    <w:adjustRightInd w:val="0"/>
                    <w:snapToGrid w:val="0"/>
                    <w:rPr>
                      <w:rFonts w:hint="default" w:ascii="Times New Roman" w:hAnsi="Times New Roman" w:cs="Times New Roman"/>
                      <w:i/>
                      <w:color w:val="auto"/>
                      <w:sz w:val="21"/>
                      <w:szCs w:val="21"/>
                      <w:highlight w:val="none"/>
                    </w:rPr>
                  </w:pPr>
                  <w:r>
                    <w:rPr>
                      <w:rFonts w:hint="default" w:ascii="Times New Roman" w:hAnsi="Times New Roman" w:cs="Times New Roman"/>
                      <w:i/>
                      <w:color w:val="auto"/>
                      <w:sz w:val="21"/>
                      <w:szCs w:val="21"/>
                      <w:highlight w:val="none"/>
                    </w:rPr>
                    <w:t>X</w:t>
                  </w:r>
                </w:p>
              </w:tc>
              <w:tc>
                <w:tcPr>
                  <w:tcW w:w="362" w:type="pct"/>
                  <w:tcBorders>
                    <w:tl2br w:val="nil"/>
                    <w:tr2bl w:val="nil"/>
                  </w:tcBorders>
                  <w:vAlign w:val="center"/>
                </w:tcPr>
                <w:p w14:paraId="4A6F2950">
                  <w:pPr>
                    <w:pStyle w:val="128"/>
                    <w:adjustRightInd w:val="0"/>
                    <w:snapToGrid w:val="0"/>
                    <w:rPr>
                      <w:rFonts w:hint="default" w:ascii="Times New Roman" w:hAnsi="Times New Roman" w:cs="Times New Roman"/>
                      <w:i/>
                      <w:color w:val="auto"/>
                      <w:sz w:val="21"/>
                      <w:szCs w:val="21"/>
                      <w:highlight w:val="none"/>
                    </w:rPr>
                  </w:pPr>
                  <w:r>
                    <w:rPr>
                      <w:rFonts w:hint="default" w:ascii="Times New Roman" w:hAnsi="Times New Roman" w:cs="Times New Roman"/>
                      <w:i/>
                      <w:color w:val="auto"/>
                      <w:sz w:val="21"/>
                      <w:szCs w:val="21"/>
                      <w:highlight w:val="none"/>
                    </w:rPr>
                    <w:t>Y</w:t>
                  </w:r>
                </w:p>
              </w:tc>
              <w:tc>
                <w:tcPr>
                  <w:tcW w:w="361" w:type="pct"/>
                  <w:tcBorders>
                    <w:tl2br w:val="nil"/>
                    <w:tr2bl w:val="nil"/>
                  </w:tcBorders>
                  <w:vAlign w:val="center"/>
                </w:tcPr>
                <w:p w14:paraId="2CE5917E">
                  <w:pPr>
                    <w:pStyle w:val="128"/>
                    <w:adjustRightInd w:val="0"/>
                    <w:snapToGrid w:val="0"/>
                    <w:rPr>
                      <w:rFonts w:hint="default" w:ascii="Times New Roman" w:hAnsi="Times New Roman" w:cs="Times New Roman"/>
                      <w:i/>
                      <w:color w:val="auto"/>
                      <w:sz w:val="21"/>
                      <w:szCs w:val="21"/>
                      <w:highlight w:val="none"/>
                    </w:rPr>
                  </w:pPr>
                  <w:r>
                    <w:rPr>
                      <w:rFonts w:hint="default" w:ascii="Times New Roman" w:hAnsi="Times New Roman" w:cs="Times New Roman"/>
                      <w:i/>
                      <w:color w:val="auto"/>
                      <w:sz w:val="21"/>
                      <w:szCs w:val="21"/>
                      <w:highlight w:val="none"/>
                    </w:rPr>
                    <w:t>Z</w:t>
                  </w:r>
                </w:p>
              </w:tc>
              <w:tc>
                <w:tcPr>
                  <w:tcW w:w="691" w:type="pct"/>
                  <w:vMerge w:val="continue"/>
                  <w:tcBorders>
                    <w:tl2br w:val="nil"/>
                    <w:tr2bl w:val="nil"/>
                  </w:tcBorders>
                  <w:vAlign w:val="center"/>
                </w:tcPr>
                <w:p w14:paraId="3E92D517">
                  <w:pPr>
                    <w:adjustRightInd w:val="0"/>
                    <w:snapToGrid w:val="0"/>
                    <w:jc w:val="center"/>
                    <w:rPr>
                      <w:rFonts w:hint="default" w:ascii="Times New Roman" w:hAnsi="Times New Roman" w:cs="Times New Roman"/>
                      <w:color w:val="auto"/>
                      <w:highlight w:val="none"/>
                    </w:rPr>
                  </w:pPr>
                </w:p>
              </w:tc>
              <w:tc>
                <w:tcPr>
                  <w:tcW w:w="913" w:type="pct"/>
                  <w:vMerge w:val="continue"/>
                  <w:tcBorders>
                    <w:tl2br w:val="nil"/>
                    <w:tr2bl w:val="nil"/>
                  </w:tcBorders>
                  <w:vAlign w:val="center"/>
                </w:tcPr>
                <w:p w14:paraId="297510E2">
                  <w:pPr>
                    <w:adjustRightInd w:val="0"/>
                    <w:snapToGrid w:val="0"/>
                    <w:jc w:val="center"/>
                    <w:rPr>
                      <w:rFonts w:hint="default" w:ascii="Times New Roman" w:hAnsi="Times New Roman" w:cs="Times New Roman"/>
                      <w:color w:val="auto"/>
                      <w:highlight w:val="none"/>
                    </w:rPr>
                  </w:pPr>
                </w:p>
              </w:tc>
              <w:tc>
                <w:tcPr>
                  <w:tcW w:w="439" w:type="pct"/>
                  <w:vMerge w:val="continue"/>
                  <w:tcBorders>
                    <w:tl2br w:val="nil"/>
                    <w:tr2bl w:val="nil"/>
                  </w:tcBorders>
                  <w:vAlign w:val="center"/>
                </w:tcPr>
                <w:p w14:paraId="6DB77B0C">
                  <w:pPr>
                    <w:adjustRightInd w:val="0"/>
                    <w:snapToGrid w:val="0"/>
                    <w:jc w:val="center"/>
                    <w:rPr>
                      <w:rFonts w:hint="default" w:ascii="Times New Roman" w:hAnsi="Times New Roman" w:cs="Times New Roman"/>
                      <w:color w:val="auto"/>
                      <w:highlight w:val="none"/>
                    </w:rPr>
                  </w:pPr>
                </w:p>
              </w:tc>
              <w:tc>
                <w:tcPr>
                  <w:tcW w:w="439" w:type="pct"/>
                  <w:vMerge w:val="continue"/>
                  <w:tcBorders>
                    <w:tl2br w:val="nil"/>
                    <w:tr2bl w:val="nil"/>
                  </w:tcBorders>
                  <w:vAlign w:val="center"/>
                </w:tcPr>
                <w:p w14:paraId="1D282173">
                  <w:pPr>
                    <w:adjustRightInd w:val="0"/>
                    <w:snapToGrid w:val="0"/>
                    <w:jc w:val="center"/>
                    <w:rPr>
                      <w:rFonts w:hint="default" w:ascii="Times New Roman" w:hAnsi="Times New Roman" w:cs="Times New Roman"/>
                      <w:color w:val="auto"/>
                      <w:highlight w:val="none"/>
                    </w:rPr>
                  </w:pPr>
                </w:p>
              </w:tc>
              <w:tc>
                <w:tcPr>
                  <w:tcW w:w="439" w:type="pct"/>
                  <w:vMerge w:val="continue"/>
                  <w:tcBorders>
                    <w:tl2br w:val="nil"/>
                    <w:tr2bl w:val="nil"/>
                  </w:tcBorders>
                  <w:vAlign w:val="center"/>
                </w:tcPr>
                <w:p w14:paraId="1F1E1049">
                  <w:pPr>
                    <w:adjustRightInd w:val="0"/>
                    <w:snapToGrid w:val="0"/>
                    <w:jc w:val="center"/>
                    <w:rPr>
                      <w:rFonts w:hint="default" w:ascii="Times New Roman" w:hAnsi="Times New Roman" w:cs="Times New Roman"/>
                      <w:color w:val="auto"/>
                      <w:highlight w:val="none"/>
                    </w:rPr>
                  </w:pPr>
                </w:p>
              </w:tc>
            </w:tr>
            <w:tr w14:paraId="0CCE48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tcBorders>
                    <w:tl2br w:val="nil"/>
                    <w:tr2bl w:val="nil"/>
                  </w:tcBorders>
                  <w:vAlign w:val="center"/>
                </w:tcPr>
                <w:p w14:paraId="78174474">
                  <w:pPr>
                    <w:pStyle w:val="128"/>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57" w:type="pct"/>
                  <w:tcBorders>
                    <w:tl2br w:val="nil"/>
                    <w:tr2bl w:val="nil"/>
                  </w:tcBorders>
                  <w:vAlign w:val="center"/>
                </w:tcPr>
                <w:p w14:paraId="75B9682F">
                  <w:pPr>
                    <w:adjustRightInd w:val="0"/>
                    <w:snapToGrid w:val="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风机</w:t>
                  </w:r>
                </w:p>
              </w:tc>
              <w:tc>
                <w:tcPr>
                  <w:tcW w:w="317" w:type="pct"/>
                  <w:tcBorders>
                    <w:tl2br w:val="nil"/>
                    <w:tr2bl w:val="nil"/>
                  </w:tcBorders>
                  <w:vAlign w:val="center"/>
                </w:tcPr>
                <w:p w14:paraId="2F9E539B">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21</w:t>
                  </w:r>
                </w:p>
              </w:tc>
              <w:tc>
                <w:tcPr>
                  <w:tcW w:w="362" w:type="pct"/>
                  <w:tcBorders>
                    <w:tl2br w:val="nil"/>
                    <w:tr2bl w:val="nil"/>
                  </w:tcBorders>
                  <w:vAlign w:val="center"/>
                </w:tcPr>
                <w:p w14:paraId="60B2AA8B">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w:t>
                  </w:r>
                </w:p>
              </w:tc>
              <w:tc>
                <w:tcPr>
                  <w:tcW w:w="361" w:type="pct"/>
                  <w:tcBorders>
                    <w:tl2br w:val="nil"/>
                    <w:tr2bl w:val="nil"/>
                  </w:tcBorders>
                  <w:vAlign w:val="center"/>
                </w:tcPr>
                <w:p w14:paraId="66BD704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91" w:type="pct"/>
                  <w:tcBorders>
                    <w:tl2br w:val="nil"/>
                    <w:tr2bl w:val="nil"/>
                  </w:tcBorders>
                  <w:vAlign w:val="center"/>
                </w:tcPr>
                <w:p w14:paraId="45C5363F">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90</w:t>
                  </w:r>
                </w:p>
              </w:tc>
              <w:tc>
                <w:tcPr>
                  <w:tcW w:w="913" w:type="pct"/>
                  <w:vMerge w:val="restart"/>
                  <w:tcBorders>
                    <w:tl2br w:val="nil"/>
                    <w:tr2bl w:val="nil"/>
                  </w:tcBorders>
                  <w:vAlign w:val="center"/>
                </w:tcPr>
                <w:p w14:paraId="472B5292">
                  <w:pPr>
                    <w:adjustRightInd w:val="0"/>
                    <w:snapToGrid w:val="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隔声罩，基础减振，距离衰减</w:t>
                  </w:r>
                </w:p>
              </w:tc>
              <w:tc>
                <w:tcPr>
                  <w:tcW w:w="439" w:type="pct"/>
                  <w:vMerge w:val="restart"/>
                  <w:tcBorders>
                    <w:tl2br w:val="nil"/>
                    <w:tr2bl w:val="nil"/>
                  </w:tcBorders>
                  <w:vAlign w:val="center"/>
                </w:tcPr>
                <w:p w14:paraId="23BEBF28">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20</w:t>
                  </w:r>
                </w:p>
              </w:tc>
              <w:tc>
                <w:tcPr>
                  <w:tcW w:w="439" w:type="pct"/>
                  <w:tcBorders>
                    <w:tl2br w:val="nil"/>
                    <w:tr2bl w:val="nil"/>
                  </w:tcBorders>
                  <w:vAlign w:val="center"/>
                </w:tcPr>
                <w:p w14:paraId="194B3B27">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70</w:t>
                  </w:r>
                </w:p>
              </w:tc>
              <w:tc>
                <w:tcPr>
                  <w:tcW w:w="439" w:type="pct"/>
                  <w:tcBorders>
                    <w:tl2br w:val="nil"/>
                    <w:tr2bl w:val="nil"/>
                  </w:tcBorders>
                  <w:vAlign w:val="center"/>
                </w:tcPr>
                <w:p w14:paraId="7932DEC1">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昼间</w:t>
                  </w:r>
                </w:p>
              </w:tc>
            </w:tr>
            <w:tr w14:paraId="646D9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8" w:type="pct"/>
                  <w:tcBorders>
                    <w:tl2br w:val="nil"/>
                    <w:tr2bl w:val="nil"/>
                  </w:tcBorders>
                  <w:vAlign w:val="center"/>
                </w:tcPr>
                <w:p w14:paraId="1942022C">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w:t>
                  </w:r>
                </w:p>
              </w:tc>
              <w:tc>
                <w:tcPr>
                  <w:tcW w:w="657" w:type="pct"/>
                  <w:tcBorders>
                    <w:tl2br w:val="nil"/>
                    <w:tr2bl w:val="nil"/>
                  </w:tcBorders>
                  <w:vAlign w:val="center"/>
                </w:tcPr>
                <w:p w14:paraId="08C492D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喷淋循环泵</w:t>
                  </w:r>
                </w:p>
              </w:tc>
              <w:tc>
                <w:tcPr>
                  <w:tcW w:w="317" w:type="pct"/>
                  <w:tcBorders>
                    <w:tl2br w:val="nil"/>
                    <w:tr2bl w:val="nil"/>
                  </w:tcBorders>
                  <w:vAlign w:val="center"/>
                </w:tcPr>
                <w:p w14:paraId="7D412A1B">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23</w:t>
                  </w:r>
                </w:p>
              </w:tc>
              <w:tc>
                <w:tcPr>
                  <w:tcW w:w="362" w:type="pct"/>
                  <w:tcBorders>
                    <w:tl2br w:val="nil"/>
                    <w:tr2bl w:val="nil"/>
                  </w:tcBorders>
                  <w:vAlign w:val="center"/>
                </w:tcPr>
                <w:p w14:paraId="697AEA05">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p>
              </w:tc>
              <w:tc>
                <w:tcPr>
                  <w:tcW w:w="361" w:type="pct"/>
                  <w:tcBorders>
                    <w:tl2br w:val="nil"/>
                    <w:tr2bl w:val="nil"/>
                  </w:tcBorders>
                  <w:vAlign w:val="center"/>
                </w:tcPr>
                <w:p w14:paraId="70DA298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91" w:type="pct"/>
                  <w:tcBorders>
                    <w:tl2br w:val="nil"/>
                    <w:tr2bl w:val="nil"/>
                  </w:tcBorders>
                  <w:vAlign w:val="center"/>
                </w:tcPr>
                <w:p w14:paraId="72E17701">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95</w:t>
                  </w:r>
                </w:p>
              </w:tc>
              <w:tc>
                <w:tcPr>
                  <w:tcW w:w="913" w:type="pct"/>
                  <w:vMerge w:val="continue"/>
                  <w:tcBorders>
                    <w:tl2br w:val="nil"/>
                    <w:tr2bl w:val="nil"/>
                  </w:tcBorders>
                  <w:vAlign w:val="center"/>
                </w:tcPr>
                <w:p w14:paraId="0BEB2DFD">
                  <w:pPr>
                    <w:adjustRightInd w:val="0"/>
                    <w:snapToGrid w:val="0"/>
                    <w:rPr>
                      <w:rFonts w:hint="default" w:ascii="Times New Roman" w:hAnsi="Times New Roman" w:cs="Times New Roman"/>
                      <w:snapToGrid w:val="0"/>
                      <w:color w:val="auto"/>
                      <w:highlight w:val="none"/>
                    </w:rPr>
                  </w:pPr>
                </w:p>
              </w:tc>
              <w:tc>
                <w:tcPr>
                  <w:tcW w:w="439" w:type="pct"/>
                  <w:vMerge w:val="continue"/>
                  <w:tcBorders>
                    <w:tl2br w:val="nil"/>
                    <w:tr2bl w:val="nil"/>
                  </w:tcBorders>
                  <w:vAlign w:val="center"/>
                </w:tcPr>
                <w:p w14:paraId="6DF15438">
                  <w:pPr>
                    <w:pStyle w:val="128"/>
                    <w:adjustRightInd w:val="0"/>
                    <w:snapToGrid w:val="0"/>
                    <w:rPr>
                      <w:rFonts w:hint="default" w:ascii="Times New Roman" w:hAnsi="Times New Roman" w:cs="Times New Roman"/>
                      <w:color w:val="auto"/>
                      <w:sz w:val="21"/>
                      <w:szCs w:val="21"/>
                      <w:highlight w:val="none"/>
                      <w:lang w:eastAsia="zh-CN"/>
                    </w:rPr>
                  </w:pPr>
                </w:p>
              </w:tc>
              <w:tc>
                <w:tcPr>
                  <w:tcW w:w="439" w:type="pct"/>
                  <w:tcBorders>
                    <w:tl2br w:val="nil"/>
                    <w:tr2bl w:val="nil"/>
                  </w:tcBorders>
                  <w:vAlign w:val="center"/>
                </w:tcPr>
                <w:p w14:paraId="138A06E4">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r>
                    <w:rPr>
                      <w:rFonts w:hint="default" w:ascii="Times New Roman" w:hAnsi="Times New Roman" w:cs="Times New Roman"/>
                      <w:color w:val="auto"/>
                      <w:sz w:val="21"/>
                      <w:szCs w:val="21"/>
                      <w:highlight w:val="none"/>
                      <w:lang w:val="en-US" w:eastAsia="zh-CN"/>
                    </w:rPr>
                    <w:t>5</w:t>
                  </w:r>
                </w:p>
              </w:tc>
              <w:tc>
                <w:tcPr>
                  <w:tcW w:w="439" w:type="pct"/>
                  <w:tcBorders>
                    <w:tl2br w:val="nil"/>
                    <w:tr2bl w:val="nil"/>
                  </w:tcBorders>
                  <w:vAlign w:val="center"/>
                </w:tcPr>
                <w:p w14:paraId="0AEB0E2E">
                  <w:pPr>
                    <w:pStyle w:val="128"/>
                    <w:adjustRightInd w:val="0"/>
                    <w:snapToGri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昼间</w:t>
                  </w:r>
                </w:p>
              </w:tc>
            </w:tr>
          </w:tbl>
          <w:p w14:paraId="3B79EBCA">
            <w:pPr>
              <w:widowControl/>
              <w:spacing w:line="360" w:lineRule="auto"/>
              <w:ind w:firstLine="42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2</w:t>
            </w:r>
            <w:r>
              <w:rPr>
                <w:rFonts w:hint="default" w:ascii="Times New Roman" w:hAnsi="Times New Roman" w:cs="Times New Roman"/>
                <w:b/>
                <w:color w:val="auto"/>
                <w:highlight w:val="none"/>
                <w:lang w:val="en-US" w:eastAsia="zh-CN"/>
              </w:rPr>
              <w:t>.</w:t>
            </w:r>
            <w:r>
              <w:rPr>
                <w:rFonts w:hint="default" w:ascii="Times New Roman" w:hAnsi="Times New Roman" w:cs="Times New Roman"/>
                <w:b/>
                <w:color w:val="auto"/>
                <w:highlight w:val="none"/>
              </w:rPr>
              <w:t>噪声环境影响分析</w:t>
            </w:r>
          </w:p>
          <w:p w14:paraId="4EAB7E8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①预测模式</w:t>
            </w:r>
          </w:p>
          <w:p w14:paraId="6497365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本项目仅考虑距离衰减值，忽略大气吸收、障碍物屏障等因素，从最为不利的情况出发，按照“导则”中推荐的预测模式：</w:t>
            </w:r>
          </w:p>
          <w:p w14:paraId="28C3C072">
            <w:pPr>
              <w:adjustRightIn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根据《环境影响评价技术导则声环境》</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HJ2.4-2021</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的要求，采用如下模式：</w:t>
            </w:r>
          </w:p>
          <w:p w14:paraId="4EF4E0FE">
            <w:pPr>
              <w:pStyle w:val="192"/>
              <w:spacing w:line="360" w:lineRule="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a.室内设备噪声影响预测采用室内声场扩散衰减模式，具体如下：</w:t>
            </w:r>
          </w:p>
          <w:p w14:paraId="2B38EE53">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193675</wp:posOffset>
                      </wp:positionV>
                      <wp:extent cx="443865" cy="207010"/>
                      <wp:effectExtent l="0" t="0" r="0" b="0"/>
                      <wp:wrapNone/>
                      <wp:docPr id="1" name="文本框 3504"/>
                      <wp:cNvGraphicFramePr/>
                      <a:graphic xmlns:a="http://schemas.openxmlformats.org/drawingml/2006/main">
                        <a:graphicData uri="http://schemas.microsoft.com/office/word/2010/wordprocessingShape">
                          <wps:wsp>
                            <wps:cNvSpPr txBox="1"/>
                            <wps:spPr>
                              <a:xfrm>
                                <a:off x="0" y="0"/>
                                <a:ext cx="443865" cy="207010"/>
                              </a:xfrm>
                              <a:prstGeom prst="rect">
                                <a:avLst/>
                              </a:prstGeom>
                              <a:noFill/>
                              <a:ln>
                                <a:noFill/>
                              </a:ln>
                            </wps:spPr>
                            <wps:txbx>
                              <w:txbxContent>
                                <w:p w14:paraId="6A2E0E83">
                                  <w:r>
                                    <w:rPr>
                                      <w:rFonts w:hint="eastAsia"/>
                                    </w:rPr>
                                    <w:t>－</w:t>
                                  </w:r>
                                  <w:r>
                                    <w:rPr>
                                      <w:rFonts w:hint="eastAsia"/>
                                      <w:i/>
                                    </w:rPr>
                                    <w:t>L</w:t>
                                  </w:r>
                                  <w:r>
                                    <w:rPr>
                                      <w:rFonts w:hint="eastAsia"/>
                                      <w:i/>
                                      <w:vertAlign w:val="subscript"/>
                                    </w:rPr>
                                    <w:t>TL</w:t>
                                  </w:r>
                                </w:p>
                              </w:txbxContent>
                            </wps:txbx>
                            <wps:bodyPr lIns="0" tIns="0" rIns="0" bIns="0" upright="1"/>
                          </wps:wsp>
                        </a:graphicData>
                      </a:graphic>
                    </wp:anchor>
                  </w:drawing>
                </mc:Choice>
                <mc:Fallback>
                  <w:pict>
                    <v:shape id="文本框 3504" o:spid="_x0000_s1026" o:spt="202" type="#_x0000_t202" style="position:absolute;left:0pt;margin-left:279pt;margin-top:15.25pt;height:16.3pt;width:34.95pt;z-index:251659264;mso-width-relative:page;mso-height-relative:page;" filled="f" stroked="f" coordsize="21600,21600" o:gfxdata="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theJ2QAAAAkBAAAPAAAAAAAAAAEAIAAAACIAAABkcnMvZG93bnJldi54bWxQ&#10;SwECFAAUAAAACACHTuJAKPdPHr0BAAB0AwAADgAAAAAAAAABACAAAAAoAQAAZHJzL2Uyb0RvYy54&#10;bWxQSwUGAAAAAAYABgBZAQAAVwUAAAAA&#10;">
                      <v:fill on="f" focussize="0,0"/>
                      <v:stroke on="f"/>
                      <v:imagedata o:title=""/>
                      <o:lock v:ext="edit" aspectratio="f"/>
                      <v:textbox inset="0mm,0mm,0mm,0mm">
                        <w:txbxContent>
                          <w:p w14:paraId="6A2E0E83">
                            <w:r>
                              <w:rPr>
                                <w:rFonts w:hint="eastAsia"/>
                              </w:rPr>
                              <w:t>－</w:t>
                            </w:r>
                            <w:r>
                              <w:rPr>
                                <w:rFonts w:hint="eastAsia"/>
                                <w:i/>
                              </w:rPr>
                              <w:t>L</w:t>
                            </w:r>
                            <w:r>
                              <w:rPr>
                                <w:rFonts w:hint="eastAsia"/>
                                <w:i/>
                                <w:vertAlign w:val="subscript"/>
                              </w:rPr>
                              <w:t>TL</w:t>
                            </w:r>
                          </w:p>
                        </w:txbxContent>
                      </v:textbox>
                    </v:shape>
                  </w:pict>
                </mc:Fallback>
              </mc:AlternateContent>
            </w:r>
            <w:r>
              <w:rPr>
                <w:rFonts w:hint="default" w:ascii="Times New Roman" w:hAnsi="Times New Roman" w:cs="Times New Roman"/>
                <w:color w:val="auto"/>
                <w:sz w:val="24"/>
                <w:szCs w:val="24"/>
                <w:highlight w:val="none"/>
              </w:rPr>
              <w:drawing>
                <wp:inline distT="0" distB="0" distL="0" distR="0">
                  <wp:extent cx="2409825" cy="428625"/>
                  <wp:effectExtent l="19050" t="0" r="9525" b="0"/>
                  <wp:docPr id="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1"/>
                          <pic:cNvPicPr>
                            <a:picLocks noChangeAspect="1" noChangeArrowheads="1"/>
                          </pic:cNvPicPr>
                        </pic:nvPicPr>
                        <pic:blipFill>
                          <a:blip r:embed="rId14" cstate="print"/>
                          <a:srcRect/>
                          <a:stretch>
                            <a:fillRect/>
                          </a:stretch>
                        </pic:blipFill>
                        <pic:spPr>
                          <a:xfrm>
                            <a:off x="0" y="0"/>
                            <a:ext cx="2409825" cy="428625"/>
                          </a:xfrm>
                          <a:prstGeom prst="rect">
                            <a:avLst/>
                          </a:prstGeom>
                          <a:noFill/>
                          <a:ln w="9525" cmpd="sng">
                            <a:noFill/>
                            <a:miter lim="800000"/>
                            <a:headEnd/>
                            <a:tailEnd/>
                          </a:ln>
                        </pic:spPr>
                      </pic:pic>
                    </a:graphicData>
                  </a:graphic>
                </wp:inline>
              </w:drawing>
            </w:r>
          </w:p>
          <w:p w14:paraId="3DAD0FD4">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式中：LP——预测点的噪声级（dB）；</w:t>
            </w:r>
          </w:p>
          <w:p w14:paraId="6CCD0645">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Lw——声源声功率级（dB）；</w:t>
            </w:r>
          </w:p>
          <w:p w14:paraId="29BBA2FA">
            <w:pPr>
              <w:spacing w:line="480" w:lineRule="exact"/>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Q——室内空间指向因子，（完全自由空间Q＝1，半自由空间Q＝2，1/4自由空间Q＝4，1/8自由空间Q＝8）</w:t>
            </w:r>
          </w:p>
          <w:p w14:paraId="50CA05A2">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r——预测点离声源距离（m）；</w:t>
            </w:r>
          </w:p>
          <w:p w14:paraId="73B47B6B">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R——室内房间常数（由房间材料决定）；</w:t>
            </w:r>
          </w:p>
          <w:p w14:paraId="4A5532D6">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c——空气中的声速（m/s）；</w:t>
            </w:r>
          </w:p>
          <w:p w14:paraId="22DA1C12">
            <w:pPr>
              <w:spacing w:line="480" w:lineRule="exact"/>
              <w:ind w:firstLine="1080" w:firstLineChars="45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TL</w:t>
            </w:r>
            <w:r>
              <w:rPr>
                <w:rFonts w:hint="default" w:ascii="Times New Roman" w:hAnsi="Times New Roman" w:cs="Times New Roman"/>
                <w:color w:val="auto"/>
                <w:sz w:val="24"/>
                <w:szCs w:val="24"/>
                <w:highlight w:val="none"/>
              </w:rPr>
              <w:t>——隔墙的传声损失（dB）。</w:t>
            </w:r>
          </w:p>
          <w:p w14:paraId="3295D74B">
            <w:pPr>
              <w:pStyle w:val="192"/>
              <w:spacing w:line="480" w:lineRule="exac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b.室外设备噪声影响预测采用室外声场扩散衰减模式，具体如下：</w:t>
            </w:r>
          </w:p>
          <w:p w14:paraId="69316E10">
            <w:pPr>
              <w:pStyle w:val="6"/>
              <w:spacing w:line="480" w:lineRule="exact"/>
              <w:ind w:firstLine="48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6" o:spt="75" type="#_x0000_t75" style="height:17.25pt;width:93.7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14:paraId="244BF670">
            <w:pPr>
              <w:pStyle w:val="6"/>
              <w:spacing w:line="480" w:lineRule="exact"/>
              <w:ind w:firstLine="48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7" o:spt="75" type="#_x0000_t75" style="height:19.5pt;width:165.7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14:paraId="42D7F74A">
            <w:pPr>
              <w:pStyle w:val="6"/>
              <w:spacing w:line="48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w:t>
            </w:r>
            <w:r>
              <w:rPr>
                <w:rFonts w:hint="default" w:ascii="Times New Roman" w:hAnsi="Times New Roman" w:cs="Times New Roman"/>
                <w:color w:val="auto"/>
                <w:sz w:val="24"/>
                <w:szCs w:val="24"/>
                <w:highlight w:val="none"/>
                <w:vertAlign w:val="subscript"/>
              </w:rPr>
              <w:t>A(r)</w:t>
            </w:r>
            <w:r>
              <w:rPr>
                <w:rFonts w:hint="default" w:ascii="Times New Roman" w:hAnsi="Times New Roman" w:cs="Times New Roman"/>
                <w:color w:val="auto"/>
                <w:sz w:val="24"/>
                <w:szCs w:val="24"/>
                <w:highlight w:val="none"/>
              </w:rPr>
              <w:t>——预测点的噪声值，dB；</w:t>
            </w:r>
          </w:p>
          <w:p w14:paraId="665AE7AF">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A(r0)</w:t>
            </w:r>
            <w:r>
              <w:rPr>
                <w:rFonts w:hint="default" w:ascii="Times New Roman" w:hAnsi="Times New Roman" w:cs="Times New Roman"/>
                <w:color w:val="auto"/>
                <w:sz w:val="24"/>
                <w:szCs w:val="24"/>
                <w:highlight w:val="none"/>
              </w:rPr>
              <w:t>——参照点的噪声值，dB；</w:t>
            </w:r>
          </w:p>
          <w:p w14:paraId="65B0E79D">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——预测点、参照点到噪声源处的距离，m；</w:t>
            </w:r>
          </w:p>
          <w:p w14:paraId="4E2D3464">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A——户外传播引起的衰减值，dB；</w:t>
            </w:r>
          </w:p>
          <w:p w14:paraId="42D4C353">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div</w:t>
            </w:r>
            <w:r>
              <w:rPr>
                <w:rFonts w:hint="default" w:ascii="Times New Roman" w:hAnsi="Times New Roman" w:cs="Times New Roman"/>
                <w:color w:val="auto"/>
                <w:sz w:val="24"/>
                <w:szCs w:val="24"/>
                <w:highlight w:val="none"/>
              </w:rPr>
              <w:t>——几何发散衰减，Adiv=20lg（r/r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），dB；</w:t>
            </w:r>
          </w:p>
          <w:p w14:paraId="7F4DB87A">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atm</w:t>
            </w:r>
            <w:r>
              <w:rPr>
                <w:rFonts w:hint="default" w:ascii="Times New Roman" w:hAnsi="Times New Roman" w:cs="Times New Roman"/>
                <w:color w:val="auto"/>
                <w:sz w:val="24"/>
                <w:szCs w:val="24"/>
                <w:highlight w:val="none"/>
              </w:rPr>
              <w:t>——空气吸收引起的衰减，Aatm=a（r-r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）/1000，dB；</w:t>
            </w:r>
          </w:p>
          <w:p w14:paraId="69E60541">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bar</w:t>
            </w:r>
            <w:r>
              <w:rPr>
                <w:rFonts w:hint="default" w:ascii="Times New Roman" w:hAnsi="Times New Roman" w:cs="Times New Roman"/>
                <w:color w:val="auto"/>
                <w:sz w:val="24"/>
                <w:szCs w:val="24"/>
                <w:highlight w:val="none"/>
              </w:rPr>
              <w:t>——屏障引起的衰减，dB；</w:t>
            </w:r>
          </w:p>
          <w:p w14:paraId="03ABCD6A">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gr</w:t>
            </w:r>
            <w:r>
              <w:rPr>
                <w:rFonts w:hint="default" w:ascii="Times New Roman" w:hAnsi="Times New Roman" w:cs="Times New Roman"/>
                <w:color w:val="auto"/>
                <w:sz w:val="24"/>
                <w:szCs w:val="24"/>
                <w:highlight w:val="none"/>
              </w:rPr>
              <w:t>——地面效应衰减，dB（计算了屏障衰减后，不再考虑地面效应衰减）；</w:t>
            </w:r>
          </w:p>
          <w:p w14:paraId="5934C7BE">
            <w:pPr>
              <w:pStyle w:val="6"/>
              <w:spacing w:line="480" w:lineRule="exact"/>
              <w:ind w:firstLine="1171" w:firstLineChars="4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bscript"/>
              </w:rPr>
              <w:t>misc</w:t>
            </w:r>
            <w:r>
              <w:rPr>
                <w:rFonts w:hint="default" w:ascii="Times New Roman" w:hAnsi="Times New Roman" w:cs="Times New Roman"/>
                <w:color w:val="auto"/>
                <w:sz w:val="24"/>
                <w:szCs w:val="24"/>
                <w:highlight w:val="none"/>
              </w:rPr>
              <w:t>——其他多方面原因引起的衰减，dB。</w:t>
            </w:r>
          </w:p>
          <w:p w14:paraId="1E6011B6">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c.噪声叠加公式：</w:t>
            </w:r>
          </w:p>
          <w:p w14:paraId="14E7E75C">
            <w:pPr>
              <w:spacing w:line="360" w:lineRule="auto"/>
              <w:ind w:firstLine="198"/>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8" o:spt="75" type="#_x0000_t75" style="height:36pt;width:117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14:paraId="13FA557C">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color w:val="auto"/>
                <w:sz w:val="24"/>
                <w:szCs w:val="24"/>
                <w:highlight w:val="none"/>
              </w:rPr>
              <w:object>
                <v:shape id="_x0000_i1029" o:spt="75" type="#_x0000_t75" style="height:19.5pt;width:19.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rFonts w:hint="default" w:ascii="Times New Roman" w:hAnsi="Times New Roman" w:cs="Times New Roman"/>
                <w:color w:val="auto"/>
                <w:sz w:val="24"/>
                <w:szCs w:val="24"/>
                <w:highlight w:val="none"/>
              </w:rPr>
              <w:t>——预测点处的等效声级，dB(A)；</w:t>
            </w:r>
          </w:p>
          <w:p w14:paraId="2018E82F">
            <w:pPr>
              <w:spacing w:line="480" w:lineRule="exact"/>
              <w:ind w:firstLine="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0" o:spt="75" type="#_x0000_t75" style="height:19.5pt;width:19.5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r>
              <w:rPr>
                <w:rFonts w:hint="default" w:ascii="Times New Roman" w:hAnsi="Times New Roman" w:cs="Times New Roman"/>
                <w:color w:val="auto"/>
                <w:sz w:val="24"/>
                <w:szCs w:val="24"/>
                <w:highlight w:val="none"/>
              </w:rPr>
              <w:t>——第</w:t>
            </w:r>
            <w:r>
              <w:rPr>
                <w:rFonts w:hint="default" w:ascii="Times New Roman" w:hAnsi="Times New Roman" w:cs="Times New Roman"/>
                <w:color w:val="auto"/>
                <w:sz w:val="24"/>
                <w:szCs w:val="24"/>
                <w:highlight w:val="none"/>
              </w:rPr>
              <w:object>
                <v:shape id="_x0000_i1031" o:spt="75" type="#_x0000_t75" style="height:12.75pt;width:6.75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rFonts w:hint="default" w:ascii="Times New Roman" w:hAnsi="Times New Roman" w:cs="Times New Roman"/>
                <w:color w:val="auto"/>
                <w:sz w:val="24"/>
                <w:szCs w:val="24"/>
                <w:highlight w:val="none"/>
              </w:rPr>
              <w:t>个点声源对预测点的等效声级，dB(A)。</w:t>
            </w:r>
          </w:p>
          <w:p w14:paraId="792664B7">
            <w:pPr>
              <w:tabs>
                <w:tab w:val="left" w:pos="0"/>
              </w:tabs>
              <w:spacing w:line="440" w:lineRule="exact"/>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②预测结果</w:t>
            </w:r>
          </w:p>
          <w:p w14:paraId="268E1251">
            <w:pPr>
              <w:tabs>
                <w:tab w:val="left" w:pos="0"/>
              </w:tabs>
              <w:spacing w:line="440" w:lineRule="exact"/>
              <w:ind w:firstLine="480" w:firstLineChars="200"/>
              <w:jc w:val="left"/>
              <w:rPr>
                <w:rFonts w:hint="default" w:ascii="Times New Roman" w:hAnsi="Times New Roman" w:cs="Times New Roman"/>
                <w:b/>
                <w:bCs/>
                <w:color w:val="auto"/>
                <w:sz w:val="24"/>
                <w:highlight w:val="none"/>
                <w:lang w:val="zh-TW"/>
              </w:rPr>
            </w:pPr>
            <w:r>
              <w:rPr>
                <w:rFonts w:hint="default" w:ascii="Times New Roman" w:hAnsi="Times New Roman" w:cs="Times New Roman"/>
                <w:color w:val="auto"/>
                <w:sz w:val="24"/>
                <w:highlight w:val="none"/>
              </w:rPr>
              <w:t>本项目厂界</w:t>
            </w:r>
            <w:r>
              <w:rPr>
                <w:rFonts w:hint="default" w:ascii="Times New Roman" w:hAnsi="Times New Roman" w:cs="Times New Roman"/>
                <w:color w:val="auto"/>
                <w:sz w:val="24"/>
                <w:highlight w:val="none"/>
                <w:lang w:val="zh-TW"/>
              </w:rPr>
              <w:t>处噪声预测结以</w:t>
            </w:r>
            <w:r>
              <w:rPr>
                <w:rFonts w:hint="eastAsia" w:cs="Times New Roman"/>
                <w:color w:val="auto"/>
                <w:sz w:val="24"/>
                <w:highlight w:val="none"/>
                <w:lang w:val="zh-TW" w:eastAsia="zh-CN"/>
              </w:rPr>
              <w:t>及结果</w:t>
            </w:r>
            <w:r>
              <w:rPr>
                <w:rFonts w:hint="default" w:ascii="Times New Roman" w:hAnsi="Times New Roman" w:cs="Times New Roman"/>
                <w:color w:val="auto"/>
                <w:sz w:val="24"/>
                <w:highlight w:val="none"/>
                <w:lang w:val="zh-TW"/>
              </w:rPr>
              <w:t>见表</w:t>
            </w:r>
            <w:r>
              <w:rPr>
                <w:rFonts w:hint="default" w:ascii="Times New Roman" w:hAnsi="Times New Roman" w:cs="Times New Roman"/>
                <w:color w:val="auto"/>
                <w:sz w:val="24"/>
                <w:highlight w:val="none"/>
              </w:rPr>
              <w:t>4-6</w:t>
            </w:r>
            <w:r>
              <w:rPr>
                <w:rFonts w:hint="default" w:ascii="Times New Roman" w:hAnsi="Times New Roman" w:cs="Times New Roman"/>
                <w:color w:val="auto"/>
                <w:sz w:val="24"/>
                <w:highlight w:val="none"/>
                <w:lang w:val="zh-TW"/>
              </w:rPr>
              <w:t>。</w:t>
            </w:r>
          </w:p>
          <w:p w14:paraId="1660E184">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表4-6噪声预测结果单位：dB（A）</w:t>
            </w:r>
          </w:p>
          <w:tbl>
            <w:tblPr>
              <w:tblStyle w:val="35"/>
              <w:tblW w:w="81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4"/>
              <w:gridCol w:w="705"/>
              <w:gridCol w:w="761"/>
              <w:gridCol w:w="919"/>
              <w:gridCol w:w="687"/>
              <w:gridCol w:w="933"/>
              <w:gridCol w:w="673"/>
              <w:gridCol w:w="977"/>
              <w:gridCol w:w="705"/>
              <w:gridCol w:w="855"/>
            </w:tblGrid>
            <w:tr w14:paraId="4BBAF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vMerge w:val="restart"/>
                  <w:tcBorders>
                    <w:tl2br w:val="nil"/>
                    <w:tr2bl w:val="nil"/>
                  </w:tcBorders>
                  <w:vAlign w:val="center"/>
                </w:tcPr>
                <w:p w14:paraId="2C8381E1">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w:t>
                  </w:r>
                </w:p>
              </w:tc>
              <w:tc>
                <w:tcPr>
                  <w:tcW w:w="3969" w:type="pct"/>
                  <w:gridSpan w:val="8"/>
                  <w:tcBorders>
                    <w:tl2br w:val="nil"/>
                    <w:tr2bl w:val="nil"/>
                  </w:tcBorders>
                  <w:vAlign w:val="center"/>
                </w:tcPr>
                <w:p w14:paraId="254792D9">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距离各厂界的距离（m）及贡献值dB（A）</w:t>
                  </w:r>
                </w:p>
              </w:tc>
            </w:tr>
            <w:tr w14:paraId="6C658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vMerge w:val="continue"/>
                  <w:tcBorders>
                    <w:tl2br w:val="nil"/>
                    <w:tr2bl w:val="nil"/>
                  </w:tcBorders>
                  <w:vAlign w:val="center"/>
                </w:tcPr>
                <w:p w14:paraId="52FFA394">
                  <w:pPr>
                    <w:pStyle w:val="6"/>
                    <w:jc w:val="center"/>
                    <w:rPr>
                      <w:rFonts w:hint="default" w:ascii="Times New Roman" w:hAnsi="Times New Roman" w:cs="Times New Roman"/>
                      <w:color w:val="auto"/>
                      <w:szCs w:val="21"/>
                      <w:highlight w:val="none"/>
                    </w:rPr>
                  </w:pPr>
                </w:p>
              </w:tc>
              <w:tc>
                <w:tcPr>
                  <w:tcW w:w="464" w:type="pct"/>
                  <w:tcBorders>
                    <w:tl2br w:val="nil"/>
                    <w:tr2bl w:val="nil"/>
                  </w:tcBorders>
                  <w:vAlign w:val="center"/>
                </w:tcPr>
                <w:p w14:paraId="54EC865F">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东北</w:t>
                  </w:r>
                </w:p>
              </w:tc>
              <w:tc>
                <w:tcPr>
                  <w:tcW w:w="560" w:type="pct"/>
                  <w:tcBorders>
                    <w:tl2br w:val="nil"/>
                    <w:tr2bl w:val="nil"/>
                  </w:tcBorders>
                  <w:vAlign w:val="center"/>
                </w:tcPr>
                <w:p w14:paraId="300AB5CD">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418" w:type="pct"/>
                  <w:tcBorders>
                    <w:tl2br w:val="nil"/>
                    <w:tr2bl w:val="nil"/>
                  </w:tcBorders>
                  <w:vAlign w:val="center"/>
                </w:tcPr>
                <w:p w14:paraId="39369768">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东南</w:t>
                  </w:r>
                </w:p>
              </w:tc>
              <w:tc>
                <w:tcPr>
                  <w:tcW w:w="568" w:type="pct"/>
                  <w:tcBorders>
                    <w:tl2br w:val="nil"/>
                    <w:tr2bl w:val="nil"/>
                  </w:tcBorders>
                  <w:vAlign w:val="center"/>
                </w:tcPr>
                <w:p w14:paraId="2ECE1BE0">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410" w:type="pct"/>
                  <w:tcBorders>
                    <w:tl2br w:val="nil"/>
                    <w:tr2bl w:val="nil"/>
                  </w:tcBorders>
                  <w:vAlign w:val="center"/>
                </w:tcPr>
                <w:p w14:paraId="45108D0A">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西南</w:t>
                  </w:r>
                </w:p>
              </w:tc>
              <w:tc>
                <w:tcPr>
                  <w:tcW w:w="595" w:type="pct"/>
                  <w:tcBorders>
                    <w:tl2br w:val="nil"/>
                    <w:tr2bl w:val="nil"/>
                  </w:tcBorders>
                  <w:vAlign w:val="center"/>
                </w:tcPr>
                <w:p w14:paraId="02A34939">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429" w:type="pct"/>
                  <w:tcBorders>
                    <w:tl2br w:val="nil"/>
                    <w:tr2bl w:val="nil"/>
                  </w:tcBorders>
                  <w:vAlign w:val="center"/>
                </w:tcPr>
                <w:p w14:paraId="458E52F0">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西北</w:t>
                  </w:r>
                </w:p>
              </w:tc>
              <w:tc>
                <w:tcPr>
                  <w:tcW w:w="521" w:type="pct"/>
                  <w:tcBorders>
                    <w:tl2br w:val="nil"/>
                    <w:tr2bl w:val="nil"/>
                  </w:tcBorders>
                  <w:vAlign w:val="center"/>
                </w:tcPr>
                <w:p w14:paraId="61655312">
                  <w:pPr>
                    <w:pStyle w:val="6"/>
                    <w:ind w:left="0" w:leftChars="0" w:firstLine="0" w:firstLine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r>
            <w:tr w14:paraId="2C719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tcBorders>
                    <w:tl2br w:val="nil"/>
                    <w:tr2bl w:val="nil"/>
                  </w:tcBorders>
                  <w:vAlign w:val="center"/>
                </w:tcPr>
                <w:p w14:paraId="77CD186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风机</w:t>
                  </w:r>
                </w:p>
              </w:tc>
              <w:tc>
                <w:tcPr>
                  <w:tcW w:w="464" w:type="pct"/>
                  <w:tcBorders>
                    <w:tl2br w:val="nil"/>
                    <w:tr2bl w:val="nil"/>
                  </w:tcBorders>
                  <w:vAlign w:val="center"/>
                </w:tcPr>
                <w:p w14:paraId="4D4C92A1">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21</w:t>
                  </w:r>
                </w:p>
              </w:tc>
              <w:tc>
                <w:tcPr>
                  <w:tcW w:w="560" w:type="pct"/>
                  <w:tcBorders>
                    <w:tl2br w:val="nil"/>
                    <w:tr2bl w:val="nil"/>
                  </w:tcBorders>
                  <w:vAlign w:val="center"/>
                </w:tcPr>
                <w:p w14:paraId="44DBEA6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44</w:t>
                  </w:r>
                </w:p>
              </w:tc>
              <w:tc>
                <w:tcPr>
                  <w:tcW w:w="418" w:type="pct"/>
                  <w:tcBorders>
                    <w:tl2br w:val="nil"/>
                    <w:tr2bl w:val="nil"/>
                  </w:tcBorders>
                  <w:vAlign w:val="center"/>
                </w:tcPr>
                <w:p w14:paraId="72F42F2C">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568" w:type="pct"/>
                  <w:tcBorders>
                    <w:tl2br w:val="nil"/>
                    <w:tr2bl w:val="nil"/>
                  </w:tcBorders>
                  <w:vAlign w:val="center"/>
                </w:tcPr>
                <w:p w14:paraId="106AC2E3">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410" w:type="pct"/>
                  <w:tcBorders>
                    <w:tl2br w:val="nil"/>
                    <w:tr2bl w:val="nil"/>
                  </w:tcBorders>
                  <w:vAlign w:val="center"/>
                </w:tcPr>
                <w:p w14:paraId="789C25E6">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47</w:t>
                  </w:r>
                </w:p>
              </w:tc>
              <w:tc>
                <w:tcPr>
                  <w:tcW w:w="595" w:type="pct"/>
                  <w:tcBorders>
                    <w:tl2br w:val="nil"/>
                    <w:tr2bl w:val="nil"/>
                  </w:tcBorders>
                  <w:vAlign w:val="center"/>
                </w:tcPr>
                <w:p w14:paraId="085ECCA1">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36</w:t>
                  </w:r>
                </w:p>
              </w:tc>
              <w:tc>
                <w:tcPr>
                  <w:tcW w:w="429" w:type="pct"/>
                  <w:tcBorders>
                    <w:tl2br w:val="nil"/>
                    <w:tr2bl w:val="nil"/>
                  </w:tcBorders>
                  <w:vAlign w:val="center"/>
                </w:tcPr>
                <w:p w14:paraId="3D41218E">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17</w:t>
                  </w:r>
                </w:p>
              </w:tc>
              <w:tc>
                <w:tcPr>
                  <w:tcW w:w="521" w:type="pct"/>
                  <w:tcBorders>
                    <w:tl2br w:val="nil"/>
                    <w:tr2bl w:val="nil"/>
                  </w:tcBorders>
                  <w:vAlign w:val="center"/>
                </w:tcPr>
                <w:p w14:paraId="7C22CA95">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r>
            <w:tr w14:paraId="2B28F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pct"/>
                  <w:gridSpan w:val="2"/>
                  <w:tcBorders>
                    <w:tl2br w:val="nil"/>
                    <w:tr2bl w:val="nil"/>
                  </w:tcBorders>
                  <w:vAlign w:val="center"/>
                </w:tcPr>
                <w:p w14:paraId="391E1E98">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喷淋循环泵</w:t>
                  </w:r>
                </w:p>
              </w:tc>
              <w:tc>
                <w:tcPr>
                  <w:tcW w:w="464" w:type="pct"/>
                  <w:tcBorders>
                    <w:tl2br w:val="nil"/>
                    <w:tr2bl w:val="nil"/>
                  </w:tcBorders>
                  <w:vAlign w:val="center"/>
                </w:tcPr>
                <w:p w14:paraId="503F9D78">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23</w:t>
                  </w:r>
                </w:p>
              </w:tc>
              <w:tc>
                <w:tcPr>
                  <w:tcW w:w="560" w:type="pct"/>
                  <w:tcBorders>
                    <w:tl2br w:val="nil"/>
                    <w:tr2bl w:val="nil"/>
                  </w:tcBorders>
                  <w:vAlign w:val="center"/>
                </w:tcPr>
                <w:p w14:paraId="057F479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p>
              </w:tc>
              <w:tc>
                <w:tcPr>
                  <w:tcW w:w="418" w:type="pct"/>
                  <w:tcBorders>
                    <w:tl2br w:val="nil"/>
                    <w:tr2bl w:val="nil"/>
                  </w:tcBorders>
                  <w:vAlign w:val="center"/>
                </w:tcPr>
                <w:p w14:paraId="04F98874">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568" w:type="pct"/>
                  <w:tcBorders>
                    <w:tl2br w:val="nil"/>
                    <w:tr2bl w:val="nil"/>
                  </w:tcBorders>
                  <w:vAlign w:val="center"/>
                </w:tcPr>
                <w:p w14:paraId="1CF3D3B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51</w:t>
                  </w:r>
                </w:p>
              </w:tc>
              <w:tc>
                <w:tcPr>
                  <w:tcW w:w="410" w:type="pct"/>
                  <w:tcBorders>
                    <w:tl2br w:val="nil"/>
                    <w:tr2bl w:val="nil"/>
                  </w:tcBorders>
                  <w:vAlign w:val="center"/>
                </w:tcPr>
                <w:p w14:paraId="5E12969F">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46</w:t>
                  </w:r>
                </w:p>
              </w:tc>
              <w:tc>
                <w:tcPr>
                  <w:tcW w:w="595" w:type="pct"/>
                  <w:tcBorders>
                    <w:tl2br w:val="nil"/>
                    <w:tr2bl w:val="nil"/>
                  </w:tcBorders>
                  <w:vAlign w:val="center"/>
                </w:tcPr>
                <w:p w14:paraId="01A78DEF">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36</w:t>
                  </w:r>
                </w:p>
              </w:tc>
              <w:tc>
                <w:tcPr>
                  <w:tcW w:w="429" w:type="pct"/>
                  <w:tcBorders>
                    <w:tl2br w:val="nil"/>
                    <w:tr2bl w:val="nil"/>
                  </w:tcBorders>
                  <w:vAlign w:val="center"/>
                </w:tcPr>
                <w:p w14:paraId="6F73AD6A">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19</w:t>
                  </w:r>
                </w:p>
              </w:tc>
              <w:tc>
                <w:tcPr>
                  <w:tcW w:w="521" w:type="pct"/>
                  <w:tcBorders>
                    <w:tl2br w:val="nil"/>
                    <w:tr2bl w:val="nil"/>
                  </w:tcBorders>
                  <w:vAlign w:val="center"/>
                </w:tcPr>
                <w:p w14:paraId="4A46DEA2">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44</w:t>
                  </w:r>
                </w:p>
              </w:tc>
            </w:tr>
            <w:tr w14:paraId="04B91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pct"/>
                  <w:tcBorders>
                    <w:tl2br w:val="nil"/>
                    <w:tr2bl w:val="nil"/>
                  </w:tcBorders>
                  <w:vAlign w:val="center"/>
                </w:tcPr>
                <w:p w14:paraId="519F46C9">
                  <w:pPr>
                    <w:adjustRightInd w:val="0"/>
                    <w:snapToGrid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背景值</w:t>
                  </w:r>
                </w:p>
              </w:tc>
              <w:tc>
                <w:tcPr>
                  <w:tcW w:w="429" w:type="pct"/>
                  <w:tcBorders>
                    <w:tl2br w:val="nil"/>
                    <w:tr2bl w:val="nil"/>
                  </w:tcBorders>
                  <w:vAlign w:val="center"/>
                </w:tcPr>
                <w:p w14:paraId="18711DF7">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 w:val="0"/>
                      <w:bCs w:val="0"/>
                      <w:color w:val="auto"/>
                      <w:szCs w:val="21"/>
                      <w:highlight w:val="none"/>
                    </w:rPr>
                    <w:t>昼间</w:t>
                  </w:r>
                </w:p>
              </w:tc>
              <w:tc>
                <w:tcPr>
                  <w:tcW w:w="464" w:type="pct"/>
                  <w:tcBorders>
                    <w:tl2br w:val="nil"/>
                    <w:tr2bl w:val="nil"/>
                  </w:tcBorders>
                  <w:vAlign w:val="center"/>
                </w:tcPr>
                <w:p w14:paraId="1A4161A5">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b w:val="0"/>
                      <w:bCs w:val="0"/>
                      <w:color w:val="auto"/>
                      <w:highlight w:val="none"/>
                    </w:rPr>
                    <w:t>-</w:t>
                  </w:r>
                </w:p>
              </w:tc>
              <w:tc>
                <w:tcPr>
                  <w:tcW w:w="560" w:type="pct"/>
                  <w:tcBorders>
                    <w:tl2br w:val="nil"/>
                    <w:tr2bl w:val="nil"/>
                  </w:tcBorders>
                  <w:vAlign w:val="center"/>
                </w:tcPr>
                <w:p w14:paraId="1298EA54">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64</w:t>
                  </w:r>
                </w:p>
              </w:tc>
              <w:tc>
                <w:tcPr>
                  <w:tcW w:w="418" w:type="pct"/>
                  <w:tcBorders>
                    <w:tl2br w:val="nil"/>
                    <w:tr2bl w:val="nil"/>
                  </w:tcBorders>
                  <w:vAlign w:val="center"/>
                </w:tcPr>
                <w:p w14:paraId="39E3E1C8">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w:t>
                  </w:r>
                </w:p>
              </w:tc>
              <w:tc>
                <w:tcPr>
                  <w:tcW w:w="568" w:type="pct"/>
                  <w:tcBorders>
                    <w:tl2br w:val="nil"/>
                    <w:tr2bl w:val="nil"/>
                  </w:tcBorders>
                  <w:vAlign w:val="center"/>
                </w:tcPr>
                <w:p w14:paraId="0A324A87">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62</w:t>
                  </w:r>
                </w:p>
              </w:tc>
              <w:tc>
                <w:tcPr>
                  <w:tcW w:w="410" w:type="pct"/>
                  <w:tcBorders>
                    <w:tl2br w:val="nil"/>
                    <w:tr2bl w:val="nil"/>
                  </w:tcBorders>
                  <w:vAlign w:val="center"/>
                </w:tcPr>
                <w:p w14:paraId="6FB5E757">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w:t>
                  </w:r>
                </w:p>
              </w:tc>
              <w:tc>
                <w:tcPr>
                  <w:tcW w:w="595" w:type="pct"/>
                  <w:tcBorders>
                    <w:tl2br w:val="nil"/>
                    <w:tr2bl w:val="nil"/>
                  </w:tcBorders>
                  <w:vAlign w:val="center"/>
                </w:tcPr>
                <w:p w14:paraId="6D6E8A5E">
                  <w:pPr>
                    <w:widowControl/>
                    <w:jc w:val="center"/>
                    <w:textAlignment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62</w:t>
                  </w:r>
                </w:p>
              </w:tc>
              <w:tc>
                <w:tcPr>
                  <w:tcW w:w="429" w:type="pct"/>
                  <w:tcBorders>
                    <w:tl2br w:val="nil"/>
                    <w:tr2bl w:val="nil"/>
                  </w:tcBorders>
                  <w:vAlign w:val="center"/>
                </w:tcPr>
                <w:p w14:paraId="5DB9482B">
                  <w:pPr>
                    <w:widowControl/>
                    <w:jc w:val="center"/>
                    <w:textAlignment w:val="center"/>
                    <w:rPr>
                      <w:rFonts w:hint="default" w:ascii="Times New Roman" w:hAnsi="Times New Roman" w:cs="Times New Roman"/>
                      <w:color w:val="auto"/>
                      <w:kern w:val="0"/>
                      <w:highlight w:val="none"/>
                    </w:rPr>
                  </w:pPr>
                  <w:r>
                    <w:rPr>
                      <w:rFonts w:hint="default" w:ascii="Times New Roman" w:hAnsi="Times New Roman" w:cs="Times New Roman"/>
                      <w:b w:val="0"/>
                      <w:bCs w:val="0"/>
                      <w:color w:val="auto"/>
                      <w:highlight w:val="none"/>
                    </w:rPr>
                    <w:t>-</w:t>
                  </w:r>
                </w:p>
              </w:tc>
              <w:tc>
                <w:tcPr>
                  <w:tcW w:w="521" w:type="pct"/>
                  <w:tcBorders>
                    <w:tl2br w:val="nil"/>
                    <w:tr2bl w:val="nil"/>
                  </w:tcBorders>
                  <w:vAlign w:val="center"/>
                </w:tcPr>
                <w:p w14:paraId="35C0F1EB">
                  <w:pPr>
                    <w:widowControl/>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59</w:t>
                  </w:r>
                </w:p>
              </w:tc>
            </w:tr>
            <w:tr w14:paraId="0E3B7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tcBorders>
                    <w:tl2br w:val="nil"/>
                    <w:tr2bl w:val="nil"/>
                  </w:tcBorders>
                  <w:vAlign w:val="center"/>
                </w:tcPr>
                <w:p w14:paraId="3921B5A5">
                  <w:pPr>
                    <w:pStyle w:val="6"/>
                    <w:ind w:firstLine="0" w:firstLineChars="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叠加值</w:t>
                  </w:r>
                </w:p>
              </w:tc>
              <w:tc>
                <w:tcPr>
                  <w:tcW w:w="429" w:type="pct"/>
                  <w:tcBorders>
                    <w:tl2br w:val="nil"/>
                    <w:tr2bl w:val="nil"/>
                  </w:tcBorders>
                  <w:vAlign w:val="center"/>
                </w:tcPr>
                <w:p w14:paraId="44DED262">
                  <w:pPr>
                    <w:pStyle w:val="6"/>
                    <w:ind w:firstLine="0" w:firstLineChars="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昼间</w:t>
                  </w:r>
                </w:p>
              </w:tc>
              <w:tc>
                <w:tcPr>
                  <w:tcW w:w="464" w:type="pct"/>
                  <w:tcBorders>
                    <w:tl2br w:val="nil"/>
                    <w:tr2bl w:val="nil"/>
                  </w:tcBorders>
                  <w:vAlign w:val="center"/>
                </w:tcPr>
                <w:p w14:paraId="312D27CA">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60" w:type="pct"/>
                  <w:tcBorders>
                    <w:tl2br w:val="nil"/>
                    <w:tr2bl w:val="nil"/>
                  </w:tcBorders>
                  <w:vAlign w:val="center"/>
                </w:tcPr>
                <w:p w14:paraId="5ED3446E">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64</w:t>
                  </w:r>
                </w:p>
              </w:tc>
              <w:tc>
                <w:tcPr>
                  <w:tcW w:w="418" w:type="pct"/>
                  <w:tcBorders>
                    <w:tl2br w:val="nil"/>
                    <w:tr2bl w:val="nil"/>
                  </w:tcBorders>
                  <w:vAlign w:val="center"/>
                </w:tcPr>
                <w:p w14:paraId="4911A854">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68" w:type="pct"/>
                  <w:tcBorders>
                    <w:tl2br w:val="nil"/>
                    <w:tr2bl w:val="nil"/>
                  </w:tcBorders>
                  <w:vAlign w:val="center"/>
                </w:tcPr>
                <w:p w14:paraId="57A24F3B">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62</w:t>
                  </w:r>
                </w:p>
              </w:tc>
              <w:tc>
                <w:tcPr>
                  <w:tcW w:w="410" w:type="pct"/>
                  <w:tcBorders>
                    <w:tl2br w:val="nil"/>
                    <w:tr2bl w:val="nil"/>
                  </w:tcBorders>
                  <w:vAlign w:val="center"/>
                </w:tcPr>
                <w:p w14:paraId="59E87BD8">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95" w:type="pct"/>
                  <w:tcBorders>
                    <w:tl2br w:val="nil"/>
                    <w:tr2bl w:val="nil"/>
                  </w:tcBorders>
                  <w:vAlign w:val="center"/>
                </w:tcPr>
                <w:p w14:paraId="05AD17E5">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62</w:t>
                  </w:r>
                </w:p>
              </w:tc>
              <w:tc>
                <w:tcPr>
                  <w:tcW w:w="429" w:type="pct"/>
                  <w:tcBorders>
                    <w:tl2br w:val="nil"/>
                    <w:tr2bl w:val="nil"/>
                  </w:tcBorders>
                  <w:vAlign w:val="center"/>
                </w:tcPr>
                <w:p w14:paraId="6673F737">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t>
                  </w:r>
                </w:p>
              </w:tc>
              <w:tc>
                <w:tcPr>
                  <w:tcW w:w="521" w:type="pct"/>
                  <w:tcBorders>
                    <w:tl2br w:val="nil"/>
                    <w:tr2bl w:val="nil"/>
                  </w:tcBorders>
                  <w:vAlign w:val="center"/>
                </w:tcPr>
                <w:p w14:paraId="0E3F14B8">
                  <w:pPr>
                    <w:pStyle w:val="6"/>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59</w:t>
                  </w:r>
                </w:p>
              </w:tc>
            </w:tr>
            <w:tr w14:paraId="60F32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tcBorders>
                    <w:tl2br w:val="nil"/>
                    <w:tr2bl w:val="nil"/>
                  </w:tcBorders>
                  <w:vAlign w:val="center"/>
                </w:tcPr>
                <w:p w14:paraId="46A47F5F">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w:t>
                  </w:r>
                </w:p>
              </w:tc>
              <w:tc>
                <w:tcPr>
                  <w:tcW w:w="429" w:type="pct"/>
                  <w:tcBorders>
                    <w:tl2br w:val="nil"/>
                    <w:tr2bl w:val="nil"/>
                  </w:tcBorders>
                  <w:vAlign w:val="center"/>
                </w:tcPr>
                <w:p w14:paraId="291F9A24">
                  <w:pPr>
                    <w:pStyle w:val="6"/>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64" w:type="pct"/>
                  <w:tcBorders>
                    <w:tl2br w:val="nil"/>
                    <w:tr2bl w:val="nil"/>
                  </w:tcBorders>
                  <w:vAlign w:val="center"/>
                </w:tcPr>
                <w:p w14:paraId="02087044">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0" w:type="pct"/>
                  <w:tcBorders>
                    <w:tl2br w:val="nil"/>
                    <w:tr2bl w:val="nil"/>
                  </w:tcBorders>
                  <w:vAlign w:val="center"/>
                </w:tcPr>
                <w:p w14:paraId="1701EB33">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418" w:type="pct"/>
                  <w:tcBorders>
                    <w:tl2br w:val="nil"/>
                    <w:tr2bl w:val="nil"/>
                  </w:tcBorders>
                  <w:vAlign w:val="center"/>
                </w:tcPr>
                <w:p w14:paraId="5F16DCDB">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8" w:type="pct"/>
                  <w:tcBorders>
                    <w:tl2br w:val="nil"/>
                    <w:tr2bl w:val="nil"/>
                  </w:tcBorders>
                  <w:vAlign w:val="center"/>
                </w:tcPr>
                <w:p w14:paraId="72FC42CE">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410" w:type="pct"/>
                  <w:tcBorders>
                    <w:tl2br w:val="nil"/>
                    <w:tr2bl w:val="nil"/>
                  </w:tcBorders>
                  <w:vAlign w:val="center"/>
                </w:tcPr>
                <w:p w14:paraId="4F50F4F2">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95" w:type="pct"/>
                  <w:tcBorders>
                    <w:tl2br w:val="nil"/>
                    <w:tr2bl w:val="nil"/>
                  </w:tcBorders>
                  <w:vAlign w:val="center"/>
                </w:tcPr>
                <w:p w14:paraId="2A79F1E4">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429" w:type="pct"/>
                  <w:tcBorders>
                    <w:tl2br w:val="nil"/>
                    <w:tr2bl w:val="nil"/>
                  </w:tcBorders>
                  <w:vAlign w:val="center"/>
                </w:tcPr>
                <w:p w14:paraId="5E9D02BC">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21" w:type="pct"/>
                  <w:tcBorders>
                    <w:tl2br w:val="nil"/>
                    <w:tr2bl w:val="nil"/>
                  </w:tcBorders>
                  <w:vAlign w:val="center"/>
                </w:tcPr>
                <w:p w14:paraId="6607DB34">
                  <w:pPr>
                    <w:pStyle w:val="6"/>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r>
            <w:tr w14:paraId="1B724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gridSpan w:val="2"/>
                  <w:tcBorders>
                    <w:tl2br w:val="nil"/>
                    <w:tr2bl w:val="nil"/>
                  </w:tcBorders>
                  <w:vAlign w:val="center"/>
                </w:tcPr>
                <w:p w14:paraId="2AE439FD">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是否达标</w:t>
                  </w:r>
                </w:p>
              </w:tc>
              <w:tc>
                <w:tcPr>
                  <w:tcW w:w="464" w:type="pct"/>
                  <w:tcBorders>
                    <w:tl2br w:val="nil"/>
                    <w:tr2bl w:val="nil"/>
                  </w:tcBorders>
                  <w:vAlign w:val="center"/>
                </w:tcPr>
                <w:p w14:paraId="10DD0EA2">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0" w:type="pct"/>
                  <w:tcBorders>
                    <w:tl2br w:val="nil"/>
                    <w:tr2bl w:val="nil"/>
                  </w:tcBorders>
                  <w:vAlign w:val="center"/>
                </w:tcPr>
                <w:p w14:paraId="3B6BC909">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418" w:type="pct"/>
                  <w:tcBorders>
                    <w:tl2br w:val="nil"/>
                    <w:tr2bl w:val="nil"/>
                  </w:tcBorders>
                  <w:vAlign w:val="center"/>
                </w:tcPr>
                <w:p w14:paraId="05BF8F87">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8" w:type="pct"/>
                  <w:tcBorders>
                    <w:tl2br w:val="nil"/>
                    <w:tr2bl w:val="nil"/>
                  </w:tcBorders>
                  <w:vAlign w:val="center"/>
                </w:tcPr>
                <w:p w14:paraId="53A5C929">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410" w:type="pct"/>
                  <w:tcBorders>
                    <w:tl2br w:val="nil"/>
                    <w:tr2bl w:val="nil"/>
                  </w:tcBorders>
                  <w:vAlign w:val="center"/>
                </w:tcPr>
                <w:p w14:paraId="4AD43D91">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95" w:type="pct"/>
                  <w:tcBorders>
                    <w:tl2br w:val="nil"/>
                    <w:tr2bl w:val="nil"/>
                  </w:tcBorders>
                  <w:vAlign w:val="center"/>
                </w:tcPr>
                <w:p w14:paraId="55A2D570">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429" w:type="pct"/>
                  <w:tcBorders>
                    <w:tl2br w:val="nil"/>
                    <w:tr2bl w:val="nil"/>
                  </w:tcBorders>
                  <w:vAlign w:val="center"/>
                </w:tcPr>
                <w:p w14:paraId="37552444">
                  <w:pPr>
                    <w:pStyle w:val="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21" w:type="pct"/>
                  <w:tcBorders>
                    <w:tl2br w:val="nil"/>
                    <w:tr2bl w:val="nil"/>
                  </w:tcBorders>
                  <w:vAlign w:val="center"/>
                </w:tcPr>
                <w:p w14:paraId="2305DBCE">
                  <w:pPr>
                    <w:pStyle w:val="6"/>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723FA0C3">
            <w:pPr>
              <w:adjustRightInd w:val="0"/>
              <w:spacing w:line="360" w:lineRule="auto"/>
              <w:ind w:firstLine="480" w:firstLineChars="200"/>
              <w:jc w:val="both"/>
              <w:rPr>
                <w:rFonts w:hint="default" w:ascii="Times New Roman" w:hAnsi="Times New Roman" w:cs="Times New Roman"/>
                <w:bCs/>
                <w:color w:val="auto"/>
                <w:kern w:val="0"/>
                <w:sz w:val="24"/>
                <w:szCs w:val="24"/>
                <w:highlight w:val="none"/>
              </w:rPr>
            </w:pPr>
            <w:r>
              <w:rPr>
                <w:rFonts w:hint="default" w:ascii="Times New Roman" w:hAnsi="Times New Roman" w:cs="Times New Roman"/>
                <w:color w:val="auto"/>
                <w:kern w:val="0"/>
                <w:sz w:val="24"/>
                <w:szCs w:val="24"/>
                <w:highlight w:val="none"/>
              </w:rPr>
              <w:t>从上表可知，建设单位对主要噪声设备采取了厂房隔声、加强设备润滑、距离衰减、风机设置隔声罩、水泵增加柔性连接等措施后，将使噪声源的噪声影响大大降低，且</w:t>
            </w:r>
            <w:r>
              <w:rPr>
                <w:rFonts w:hint="default" w:ascii="Times New Roman" w:hAnsi="Times New Roman" w:cs="Times New Roman"/>
                <w:color w:val="auto"/>
                <w:kern w:val="0"/>
                <w:sz w:val="24"/>
                <w:szCs w:val="24"/>
                <w:highlight w:val="none"/>
                <w:lang w:eastAsia="zh-CN"/>
              </w:rPr>
              <w:t>噪声源</w:t>
            </w:r>
            <w:r>
              <w:rPr>
                <w:rFonts w:hint="default" w:ascii="Times New Roman" w:hAnsi="Times New Roman" w:cs="Times New Roman"/>
                <w:color w:val="auto"/>
                <w:kern w:val="0"/>
                <w:sz w:val="24"/>
                <w:szCs w:val="24"/>
                <w:highlight w:val="none"/>
              </w:rPr>
              <w:t>距厂界均有一定距离，能有效降低对厂界的影响。项目各厂界噪声贡献值可以满足《工业企业厂界环境噪声排放标准》（</w:t>
            </w:r>
            <w:r>
              <w:rPr>
                <w:rFonts w:hint="default" w:ascii="Times New Roman" w:hAnsi="Times New Roman" w:cs="Times New Roman"/>
                <w:color w:val="auto"/>
                <w:kern w:val="0"/>
                <w:sz w:val="24"/>
                <w:szCs w:val="24"/>
                <w:highlight w:val="none"/>
                <w:lang w:eastAsia="zh-CN"/>
              </w:rPr>
              <w:t>GB-</w:t>
            </w:r>
            <w:r>
              <w:rPr>
                <w:rFonts w:hint="default" w:ascii="Times New Roman" w:hAnsi="Times New Roman" w:cs="Times New Roman"/>
                <w:color w:val="auto"/>
                <w:kern w:val="0"/>
                <w:sz w:val="24"/>
                <w:szCs w:val="24"/>
                <w:highlight w:val="none"/>
              </w:rPr>
              <w:t>12348-2008）</w:t>
            </w: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类标准要求</w:t>
            </w:r>
            <w:r>
              <w:rPr>
                <w:rFonts w:hint="default" w:ascii="Times New Roman" w:hAnsi="Times New Roman" w:cs="Times New Roman"/>
                <w:bCs/>
                <w:color w:val="auto"/>
                <w:kern w:val="0"/>
                <w:sz w:val="24"/>
                <w:szCs w:val="24"/>
                <w:highlight w:val="none"/>
              </w:rPr>
              <w:t>。</w:t>
            </w:r>
          </w:p>
          <w:p w14:paraId="3D29311D">
            <w:pPr>
              <w:adjustRightInd w:val="0"/>
              <w:snapToGrid w:val="0"/>
              <w:spacing w:line="360" w:lineRule="auto"/>
              <w:ind w:firstLine="480" w:firstLineChars="200"/>
              <w:jc w:val="left"/>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因此，项目噪声排放对周围声环境影响较小。</w:t>
            </w:r>
          </w:p>
          <w:p w14:paraId="2D100452">
            <w:pPr>
              <w:adjustRightInd w:val="0"/>
              <w:snapToGrid w:val="0"/>
              <w:spacing w:line="360" w:lineRule="auto"/>
              <w:ind w:firstLine="480" w:firstLineChars="200"/>
              <w:jc w:val="left"/>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3</w:t>
            </w:r>
            <w:r>
              <w:rPr>
                <w:rFonts w:hint="default" w:ascii="Times New Roman" w:hAnsi="Times New Roman" w:cs="Times New Roman"/>
                <w:bCs/>
                <w:color w:val="auto"/>
                <w:kern w:val="0"/>
                <w:sz w:val="24"/>
                <w:szCs w:val="24"/>
                <w:highlight w:val="none"/>
                <w:lang w:val="en-US" w:eastAsia="zh-CN"/>
              </w:rPr>
              <w:t>.</w:t>
            </w:r>
            <w:r>
              <w:rPr>
                <w:rFonts w:hint="default" w:ascii="Times New Roman" w:hAnsi="Times New Roman" w:cs="Times New Roman"/>
                <w:b/>
                <w:color w:val="auto"/>
                <w:kern w:val="0"/>
                <w:sz w:val="24"/>
                <w:szCs w:val="24"/>
                <w:highlight w:val="none"/>
              </w:rPr>
              <w:t>监测计划</w:t>
            </w:r>
          </w:p>
          <w:p w14:paraId="22CDDE9F">
            <w:pPr>
              <w:adjustRightInd w:val="0"/>
              <w:snapToGrid w:val="0"/>
              <w:spacing w:line="360" w:lineRule="auto"/>
              <w:ind w:firstLine="480" w:firstLineChars="200"/>
              <w:jc w:val="left"/>
              <w:rPr>
                <w:rFonts w:hint="default" w:ascii="Times New Roman" w:hAnsi="Times New Roman" w:eastAsia="黑体" w:cs="Times New Roman"/>
                <w:bCs/>
                <w:color w:val="auto"/>
                <w:sz w:val="24"/>
                <w:szCs w:val="24"/>
                <w:highlight w:val="none"/>
              </w:rPr>
            </w:pPr>
            <w:r>
              <w:rPr>
                <w:rFonts w:hint="default" w:ascii="Times New Roman" w:hAnsi="Times New Roman" w:cs="Times New Roman"/>
                <w:color w:val="auto"/>
                <w:sz w:val="24"/>
                <w:szCs w:val="24"/>
                <w:highlight w:val="none"/>
              </w:rPr>
              <w:t>原有项目已制定噪声监测计划，监测点位可以满足本项目后项目的噪声监测要求，本次环评不再制定新的监测计划，项目建成后继续采用原有项目噪声自行监测计划进行监测。具体如下表所示：具体监测计划详见下表。</w:t>
            </w:r>
          </w:p>
          <w:p w14:paraId="22B975BA">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表4-7运营期噪声监测内容及计划</w:t>
            </w:r>
          </w:p>
          <w:tbl>
            <w:tblPr>
              <w:tblStyle w:val="3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88"/>
              <w:gridCol w:w="1092"/>
              <w:gridCol w:w="1007"/>
              <w:gridCol w:w="1867"/>
              <w:gridCol w:w="3464"/>
            </w:tblGrid>
            <w:tr w14:paraId="00F439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4" w:type="pct"/>
                  <w:vAlign w:val="center"/>
                </w:tcPr>
                <w:p w14:paraId="7E0B6BEE">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672" w:type="pct"/>
                  <w:vAlign w:val="center"/>
                </w:tcPr>
                <w:p w14:paraId="1B439DDF">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620" w:type="pct"/>
                  <w:vAlign w:val="center"/>
                </w:tcPr>
                <w:p w14:paraId="564BE4B3">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c>
                <w:tcPr>
                  <w:tcW w:w="1149" w:type="pct"/>
                  <w:vAlign w:val="center"/>
                </w:tcPr>
                <w:p w14:paraId="722D1C54">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2132" w:type="pct"/>
                  <w:vAlign w:val="center"/>
                </w:tcPr>
                <w:p w14:paraId="70581F12">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r>
            <w:tr w14:paraId="679C87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4" w:type="pct"/>
                  <w:vAlign w:val="center"/>
                </w:tcPr>
                <w:p w14:paraId="44F552F9">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672" w:type="pct"/>
                  <w:vAlign w:val="center"/>
                </w:tcPr>
                <w:p w14:paraId="05669B26">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等效声级Leq（A）</w:t>
                  </w:r>
                </w:p>
              </w:tc>
              <w:tc>
                <w:tcPr>
                  <w:tcW w:w="620" w:type="pct"/>
                  <w:vAlign w:val="center"/>
                </w:tcPr>
                <w:p w14:paraId="308F205A">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每季度1次</w:t>
                  </w:r>
                </w:p>
              </w:tc>
              <w:tc>
                <w:tcPr>
                  <w:tcW w:w="1149" w:type="pct"/>
                  <w:vAlign w:val="center"/>
                </w:tcPr>
                <w:p w14:paraId="3FB1735F">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厂界4个点位</w:t>
                  </w:r>
                </w:p>
              </w:tc>
              <w:tc>
                <w:tcPr>
                  <w:tcW w:w="2132" w:type="pct"/>
                  <w:vAlign w:val="center"/>
                </w:tcPr>
                <w:p w14:paraId="73578BF4">
                  <w:pPr>
                    <w:autoSpaceDE w:val="0"/>
                    <w:autoSpaceDN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lang w:eastAsia="zh-CN"/>
                    </w:rPr>
                    <w:t>GB-</w:t>
                  </w:r>
                  <w:r>
                    <w:rPr>
                      <w:rFonts w:hint="default" w:ascii="Times New Roman" w:hAnsi="Times New Roman" w:cs="Times New Roman"/>
                      <w:color w:val="auto"/>
                      <w:highlight w:val="none"/>
                    </w:rPr>
                    <w:t>12348-2008）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w:t>
                  </w:r>
                </w:p>
              </w:tc>
            </w:tr>
          </w:tbl>
          <w:p w14:paraId="4D5E6F8D">
            <w:pPr>
              <w:widowControl/>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四、运营期固体废物环境影响和保护措施</w:t>
            </w:r>
          </w:p>
          <w:p w14:paraId="585EFF9D">
            <w:pPr>
              <w:adjustRightInd w:val="0"/>
              <w:spacing w:line="360" w:lineRule="auto"/>
              <w:ind w:firstLine="482" w:firstLineChars="200"/>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固体废物产生及处置情况</w:t>
            </w:r>
          </w:p>
          <w:p w14:paraId="08EB274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项目运营期不新增员工，不新增生活垃圾。项目运营期产生的固体废物为废把、废抹布及废活性炭，作为危险废物进行处置。</w:t>
            </w:r>
          </w:p>
          <w:p w14:paraId="3E41399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①含</w:t>
            </w:r>
            <w:r>
              <w:rPr>
                <w:rFonts w:hint="default" w:ascii="Times New Roman" w:hAnsi="Times New Roman" w:cs="Times New Roman"/>
                <w:color w:val="auto"/>
                <w:sz w:val="24"/>
                <w:highlight w:val="none"/>
                <w:lang w:val="en-US" w:eastAsia="zh-CN"/>
              </w:rPr>
              <w:t>危险废物</w:t>
            </w:r>
            <w:r>
              <w:rPr>
                <w:rFonts w:hint="default" w:ascii="Times New Roman" w:hAnsi="Times New Roman" w:eastAsia="宋体" w:cs="Times New Roman"/>
                <w:color w:val="auto"/>
                <w:sz w:val="24"/>
                <w:highlight w:val="none"/>
                <w:lang w:val="en-US" w:eastAsia="zh-CN"/>
              </w:rPr>
              <w:t>废拖把、废抹布</w:t>
            </w:r>
          </w:p>
          <w:p w14:paraId="45FC1F8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用于日常库房地面清洁产生的废拖把、抹布产生量</w:t>
            </w:r>
            <w:r>
              <w:rPr>
                <w:rFonts w:hint="default" w:ascii="Times New Roman" w:hAnsi="Times New Roman" w:cs="Times New Roman"/>
                <w:color w:val="auto"/>
                <w:sz w:val="24"/>
                <w:highlight w:val="none"/>
                <w:lang w:val="en-US" w:eastAsia="zh-CN"/>
              </w:rPr>
              <w:t>约为</w:t>
            </w:r>
            <w:r>
              <w:rPr>
                <w:rFonts w:hint="default" w:ascii="Times New Roman" w:hAnsi="Times New Roman" w:eastAsia="宋体" w:cs="Times New Roman"/>
                <w:color w:val="auto"/>
                <w:sz w:val="24"/>
                <w:highlight w:val="none"/>
                <w:lang w:val="en-US" w:eastAsia="zh-CN"/>
              </w:rPr>
              <w:t>0.200t/a，含油锯末产生量约为0.15t/a。</w:t>
            </w:r>
          </w:p>
          <w:p w14:paraId="226D584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②废活性炭</w:t>
            </w:r>
          </w:p>
          <w:p w14:paraId="1790A94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目前国内活性炭吸附装置的运行情况，活性炭对不同种类有机废气饱和吸附量范围220-320mg/g，吸附效率为18%，活性炭吸附有机废气的能力约为自身单位重量的1/3，废气活性炭认为是被吸附的有机废气的量和自身的用量之和。则项目活性炭的理论使用量为0.</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57t/a，根据项目活性炭装填情况，预计处理后产生的废活性炭量为0.</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19t/a（每半年更换一次，每次0.1t）。</w:t>
            </w:r>
          </w:p>
          <w:p w14:paraId="36FF7EF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③碱液喷淋塔废液</w:t>
            </w:r>
          </w:p>
          <w:p w14:paraId="7A9B1B8B">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本项目设置碱液喷淋塔对贮存区酸性气体进行吸收处理，碱液喷淋塔需定期补充新鲜水，补充水量按0.56m³/a</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在循环使用一段时间后变质，需进行更换，约每半年更换一次，一次更换产生的废水量约为2m²(4m³/a)</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其含有的污染物主要为pH、COD、BODs、氟化物、氯化物等。碱液喷淋塔更换的</w:t>
            </w:r>
            <w:r>
              <w:rPr>
                <w:rFonts w:hint="default" w:ascii="Times New Roman" w:hAnsi="Times New Roman" w:eastAsia="宋体" w:cs="Times New Roman"/>
                <w:color w:val="auto"/>
                <w:kern w:val="0"/>
                <w:sz w:val="24"/>
                <w:szCs w:val="24"/>
                <w:highlight w:val="none"/>
                <w:lang w:val="en-US" w:eastAsia="zh-CN"/>
              </w:rPr>
              <w:t>废液经库房内收集桶收集后，定期交由危废处理资质的单位处置。</w:t>
            </w:r>
          </w:p>
          <w:p w14:paraId="17DEF4D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 4 \* GB3 \* MERGEFORMAT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fldChar w:fldCharType="end"/>
            </w:r>
            <w:r>
              <w:rPr>
                <w:rFonts w:hint="eastAsia" w:ascii="Times New Roman" w:hAnsi="Times New Roman" w:eastAsia="宋体" w:cs="Times New Roman"/>
                <w:color w:val="auto"/>
                <w:sz w:val="24"/>
                <w:highlight w:val="none"/>
                <w:lang w:val="en-US" w:eastAsia="zh-CN"/>
              </w:rPr>
              <w:t>废活性炭过滤棉</w:t>
            </w:r>
          </w:p>
          <w:p w14:paraId="23BBA66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本项目设置碱液喷淋塔</w:t>
            </w:r>
            <w:r>
              <w:rPr>
                <w:rFonts w:hint="eastAsia" w:ascii="Times New Roman" w:hAnsi="Times New Roman" w:eastAsia="宋体" w:cs="Times New Roman"/>
                <w:color w:val="auto"/>
                <w:sz w:val="24"/>
                <w:highlight w:val="none"/>
                <w:lang w:val="en-US" w:eastAsia="zh-CN"/>
              </w:rPr>
              <w:t>配套有干式过滤装置，采用过滤棉（活性炭）进行过滤</w:t>
            </w:r>
            <w:r>
              <w:rPr>
                <w:rFonts w:hint="default" w:ascii="Times New Roman" w:hAnsi="Times New Roman" w:eastAsia="宋体" w:cs="Times New Roman"/>
                <w:color w:val="auto"/>
                <w:sz w:val="24"/>
                <w:highlight w:val="none"/>
                <w:lang w:val="en-US" w:eastAsia="zh-CN"/>
              </w:rPr>
              <w:t>对</w:t>
            </w:r>
            <w:r>
              <w:rPr>
                <w:rFonts w:hint="eastAsia" w:ascii="Times New Roman" w:hAnsi="Times New Roman" w:eastAsia="宋体" w:cs="Times New Roman"/>
                <w:color w:val="auto"/>
                <w:sz w:val="24"/>
                <w:highlight w:val="none"/>
                <w:lang w:val="en-US" w:eastAsia="zh-CN"/>
              </w:rPr>
              <w:t>处理后的</w:t>
            </w:r>
            <w:r>
              <w:rPr>
                <w:rFonts w:hint="default" w:ascii="Times New Roman" w:hAnsi="Times New Roman" w:eastAsia="宋体" w:cs="Times New Roman"/>
                <w:color w:val="auto"/>
                <w:sz w:val="24"/>
                <w:highlight w:val="none"/>
                <w:lang w:val="en-US" w:eastAsia="zh-CN"/>
              </w:rPr>
              <w:t>酸性气体进行</w:t>
            </w:r>
            <w:r>
              <w:rPr>
                <w:rFonts w:hint="eastAsia" w:ascii="Times New Roman" w:hAnsi="Times New Roman" w:eastAsia="宋体" w:cs="Times New Roman"/>
                <w:color w:val="auto"/>
                <w:sz w:val="24"/>
                <w:highlight w:val="none"/>
                <w:lang w:val="en-US" w:eastAsia="zh-CN"/>
              </w:rPr>
              <w:t>过滤</w:t>
            </w:r>
            <w:r>
              <w:rPr>
                <w:rFonts w:hint="default" w:ascii="Times New Roman" w:hAnsi="Times New Roman" w:eastAsia="宋体" w:cs="Times New Roman"/>
                <w:color w:val="auto"/>
                <w:sz w:val="24"/>
                <w:highlight w:val="none"/>
                <w:lang w:val="en-US" w:eastAsia="zh-CN"/>
              </w:rPr>
              <w:t>吸收处理，根据项目</w:t>
            </w:r>
            <w:r>
              <w:rPr>
                <w:rFonts w:hint="eastAsia" w:ascii="Times New Roman" w:hAnsi="Times New Roman" w:eastAsia="宋体" w:cs="Times New Roman"/>
                <w:color w:val="auto"/>
                <w:sz w:val="24"/>
                <w:highlight w:val="none"/>
                <w:lang w:val="en-US" w:eastAsia="zh-CN"/>
              </w:rPr>
              <w:t>过滤情况</w:t>
            </w:r>
            <w:r>
              <w:rPr>
                <w:rFonts w:hint="default" w:ascii="Times New Roman" w:hAnsi="Times New Roman" w:eastAsia="宋体" w:cs="Times New Roman"/>
                <w:color w:val="auto"/>
                <w:sz w:val="24"/>
                <w:highlight w:val="none"/>
                <w:lang w:val="en-US" w:eastAsia="zh-CN"/>
              </w:rPr>
              <w:t>约每半年更换一次，</w:t>
            </w:r>
            <w:r>
              <w:rPr>
                <w:rFonts w:hint="eastAsia" w:ascii="Times New Roman" w:hAnsi="Times New Roman" w:eastAsia="宋体" w:cs="Times New Roman"/>
                <w:color w:val="auto"/>
                <w:sz w:val="24"/>
                <w:highlight w:val="none"/>
                <w:lang w:val="en-US" w:eastAsia="zh-CN"/>
              </w:rPr>
              <w:t>产生量为0.4t/a。</w:t>
            </w:r>
          </w:p>
          <w:p w14:paraId="5297702B">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（2）固体废物产生和处置情况</w:t>
            </w:r>
          </w:p>
          <w:p w14:paraId="32C6B1E1">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根据《国家危险废物名录（2021版）》等相关文件判定，本项目固体废物产生、属性鉴别分析及处理处置汇总见表。</w:t>
            </w:r>
          </w:p>
          <w:tbl>
            <w:tblPr>
              <w:tblStyle w:val="189"/>
              <w:tblW w:w="800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1170"/>
              <w:gridCol w:w="675"/>
              <w:gridCol w:w="1125"/>
              <w:gridCol w:w="1035"/>
              <w:gridCol w:w="1410"/>
              <w:gridCol w:w="1346"/>
            </w:tblGrid>
            <w:tr w14:paraId="4C69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0" w:type="dxa"/>
                  <w:vAlign w:val="center"/>
                </w:tcPr>
                <w:p w14:paraId="5C05E9CF">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固体废物来源</w:t>
                  </w:r>
                </w:p>
              </w:tc>
              <w:tc>
                <w:tcPr>
                  <w:tcW w:w="1170" w:type="dxa"/>
                  <w:vAlign w:val="center"/>
                </w:tcPr>
                <w:p w14:paraId="3C790A83">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废物名称</w:t>
                  </w:r>
                </w:p>
              </w:tc>
              <w:tc>
                <w:tcPr>
                  <w:tcW w:w="675" w:type="dxa"/>
                  <w:vAlign w:val="center"/>
                </w:tcPr>
                <w:p w14:paraId="6AFF0A22">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1125" w:type="dxa"/>
                  <w:vAlign w:val="center"/>
                </w:tcPr>
                <w:p w14:paraId="58575A5B">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产生量</w:t>
                  </w:r>
                </w:p>
              </w:tc>
              <w:tc>
                <w:tcPr>
                  <w:tcW w:w="1035" w:type="dxa"/>
                  <w:vAlign w:val="center"/>
                </w:tcPr>
                <w:p w14:paraId="6DBAE41E">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储存方式</w:t>
                  </w:r>
                </w:p>
              </w:tc>
              <w:tc>
                <w:tcPr>
                  <w:tcW w:w="1410" w:type="dxa"/>
                  <w:vAlign w:val="center"/>
                </w:tcPr>
                <w:p w14:paraId="38EE033E">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利用处置方式和去向</w:t>
                  </w:r>
                </w:p>
              </w:tc>
              <w:tc>
                <w:tcPr>
                  <w:tcW w:w="1346" w:type="dxa"/>
                  <w:vAlign w:val="center"/>
                </w:tcPr>
                <w:p w14:paraId="55C1587F">
                  <w:pPr>
                    <w:autoSpaceDE w:val="0"/>
                    <w:autoSpaceDN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利用/处置量</w:t>
                  </w:r>
                </w:p>
              </w:tc>
            </w:tr>
            <w:tr w14:paraId="168BA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0" w:type="dxa"/>
                  <w:vAlign w:val="center"/>
                </w:tcPr>
                <w:p w14:paraId="5B6CFEE1">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库房日常清洁</w:t>
                  </w:r>
                </w:p>
              </w:tc>
              <w:tc>
                <w:tcPr>
                  <w:tcW w:w="1170" w:type="dxa"/>
                  <w:vAlign w:val="center"/>
                </w:tcPr>
                <w:p w14:paraId="2170F422">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废拖把、抹布</w:t>
                  </w:r>
                </w:p>
              </w:tc>
              <w:tc>
                <w:tcPr>
                  <w:tcW w:w="675" w:type="dxa"/>
                  <w:vAlign w:val="center"/>
                </w:tcPr>
                <w:p w14:paraId="0A7614A7">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024469A0">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0.15</w:t>
                  </w:r>
                  <w:r>
                    <w:rPr>
                      <w:rFonts w:hint="default" w:ascii="Times New Roman" w:hAnsi="Times New Roman" w:eastAsia="宋体" w:cs="Times New Roman"/>
                      <w:color w:val="auto"/>
                      <w:highlight w:val="none"/>
                    </w:rPr>
                    <w:t>t/a</w:t>
                  </w:r>
                </w:p>
              </w:tc>
              <w:tc>
                <w:tcPr>
                  <w:tcW w:w="1035" w:type="dxa"/>
                  <w:vMerge w:val="restart"/>
                  <w:vAlign w:val="center"/>
                </w:tcPr>
                <w:p w14:paraId="76D8B3BE">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分类贮存HW49其</w:t>
                  </w:r>
                </w:p>
              </w:tc>
              <w:tc>
                <w:tcPr>
                  <w:tcW w:w="1410" w:type="dxa"/>
                  <w:vMerge w:val="restart"/>
                  <w:vAlign w:val="center"/>
                </w:tcPr>
                <w:p w14:paraId="133C31A4">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委托有资质的危废处置</w:t>
                  </w:r>
                </w:p>
              </w:tc>
              <w:tc>
                <w:tcPr>
                  <w:tcW w:w="1346" w:type="dxa"/>
                  <w:vAlign w:val="center"/>
                </w:tcPr>
                <w:p w14:paraId="1E01F9D2">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0.15</w:t>
                  </w:r>
                  <w:r>
                    <w:rPr>
                      <w:rFonts w:hint="default" w:ascii="Times New Roman" w:hAnsi="Times New Roman" w:eastAsia="宋体" w:cs="Times New Roman"/>
                      <w:color w:val="auto"/>
                      <w:highlight w:val="none"/>
                    </w:rPr>
                    <w:t>t/a</w:t>
                  </w:r>
                </w:p>
              </w:tc>
            </w:tr>
            <w:tr w14:paraId="70685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0" w:type="dxa"/>
                  <w:vAlign w:val="center"/>
                </w:tcPr>
                <w:p w14:paraId="2F01883A">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活性炭吸附设施定期更换</w:t>
                  </w:r>
                </w:p>
              </w:tc>
              <w:tc>
                <w:tcPr>
                  <w:tcW w:w="1170" w:type="dxa"/>
                  <w:vAlign w:val="center"/>
                </w:tcPr>
                <w:p w14:paraId="27E562BA">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废活性炭</w:t>
                  </w:r>
                </w:p>
              </w:tc>
              <w:tc>
                <w:tcPr>
                  <w:tcW w:w="675" w:type="dxa"/>
                  <w:vAlign w:val="center"/>
                </w:tcPr>
                <w:p w14:paraId="1FB04301">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2CA50468">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19t/a</w:t>
                  </w:r>
                </w:p>
              </w:tc>
              <w:tc>
                <w:tcPr>
                  <w:tcW w:w="1035" w:type="dxa"/>
                  <w:vMerge w:val="continue"/>
                  <w:vAlign w:val="center"/>
                </w:tcPr>
                <w:p w14:paraId="4E3AF00F">
                  <w:pPr>
                    <w:autoSpaceDE w:val="0"/>
                    <w:autoSpaceDN w:val="0"/>
                    <w:jc w:val="center"/>
                    <w:rPr>
                      <w:rFonts w:hint="default" w:ascii="Times New Roman" w:hAnsi="Times New Roman" w:eastAsia="宋体" w:cs="Times New Roman"/>
                      <w:color w:val="auto"/>
                      <w:highlight w:val="none"/>
                    </w:rPr>
                  </w:pPr>
                </w:p>
              </w:tc>
              <w:tc>
                <w:tcPr>
                  <w:tcW w:w="1410" w:type="dxa"/>
                  <w:vMerge w:val="continue"/>
                  <w:vAlign w:val="center"/>
                </w:tcPr>
                <w:p w14:paraId="0255C0FA">
                  <w:pPr>
                    <w:autoSpaceDE w:val="0"/>
                    <w:autoSpaceDN w:val="0"/>
                    <w:jc w:val="center"/>
                    <w:rPr>
                      <w:rFonts w:hint="default" w:ascii="Times New Roman" w:hAnsi="Times New Roman" w:eastAsia="宋体" w:cs="Times New Roman"/>
                      <w:color w:val="auto"/>
                      <w:highlight w:val="none"/>
                    </w:rPr>
                  </w:pPr>
                </w:p>
              </w:tc>
              <w:tc>
                <w:tcPr>
                  <w:tcW w:w="1346" w:type="dxa"/>
                  <w:vAlign w:val="center"/>
                </w:tcPr>
                <w:p w14:paraId="37FCEEAE">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19t/a</w:t>
                  </w:r>
                </w:p>
              </w:tc>
            </w:tr>
            <w:tr w14:paraId="11592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40" w:type="dxa"/>
                  <w:vAlign w:val="center"/>
                </w:tcPr>
                <w:p w14:paraId="2AA04DD5">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碱液喷淋塔废液</w:t>
                  </w:r>
                </w:p>
              </w:tc>
              <w:tc>
                <w:tcPr>
                  <w:tcW w:w="1170" w:type="dxa"/>
                  <w:vAlign w:val="center"/>
                </w:tcPr>
                <w:p w14:paraId="4C1B3E02">
                  <w:pPr>
                    <w:autoSpaceDE w:val="0"/>
                    <w:autoSpaceDN w:val="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废碱液</w:t>
                  </w:r>
                </w:p>
              </w:tc>
              <w:tc>
                <w:tcPr>
                  <w:tcW w:w="675" w:type="dxa"/>
                  <w:vAlign w:val="center"/>
                </w:tcPr>
                <w:p w14:paraId="084DF4F2">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5D18BCE1">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0.56</w:t>
                  </w:r>
                  <w:r>
                    <w:rPr>
                      <w:rFonts w:hint="default" w:ascii="Times New Roman" w:hAnsi="Times New Roman" w:eastAsia="宋体" w:cs="Times New Roman"/>
                      <w:color w:val="auto"/>
                      <w:highlight w:val="none"/>
                    </w:rPr>
                    <w:t>t/a</w:t>
                  </w:r>
                </w:p>
              </w:tc>
              <w:tc>
                <w:tcPr>
                  <w:tcW w:w="1035" w:type="dxa"/>
                  <w:vMerge w:val="continue"/>
                  <w:vAlign w:val="center"/>
                </w:tcPr>
                <w:p w14:paraId="60B366CD">
                  <w:pPr>
                    <w:autoSpaceDE w:val="0"/>
                    <w:autoSpaceDN w:val="0"/>
                    <w:jc w:val="center"/>
                    <w:rPr>
                      <w:rFonts w:hint="default" w:ascii="Times New Roman" w:hAnsi="Times New Roman" w:eastAsia="宋体" w:cs="Times New Roman"/>
                      <w:color w:val="auto"/>
                      <w:highlight w:val="none"/>
                    </w:rPr>
                  </w:pPr>
                </w:p>
              </w:tc>
              <w:tc>
                <w:tcPr>
                  <w:tcW w:w="1410" w:type="dxa"/>
                  <w:vMerge w:val="continue"/>
                  <w:vAlign w:val="center"/>
                </w:tcPr>
                <w:p w14:paraId="28828456">
                  <w:pPr>
                    <w:autoSpaceDE w:val="0"/>
                    <w:autoSpaceDN w:val="0"/>
                    <w:jc w:val="center"/>
                    <w:rPr>
                      <w:rFonts w:hint="default" w:ascii="Times New Roman" w:hAnsi="Times New Roman" w:eastAsia="宋体" w:cs="Times New Roman"/>
                      <w:color w:val="auto"/>
                      <w:highlight w:val="none"/>
                    </w:rPr>
                  </w:pPr>
                </w:p>
              </w:tc>
              <w:tc>
                <w:tcPr>
                  <w:tcW w:w="1346" w:type="dxa"/>
                  <w:vAlign w:val="center"/>
                </w:tcPr>
                <w:p w14:paraId="46F073F0">
                  <w:pPr>
                    <w:autoSpaceDE w:val="0"/>
                    <w:autoSpaceDN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0.56</w:t>
                  </w:r>
                  <w:r>
                    <w:rPr>
                      <w:rFonts w:hint="default" w:ascii="Times New Roman" w:hAnsi="Times New Roman" w:eastAsia="宋体" w:cs="Times New Roman"/>
                      <w:color w:val="auto"/>
                      <w:highlight w:val="none"/>
                    </w:rPr>
                    <w:t>t/a</w:t>
                  </w:r>
                </w:p>
              </w:tc>
            </w:tr>
            <w:tr w14:paraId="313FC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40" w:type="dxa"/>
                  <w:vAlign w:val="center"/>
                </w:tcPr>
                <w:p w14:paraId="3DF93B3D">
                  <w:pPr>
                    <w:autoSpaceDE w:val="0"/>
                    <w:autoSpaceDN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干式过滤设施定期更换</w:t>
                  </w:r>
                </w:p>
              </w:tc>
              <w:tc>
                <w:tcPr>
                  <w:tcW w:w="1170" w:type="dxa"/>
                  <w:vAlign w:val="center"/>
                </w:tcPr>
                <w:p w14:paraId="757EA485">
                  <w:pPr>
                    <w:autoSpaceDE w:val="0"/>
                    <w:autoSpaceDN w:val="0"/>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废过滤棉</w:t>
                  </w:r>
                </w:p>
              </w:tc>
              <w:tc>
                <w:tcPr>
                  <w:tcW w:w="675" w:type="dxa"/>
                  <w:vAlign w:val="center"/>
                </w:tcPr>
                <w:p w14:paraId="7FE468A4">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HW</w:t>
                  </w:r>
                  <w:r>
                    <w:rPr>
                      <w:rFonts w:hint="default" w:ascii="Times New Roman" w:hAnsi="Times New Roman" w:eastAsia="宋体" w:cs="Times New Roman"/>
                      <w:color w:val="auto"/>
                      <w:highlight w:val="none"/>
                    </w:rPr>
                    <w:t>49</w:t>
                  </w:r>
                </w:p>
              </w:tc>
              <w:tc>
                <w:tcPr>
                  <w:tcW w:w="1125" w:type="dxa"/>
                  <w:vAlign w:val="center"/>
                </w:tcPr>
                <w:p w14:paraId="718E0358">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t/a</w:t>
                  </w:r>
                </w:p>
              </w:tc>
              <w:tc>
                <w:tcPr>
                  <w:tcW w:w="1035" w:type="dxa"/>
                  <w:vMerge w:val="continue"/>
                  <w:vAlign w:val="center"/>
                </w:tcPr>
                <w:p w14:paraId="424B872F">
                  <w:pPr>
                    <w:autoSpaceDE w:val="0"/>
                    <w:autoSpaceDN w:val="0"/>
                    <w:jc w:val="center"/>
                    <w:rPr>
                      <w:rFonts w:hint="default" w:ascii="Times New Roman" w:hAnsi="Times New Roman" w:eastAsia="宋体" w:cs="Times New Roman"/>
                      <w:color w:val="auto"/>
                      <w:highlight w:val="none"/>
                    </w:rPr>
                  </w:pPr>
                </w:p>
              </w:tc>
              <w:tc>
                <w:tcPr>
                  <w:tcW w:w="1410" w:type="dxa"/>
                  <w:vMerge w:val="continue"/>
                  <w:vAlign w:val="center"/>
                </w:tcPr>
                <w:p w14:paraId="5619359D">
                  <w:pPr>
                    <w:autoSpaceDE w:val="0"/>
                    <w:autoSpaceDN w:val="0"/>
                    <w:jc w:val="center"/>
                    <w:rPr>
                      <w:rFonts w:hint="default" w:ascii="Times New Roman" w:hAnsi="Times New Roman" w:eastAsia="宋体" w:cs="Times New Roman"/>
                      <w:color w:val="auto"/>
                      <w:highlight w:val="none"/>
                    </w:rPr>
                  </w:pPr>
                </w:p>
              </w:tc>
              <w:tc>
                <w:tcPr>
                  <w:tcW w:w="1346" w:type="dxa"/>
                  <w:vAlign w:val="center"/>
                </w:tcPr>
                <w:p w14:paraId="78D15C28">
                  <w:pPr>
                    <w:autoSpaceDE w:val="0"/>
                    <w:autoSpaceDN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t/a</w:t>
                  </w:r>
                </w:p>
              </w:tc>
            </w:tr>
          </w:tbl>
          <w:p w14:paraId="246C1E88">
            <w:pPr>
              <w:pStyle w:val="195"/>
              <w:spacing w:before="114"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（3）环境管理要求</w:t>
            </w:r>
          </w:p>
          <w:p w14:paraId="7C6D653F">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项目运营期产生的废拖把、抹布、含油锯末和废活性炭收集，分类隔离暂存于厂区西南侧HW49其他废物贮存区，定期交由有资质的危废处置单位进行合理处置。</w:t>
            </w:r>
          </w:p>
          <w:p w14:paraId="00D236D9">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危险废物贮存场所具体要求：</w:t>
            </w:r>
          </w:p>
          <w:p w14:paraId="3A234602">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①废物贮存设施周围应设置围墙</w:t>
            </w:r>
            <w:r>
              <w:rPr>
                <w:rFonts w:hint="default" w:ascii="Times New Roman" w:hAnsi="Times New Roman" w:cs="Times New Roman"/>
                <w:color w:val="auto"/>
                <w:kern w:val="2"/>
                <w:sz w:val="24"/>
                <w:szCs w:val="21"/>
                <w:highlight w:val="none"/>
                <w:lang w:val="en-US" w:eastAsia="zh-CN" w:bidi="ar-SA"/>
              </w:rPr>
              <w:t>或其他</w:t>
            </w:r>
            <w:r>
              <w:rPr>
                <w:rFonts w:hint="default" w:ascii="Times New Roman" w:hAnsi="Times New Roman" w:eastAsia="宋体" w:cs="Times New Roman"/>
                <w:color w:val="auto"/>
                <w:kern w:val="2"/>
                <w:sz w:val="24"/>
                <w:szCs w:val="21"/>
                <w:highlight w:val="none"/>
                <w:lang w:val="en-US" w:eastAsia="zh-CN" w:bidi="ar-SA"/>
              </w:rPr>
              <w:t>防护栅栏。不相容的危险废物必须分开存放，并设有隔断；</w:t>
            </w:r>
          </w:p>
          <w:p w14:paraId="17E7878E">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②存放场地应做好防雨措施，避免暴雨天气雨水</w:t>
            </w:r>
            <w:r>
              <w:rPr>
                <w:rFonts w:hint="default" w:ascii="Times New Roman" w:hAnsi="Times New Roman" w:cs="Times New Roman"/>
                <w:color w:val="auto"/>
                <w:kern w:val="2"/>
                <w:sz w:val="24"/>
                <w:szCs w:val="21"/>
                <w:highlight w:val="none"/>
                <w:lang w:val="en-US" w:eastAsia="zh-CN" w:bidi="ar-SA"/>
              </w:rPr>
              <w:t>进</w:t>
            </w:r>
            <w:r>
              <w:rPr>
                <w:rFonts w:hint="default" w:ascii="Times New Roman" w:hAnsi="Times New Roman" w:eastAsia="宋体" w:cs="Times New Roman"/>
                <w:color w:val="auto"/>
                <w:kern w:val="2"/>
                <w:sz w:val="24"/>
                <w:szCs w:val="21"/>
                <w:highlight w:val="none"/>
                <w:lang w:val="en-US" w:eastAsia="zh-CN" w:bidi="ar-SA"/>
              </w:rPr>
              <w:t>入危险废物储存室，并且满足防风、防雨、防晒的要求；废物贮存设施应配备通讯设备、照明设</w:t>
            </w:r>
          </w:p>
          <w:p w14:paraId="4DD2EFC8">
            <w:pPr>
              <w:spacing w:line="360" w:lineRule="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施、安全防护服装及工具，并设有应急防护设施；</w:t>
            </w:r>
          </w:p>
          <w:p w14:paraId="5DE3A5C9">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③废物贮存设施必须按《环境保护图形标志》（GB15562-1995）的规定设置警示标志；</w:t>
            </w:r>
          </w:p>
          <w:p w14:paraId="6FAF7E62">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④危险废物必须分类存放，并注明名称、数量等，不相容的危险废物不能堆放在一起；装载危险废物的容器材质和衬里要与危险废物相容（不相互反应）；</w:t>
            </w:r>
          </w:p>
          <w:p w14:paraId="7C914178">
            <w:pPr>
              <w:pStyle w:val="34"/>
              <w:spacing w:line="360" w:lineRule="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⑤做好危险废物的管理工作，定期对暂存的危险废物包装容器进行检查，发现破损，应及时采取措施清理更换；废物贮存设施内清理出来的泄漏物，一律按危险废物处理；</w:t>
            </w:r>
          </w:p>
          <w:p w14:paraId="7DFC9BA5">
            <w:pPr>
              <w:pStyle w:val="34"/>
              <w:spacing w:line="360" w:lineRule="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⑥建立危险废物台账管理制度：根据《固</w:t>
            </w:r>
            <w:r>
              <w:rPr>
                <w:rFonts w:hint="default" w:ascii="Times New Roman" w:hAnsi="Times New Roman" w:cs="Times New Roman"/>
                <w:color w:val="auto"/>
                <w:kern w:val="2"/>
                <w:sz w:val="24"/>
                <w:szCs w:val="21"/>
                <w:highlight w:val="none"/>
                <w:lang w:val="en-US" w:eastAsia="zh-CN" w:bidi="ar-SA"/>
              </w:rPr>
              <w:t>废</w:t>
            </w:r>
            <w:r>
              <w:rPr>
                <w:rFonts w:hint="default" w:ascii="Times New Roman" w:hAnsi="Times New Roman" w:eastAsia="宋体" w:cs="Times New Roman"/>
                <w:color w:val="auto"/>
                <w:kern w:val="2"/>
                <w:sz w:val="24"/>
                <w:szCs w:val="21"/>
                <w:highlight w:val="none"/>
                <w:lang w:val="en-US" w:eastAsia="zh-CN" w:bidi="ar-SA"/>
              </w:rPr>
              <w:t>法》第五十三条的规定：“按照国家有关规定制定危险废物管理计划，并向所在地县级以上地方人民政府环境保护行政主管部门申报危险废物的种类、生产量、流向、储存、处置等有关资料”；建立危险废物管理台账，如实记载危险废物的种类、产生量、流向、贮存、利用处置等信息；</w:t>
            </w:r>
          </w:p>
          <w:p w14:paraId="44CBB2D3">
            <w:pPr>
              <w:pStyle w:val="34"/>
              <w:spacing w:line="360" w:lineRule="auto"/>
              <w:rPr>
                <w:rFonts w:hint="default" w:ascii="Times New Roman" w:hAnsi="Times New Roman" w:cs="Times New Roman"/>
                <w:b/>
                <w:color w:val="auto"/>
                <w:sz w:val="24"/>
                <w:szCs w:val="24"/>
                <w:highlight w:val="none"/>
              </w:rPr>
            </w:pPr>
            <w:r>
              <w:rPr>
                <w:rFonts w:hint="default" w:ascii="Times New Roman" w:hAnsi="Times New Roman" w:eastAsia="宋体" w:cs="Times New Roman"/>
                <w:color w:val="auto"/>
                <w:kern w:val="2"/>
                <w:sz w:val="24"/>
                <w:szCs w:val="21"/>
                <w:highlight w:val="none"/>
                <w:lang w:val="en-US" w:eastAsia="zh-CN" w:bidi="ar-SA"/>
              </w:rPr>
              <w:t>⑦储存场必须有</w:t>
            </w:r>
            <w:r>
              <w:rPr>
                <w:rFonts w:hint="default" w:ascii="Times New Roman" w:hAnsi="Times New Roman" w:cs="Times New Roman"/>
                <w:color w:val="auto"/>
                <w:kern w:val="2"/>
                <w:sz w:val="24"/>
                <w:szCs w:val="21"/>
                <w:highlight w:val="none"/>
                <w:lang w:val="en-US" w:eastAsia="zh-CN" w:bidi="ar-SA"/>
              </w:rPr>
              <w:t>泄漏液体</w:t>
            </w:r>
            <w:r>
              <w:rPr>
                <w:rFonts w:hint="default" w:ascii="Times New Roman" w:hAnsi="Times New Roman" w:eastAsia="宋体" w:cs="Times New Roman"/>
                <w:color w:val="auto"/>
                <w:kern w:val="2"/>
                <w:sz w:val="24"/>
                <w:szCs w:val="21"/>
                <w:highlight w:val="none"/>
                <w:lang w:val="en-US" w:eastAsia="zh-CN" w:bidi="ar-SA"/>
              </w:rPr>
              <w:t>收集装置，必须有耐腐蚀的硬化地面，且表面无裂缝；危险废物暂存间要按照《</w:t>
            </w:r>
            <w:r>
              <w:rPr>
                <w:rFonts w:hint="eastAsia" w:ascii="Times New Roman" w:hAnsi="Times New Roman" w:cs="Times New Roman"/>
                <w:color w:val="auto"/>
                <w:kern w:val="2"/>
                <w:sz w:val="24"/>
                <w:szCs w:val="21"/>
                <w:highlight w:val="none"/>
                <w:lang w:val="en-US" w:eastAsia="zh-CN" w:bidi="ar-SA"/>
              </w:rPr>
              <w:t>环境保护图形标志 固体废物贮存（处置）场</w:t>
            </w:r>
            <w:r>
              <w:rPr>
                <w:rFonts w:hint="default" w:ascii="Times New Roman" w:hAnsi="Times New Roman" w:eastAsia="宋体" w:cs="Times New Roman"/>
                <w:color w:val="auto"/>
                <w:kern w:val="2"/>
                <w:sz w:val="24"/>
                <w:szCs w:val="21"/>
                <w:highlight w:val="none"/>
                <w:lang w:val="en-US" w:eastAsia="zh-CN" w:bidi="ar-SA"/>
              </w:rPr>
              <w:t>》（GB15562.2-1995）的规定设置明显的储存危险废物种类标志和警示标志。</w:t>
            </w:r>
          </w:p>
          <w:p w14:paraId="02D0A677">
            <w:pPr>
              <w:widowControl/>
              <w:spacing w:line="360" w:lineRule="auto"/>
              <w:ind w:firstLine="482" w:firstLineChars="200"/>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五、土壤、地下水</w:t>
            </w:r>
          </w:p>
          <w:p w14:paraId="0BBF4289">
            <w:pPr>
              <w:spacing w:line="360" w:lineRule="auto"/>
              <w:ind w:firstLine="42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kern w:val="2"/>
                <w:sz w:val="24"/>
                <w:szCs w:val="21"/>
                <w:highlight w:val="none"/>
                <w:lang w:val="en-US" w:eastAsia="zh-CN" w:bidi="ar-SA"/>
              </w:rPr>
              <w:t>1）地下水、土壤污染源、污染物类型和污染途径</w:t>
            </w:r>
          </w:p>
          <w:p w14:paraId="424112E3">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本项目为危险废物暂存项目，不涉及危险废物的拆解和深加工过程，无具体的生产工艺，无生产性废水排放。根据《环境影响评价技术导则地下水环境</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（H610-2016）附录A，本项目属于危险废物（含医疗废物）集中处置及综合利用环境影响评价报告表，属于Ⅰ类项目。根据《环境影响评价技术导则地下水环境</w:t>
            </w:r>
            <w:r>
              <w:rPr>
                <w:rFonts w:hint="default" w:ascii="Times New Roman" w:hAnsi="Times New Roman" w:cs="Times New Roman"/>
                <w:color w:val="auto"/>
                <w:kern w:val="2"/>
                <w:sz w:val="24"/>
                <w:szCs w:val="21"/>
                <w:highlight w:val="none"/>
                <w:lang w:val="en-US" w:eastAsia="zh-CN" w:bidi="ar-SA"/>
              </w:rPr>
              <w:t>》</w:t>
            </w:r>
            <w:r>
              <w:rPr>
                <w:rFonts w:hint="eastAsia" w:ascii="Times New Roman" w:hAnsi="Times New Roman" w:cs="Times New Roman"/>
                <w:color w:val="auto"/>
                <w:kern w:val="2"/>
                <w:sz w:val="24"/>
                <w:szCs w:val="21"/>
                <w:highlight w:val="none"/>
                <w:lang w:val="en-US" w:eastAsia="zh-CN" w:bidi="ar-SA"/>
              </w:rPr>
              <w:t>（HJ 610-2016）</w:t>
            </w:r>
            <w:r>
              <w:rPr>
                <w:rFonts w:hint="default" w:ascii="Times New Roman" w:hAnsi="Times New Roman" w:eastAsia="宋体" w:cs="Times New Roman"/>
                <w:color w:val="auto"/>
                <w:kern w:val="2"/>
                <w:sz w:val="24"/>
                <w:szCs w:val="21"/>
                <w:highlight w:val="none"/>
                <w:lang w:val="en-US" w:eastAsia="zh-CN" w:bidi="ar-SA"/>
              </w:rPr>
              <w:t>表1、2规定，结合实际调查得出，建设项目不开采地下水，厂界外500m范围内无地下水集中式饮用水水源，周边企业和居民以城市自来水为饮用水源。本项目不属于地下水环境敏感区，敏感程度为不敏感。故本项目地下水环境评价等级为二级。</w:t>
            </w:r>
          </w:p>
          <w:p w14:paraId="25E64BB6">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评价要求，地下水污染防治措施按照“源头控制，分区防治、污染监控、应急响应”相结合的原则，从污染物的产生、入渗、扩散、应急响应进行控制，采取防渗、硬化、加强管理等措施。对项目危险废物暂存（如盛装容器、设置的托盘、围堰和导流沟区、事故收集池等）、装卸及转运区域等采取定期检查，消除隐患，作业过程减少抛洒等应对措施，防止和降低污染物跑、冒、滴、漏，将污染物泄漏的环境风险事故降到最低程度；加强巡视、管理，做到污染物“早发现、早处理”，减少由于泄漏而造成的地下水污染。</w:t>
            </w:r>
          </w:p>
          <w:p w14:paraId="5BBD01DE">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根据《环境影响评价技术导则土壤环境（试行）</w:t>
            </w:r>
            <w:r>
              <w:rPr>
                <w:rFonts w:hint="default" w:ascii="Times New Roman" w:hAnsi="Times New Roman" w:cs="Times New Roman"/>
                <w:color w:val="auto"/>
                <w:kern w:val="2"/>
                <w:sz w:val="24"/>
                <w:szCs w:val="21"/>
                <w:highlight w:val="none"/>
                <w:lang w:val="en-US" w:eastAsia="zh-CN" w:bidi="ar-SA"/>
              </w:rPr>
              <w:t>》</w:t>
            </w:r>
            <w:r>
              <w:rPr>
                <w:rFonts w:hint="eastAsia" w:ascii="Times New Roman" w:hAnsi="Times New Roman" w:cs="Times New Roman"/>
                <w:color w:val="auto"/>
                <w:kern w:val="2"/>
                <w:sz w:val="24"/>
                <w:szCs w:val="21"/>
                <w:highlight w:val="none"/>
                <w:lang w:val="en-US" w:eastAsia="zh-CN" w:bidi="ar-SA"/>
              </w:rPr>
              <w:t>（HJ 964-2018）</w:t>
            </w:r>
            <w:r>
              <w:rPr>
                <w:rFonts w:hint="default" w:ascii="Times New Roman" w:hAnsi="Times New Roman" w:eastAsia="宋体" w:cs="Times New Roman"/>
                <w:color w:val="auto"/>
                <w:kern w:val="2"/>
                <w:sz w:val="24"/>
                <w:szCs w:val="21"/>
                <w:highlight w:val="none"/>
                <w:lang w:val="en-US" w:eastAsia="zh-CN" w:bidi="ar-SA"/>
              </w:rPr>
              <w:t>附录A，本项目为“环境和公共设施管理业”中的“危险废物利用及处置”项目，属于Ⅰ类项目，占地规模属于小型</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≤5hm</w:t>
            </w:r>
            <w:r>
              <w:rPr>
                <w:rFonts w:hint="default" w:ascii="Times New Roman" w:hAnsi="Times New Roman" w:eastAsia="宋体"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），项目区土壤敏感程度为不敏感。本项目土壤评价等级为二级。评价范围为项目占地范围内及占地范围外20范围内。</w:t>
            </w:r>
          </w:p>
          <w:p w14:paraId="23149C65">
            <w:p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通过识别本项目的影响途径，确定项目土壤污染影响途径为大气沉降（沉降物为非甲烷总烃、</w:t>
            </w:r>
            <w:r>
              <w:rPr>
                <w:rFonts w:hint="eastAsia" w:cs="Times New Roman"/>
                <w:color w:val="auto"/>
                <w:kern w:val="2"/>
                <w:sz w:val="24"/>
                <w:szCs w:val="21"/>
                <w:highlight w:val="none"/>
                <w:lang w:val="en-US" w:eastAsia="zh-CN" w:bidi="ar-SA"/>
              </w:rPr>
              <w:t>氯化氢</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硫酸雾</w:t>
            </w:r>
            <w:r>
              <w:rPr>
                <w:rFonts w:hint="default" w:ascii="Times New Roman" w:hAnsi="Times New Roman" w:eastAsia="宋体" w:cs="Times New Roman"/>
                <w:color w:val="auto"/>
                <w:kern w:val="2"/>
                <w:sz w:val="24"/>
                <w:szCs w:val="21"/>
                <w:highlight w:val="none"/>
                <w:lang w:val="en-US" w:eastAsia="zh-CN" w:bidi="ar-SA"/>
              </w:rPr>
              <w:t>），地下水污染途径为液态有机类风险物质泄漏后导致的下渗。</w:t>
            </w:r>
          </w:p>
          <w:p w14:paraId="3E89AA1F">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（2）地下水防治分区防控措施</w:t>
            </w:r>
          </w:p>
          <w:p w14:paraId="62ECCEF8">
            <w:pPr>
              <w:numPr>
                <w:ilvl w:val="0"/>
                <w:numId w:val="0"/>
              </w:numPr>
              <w:spacing w:line="360" w:lineRule="auto"/>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本扩建项目要求厂区内部地面应按照《</w:t>
            </w:r>
            <w:r>
              <w:rPr>
                <w:rFonts w:hint="eastAsia" w:ascii="Times New Roman" w:hAnsi="Times New Roman" w:cs="Times New Roman"/>
                <w:color w:val="auto"/>
                <w:kern w:val="2"/>
                <w:sz w:val="24"/>
                <w:szCs w:val="21"/>
                <w:highlight w:val="none"/>
                <w:lang w:val="en-US" w:eastAsia="zh-CN" w:bidi="ar-SA"/>
              </w:rPr>
              <w:t>环境影响评价技术导则 地下水环境</w:t>
            </w:r>
            <w:r>
              <w:rPr>
                <w:rFonts w:hint="default" w:ascii="Times New Roman" w:hAnsi="Times New Roman" w:eastAsia="宋体" w:cs="Times New Roman"/>
                <w:color w:val="auto"/>
                <w:kern w:val="2"/>
                <w:sz w:val="24"/>
                <w:szCs w:val="21"/>
                <w:highlight w:val="none"/>
                <w:lang w:val="en-US" w:eastAsia="zh-CN" w:bidi="ar-SA"/>
              </w:rPr>
              <w:t>》（HJ610-2016）要求，对项目区域进行合理布局和分区防渗，按各功能单元所处的位置划分为重点防渗区、一般防渗区以及简单防渗区三类地下水污染防治区域：重点防渗区：库房内</w:t>
            </w:r>
            <w:r>
              <w:rPr>
                <w:rFonts w:hint="eastAsia" w:cs="Times New Roman"/>
                <w:color w:val="auto"/>
                <w:kern w:val="2"/>
                <w:sz w:val="24"/>
                <w:szCs w:val="21"/>
                <w:highlight w:val="none"/>
                <w:lang w:val="en-US" w:eastAsia="zh-CN" w:bidi="ar-SA"/>
              </w:rPr>
              <w:t>危废</w:t>
            </w:r>
            <w:r>
              <w:rPr>
                <w:rFonts w:hint="default" w:ascii="Times New Roman" w:hAnsi="Times New Roman" w:eastAsia="宋体" w:cs="Times New Roman"/>
                <w:color w:val="auto"/>
                <w:kern w:val="2"/>
                <w:sz w:val="24"/>
                <w:szCs w:val="21"/>
                <w:highlight w:val="none"/>
                <w:lang w:val="en-US" w:eastAsia="zh-CN" w:bidi="ar-SA"/>
              </w:rPr>
              <w:t>贮存区、事故收集池及截留沟渠、周转桶存放区、危险废物装卸和重装区等；一般防渗区：库房内杂物间、通道、停车区（空车）、活性炭吸附设施区等；具体要求见表，分区防渗布置见图5。</w:t>
            </w:r>
          </w:p>
          <w:p w14:paraId="069B37E9">
            <w:pPr>
              <w:pStyle w:val="195"/>
              <w:spacing w:before="121" w:beforeLines="0" w:afterLines="0" w:line="240" w:lineRule="auto"/>
              <w:ind w:firstLine="422" w:firstLineChars="20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表4-9厂区分区防渗级别表</w:t>
            </w:r>
          </w:p>
          <w:tbl>
            <w:tblPr>
              <w:tblStyle w:val="189"/>
              <w:tblW w:w="79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87"/>
              <w:gridCol w:w="930"/>
              <w:gridCol w:w="985"/>
              <w:gridCol w:w="2146"/>
              <w:gridCol w:w="2290"/>
            </w:tblGrid>
            <w:tr w14:paraId="61939E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87" w:type="dxa"/>
                  <w:tcBorders>
                    <w:tl2br w:val="nil"/>
                    <w:tr2bl w:val="nil"/>
                  </w:tcBorders>
                  <w:vAlign w:val="center"/>
                </w:tcPr>
                <w:p w14:paraId="5B7EEE94">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名称</w:t>
                  </w:r>
                </w:p>
              </w:tc>
              <w:tc>
                <w:tcPr>
                  <w:tcW w:w="930" w:type="dxa"/>
                  <w:tcBorders>
                    <w:tl2br w:val="nil"/>
                    <w:tr2bl w:val="nil"/>
                  </w:tcBorders>
                  <w:vAlign w:val="center"/>
                </w:tcPr>
                <w:p w14:paraId="7B552730">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污染物类型</w:t>
                  </w:r>
                </w:p>
              </w:tc>
              <w:tc>
                <w:tcPr>
                  <w:tcW w:w="985" w:type="dxa"/>
                  <w:tcBorders>
                    <w:tl2br w:val="nil"/>
                    <w:tr2bl w:val="nil"/>
                  </w:tcBorders>
                  <w:vAlign w:val="center"/>
                </w:tcPr>
                <w:p w14:paraId="20790489">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防渗分区等级</w:t>
                  </w:r>
                </w:p>
              </w:tc>
              <w:tc>
                <w:tcPr>
                  <w:tcW w:w="2146" w:type="dxa"/>
                  <w:tcBorders>
                    <w:tl2br w:val="nil"/>
                    <w:tr2bl w:val="nil"/>
                  </w:tcBorders>
                  <w:vAlign w:val="center"/>
                </w:tcPr>
                <w:p w14:paraId="1F46B9E1">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防渗措施</w:t>
                  </w:r>
                </w:p>
              </w:tc>
              <w:tc>
                <w:tcPr>
                  <w:tcW w:w="2290" w:type="dxa"/>
                  <w:tcBorders>
                    <w:tl2br w:val="nil"/>
                    <w:tr2bl w:val="nil"/>
                  </w:tcBorders>
                  <w:vAlign w:val="center"/>
                </w:tcPr>
                <w:p w14:paraId="1C197A5C">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防渗技术要求</w:t>
                  </w:r>
                </w:p>
              </w:tc>
            </w:tr>
            <w:tr w14:paraId="178E0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1587" w:type="dxa"/>
                  <w:tcBorders>
                    <w:tl2br w:val="nil"/>
                    <w:tr2bl w:val="nil"/>
                  </w:tcBorders>
                  <w:vAlign w:val="center"/>
                </w:tcPr>
                <w:p w14:paraId="4CEF032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整个危险废物贮存间、收集池、收集沟、事故应急池</w:t>
                  </w:r>
                </w:p>
              </w:tc>
              <w:tc>
                <w:tcPr>
                  <w:tcW w:w="930" w:type="dxa"/>
                  <w:tcBorders>
                    <w:tl2br w:val="nil"/>
                    <w:tr2bl w:val="nil"/>
                  </w:tcBorders>
                  <w:vAlign w:val="center"/>
                </w:tcPr>
                <w:p w14:paraId="3EBAD4A0">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持久性有机污染物</w:t>
                  </w:r>
                </w:p>
              </w:tc>
              <w:tc>
                <w:tcPr>
                  <w:tcW w:w="985" w:type="dxa"/>
                  <w:tcBorders>
                    <w:tl2br w:val="nil"/>
                    <w:tr2bl w:val="nil"/>
                  </w:tcBorders>
                  <w:vAlign w:val="center"/>
                </w:tcPr>
                <w:p w14:paraId="293EED0F">
                  <w:p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重点防渗</w:t>
                  </w:r>
                </w:p>
              </w:tc>
              <w:tc>
                <w:tcPr>
                  <w:tcW w:w="2146" w:type="dxa"/>
                  <w:tcBorders>
                    <w:tl2br w:val="nil"/>
                    <w:tr2bl w:val="nil"/>
                  </w:tcBorders>
                  <w:vAlign w:val="center"/>
                </w:tcPr>
                <w:p w14:paraId="753B45B7">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防渗涂料+地面硬化+环氧地坪漆，设有15cm高围堰、导流槽及</w:t>
                  </w:r>
                </w:p>
              </w:tc>
              <w:tc>
                <w:tcPr>
                  <w:tcW w:w="2290" w:type="dxa"/>
                  <w:tcBorders>
                    <w:tl2br w:val="nil"/>
                    <w:tr2bl w:val="nil"/>
                  </w:tcBorders>
                  <w:vAlign w:val="center"/>
                </w:tcPr>
                <w:p w14:paraId="076D9168">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等效黏土防渗层Mb</w:t>
                  </w:r>
                </w:p>
                <w:p w14:paraId="343B451B">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≧6.0m，K≦1.0×10</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rPr>
                    <w:t>cm/s；或按照</w:t>
                  </w:r>
                  <w:r>
                    <w:rPr>
                      <w:rFonts w:hint="eastAsia" w:ascii="Times New Roman" w:hAnsi="Times New Roman" w:cs="Times New Roman"/>
                      <w:color w:val="auto"/>
                      <w:highlight w:val="none"/>
                      <w:lang w:eastAsia="zh-CN"/>
                    </w:rPr>
                    <w:t>GB 18598-2019</w:t>
                  </w:r>
                  <w:r>
                    <w:rPr>
                      <w:rFonts w:hint="default" w:ascii="Times New Roman" w:hAnsi="Times New Roman" w:cs="Times New Roman"/>
                      <w:color w:val="auto"/>
                      <w:highlight w:val="none"/>
                    </w:rPr>
                    <w:t>执行</w:t>
                  </w:r>
                </w:p>
              </w:tc>
            </w:tr>
          </w:tbl>
          <w:p w14:paraId="78C9C1CC">
            <w:pPr>
              <w:widowControl/>
              <w:numPr>
                <w:ilvl w:val="0"/>
                <w:numId w:val="0"/>
              </w:numPr>
              <w:spacing w:line="360" w:lineRule="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（3）地下水的环境监测与管理</w:t>
            </w:r>
          </w:p>
          <w:p w14:paraId="5087D5C8">
            <w:pPr>
              <w:widowControl/>
              <w:numPr>
                <w:ilvl w:val="0"/>
                <w:numId w:val="0"/>
              </w:numPr>
              <w:spacing w:line="360" w:lineRule="auto"/>
              <w:ind w:firstLine="480" w:firstLineChars="200"/>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为掌握场区周边地下水环境质量动态变化状况，及时发现污染物的产生并有效控制污染物扩散，应对危险废物暂存区域及周边地下水水质进行监测（固定监测点位：</w:t>
            </w:r>
            <w:r>
              <w:rPr>
                <w:rFonts w:hint="eastAsia" w:cs="Times New Roman"/>
                <w:b w:val="0"/>
                <w:bCs/>
                <w:color w:val="auto"/>
                <w:sz w:val="24"/>
                <w:szCs w:val="24"/>
                <w:highlight w:val="none"/>
                <w:lang w:eastAsia="zh-CN"/>
              </w:rPr>
              <w:t>东</w:t>
            </w:r>
            <w:r>
              <w:rPr>
                <w:rFonts w:hint="default" w:ascii="Times New Roman" w:hAnsi="Times New Roman" w:cs="Times New Roman"/>
                <w:b w:val="0"/>
                <w:bCs/>
                <w:color w:val="auto"/>
                <w:sz w:val="24"/>
                <w:szCs w:val="24"/>
                <w:highlight w:val="none"/>
                <w:lang w:eastAsia="zh-CN"/>
              </w:rPr>
              <w:t>北</w:t>
            </w:r>
            <w:r>
              <w:rPr>
                <w:rFonts w:hint="default" w:ascii="Times New Roman" w:hAnsi="Times New Roman" w:cs="Times New Roman"/>
                <w:b w:val="0"/>
                <w:bCs/>
                <w:color w:val="auto"/>
                <w:sz w:val="24"/>
                <w:szCs w:val="24"/>
                <w:highlight w:val="none"/>
              </w:rPr>
              <w:t>侧水井和西</w:t>
            </w:r>
            <w:r>
              <w:rPr>
                <w:rFonts w:hint="default" w:ascii="Times New Roman" w:hAnsi="Times New Roman" w:cs="Times New Roman"/>
                <w:b w:val="0"/>
                <w:bCs/>
                <w:color w:val="auto"/>
                <w:sz w:val="24"/>
                <w:szCs w:val="24"/>
                <w:highlight w:val="none"/>
                <w:lang w:eastAsia="zh-CN"/>
              </w:rPr>
              <w:t>南</w:t>
            </w:r>
            <w:r>
              <w:rPr>
                <w:rFonts w:hint="default" w:ascii="Times New Roman" w:hAnsi="Times New Roman" w:cs="Times New Roman"/>
                <w:b w:val="0"/>
                <w:bCs/>
                <w:color w:val="auto"/>
                <w:sz w:val="24"/>
                <w:szCs w:val="24"/>
                <w:highlight w:val="none"/>
              </w:rPr>
              <w:t>侧水</w:t>
            </w:r>
            <w:r>
              <w:rPr>
                <w:rFonts w:hint="eastAsia" w:cs="Times New Roman"/>
                <w:b w:val="0"/>
                <w:bCs/>
                <w:color w:val="auto"/>
                <w:sz w:val="24"/>
                <w:szCs w:val="24"/>
                <w:highlight w:val="none"/>
                <w:lang w:eastAsia="zh-CN"/>
              </w:rPr>
              <w:t>井</w:t>
            </w:r>
            <w:r>
              <w:rPr>
                <w:rFonts w:hint="default" w:ascii="Times New Roman" w:hAnsi="Times New Roman" w:cs="Times New Roman"/>
                <w:b w:val="0"/>
                <w:bCs/>
                <w:color w:val="auto"/>
                <w:sz w:val="24"/>
                <w:szCs w:val="24"/>
                <w:highlight w:val="none"/>
              </w:rPr>
              <w:t>，同步记录井口坐标、井口标高（海拔</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rPr>
              <w:t>高度m）、井深（m）、水位（m）、水温</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等基</w:t>
            </w:r>
            <w:r>
              <w:rPr>
                <w:rFonts w:hint="default" w:ascii="Times New Roman" w:hAnsi="Times New Roman" w:cs="Times New Roman"/>
                <w:b w:val="0"/>
                <w:bCs/>
                <w:color w:val="auto"/>
                <w:sz w:val="24"/>
                <w:szCs w:val="24"/>
                <w:highlight w:val="none"/>
                <w:lang w:eastAsia="zh-CN"/>
              </w:rPr>
              <w:t>础材</w:t>
            </w:r>
            <w:r>
              <w:rPr>
                <w:rFonts w:hint="default" w:ascii="Times New Roman" w:hAnsi="Times New Roman" w:cs="Times New Roman"/>
                <w:b w:val="0"/>
                <w:bCs/>
                <w:color w:val="auto"/>
                <w:sz w:val="24"/>
                <w:szCs w:val="24"/>
                <w:highlight w:val="none"/>
              </w:rPr>
              <w:t>料）。根据《排污单位自行监测技术指南总则》（HJ 819-2017）、《环境影响评价技术导则地下水环境》（HJ610-2016）、《地下水环境监测技术规范》（</w:t>
            </w:r>
            <w:r>
              <w:rPr>
                <w:rFonts w:hint="eastAsia" w:ascii="Times New Roman" w:hAnsi="Times New Roman" w:cs="Times New Roman"/>
                <w:b w:val="0"/>
                <w:bCs/>
                <w:color w:val="auto"/>
                <w:sz w:val="24"/>
                <w:szCs w:val="24"/>
                <w:highlight w:val="none"/>
                <w:lang w:eastAsia="zh-CN"/>
              </w:rPr>
              <w:t>HJ 164-2020</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eastAsia="zh-CN"/>
              </w:rPr>
              <w:t>工业企业土壤和地下水自行监测技术指南（试行）</w:t>
            </w:r>
            <w:r>
              <w:rPr>
                <w:rFonts w:hint="default" w:ascii="Times New Roman" w:hAnsi="Times New Roman" w:cs="Times New Roman"/>
                <w:b w:val="0"/>
                <w:bCs/>
                <w:color w:val="auto"/>
                <w:sz w:val="24"/>
                <w:szCs w:val="24"/>
                <w:highlight w:val="none"/>
              </w:rPr>
              <w:t>》（HJ1209-2021）等相关要求进行监测。具体监测内容见下表。</w:t>
            </w:r>
          </w:p>
          <w:p w14:paraId="7C8F307C">
            <w:pPr>
              <w:pStyle w:val="34"/>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表4-10地下水环境监测一览表</w:t>
            </w:r>
          </w:p>
          <w:tbl>
            <w:tblPr>
              <w:tblStyle w:val="189"/>
              <w:tblW w:w="8001" w:type="dxa"/>
              <w:tblInd w:w="8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48"/>
              <w:gridCol w:w="855"/>
              <w:gridCol w:w="1905"/>
              <w:gridCol w:w="1152"/>
              <w:gridCol w:w="795"/>
              <w:gridCol w:w="2646"/>
            </w:tblGrid>
            <w:tr w14:paraId="54BC7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648" w:type="dxa"/>
                  <w:tcBorders>
                    <w:tl2br w:val="nil"/>
                    <w:tr2bl w:val="nil"/>
                  </w:tcBorders>
                  <w:vAlign w:val="center"/>
                </w:tcPr>
                <w:p w14:paraId="3FAF4804">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类型</w:t>
                  </w:r>
                </w:p>
              </w:tc>
              <w:tc>
                <w:tcPr>
                  <w:tcW w:w="855" w:type="dxa"/>
                  <w:tcBorders>
                    <w:tl2br w:val="nil"/>
                    <w:tr2bl w:val="nil"/>
                  </w:tcBorders>
                  <w:vAlign w:val="center"/>
                </w:tcPr>
                <w:p w14:paraId="272AAC3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污染源</w:t>
                  </w:r>
                </w:p>
              </w:tc>
              <w:tc>
                <w:tcPr>
                  <w:tcW w:w="1905" w:type="dxa"/>
                  <w:tcBorders>
                    <w:tl2br w:val="nil"/>
                    <w:tr2bl w:val="nil"/>
                  </w:tcBorders>
                  <w:vAlign w:val="center"/>
                </w:tcPr>
                <w:p w14:paraId="4983D405">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监测因子</w:t>
                  </w:r>
                </w:p>
              </w:tc>
              <w:tc>
                <w:tcPr>
                  <w:tcW w:w="1152" w:type="dxa"/>
                  <w:tcBorders>
                    <w:tl2br w:val="nil"/>
                    <w:tr2bl w:val="nil"/>
                  </w:tcBorders>
                  <w:vAlign w:val="center"/>
                </w:tcPr>
                <w:p w14:paraId="3739557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监测点位</w:t>
                  </w:r>
                </w:p>
              </w:tc>
              <w:tc>
                <w:tcPr>
                  <w:tcW w:w="795" w:type="dxa"/>
                  <w:tcBorders>
                    <w:tl2br w:val="nil"/>
                    <w:tr2bl w:val="nil"/>
                  </w:tcBorders>
                  <w:vAlign w:val="center"/>
                </w:tcPr>
                <w:p w14:paraId="6626E11D">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w:t>
                  </w:r>
                </w:p>
                <w:p w14:paraId="1D07902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频次</w:t>
                  </w:r>
                </w:p>
              </w:tc>
              <w:tc>
                <w:tcPr>
                  <w:tcW w:w="2646" w:type="dxa"/>
                  <w:tcBorders>
                    <w:tl2br w:val="nil"/>
                    <w:tr2bl w:val="nil"/>
                  </w:tcBorders>
                  <w:vAlign w:val="center"/>
                </w:tcPr>
                <w:p w14:paraId="0DD11FBC">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执行标准</w:t>
                  </w:r>
                </w:p>
              </w:tc>
            </w:tr>
            <w:tr w14:paraId="0DF1D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648" w:type="dxa"/>
                  <w:tcBorders>
                    <w:tl2br w:val="nil"/>
                    <w:tr2bl w:val="nil"/>
                  </w:tcBorders>
                  <w:vAlign w:val="center"/>
                </w:tcPr>
                <w:p w14:paraId="78A0DEB2">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地下</w:t>
                  </w:r>
                </w:p>
                <w:p w14:paraId="43FE8CC5">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水</w:t>
                  </w:r>
                </w:p>
              </w:tc>
              <w:tc>
                <w:tcPr>
                  <w:tcW w:w="855" w:type="dxa"/>
                  <w:tcBorders>
                    <w:tl2br w:val="nil"/>
                    <w:tr2bl w:val="nil"/>
                  </w:tcBorders>
                  <w:vAlign w:val="center"/>
                </w:tcPr>
                <w:p w14:paraId="24A0AF0C">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暂存库贮存物质</w:t>
                  </w:r>
                </w:p>
              </w:tc>
              <w:tc>
                <w:tcPr>
                  <w:tcW w:w="1905" w:type="dxa"/>
                  <w:tcBorders>
                    <w:tl2br w:val="nil"/>
                    <w:tr2bl w:val="nil"/>
                  </w:tcBorders>
                  <w:vAlign w:val="center"/>
                </w:tcPr>
                <w:p w14:paraId="33F0246F">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pH、CODMn、氨氮、石油类、铜、铅、</w:t>
                  </w:r>
                </w:p>
                <w:p w14:paraId="40A95E3D">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汞、砷、硒、镉、镍、六价铬、氟化物、氰化物、亚硝酸盐、硝酸盐、硫酸盐、挥</w:t>
                  </w:r>
                </w:p>
                <w:p w14:paraId="49F73ED1">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发性酚类、四氯化碳</w:t>
                  </w:r>
                </w:p>
              </w:tc>
              <w:tc>
                <w:tcPr>
                  <w:tcW w:w="1152" w:type="dxa"/>
                  <w:tcBorders>
                    <w:tl2br w:val="nil"/>
                    <w:tr2bl w:val="nil"/>
                  </w:tcBorders>
                  <w:vAlign w:val="center"/>
                </w:tcPr>
                <w:p w14:paraId="7A91316D">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建设项目场地上、下游共设2个监测点</w:t>
                  </w:r>
                </w:p>
              </w:tc>
              <w:tc>
                <w:tcPr>
                  <w:tcW w:w="795" w:type="dxa"/>
                  <w:tcBorders>
                    <w:tl2br w:val="nil"/>
                    <w:tr2bl w:val="nil"/>
                  </w:tcBorders>
                  <w:vAlign w:val="center"/>
                </w:tcPr>
                <w:p w14:paraId="2A34264C">
                  <w:pPr>
                    <w:jc w:val="center"/>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eastAsia="zh-CN"/>
                    </w:rPr>
                    <w:t>半</w:t>
                  </w:r>
                  <w:r>
                    <w:rPr>
                      <w:rFonts w:hint="default" w:ascii="Times New Roman" w:hAnsi="Times New Roman" w:cs="Times New Roman" w:eastAsiaTheme="minorEastAsia"/>
                      <w:color w:val="auto"/>
                      <w:sz w:val="21"/>
                      <w:szCs w:val="21"/>
                      <w:highlight w:val="none"/>
                    </w:rPr>
                    <w:t>年/</w:t>
                  </w:r>
                </w:p>
                <w:p w14:paraId="55CF9342">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次</w:t>
                  </w:r>
                </w:p>
              </w:tc>
              <w:tc>
                <w:tcPr>
                  <w:tcW w:w="2646" w:type="dxa"/>
                  <w:tcBorders>
                    <w:tl2br w:val="nil"/>
                    <w:tr2bl w:val="nil"/>
                  </w:tcBorders>
                  <w:vAlign w:val="center"/>
                </w:tcPr>
                <w:p w14:paraId="4A1670E6">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《地下水质量标准》（</w:t>
                  </w:r>
                  <w:r>
                    <w:rPr>
                      <w:rFonts w:hint="eastAsia" w:ascii="Times New Roman" w:hAnsi="Times New Roman" w:cs="Times New Roman" w:eastAsiaTheme="minorEastAsia"/>
                      <w:color w:val="auto"/>
                      <w:sz w:val="21"/>
                      <w:szCs w:val="21"/>
                      <w:highlight w:val="none"/>
                      <w:lang w:eastAsia="zh-CN"/>
                    </w:rPr>
                    <w:t>GB/T 14848-2017</w:t>
                  </w:r>
                  <w:r>
                    <w:rPr>
                      <w:rFonts w:hint="default" w:ascii="Times New Roman" w:hAnsi="Times New Roman" w:cs="Times New Roman" w:eastAsiaTheme="minorEastAsia"/>
                      <w:color w:val="auto"/>
                      <w:sz w:val="21"/>
                      <w:szCs w:val="21"/>
                      <w:highlight w:val="none"/>
                    </w:rPr>
                    <w:t>）表1</w:t>
                  </w:r>
                </w:p>
                <w:p w14:paraId="186C6EE4">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中Ⅲ类标准要求</w:t>
                  </w:r>
                </w:p>
              </w:tc>
            </w:tr>
          </w:tbl>
          <w:p w14:paraId="778C38A5">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（4）地下水异常情况下应急处置</w:t>
            </w:r>
          </w:p>
          <w:p w14:paraId="75593574">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运营期一旦发现地下水发生异常情况，必须按照应急预案马上采取紧急措施：</w:t>
            </w:r>
          </w:p>
          <w:p w14:paraId="66A367D9">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1）当确定发生地下水异常情况时，按照</w:t>
            </w:r>
            <w:r>
              <w:rPr>
                <w:rFonts w:hint="default" w:ascii="Times New Roman" w:hAnsi="Times New Roman" w:cs="Times New Roman"/>
                <w:b w:val="0"/>
                <w:bCs/>
                <w:color w:val="auto"/>
                <w:sz w:val="24"/>
                <w:szCs w:val="24"/>
                <w:highlight w:val="none"/>
                <w:lang w:eastAsia="zh-CN"/>
              </w:rPr>
              <w:t>制定</w:t>
            </w:r>
            <w:r>
              <w:rPr>
                <w:rFonts w:hint="default" w:ascii="Times New Roman" w:hAnsi="Times New Roman" w:eastAsia="宋体" w:cs="Times New Roman"/>
                <w:b w:val="0"/>
                <w:bCs/>
                <w:color w:val="auto"/>
                <w:sz w:val="24"/>
                <w:szCs w:val="24"/>
                <w:highlight w:val="none"/>
              </w:rPr>
              <w:t>的地下水应急预案，在第一时间内尽快上报主管领导，通知当地环保局附近居民等地下水用户，密切关注地下水水质变化情况。</w:t>
            </w:r>
          </w:p>
          <w:p w14:paraId="21E276DF">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2）组织专业队伍对事故现场进行调查监测，查找环境事故发生地点、分析事故原因，尽量将紧急事件局部化，如可能应予以消除，采取包括切断生产装置或设施等措施，对污水进行封闭、截流，防止事故的扩散、蔓延及连锁反应，尽量缩小地下水污染事故对人和财产的影响。</w:t>
            </w:r>
          </w:p>
          <w:p w14:paraId="1B4EC640">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3）当通过监测发现对周围地下水造成污染时，根据观测井的反馈信息，控制污染区地下</w:t>
            </w:r>
            <w:r>
              <w:rPr>
                <w:rFonts w:hint="default" w:ascii="Times New Roman" w:hAnsi="Times New Roman" w:cs="Times New Roman"/>
                <w:b w:val="0"/>
                <w:bCs/>
                <w:color w:val="auto"/>
                <w:sz w:val="24"/>
                <w:szCs w:val="24"/>
                <w:highlight w:val="none"/>
                <w:lang w:eastAsia="zh-CN"/>
              </w:rPr>
              <w:t>水流量</w:t>
            </w:r>
            <w:r>
              <w:rPr>
                <w:rFonts w:hint="default" w:ascii="Times New Roman" w:hAnsi="Times New Roman" w:eastAsia="宋体" w:cs="Times New Roman"/>
                <w:b w:val="0"/>
                <w:bCs/>
                <w:color w:val="auto"/>
                <w:sz w:val="24"/>
                <w:szCs w:val="24"/>
                <w:highlight w:val="none"/>
              </w:rPr>
              <w:t>，防止污染物扩散。</w:t>
            </w:r>
          </w:p>
          <w:p w14:paraId="60296ED3">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4）对事故后果进行评估，并制定防止类似事件发生的措施。</w:t>
            </w:r>
          </w:p>
          <w:p w14:paraId="148E4500">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5）如若自身力量无法应对污染事故，应立即请求社会应急力量协助处理。</w:t>
            </w:r>
          </w:p>
          <w:p w14:paraId="43546A6B">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（5）土壤影响防控措施</w:t>
            </w:r>
          </w:p>
          <w:p w14:paraId="293F5CCC">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1）源头控制措施</w:t>
            </w:r>
          </w:p>
          <w:p w14:paraId="6E311CB6">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评价要求严格落实各项风险防控措施，全面硬化厂区、设置具备四防功能的危险废物暂存间（区）、转运和装卸区，危险废物接收前明确具体成分、危害类别，危险废物分类、隔离存放，及时、定期委托有资质单位处置；整合危险废物资源信息，规范和理顺回收危险废物的渠道，压缩危险废物储存周期，在源头减少</w:t>
            </w:r>
            <w:r>
              <w:rPr>
                <w:rFonts w:hint="eastAsia" w:ascii="Times New Roman" w:hAnsi="Times New Roman" w:cs="Times New Roman"/>
                <w:b w:val="0"/>
                <w:bCs/>
                <w:color w:val="auto"/>
                <w:sz w:val="24"/>
                <w:szCs w:val="24"/>
                <w:highlight w:val="none"/>
                <w:lang w:eastAsia="zh-CN"/>
              </w:rPr>
              <w:t>危险物资</w:t>
            </w:r>
            <w:r>
              <w:rPr>
                <w:rFonts w:hint="default" w:ascii="Times New Roman" w:hAnsi="Times New Roman" w:eastAsia="宋体" w:cs="Times New Roman"/>
                <w:b w:val="0"/>
                <w:bCs/>
                <w:color w:val="auto"/>
                <w:sz w:val="24"/>
                <w:szCs w:val="24"/>
                <w:highlight w:val="none"/>
              </w:rPr>
              <w:t>暂存量。</w:t>
            </w:r>
          </w:p>
          <w:p w14:paraId="28609477">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2）过程防控措施</w:t>
            </w:r>
          </w:p>
          <w:p w14:paraId="59840078">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rPr>
              <w:t>项目涉及大气沉降影响，在危险废物暂存过程中强化有机废气治理设施的维护，定期更换废活性炭，保证去除效果和收集效率；积极落实岗位责任制，持续规范操作；对各环保设施定期维护和保养，全面落实有机类危险废物暂存期间按时开启活性炭吸附设施制度，提高环保设施的实际运行效果；</w:t>
            </w:r>
            <w:r>
              <w:rPr>
                <w:rFonts w:hint="default" w:ascii="Times New Roman" w:hAnsi="Times New Roman" w:cs="Times New Roman"/>
                <w:b w:val="0"/>
                <w:bCs/>
                <w:color w:val="auto"/>
                <w:sz w:val="24"/>
                <w:szCs w:val="24"/>
                <w:highlight w:val="none"/>
                <w:lang w:eastAsia="zh-CN"/>
              </w:rPr>
              <w:t>增强</w:t>
            </w:r>
            <w:r>
              <w:rPr>
                <w:rFonts w:hint="default" w:ascii="Times New Roman" w:hAnsi="Times New Roman" w:eastAsia="宋体" w:cs="Times New Roman"/>
                <w:b w:val="0"/>
                <w:bCs/>
                <w:color w:val="auto"/>
                <w:sz w:val="24"/>
                <w:szCs w:val="24"/>
                <w:highlight w:val="none"/>
              </w:rPr>
              <w:t>应急意识和能力，避免事故状态下产生的废水、废液态风险物质</w:t>
            </w:r>
            <w:r>
              <w:rPr>
                <w:rFonts w:hint="default" w:ascii="Times New Roman" w:hAnsi="Times New Roman" w:cs="Times New Roman"/>
                <w:b w:val="0"/>
                <w:bCs/>
                <w:color w:val="auto"/>
                <w:sz w:val="24"/>
                <w:szCs w:val="24"/>
                <w:highlight w:val="none"/>
                <w:lang w:eastAsia="zh-CN"/>
              </w:rPr>
              <w:t>外溢</w:t>
            </w:r>
            <w:r>
              <w:rPr>
                <w:rFonts w:hint="default" w:ascii="Times New Roman" w:hAnsi="Times New Roman" w:eastAsia="宋体" w:cs="Times New Roman"/>
                <w:b w:val="0"/>
                <w:bCs/>
                <w:color w:val="auto"/>
                <w:sz w:val="24"/>
                <w:szCs w:val="24"/>
                <w:highlight w:val="none"/>
              </w:rPr>
              <w:t>溢出暂存区域，设置具备切换、截留、防渗等功能的事故收集池收集事故废水和泄漏的风险物质，委托有资质单位处理，不得随意排放</w:t>
            </w:r>
            <w:r>
              <w:rPr>
                <w:rFonts w:hint="default" w:ascii="Times New Roman" w:hAnsi="Times New Roman" w:eastAsia="宋体" w:cs="Times New Roman"/>
                <w:b w:val="0"/>
                <w:bCs/>
                <w:color w:val="auto"/>
                <w:sz w:val="24"/>
                <w:szCs w:val="24"/>
                <w:highlight w:val="none"/>
                <w:lang w:eastAsia="zh-CN"/>
              </w:rPr>
              <w:t>。</w:t>
            </w:r>
          </w:p>
          <w:p w14:paraId="7AD7805B">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（6）土壤自行监测</w:t>
            </w:r>
          </w:p>
          <w:p w14:paraId="5759CAB2">
            <w:pPr>
              <w:widowControl/>
              <w:numPr>
                <w:ilvl w:val="0"/>
                <w:numId w:val="0"/>
              </w:num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依据《排污单位自行监测技术指南总则》（HJ 819-2017）、《环境影响评价技术导则土壤环境（试行）》（HJ964-2018）、《</w:t>
            </w:r>
            <w:r>
              <w:rPr>
                <w:rFonts w:hint="eastAsia" w:ascii="Times New Roman" w:hAnsi="Times New Roman" w:cs="Times New Roman"/>
                <w:b w:val="0"/>
                <w:bCs/>
                <w:color w:val="auto"/>
                <w:sz w:val="24"/>
                <w:szCs w:val="24"/>
                <w:highlight w:val="none"/>
                <w:lang w:eastAsia="zh-CN"/>
              </w:rPr>
              <w:t>工业企业土壤和地下水自行监测技术指南（试行）</w:t>
            </w:r>
            <w:r>
              <w:rPr>
                <w:rFonts w:hint="default" w:ascii="Times New Roman" w:hAnsi="Times New Roman" w:eastAsia="宋体" w:cs="Times New Roman"/>
                <w:b w:val="0"/>
                <w:bCs/>
                <w:color w:val="auto"/>
                <w:sz w:val="24"/>
                <w:szCs w:val="24"/>
                <w:highlight w:val="none"/>
              </w:rPr>
              <w:t>》（HJ1209-2021）中相关要求进行监测，</w:t>
            </w:r>
            <w:r>
              <w:rPr>
                <w:rFonts w:hint="eastAsia" w:cs="Times New Roman"/>
                <w:b w:val="0"/>
                <w:bCs/>
                <w:color w:val="auto"/>
                <w:sz w:val="24"/>
                <w:szCs w:val="24"/>
                <w:highlight w:val="none"/>
                <w:lang w:eastAsia="zh-CN"/>
              </w:rPr>
              <w:t>原有项目已制定的土壤自行监测方案，监测点位</w:t>
            </w:r>
            <w:r>
              <w:rPr>
                <w:rFonts w:hint="eastAsia" w:cs="Times New Roman"/>
                <w:b w:val="0"/>
                <w:bCs/>
                <w:color w:val="auto"/>
                <w:sz w:val="24"/>
                <w:szCs w:val="24"/>
                <w:highlight w:val="none"/>
                <w:lang w:val="en-US" w:eastAsia="zh-CN"/>
              </w:rPr>
              <w:t>3#点位位于本次扩建项目西北侧，</w:t>
            </w:r>
            <w:r>
              <w:rPr>
                <w:rFonts w:hint="eastAsia" w:cs="Times New Roman"/>
                <w:b w:val="0"/>
                <w:bCs/>
                <w:color w:val="auto"/>
                <w:sz w:val="24"/>
                <w:szCs w:val="24"/>
                <w:highlight w:val="none"/>
                <w:lang w:eastAsia="zh-CN"/>
              </w:rPr>
              <w:t>可以满足本项目建成后的监测要求，本次环评不再制定新的监测计划，项目建成后继续采用原有项目土壤自行监测计划进行监测。具体如下表所示：</w:t>
            </w:r>
            <w:r>
              <w:rPr>
                <w:rFonts w:hint="default" w:ascii="Times New Roman" w:hAnsi="Times New Roman" w:eastAsia="宋体" w:cs="Times New Roman"/>
                <w:b w:val="0"/>
                <w:bCs/>
                <w:color w:val="auto"/>
                <w:sz w:val="24"/>
                <w:szCs w:val="24"/>
                <w:highlight w:val="none"/>
              </w:rPr>
              <w:t>。</w:t>
            </w:r>
          </w:p>
          <w:p w14:paraId="78299D9E">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4-11</w:t>
            </w:r>
            <w:r>
              <w:rPr>
                <w:rFonts w:hint="default" w:ascii="Times New Roman" w:hAnsi="Times New Roman" w:cs="Times New Roman"/>
                <w:b/>
                <w:color w:val="auto"/>
                <w:highlight w:val="none"/>
              </w:rPr>
              <w:t>项目污染源监测计划表</w:t>
            </w:r>
          </w:p>
          <w:tbl>
            <w:tblPr>
              <w:tblStyle w:val="189"/>
              <w:tblW w:w="8001"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381"/>
              <w:gridCol w:w="1425"/>
              <w:gridCol w:w="1140"/>
              <w:gridCol w:w="2958"/>
            </w:tblGrid>
            <w:tr w14:paraId="24F077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97" w:type="dxa"/>
                  <w:tcBorders>
                    <w:tl2br w:val="nil"/>
                    <w:tr2bl w:val="nil"/>
                  </w:tcBorders>
                  <w:vAlign w:val="center"/>
                </w:tcPr>
                <w:p w14:paraId="1FC23617">
                  <w:pPr>
                    <w:pStyle w:val="195"/>
                    <w:spacing w:before="56" w:line="240" w:lineRule="auto"/>
                    <w:ind w:left="346"/>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14:textOutline w14:w="3795" w14:cap="sq" w14:cmpd="sng">
                        <w14:solidFill>
                          <w14:srgbClr w14:val="000000"/>
                        </w14:solidFill>
                        <w14:prstDash w14:val="solid"/>
                        <w14:bevel/>
                      </w14:textOutline>
                    </w:rPr>
                    <w:t>项目</w:t>
                  </w:r>
                </w:p>
              </w:tc>
              <w:tc>
                <w:tcPr>
                  <w:tcW w:w="1381" w:type="dxa"/>
                  <w:tcBorders>
                    <w:tl2br w:val="nil"/>
                    <w:tr2bl w:val="nil"/>
                  </w:tcBorders>
                  <w:vAlign w:val="center"/>
                </w:tcPr>
                <w:p w14:paraId="7E35F5B3">
                  <w:pPr>
                    <w:pStyle w:val="195"/>
                    <w:spacing w:before="56"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14:textOutline w14:w="3795" w14:cap="sq" w14:cmpd="sng">
                        <w14:solidFill>
                          <w14:srgbClr w14:val="000000"/>
                        </w14:solidFill>
                        <w14:prstDash w14:val="solid"/>
                        <w14:bevel/>
                      </w14:textOutline>
                    </w:rPr>
                    <w:t>监测因子</w:t>
                  </w:r>
                </w:p>
              </w:tc>
              <w:tc>
                <w:tcPr>
                  <w:tcW w:w="1425" w:type="dxa"/>
                  <w:tcBorders>
                    <w:tl2br w:val="nil"/>
                    <w:tr2bl w:val="nil"/>
                  </w:tcBorders>
                  <w:vAlign w:val="center"/>
                </w:tcPr>
                <w:p w14:paraId="0FC6C734">
                  <w:pPr>
                    <w:pStyle w:val="195"/>
                    <w:spacing w:before="55" w:line="240" w:lineRule="auto"/>
                    <w:ind w:left="271"/>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7"/>
                      <w:sz w:val="21"/>
                      <w:szCs w:val="21"/>
                      <w:highlight w:val="none"/>
                      <w14:textOutline w14:w="3795" w14:cap="sq" w14:cmpd="sng">
                        <w14:solidFill>
                          <w14:srgbClr w14:val="000000"/>
                        </w14:solidFill>
                        <w14:prstDash w14:val="solid"/>
                        <w14:bevel/>
                      </w14:textOutline>
                    </w:rPr>
                    <w:t>监测布点</w:t>
                  </w:r>
                </w:p>
              </w:tc>
              <w:tc>
                <w:tcPr>
                  <w:tcW w:w="1140" w:type="dxa"/>
                  <w:tcBorders>
                    <w:tl2br w:val="nil"/>
                    <w:tr2bl w:val="nil"/>
                  </w:tcBorders>
                  <w:vAlign w:val="center"/>
                </w:tcPr>
                <w:p w14:paraId="26C58D87">
                  <w:pPr>
                    <w:pStyle w:val="195"/>
                    <w:spacing w:before="56"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14:textOutline w14:w="3795" w14:cap="sq" w14:cmpd="sng">
                        <w14:solidFill>
                          <w14:srgbClr w14:val="000000"/>
                        </w14:solidFill>
                        <w14:prstDash w14:val="solid"/>
                        <w14:bevel/>
                      </w14:textOutline>
                    </w:rPr>
                    <w:t>监测频次</w:t>
                  </w:r>
                </w:p>
              </w:tc>
              <w:tc>
                <w:tcPr>
                  <w:tcW w:w="2958" w:type="dxa"/>
                  <w:tcBorders>
                    <w:tl2br w:val="nil"/>
                    <w:tr2bl w:val="nil"/>
                  </w:tcBorders>
                  <w:vAlign w:val="center"/>
                </w:tcPr>
                <w:p w14:paraId="417989FC">
                  <w:pPr>
                    <w:pStyle w:val="195"/>
                    <w:spacing w:before="56"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14:textOutline w14:w="3795" w14:cap="sq" w14:cmpd="sng">
                        <w14:solidFill>
                          <w14:srgbClr w14:val="000000"/>
                        </w14:solidFill>
                        <w14:prstDash w14:val="solid"/>
                        <w14:bevel/>
                      </w14:textOutline>
                    </w:rPr>
                    <w:t>执行标准</w:t>
                  </w:r>
                </w:p>
              </w:tc>
            </w:tr>
            <w:tr w14:paraId="211805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97" w:type="dxa"/>
                  <w:tcBorders>
                    <w:tl2br w:val="nil"/>
                    <w:tr2bl w:val="nil"/>
                  </w:tcBorders>
                  <w:vAlign w:val="center"/>
                </w:tcPr>
                <w:p w14:paraId="7068783F">
                  <w:pPr>
                    <w:pStyle w:val="195"/>
                    <w:spacing w:before="65" w:line="240" w:lineRule="auto"/>
                    <w:ind w:left="344"/>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sz w:val="21"/>
                      <w:szCs w:val="21"/>
                      <w:highlight w:val="none"/>
                    </w:rPr>
                    <w:t>土壤</w:t>
                  </w:r>
                </w:p>
              </w:tc>
              <w:tc>
                <w:tcPr>
                  <w:tcW w:w="1381" w:type="dxa"/>
                  <w:tcBorders>
                    <w:tl2br w:val="nil"/>
                    <w:tr2bl w:val="nil"/>
                  </w:tcBorders>
                  <w:vAlign w:val="center"/>
                </w:tcPr>
                <w:p w14:paraId="1E05475F">
                  <w:pPr>
                    <w:pStyle w:val="195"/>
                    <w:spacing w:before="65" w:line="240" w:lineRule="auto"/>
                    <w:ind w:left="104"/>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5"/>
                      <w:sz w:val="21"/>
                      <w:szCs w:val="21"/>
                      <w:highlight w:val="none"/>
                    </w:rPr>
                    <w:t>pH、石油烃、铜、铅、汞、砷、硒、镉、镍、六价铬、</w:t>
                  </w:r>
                </w:p>
              </w:tc>
              <w:tc>
                <w:tcPr>
                  <w:tcW w:w="1425" w:type="dxa"/>
                  <w:tcBorders>
                    <w:tl2br w:val="nil"/>
                    <w:tr2bl w:val="nil"/>
                  </w:tcBorders>
                  <w:vAlign w:val="center"/>
                </w:tcPr>
                <w:p w14:paraId="28CD3062">
                  <w:pPr>
                    <w:pStyle w:val="195"/>
                    <w:spacing w:before="65" w:line="240" w:lineRule="auto"/>
                    <w:ind w:left="104"/>
                    <w:jc w:val="center"/>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pacing w:val="-5"/>
                      <w:sz w:val="21"/>
                      <w:szCs w:val="21"/>
                      <w:highlight w:val="none"/>
                    </w:rPr>
                    <w:t>危废贮存库 房外</w:t>
                  </w:r>
                  <w:r>
                    <w:rPr>
                      <w:rFonts w:hint="eastAsia" w:ascii="Times New Roman" w:hAnsi="Times New Roman" w:cs="Times New Roman" w:eastAsiaTheme="minorEastAsia"/>
                      <w:color w:val="auto"/>
                      <w:spacing w:val="-5"/>
                      <w:sz w:val="21"/>
                      <w:szCs w:val="21"/>
                      <w:highlight w:val="none"/>
                      <w:lang w:eastAsia="zh-CN"/>
                    </w:rPr>
                    <w:t>西北</w:t>
                  </w:r>
                  <w:r>
                    <w:rPr>
                      <w:rFonts w:hint="eastAsia" w:ascii="Times New Roman" w:hAnsi="Times New Roman" w:cs="Times New Roman" w:eastAsiaTheme="minorEastAsia"/>
                      <w:color w:val="auto"/>
                      <w:spacing w:val="-5"/>
                      <w:sz w:val="21"/>
                      <w:szCs w:val="21"/>
                      <w:highlight w:val="none"/>
                    </w:rPr>
                    <w:t>侧</w:t>
                  </w:r>
                  <w:r>
                    <w:rPr>
                      <w:rFonts w:hint="eastAsia" w:ascii="Times New Roman" w:hAnsi="Times New Roman" w:cs="Times New Roman" w:eastAsiaTheme="minorEastAsia"/>
                      <w:color w:val="auto"/>
                      <w:spacing w:val="-5"/>
                      <w:sz w:val="21"/>
                      <w:szCs w:val="21"/>
                      <w:highlight w:val="none"/>
                      <w:lang w:eastAsia="zh-CN"/>
                    </w:rPr>
                    <w:t>（原有监测点</w:t>
                  </w:r>
                  <w:r>
                    <w:rPr>
                      <w:rFonts w:hint="eastAsia" w:ascii="Times New Roman" w:hAnsi="Times New Roman" w:cs="Times New Roman" w:eastAsiaTheme="minorEastAsia"/>
                      <w:color w:val="auto"/>
                      <w:spacing w:val="-5"/>
                      <w:sz w:val="21"/>
                      <w:szCs w:val="21"/>
                      <w:highlight w:val="none"/>
                      <w:lang w:val="en-US" w:eastAsia="zh-CN"/>
                    </w:rPr>
                    <w:t>3#</w:t>
                  </w:r>
                  <w:r>
                    <w:rPr>
                      <w:rFonts w:hint="eastAsia" w:ascii="Times New Roman" w:hAnsi="Times New Roman" w:cs="Times New Roman" w:eastAsiaTheme="minorEastAsia"/>
                      <w:color w:val="auto"/>
                      <w:spacing w:val="-5"/>
                      <w:sz w:val="21"/>
                      <w:szCs w:val="21"/>
                      <w:highlight w:val="none"/>
                      <w:lang w:eastAsia="zh-CN"/>
                    </w:rPr>
                    <w:t>）</w:t>
                  </w:r>
                </w:p>
              </w:tc>
              <w:tc>
                <w:tcPr>
                  <w:tcW w:w="1140" w:type="dxa"/>
                  <w:tcBorders>
                    <w:tl2br w:val="nil"/>
                    <w:tr2bl w:val="nil"/>
                  </w:tcBorders>
                  <w:vAlign w:val="center"/>
                </w:tcPr>
                <w:p w14:paraId="546AC56D">
                  <w:pPr>
                    <w:pStyle w:val="195"/>
                    <w:spacing w:before="65" w:line="240" w:lineRule="auto"/>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4"/>
                      <w:position w:val="1"/>
                      <w:sz w:val="21"/>
                      <w:szCs w:val="21"/>
                      <w:highlight w:val="none"/>
                    </w:rPr>
                    <w:t>1次/年</w:t>
                  </w:r>
                </w:p>
              </w:tc>
              <w:tc>
                <w:tcPr>
                  <w:tcW w:w="2958" w:type="dxa"/>
                  <w:tcBorders>
                    <w:tl2br w:val="nil"/>
                    <w:tr2bl w:val="nil"/>
                  </w:tcBorders>
                  <w:vAlign w:val="center"/>
                </w:tcPr>
                <w:p w14:paraId="6E42E0D1">
                  <w:pPr>
                    <w:pStyle w:val="195"/>
                    <w:spacing w:before="53" w:line="240" w:lineRule="auto"/>
                    <w:ind w:left="160" w:right="114" w:hanging="36"/>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pacing w:val="8"/>
                      <w:sz w:val="21"/>
                      <w:szCs w:val="21"/>
                      <w:highlight w:val="none"/>
                    </w:rPr>
                    <w:t>《土壤环境质量建设用地土壤</w:t>
                  </w:r>
                  <w:r>
                    <w:rPr>
                      <w:rFonts w:hint="default" w:ascii="Times New Roman" w:hAnsi="Times New Roman" w:cs="Times New Roman" w:eastAsiaTheme="minorEastAsia"/>
                      <w:color w:val="auto"/>
                      <w:spacing w:val="11"/>
                      <w:sz w:val="21"/>
                      <w:szCs w:val="21"/>
                      <w:highlight w:val="none"/>
                    </w:rPr>
                    <w:t>污染风险管控标准（试行）》</w:t>
                  </w:r>
                  <w:r>
                    <w:rPr>
                      <w:rFonts w:hint="default" w:ascii="Times New Roman" w:hAnsi="Times New Roman" w:cs="Times New Roman" w:eastAsiaTheme="minorEastAsia"/>
                      <w:color w:val="auto"/>
                      <w:spacing w:val="4"/>
                      <w:sz w:val="21"/>
                      <w:szCs w:val="21"/>
                      <w:highlight w:val="none"/>
                    </w:rPr>
                    <w:t>（</w:t>
                  </w:r>
                  <w:r>
                    <w:rPr>
                      <w:rFonts w:hint="default" w:ascii="Times New Roman" w:hAnsi="Times New Roman" w:cs="Times New Roman" w:eastAsiaTheme="minorEastAsia"/>
                      <w:color w:val="auto"/>
                      <w:sz w:val="21"/>
                      <w:szCs w:val="21"/>
                      <w:highlight w:val="none"/>
                    </w:rPr>
                    <w:t>GB</w:t>
                  </w:r>
                  <w:r>
                    <w:rPr>
                      <w:rFonts w:hint="default" w:ascii="Times New Roman" w:hAnsi="Times New Roman" w:cs="Times New Roman" w:eastAsiaTheme="minorEastAsia"/>
                      <w:color w:val="auto"/>
                      <w:spacing w:val="4"/>
                      <w:sz w:val="21"/>
                      <w:szCs w:val="21"/>
                      <w:highlight w:val="none"/>
                    </w:rPr>
                    <w:t>36600-2018）表1第二类</w:t>
                  </w:r>
                  <w:r>
                    <w:rPr>
                      <w:rFonts w:hint="default" w:ascii="Times New Roman" w:hAnsi="Times New Roman" w:cs="Times New Roman" w:eastAsiaTheme="minorEastAsia"/>
                      <w:color w:val="auto"/>
                      <w:spacing w:val="8"/>
                      <w:sz w:val="21"/>
                      <w:szCs w:val="21"/>
                      <w:highlight w:val="none"/>
                    </w:rPr>
                    <w:t>用地筛选值标准</w:t>
                  </w:r>
                </w:p>
              </w:tc>
            </w:tr>
          </w:tbl>
          <w:p w14:paraId="04C7CD4B">
            <w:pPr>
              <w:widowControl/>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七</w:t>
            </w:r>
            <w:r>
              <w:rPr>
                <w:rFonts w:hint="default" w:ascii="Times New Roman" w:hAnsi="Times New Roman" w:cs="Times New Roman"/>
                <w:b/>
                <w:color w:val="auto"/>
                <w:sz w:val="24"/>
                <w:szCs w:val="24"/>
                <w:highlight w:val="none"/>
              </w:rPr>
              <w:t>、环境风险分析</w:t>
            </w:r>
          </w:p>
          <w:p w14:paraId="6983FFA6">
            <w:pPr>
              <w:keepNext/>
              <w:keepLines/>
              <w:pageBreakBefore w:val="0"/>
              <w:widowControl/>
              <w:kinsoku/>
              <w:wordWrap/>
              <w:overflowPunct/>
              <w:topLinePunct w:val="0"/>
              <w:autoSpaceDE/>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项目不涉及有毒有害等危险物质，涉及的风险物质为暂存的危险废</w:t>
            </w:r>
            <w:r>
              <w:rPr>
                <w:rFonts w:hint="default" w:ascii="Times New Roman" w:hAnsi="Times New Roman" w:cs="Times New Roman"/>
                <w:color w:val="auto"/>
                <w:sz w:val="24"/>
                <w:szCs w:val="24"/>
                <w:highlight w:val="none"/>
                <w:lang w:eastAsia="zh-CN"/>
              </w:rPr>
              <w:t>物，</w:t>
            </w:r>
            <w:r>
              <w:rPr>
                <w:rFonts w:hint="default" w:ascii="Times New Roman" w:hAnsi="Times New Roman" w:eastAsia="宋体" w:cs="Times New Roman"/>
                <w:color w:val="auto"/>
                <w:sz w:val="24"/>
                <w:szCs w:val="24"/>
                <w:highlight w:val="none"/>
              </w:rPr>
              <w:t>本项目建成后应及时根据相关要求</w:t>
            </w:r>
            <w:r>
              <w:rPr>
                <w:rFonts w:hint="default" w:ascii="Times New Roman" w:hAnsi="Times New Roman" w:eastAsia="宋体" w:cs="Times New Roman"/>
                <w:color w:val="auto"/>
                <w:sz w:val="24"/>
                <w:szCs w:val="24"/>
                <w:highlight w:val="none"/>
                <w:lang w:val="en-US" w:eastAsia="zh-CN"/>
              </w:rPr>
              <w:t>并结合项目实际建设情况修订原有项目制定的</w:t>
            </w:r>
            <w:r>
              <w:rPr>
                <w:rFonts w:hint="default" w:ascii="Times New Roman" w:hAnsi="Times New Roman" w:eastAsia="宋体" w:cs="Times New Roman"/>
                <w:color w:val="auto"/>
                <w:sz w:val="24"/>
                <w:szCs w:val="24"/>
                <w:highlight w:val="none"/>
              </w:rPr>
              <w:t>突发环境事件应急预案。通过采取专项中提出的防范措施和制定相应的应急预案，项目风险程度可以降到最低，达到人群可以接受的水平。</w:t>
            </w:r>
          </w:p>
          <w:p w14:paraId="4E99E9D6">
            <w:pPr>
              <w:keepNext/>
              <w:keepLines/>
              <w:pageBreakBefore w:val="0"/>
              <w:widowControl/>
              <w:kinsoku/>
              <w:wordWrap/>
              <w:overflowPunct/>
              <w:topLinePunct w:val="0"/>
              <w:autoSpaceDE/>
              <w:bidi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环境风险分析具体内容详见</w:t>
            </w:r>
            <w:r>
              <w:rPr>
                <w:rFonts w:hint="default" w:ascii="Times New Roman" w:hAnsi="Times New Roman" w:eastAsia="宋体" w:cs="Times New Roman"/>
                <w:color w:val="auto"/>
                <w:sz w:val="24"/>
                <w:szCs w:val="24"/>
                <w:highlight w:val="none"/>
                <w:lang w:eastAsia="zh-CN"/>
              </w:rPr>
              <w:t>环境</w:t>
            </w:r>
            <w:r>
              <w:rPr>
                <w:rFonts w:hint="default" w:ascii="Times New Roman" w:hAnsi="Times New Roman" w:eastAsia="宋体" w:cs="Times New Roman"/>
                <w:color w:val="auto"/>
                <w:sz w:val="24"/>
                <w:szCs w:val="24"/>
                <w:highlight w:val="none"/>
              </w:rPr>
              <w:t>风险</w:t>
            </w:r>
            <w:r>
              <w:rPr>
                <w:rFonts w:hint="default" w:ascii="Times New Roman" w:hAnsi="Times New Roman" w:eastAsia="宋体" w:cs="Times New Roman"/>
                <w:color w:val="auto"/>
                <w:sz w:val="24"/>
                <w:szCs w:val="24"/>
                <w:highlight w:val="none"/>
                <w:lang w:eastAsia="zh-CN"/>
              </w:rPr>
              <w:t>专项评价。</w:t>
            </w:r>
          </w:p>
          <w:p w14:paraId="7ADCC1E8">
            <w:pPr>
              <w:pStyle w:val="34"/>
              <w:rPr>
                <w:rFonts w:hint="default" w:ascii="Times New Roman" w:hAnsi="Times New Roman" w:eastAsia="宋体" w:cs="Times New Roman"/>
                <w:color w:val="auto"/>
                <w:sz w:val="24"/>
                <w:szCs w:val="24"/>
                <w:highlight w:val="none"/>
                <w:lang w:eastAsia="zh-CN"/>
              </w:rPr>
            </w:pPr>
          </w:p>
          <w:p w14:paraId="2C6C773A">
            <w:pPr>
              <w:rPr>
                <w:rFonts w:hint="default" w:ascii="Times New Roman" w:hAnsi="Times New Roman" w:eastAsia="宋体" w:cs="Times New Roman"/>
                <w:color w:val="auto"/>
                <w:sz w:val="24"/>
                <w:szCs w:val="24"/>
                <w:highlight w:val="none"/>
                <w:lang w:eastAsia="zh-CN"/>
              </w:rPr>
            </w:pPr>
          </w:p>
          <w:p w14:paraId="5DF0D2CD">
            <w:pPr>
              <w:pStyle w:val="34"/>
              <w:rPr>
                <w:rFonts w:hint="default" w:ascii="Times New Roman" w:hAnsi="Times New Roman" w:eastAsia="宋体" w:cs="Times New Roman"/>
                <w:color w:val="auto"/>
                <w:sz w:val="24"/>
                <w:szCs w:val="24"/>
                <w:highlight w:val="none"/>
                <w:lang w:eastAsia="zh-CN"/>
              </w:rPr>
            </w:pPr>
          </w:p>
          <w:p w14:paraId="7E28D7BF">
            <w:pPr>
              <w:rPr>
                <w:rFonts w:hint="default" w:ascii="Times New Roman" w:hAnsi="Times New Roman" w:eastAsia="宋体" w:cs="Times New Roman"/>
                <w:color w:val="auto"/>
                <w:sz w:val="24"/>
                <w:szCs w:val="24"/>
                <w:highlight w:val="none"/>
                <w:lang w:eastAsia="zh-CN"/>
              </w:rPr>
            </w:pPr>
          </w:p>
          <w:p w14:paraId="0380D933">
            <w:pPr>
              <w:pStyle w:val="34"/>
              <w:rPr>
                <w:rFonts w:hint="default" w:ascii="Times New Roman" w:hAnsi="Times New Roman" w:eastAsia="宋体" w:cs="Times New Roman"/>
                <w:color w:val="auto"/>
                <w:sz w:val="24"/>
                <w:szCs w:val="24"/>
                <w:highlight w:val="none"/>
                <w:lang w:eastAsia="zh-CN"/>
              </w:rPr>
            </w:pPr>
          </w:p>
          <w:p w14:paraId="0BE48352">
            <w:pPr>
              <w:rPr>
                <w:rFonts w:hint="default" w:ascii="Times New Roman" w:hAnsi="Times New Roman" w:eastAsia="宋体" w:cs="Times New Roman"/>
                <w:color w:val="auto"/>
                <w:sz w:val="24"/>
                <w:szCs w:val="24"/>
                <w:highlight w:val="none"/>
                <w:lang w:eastAsia="zh-CN"/>
              </w:rPr>
            </w:pPr>
          </w:p>
          <w:p w14:paraId="4AEF5868">
            <w:pPr>
              <w:pStyle w:val="34"/>
              <w:rPr>
                <w:rFonts w:hint="default" w:ascii="Times New Roman" w:hAnsi="Times New Roman" w:eastAsia="宋体" w:cs="Times New Roman"/>
                <w:color w:val="auto"/>
                <w:sz w:val="24"/>
                <w:szCs w:val="24"/>
                <w:highlight w:val="none"/>
                <w:lang w:eastAsia="zh-CN"/>
              </w:rPr>
            </w:pPr>
          </w:p>
          <w:p w14:paraId="3E5965DD">
            <w:pPr>
              <w:rPr>
                <w:rFonts w:hint="default" w:ascii="Times New Roman" w:hAnsi="Times New Roman" w:eastAsia="宋体" w:cs="Times New Roman"/>
                <w:color w:val="auto"/>
                <w:sz w:val="24"/>
                <w:szCs w:val="24"/>
                <w:highlight w:val="none"/>
                <w:lang w:eastAsia="zh-CN"/>
              </w:rPr>
            </w:pPr>
          </w:p>
          <w:p w14:paraId="076988D7">
            <w:pPr>
              <w:pStyle w:val="34"/>
              <w:rPr>
                <w:rFonts w:hint="default" w:ascii="Times New Roman" w:hAnsi="Times New Roman" w:eastAsia="宋体" w:cs="Times New Roman"/>
                <w:color w:val="auto"/>
                <w:sz w:val="24"/>
                <w:szCs w:val="24"/>
                <w:highlight w:val="none"/>
                <w:lang w:eastAsia="zh-CN"/>
              </w:rPr>
            </w:pPr>
          </w:p>
          <w:p w14:paraId="7527B13C">
            <w:pPr>
              <w:rPr>
                <w:rFonts w:hint="default" w:ascii="Times New Roman" w:hAnsi="Times New Roman" w:eastAsia="宋体" w:cs="Times New Roman"/>
                <w:color w:val="auto"/>
                <w:sz w:val="24"/>
                <w:szCs w:val="24"/>
                <w:highlight w:val="none"/>
                <w:lang w:eastAsia="zh-CN"/>
              </w:rPr>
            </w:pPr>
          </w:p>
          <w:p w14:paraId="102F9E30">
            <w:pPr>
              <w:pStyle w:val="34"/>
              <w:rPr>
                <w:rFonts w:hint="default" w:ascii="Times New Roman" w:hAnsi="Times New Roman" w:eastAsia="宋体" w:cs="Times New Roman"/>
                <w:color w:val="auto"/>
                <w:sz w:val="24"/>
                <w:szCs w:val="24"/>
                <w:highlight w:val="none"/>
                <w:lang w:eastAsia="zh-CN"/>
              </w:rPr>
            </w:pPr>
          </w:p>
          <w:p w14:paraId="4835CA22">
            <w:pPr>
              <w:rPr>
                <w:rFonts w:hint="default" w:ascii="Times New Roman" w:hAnsi="Times New Roman" w:eastAsia="宋体" w:cs="Times New Roman"/>
                <w:color w:val="auto"/>
                <w:sz w:val="24"/>
                <w:szCs w:val="24"/>
                <w:highlight w:val="none"/>
                <w:lang w:eastAsia="zh-CN"/>
              </w:rPr>
            </w:pPr>
          </w:p>
          <w:p w14:paraId="08EAB181">
            <w:pPr>
              <w:pStyle w:val="34"/>
              <w:rPr>
                <w:rFonts w:hint="default" w:ascii="Times New Roman" w:hAnsi="Times New Roman" w:eastAsia="宋体" w:cs="Times New Roman"/>
                <w:color w:val="auto"/>
                <w:sz w:val="24"/>
                <w:szCs w:val="24"/>
                <w:highlight w:val="none"/>
                <w:lang w:eastAsia="zh-CN"/>
              </w:rPr>
            </w:pPr>
          </w:p>
          <w:p w14:paraId="7D0C3D76">
            <w:pPr>
              <w:rPr>
                <w:rFonts w:hint="default" w:ascii="Times New Roman" w:hAnsi="Times New Roman" w:eastAsia="宋体" w:cs="Times New Roman"/>
                <w:color w:val="auto"/>
                <w:sz w:val="24"/>
                <w:szCs w:val="24"/>
                <w:highlight w:val="none"/>
                <w:lang w:eastAsia="zh-CN"/>
              </w:rPr>
            </w:pPr>
          </w:p>
          <w:p w14:paraId="7BB59DC7">
            <w:pPr>
              <w:pStyle w:val="34"/>
              <w:rPr>
                <w:rFonts w:hint="default" w:ascii="Times New Roman" w:hAnsi="Times New Roman" w:eastAsia="宋体" w:cs="Times New Roman"/>
                <w:color w:val="auto"/>
                <w:sz w:val="24"/>
                <w:szCs w:val="24"/>
                <w:highlight w:val="none"/>
                <w:lang w:eastAsia="zh-CN"/>
              </w:rPr>
            </w:pPr>
          </w:p>
          <w:p w14:paraId="24BB240F">
            <w:pPr>
              <w:rPr>
                <w:rFonts w:hint="default" w:ascii="Times New Roman" w:hAnsi="Times New Roman" w:eastAsia="宋体" w:cs="Times New Roman"/>
                <w:color w:val="auto"/>
                <w:sz w:val="24"/>
                <w:szCs w:val="24"/>
                <w:highlight w:val="none"/>
                <w:lang w:eastAsia="zh-CN"/>
              </w:rPr>
            </w:pPr>
          </w:p>
          <w:p w14:paraId="53087FA5">
            <w:pPr>
              <w:rPr>
                <w:rFonts w:hint="default" w:ascii="Times New Roman" w:hAnsi="Times New Roman" w:eastAsia="宋体" w:cs="Times New Roman"/>
                <w:color w:val="auto"/>
                <w:sz w:val="24"/>
                <w:szCs w:val="24"/>
                <w:highlight w:val="none"/>
                <w:lang w:eastAsia="zh-CN"/>
              </w:rPr>
            </w:pPr>
          </w:p>
          <w:p w14:paraId="575066D6">
            <w:pPr>
              <w:pStyle w:val="34"/>
              <w:rPr>
                <w:rFonts w:hint="default"/>
                <w:color w:val="auto"/>
                <w:highlight w:val="none"/>
              </w:rPr>
            </w:pPr>
          </w:p>
        </w:tc>
      </w:tr>
    </w:tbl>
    <w:p w14:paraId="0BBA01F4">
      <w:pPr>
        <w:adjustRightInd w:val="0"/>
        <w:snapToGrid w:val="0"/>
        <w:spacing w:line="360" w:lineRule="auto"/>
        <w:rPr>
          <w:rFonts w:hint="eastAsia" w:ascii="宋体" w:cs="宋体"/>
          <w:b/>
          <w:color w:val="auto"/>
          <w:kern w:val="0"/>
          <w:highlight w:val="none"/>
        </w:rPr>
        <w:sectPr>
          <w:pgSz w:w="11907" w:h="16840"/>
          <w:pgMar w:top="1701" w:right="1531" w:bottom="2127" w:left="1531" w:header="851" w:footer="1701" w:gutter="0"/>
          <w:pgBorders>
            <w:top w:val="none" w:sz="0" w:space="0"/>
            <w:left w:val="none" w:sz="0" w:space="0"/>
            <w:bottom w:val="none" w:sz="0" w:space="0"/>
            <w:right w:val="none" w:sz="0" w:space="0"/>
          </w:pgBorders>
          <w:cols w:space="720" w:num="1"/>
          <w:docGrid w:linePitch="312" w:charSpace="0"/>
        </w:sectPr>
      </w:pPr>
    </w:p>
    <w:p w14:paraId="5663BBAA">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79" w:name="_Toc9110"/>
      <w:bookmarkStart w:id="80" w:name="_Toc9813"/>
      <w:bookmarkStart w:id="81" w:name="_Toc25977"/>
      <w:bookmarkStart w:id="82" w:name="_Toc19309"/>
      <w:r>
        <w:rPr>
          <w:rFonts w:hint="eastAsia" w:ascii="黑体" w:hAnsi="黑体" w:eastAsia="黑体"/>
          <w:snapToGrid w:val="0"/>
          <w:color w:val="auto"/>
          <w:sz w:val="30"/>
          <w:szCs w:val="30"/>
          <w:highlight w:val="none"/>
        </w:rPr>
        <w:t>五、</w:t>
      </w:r>
      <w:bookmarkStart w:id="83" w:name="_Hlk54167917"/>
      <w:r>
        <w:rPr>
          <w:rFonts w:hint="eastAsia" w:ascii="黑体" w:hAnsi="黑体" w:eastAsia="黑体"/>
          <w:snapToGrid w:val="0"/>
          <w:color w:val="auto"/>
          <w:sz w:val="30"/>
          <w:szCs w:val="30"/>
          <w:highlight w:val="none"/>
        </w:rPr>
        <w:t>环境保护措施监督检查清单</w:t>
      </w:r>
      <w:bookmarkEnd w:id="79"/>
      <w:bookmarkEnd w:id="80"/>
      <w:bookmarkEnd w:id="81"/>
      <w:bookmarkEnd w:id="82"/>
      <w:bookmarkEnd w:id="83"/>
    </w:p>
    <w:tbl>
      <w:tblPr>
        <w:tblStyle w:val="35"/>
        <w:tblW w:w="526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482"/>
        <w:gridCol w:w="1320"/>
        <w:gridCol w:w="1136"/>
        <w:gridCol w:w="2101"/>
        <w:gridCol w:w="3078"/>
      </w:tblGrid>
      <w:tr w14:paraId="0D25B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8" w:type="pct"/>
            <w:tcBorders>
              <w:tl2br w:val="single" w:color="auto" w:sz="4" w:space="0"/>
            </w:tcBorders>
          </w:tcPr>
          <w:p w14:paraId="5028EAEE">
            <w:pPr>
              <w:adjustRightInd w:val="0"/>
              <w:snapToGrid w:val="0"/>
              <w:ind w:firstLine="720"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内容</w:t>
            </w:r>
          </w:p>
          <w:p w14:paraId="49C847AB">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要素</w:t>
            </w:r>
          </w:p>
        </w:tc>
        <w:tc>
          <w:tcPr>
            <w:tcW w:w="943" w:type="pct"/>
            <w:gridSpan w:val="2"/>
            <w:vAlign w:val="center"/>
          </w:tcPr>
          <w:p w14:paraId="7EB1C0A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排放口（编号、</w:t>
            </w:r>
          </w:p>
          <w:p w14:paraId="23D1702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名称）/污染源</w:t>
            </w:r>
          </w:p>
        </w:tc>
        <w:tc>
          <w:tcPr>
            <w:tcW w:w="595" w:type="pct"/>
            <w:vAlign w:val="center"/>
          </w:tcPr>
          <w:p w14:paraId="3FC396A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污染物项目</w:t>
            </w:r>
          </w:p>
        </w:tc>
        <w:tc>
          <w:tcPr>
            <w:tcW w:w="1100" w:type="pct"/>
            <w:vAlign w:val="center"/>
          </w:tcPr>
          <w:p w14:paraId="2F004E5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环境保护措施</w:t>
            </w:r>
          </w:p>
        </w:tc>
        <w:tc>
          <w:tcPr>
            <w:tcW w:w="1612" w:type="pct"/>
            <w:vAlign w:val="center"/>
          </w:tcPr>
          <w:p w14:paraId="4C8B2F3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7386F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8" w:type="pct"/>
            <w:vMerge w:val="restart"/>
            <w:vAlign w:val="center"/>
          </w:tcPr>
          <w:p w14:paraId="5ECC9C0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252" w:type="pct"/>
            <w:vMerge w:val="restart"/>
            <w:vAlign w:val="center"/>
          </w:tcPr>
          <w:p w14:paraId="66F70F6A">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691" w:type="pct"/>
            <w:tcBorders>
              <w:bottom w:val="single" w:color="auto" w:sz="4" w:space="0"/>
            </w:tcBorders>
            <w:vAlign w:val="center"/>
          </w:tcPr>
          <w:p w14:paraId="6AB91E72">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eastAsia="zh-CN"/>
              </w:rPr>
              <w:t>有机废气</w:t>
            </w:r>
            <w:r>
              <w:rPr>
                <w:rFonts w:hint="default" w:ascii="Times New Roman" w:hAnsi="Times New Roman" w:cs="Times New Roman"/>
                <w:bCs/>
                <w:color w:val="auto"/>
                <w:sz w:val="24"/>
                <w:szCs w:val="24"/>
                <w:highlight w:val="none"/>
                <w:lang w:val="en-US" w:eastAsia="zh-CN"/>
              </w:rPr>
              <w:t>DA001</w:t>
            </w:r>
          </w:p>
        </w:tc>
        <w:tc>
          <w:tcPr>
            <w:tcW w:w="595" w:type="pct"/>
            <w:vAlign w:val="center"/>
          </w:tcPr>
          <w:p w14:paraId="724795F1">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非甲烷总烃</w:t>
            </w:r>
          </w:p>
        </w:tc>
        <w:tc>
          <w:tcPr>
            <w:tcW w:w="1100" w:type="pct"/>
            <w:tcBorders>
              <w:bottom w:val="single" w:color="auto" w:sz="4" w:space="0"/>
            </w:tcBorders>
            <w:vAlign w:val="center"/>
          </w:tcPr>
          <w:p w14:paraId="04E7A381">
            <w:pPr>
              <w:widowControl/>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val="en-US" w:eastAsia="zh-CN"/>
              </w:rPr>
              <w:t>密闭</w:t>
            </w:r>
            <w:r>
              <w:rPr>
                <w:rFonts w:hint="default" w:ascii="Times New Roman" w:hAnsi="Times New Roman" w:cs="Times New Roman"/>
                <w:bCs/>
                <w:color w:val="auto"/>
                <w:sz w:val="24"/>
                <w:szCs w:val="24"/>
                <w:highlight w:val="none"/>
                <w:lang w:val="en-US" w:eastAsia="zh-CN"/>
              </w:rPr>
              <w:t>微负压贮存间</w:t>
            </w:r>
            <w:r>
              <w:rPr>
                <w:rFonts w:hint="default" w:ascii="Times New Roman" w:hAnsi="Times New Roman" w:eastAsia="宋体" w:cs="Times New Roman"/>
                <w:bCs/>
                <w:color w:val="auto"/>
                <w:sz w:val="24"/>
                <w:szCs w:val="24"/>
                <w:highlight w:val="none"/>
                <w:lang w:val="en-US" w:eastAsia="zh-CN"/>
              </w:rPr>
              <w:t>，采用二级活性炭吸附后15m排气筒排放</w:t>
            </w:r>
          </w:p>
        </w:tc>
        <w:tc>
          <w:tcPr>
            <w:tcW w:w="1612" w:type="pct"/>
            <w:vAlign w:val="center"/>
          </w:tcPr>
          <w:p w14:paraId="75494B0C">
            <w:pPr>
              <w:widowControl/>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《大气污染物综合排放标准》（GB-16297-1996）</w:t>
            </w:r>
          </w:p>
          <w:p w14:paraId="5E8B2BF3">
            <w:pPr>
              <w:widowControl/>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中表2二级标准</w:t>
            </w:r>
          </w:p>
        </w:tc>
      </w:tr>
      <w:tr w14:paraId="0136C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8" w:type="pct"/>
            <w:vMerge w:val="continue"/>
            <w:vAlign w:val="center"/>
          </w:tcPr>
          <w:p w14:paraId="294A4DEA">
            <w:pPr>
              <w:adjustRightInd w:val="0"/>
              <w:snapToGrid w:val="0"/>
              <w:jc w:val="center"/>
              <w:rPr>
                <w:rFonts w:hint="default" w:ascii="Times New Roman" w:hAnsi="Times New Roman" w:cs="Times New Roman"/>
                <w:color w:val="auto"/>
                <w:sz w:val="24"/>
                <w:szCs w:val="24"/>
                <w:highlight w:val="none"/>
              </w:rPr>
            </w:pPr>
          </w:p>
        </w:tc>
        <w:tc>
          <w:tcPr>
            <w:tcW w:w="252" w:type="pct"/>
            <w:vMerge w:val="continue"/>
            <w:vAlign w:val="center"/>
          </w:tcPr>
          <w:p w14:paraId="655963FC">
            <w:pPr>
              <w:adjustRightInd w:val="0"/>
              <w:snapToGrid w:val="0"/>
              <w:jc w:val="center"/>
              <w:rPr>
                <w:rFonts w:hint="default" w:ascii="Times New Roman" w:hAnsi="Times New Roman" w:cs="Times New Roman"/>
                <w:color w:val="auto"/>
                <w:sz w:val="24"/>
                <w:szCs w:val="24"/>
                <w:highlight w:val="none"/>
              </w:rPr>
            </w:pPr>
          </w:p>
        </w:tc>
        <w:tc>
          <w:tcPr>
            <w:tcW w:w="691" w:type="pct"/>
            <w:tcBorders>
              <w:bottom w:val="single" w:color="auto" w:sz="4" w:space="0"/>
            </w:tcBorders>
            <w:vAlign w:val="center"/>
          </w:tcPr>
          <w:p w14:paraId="40962E38">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酸性废气</w:t>
            </w:r>
            <w:r>
              <w:rPr>
                <w:rFonts w:hint="default" w:ascii="Times New Roman" w:hAnsi="Times New Roman" w:eastAsia="宋体" w:cs="Times New Roman"/>
                <w:bCs/>
                <w:color w:val="auto"/>
                <w:sz w:val="24"/>
                <w:szCs w:val="24"/>
                <w:highlight w:val="none"/>
                <w:lang w:val="en-US" w:eastAsia="zh-CN"/>
              </w:rPr>
              <w:t>（DA002）</w:t>
            </w:r>
          </w:p>
        </w:tc>
        <w:tc>
          <w:tcPr>
            <w:tcW w:w="595" w:type="pct"/>
            <w:vAlign w:val="center"/>
          </w:tcPr>
          <w:p w14:paraId="1359DEEF">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硫酸雾</w:t>
            </w:r>
            <w:r>
              <w:rPr>
                <w:rFonts w:hint="eastAsia" w:cs="Times New Roman"/>
                <w:bCs/>
                <w:color w:val="auto"/>
                <w:sz w:val="24"/>
                <w:szCs w:val="24"/>
                <w:highlight w:val="none"/>
                <w:lang w:val="en-US" w:eastAsia="zh-CN"/>
              </w:rPr>
              <w:t>、氟化物</w:t>
            </w:r>
            <w:r>
              <w:rPr>
                <w:rFonts w:hint="default" w:ascii="Times New Roman" w:hAnsi="Times New Roman" w:eastAsia="宋体" w:cs="Times New Roman"/>
                <w:bCs/>
                <w:color w:val="auto"/>
                <w:sz w:val="24"/>
                <w:szCs w:val="24"/>
                <w:highlight w:val="none"/>
                <w:lang w:val="en-US" w:eastAsia="zh-CN"/>
              </w:rPr>
              <w:t>、HCl、</w:t>
            </w:r>
          </w:p>
        </w:tc>
        <w:tc>
          <w:tcPr>
            <w:tcW w:w="1100" w:type="pct"/>
            <w:tcBorders>
              <w:bottom w:val="single" w:color="auto" w:sz="4" w:space="0"/>
            </w:tcBorders>
            <w:vAlign w:val="center"/>
          </w:tcPr>
          <w:p w14:paraId="66505C87">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密闭</w:t>
            </w:r>
            <w:r>
              <w:rPr>
                <w:rFonts w:hint="default" w:ascii="Times New Roman" w:hAnsi="Times New Roman" w:cs="Times New Roman"/>
                <w:bCs/>
                <w:color w:val="auto"/>
                <w:sz w:val="24"/>
                <w:szCs w:val="24"/>
                <w:highlight w:val="none"/>
                <w:lang w:val="en-US" w:eastAsia="zh-CN"/>
              </w:rPr>
              <w:t>微负压贮存间</w:t>
            </w:r>
            <w:r>
              <w:rPr>
                <w:rFonts w:hint="default" w:ascii="Times New Roman" w:hAnsi="Times New Roman" w:eastAsia="宋体" w:cs="Times New Roman"/>
                <w:bCs/>
                <w:color w:val="auto"/>
                <w:sz w:val="24"/>
                <w:szCs w:val="24"/>
                <w:highlight w:val="none"/>
                <w:lang w:val="en-US" w:eastAsia="zh-CN"/>
              </w:rPr>
              <w:t>，采用碱液喷淋塔处+干式过滤</w:t>
            </w:r>
            <w:r>
              <w:rPr>
                <w:rFonts w:hint="eastAsia" w:cs="Times New Roman"/>
                <w:bCs/>
                <w:color w:val="auto"/>
                <w:sz w:val="24"/>
                <w:szCs w:val="24"/>
                <w:highlight w:val="none"/>
                <w:lang w:val="en-US" w:eastAsia="zh-CN"/>
              </w:rPr>
              <w:t>+活性炭</w:t>
            </w:r>
            <w:r>
              <w:rPr>
                <w:rFonts w:hint="default" w:ascii="Times New Roman" w:hAnsi="Times New Roman" w:cs="Times New Roman"/>
                <w:bCs/>
                <w:color w:val="auto"/>
                <w:sz w:val="24"/>
                <w:szCs w:val="24"/>
                <w:highlight w:val="none"/>
                <w:lang w:val="en-US" w:eastAsia="zh-CN"/>
              </w:rPr>
              <w:t>处</w:t>
            </w:r>
            <w:r>
              <w:rPr>
                <w:rFonts w:hint="default" w:ascii="Times New Roman" w:hAnsi="Times New Roman" w:eastAsia="宋体" w:cs="Times New Roman"/>
                <w:bCs/>
                <w:color w:val="auto"/>
                <w:sz w:val="24"/>
                <w:szCs w:val="24"/>
                <w:highlight w:val="none"/>
                <w:lang w:val="en-US" w:eastAsia="zh-CN"/>
              </w:rPr>
              <w:t>理后15m排气筒排放</w:t>
            </w:r>
          </w:p>
        </w:tc>
        <w:tc>
          <w:tcPr>
            <w:tcW w:w="1612" w:type="pct"/>
            <w:vAlign w:val="center"/>
          </w:tcPr>
          <w:p w14:paraId="363CF958">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《大气污染物综合排放标准》（GB-16297-1996）</w:t>
            </w:r>
          </w:p>
          <w:p w14:paraId="066385A4">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中表2二级标准</w:t>
            </w:r>
          </w:p>
        </w:tc>
      </w:tr>
      <w:tr w14:paraId="0F145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8" w:type="pct"/>
            <w:vMerge w:val="continue"/>
            <w:vAlign w:val="center"/>
          </w:tcPr>
          <w:p w14:paraId="4387F8EB">
            <w:pPr>
              <w:adjustRightInd w:val="0"/>
              <w:snapToGrid w:val="0"/>
              <w:jc w:val="center"/>
              <w:rPr>
                <w:rFonts w:hint="default" w:ascii="Times New Roman" w:hAnsi="Times New Roman" w:cs="Times New Roman"/>
                <w:color w:val="auto"/>
                <w:sz w:val="24"/>
                <w:szCs w:val="24"/>
                <w:highlight w:val="none"/>
              </w:rPr>
            </w:pPr>
          </w:p>
        </w:tc>
        <w:tc>
          <w:tcPr>
            <w:tcW w:w="252" w:type="pct"/>
            <w:vMerge w:val="continue"/>
            <w:vAlign w:val="center"/>
          </w:tcPr>
          <w:p w14:paraId="66E1059D">
            <w:pPr>
              <w:adjustRightInd w:val="0"/>
              <w:snapToGrid w:val="0"/>
              <w:jc w:val="center"/>
              <w:rPr>
                <w:rFonts w:hint="default" w:ascii="Times New Roman" w:hAnsi="Times New Roman" w:cs="Times New Roman"/>
                <w:color w:val="auto"/>
                <w:sz w:val="24"/>
                <w:szCs w:val="24"/>
                <w:highlight w:val="none"/>
              </w:rPr>
            </w:pPr>
          </w:p>
        </w:tc>
        <w:tc>
          <w:tcPr>
            <w:tcW w:w="691" w:type="pct"/>
            <w:tcBorders>
              <w:bottom w:val="single" w:color="auto" w:sz="4" w:space="0"/>
            </w:tcBorders>
            <w:vAlign w:val="center"/>
          </w:tcPr>
          <w:p w14:paraId="5BE3AF2C">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无组织废气</w:t>
            </w:r>
          </w:p>
        </w:tc>
        <w:tc>
          <w:tcPr>
            <w:tcW w:w="595" w:type="pct"/>
            <w:vAlign w:val="center"/>
          </w:tcPr>
          <w:p w14:paraId="6071BE7A">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VOC</w:t>
            </w:r>
            <w:r>
              <w:rPr>
                <w:rFonts w:hint="default" w:ascii="Times New Roman" w:hAnsi="Times New Roman" w:eastAsia="宋体" w:cs="Times New Roman"/>
                <w:bCs/>
                <w:color w:val="auto"/>
                <w:sz w:val="24"/>
                <w:szCs w:val="24"/>
                <w:highlight w:val="none"/>
                <w:vertAlign w:val="subscript"/>
                <w:lang w:val="en-US" w:eastAsia="zh-CN"/>
              </w:rPr>
              <w:t>S</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氟化物</w:t>
            </w:r>
            <w:r>
              <w:rPr>
                <w:rFonts w:hint="default" w:ascii="Times New Roman" w:hAnsi="Times New Roman" w:eastAsia="宋体" w:cs="Times New Roman"/>
                <w:bCs/>
                <w:color w:val="auto"/>
                <w:sz w:val="24"/>
                <w:szCs w:val="24"/>
                <w:highlight w:val="none"/>
                <w:lang w:val="en-US" w:eastAsia="zh-CN"/>
              </w:rPr>
              <w:t>、HCl、</w:t>
            </w:r>
          </w:p>
        </w:tc>
        <w:tc>
          <w:tcPr>
            <w:tcW w:w="1100" w:type="pct"/>
            <w:tcBorders>
              <w:bottom w:val="single" w:color="auto" w:sz="4" w:space="0"/>
            </w:tcBorders>
            <w:vAlign w:val="center"/>
          </w:tcPr>
          <w:p w14:paraId="6EBE049A">
            <w:pPr>
              <w:widowControl/>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危险废物分类、隔离暂存（包装桶及时盖盖，包装袋及时扎口）</w:t>
            </w:r>
          </w:p>
        </w:tc>
        <w:tc>
          <w:tcPr>
            <w:tcW w:w="1612" w:type="pct"/>
            <w:vAlign w:val="center"/>
          </w:tcPr>
          <w:p w14:paraId="4D9F840B">
            <w:pPr>
              <w:widowControl/>
              <w:adjustRightInd w:val="0"/>
              <w:snapToGrid w:val="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《挥发性有机物排放控制标准</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（DB61/T1061-2017）表2浓度限值</w:t>
            </w:r>
          </w:p>
        </w:tc>
      </w:tr>
      <w:tr w14:paraId="017CF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48" w:type="pct"/>
            <w:vMerge w:val="restart"/>
            <w:vAlign w:val="center"/>
          </w:tcPr>
          <w:p w14:paraId="7896049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水环境</w:t>
            </w:r>
          </w:p>
        </w:tc>
        <w:tc>
          <w:tcPr>
            <w:tcW w:w="252" w:type="pct"/>
            <w:vMerge w:val="restart"/>
            <w:vAlign w:val="center"/>
          </w:tcPr>
          <w:p w14:paraId="557FC5E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691" w:type="pct"/>
            <w:tcBorders>
              <w:bottom w:val="single" w:color="auto" w:sz="4" w:space="0"/>
            </w:tcBorders>
            <w:vAlign w:val="center"/>
          </w:tcPr>
          <w:p w14:paraId="12BFB414">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生活污水</w:t>
            </w:r>
          </w:p>
        </w:tc>
        <w:tc>
          <w:tcPr>
            <w:tcW w:w="1695" w:type="pct"/>
            <w:gridSpan w:val="2"/>
            <w:tcBorders>
              <w:bottom w:val="single" w:color="auto" w:sz="4" w:space="0"/>
            </w:tcBorders>
            <w:vAlign w:val="center"/>
          </w:tcPr>
          <w:p w14:paraId="40D0BD19">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不新增生活污水</w:t>
            </w:r>
          </w:p>
        </w:tc>
        <w:tc>
          <w:tcPr>
            <w:tcW w:w="1612" w:type="pct"/>
            <w:vAlign w:val="center"/>
          </w:tcPr>
          <w:p w14:paraId="2AF35055">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3AB94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48" w:type="pct"/>
            <w:vMerge w:val="continue"/>
            <w:vAlign w:val="center"/>
          </w:tcPr>
          <w:p w14:paraId="01858D03">
            <w:pPr>
              <w:adjustRightInd w:val="0"/>
              <w:snapToGrid w:val="0"/>
              <w:jc w:val="center"/>
              <w:rPr>
                <w:rFonts w:hint="default" w:ascii="Times New Roman" w:hAnsi="Times New Roman" w:cs="Times New Roman"/>
                <w:color w:val="auto"/>
                <w:sz w:val="24"/>
                <w:szCs w:val="24"/>
                <w:highlight w:val="none"/>
              </w:rPr>
            </w:pPr>
          </w:p>
        </w:tc>
        <w:tc>
          <w:tcPr>
            <w:tcW w:w="252" w:type="pct"/>
            <w:vMerge w:val="continue"/>
            <w:vAlign w:val="center"/>
          </w:tcPr>
          <w:p w14:paraId="03DD8B9C">
            <w:pPr>
              <w:adjustRightInd w:val="0"/>
              <w:snapToGrid w:val="0"/>
              <w:jc w:val="center"/>
              <w:rPr>
                <w:rFonts w:hint="default" w:ascii="Times New Roman" w:hAnsi="Times New Roman" w:cs="Times New Roman"/>
                <w:color w:val="auto"/>
                <w:sz w:val="24"/>
                <w:szCs w:val="24"/>
                <w:highlight w:val="none"/>
              </w:rPr>
            </w:pPr>
          </w:p>
        </w:tc>
        <w:tc>
          <w:tcPr>
            <w:tcW w:w="691" w:type="pct"/>
            <w:tcBorders>
              <w:bottom w:val="single" w:color="auto" w:sz="4" w:space="0"/>
            </w:tcBorders>
            <w:vAlign w:val="center"/>
          </w:tcPr>
          <w:p w14:paraId="69336193">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生产废水</w:t>
            </w:r>
          </w:p>
        </w:tc>
        <w:tc>
          <w:tcPr>
            <w:tcW w:w="1695" w:type="pct"/>
            <w:gridSpan w:val="2"/>
            <w:tcBorders>
              <w:bottom w:val="single" w:color="auto" w:sz="4" w:space="0"/>
            </w:tcBorders>
            <w:vAlign w:val="center"/>
          </w:tcPr>
          <w:p w14:paraId="6D1251C1">
            <w:pPr>
              <w:widowControl/>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废碱液作为危险废物由有资质公司处置，</w:t>
            </w:r>
            <w:r>
              <w:rPr>
                <w:rFonts w:hint="default" w:ascii="Times New Roman" w:hAnsi="Times New Roman" w:cs="Times New Roman"/>
                <w:color w:val="auto"/>
                <w:sz w:val="24"/>
                <w:szCs w:val="24"/>
                <w:highlight w:val="none"/>
              </w:rPr>
              <w:t>不外排。</w:t>
            </w:r>
          </w:p>
        </w:tc>
        <w:tc>
          <w:tcPr>
            <w:tcW w:w="1612" w:type="pct"/>
            <w:vAlign w:val="center"/>
          </w:tcPr>
          <w:p w14:paraId="35B783B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201F2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748" w:type="pct"/>
            <w:vAlign w:val="center"/>
          </w:tcPr>
          <w:p w14:paraId="49B2783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252" w:type="pct"/>
            <w:vAlign w:val="center"/>
          </w:tcPr>
          <w:p w14:paraId="35EE930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w:t>
            </w:r>
          </w:p>
        </w:tc>
        <w:tc>
          <w:tcPr>
            <w:tcW w:w="691" w:type="pct"/>
            <w:vAlign w:val="center"/>
          </w:tcPr>
          <w:p w14:paraId="55B02BB6">
            <w:pPr>
              <w:adjustRightInd w:val="0"/>
              <w:snapToGrid w:val="0"/>
              <w:jc w:val="cente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环保风机</w:t>
            </w:r>
          </w:p>
        </w:tc>
        <w:tc>
          <w:tcPr>
            <w:tcW w:w="1695" w:type="pct"/>
            <w:gridSpan w:val="2"/>
            <w:vAlign w:val="center"/>
          </w:tcPr>
          <w:p w14:paraId="4085EED0">
            <w:pPr>
              <w:adjustRightInd w:val="0"/>
              <w:snapToGrid w:val="0"/>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基础减振、厂房隔声、距离衰减</w:t>
            </w:r>
          </w:p>
        </w:tc>
        <w:tc>
          <w:tcPr>
            <w:tcW w:w="1612" w:type="pct"/>
            <w:vAlign w:val="center"/>
          </w:tcPr>
          <w:p w14:paraId="307854C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《工业企业厂界环境噪声排放标准》（</w:t>
            </w:r>
            <w:r>
              <w:rPr>
                <w:rFonts w:hint="default" w:ascii="Times New Roman" w:hAnsi="Times New Roman" w:cs="Times New Roman"/>
                <w:color w:val="auto"/>
                <w:sz w:val="24"/>
                <w:szCs w:val="24"/>
                <w:highlight w:val="none"/>
                <w:lang w:eastAsia="zh-CN"/>
              </w:rPr>
              <w:t>GB-</w:t>
            </w:r>
            <w:r>
              <w:rPr>
                <w:rFonts w:hint="default" w:ascii="Times New Roman" w:hAnsi="Times New Roman" w:cs="Times New Roman"/>
                <w:color w:val="auto"/>
                <w:sz w:val="24"/>
                <w:szCs w:val="24"/>
                <w:highlight w:val="none"/>
              </w:rPr>
              <w:t>12348-2008）</w:t>
            </w:r>
          </w:p>
          <w:p w14:paraId="4554156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类标准</w:t>
            </w:r>
          </w:p>
        </w:tc>
      </w:tr>
      <w:tr w14:paraId="58A0D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748" w:type="pct"/>
            <w:vAlign w:val="center"/>
          </w:tcPr>
          <w:p w14:paraId="235BED1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2639" w:type="pct"/>
            <w:gridSpan w:val="4"/>
            <w:vAlign w:val="center"/>
          </w:tcPr>
          <w:p w14:paraId="1A944032">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运营期日常库房清洁产生的废拖把、抹布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含油抹布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活性炭吸附设施定期更换废活性炭</w:t>
            </w:r>
            <w:r>
              <w:rPr>
                <w:rFonts w:hint="eastAsia" w:cs="Times New Roman"/>
                <w:color w:val="auto"/>
                <w:sz w:val="24"/>
                <w:szCs w:val="24"/>
                <w:highlight w:val="none"/>
                <w:lang w:eastAsia="zh-CN"/>
              </w:rPr>
              <w:t>、干式过滤废过滤棉</w:t>
            </w:r>
            <w:r>
              <w:rPr>
                <w:rFonts w:hint="default" w:ascii="Times New Roman" w:hAnsi="Times New Roman" w:cs="Times New Roman"/>
                <w:color w:val="auto"/>
                <w:sz w:val="24"/>
                <w:szCs w:val="24"/>
                <w:highlight w:val="none"/>
              </w:rPr>
              <w:t>分类、隔离暂存于HW49其他废物贮存区，定期交有资质单位运输和处置。</w:t>
            </w:r>
          </w:p>
        </w:tc>
        <w:tc>
          <w:tcPr>
            <w:tcW w:w="1612" w:type="pct"/>
            <w:vAlign w:val="center"/>
          </w:tcPr>
          <w:p w14:paraId="4CF0AA21">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《危险废物贮存污染控制标准》（</w:t>
            </w:r>
            <w:r>
              <w:rPr>
                <w:rFonts w:hint="eastAsia" w:ascii="Times New Roman" w:hAnsi="Times New Roman" w:cs="Times New Roman"/>
                <w:color w:val="auto"/>
                <w:sz w:val="24"/>
                <w:szCs w:val="24"/>
                <w:highlight w:val="none"/>
                <w:lang w:eastAsia="zh-CN"/>
              </w:rPr>
              <w:t>GB 18597-2023</w:t>
            </w:r>
            <w:r>
              <w:rPr>
                <w:rFonts w:hint="default" w:ascii="Times New Roman" w:hAnsi="Times New Roman" w:cs="Times New Roman"/>
                <w:color w:val="auto"/>
                <w:sz w:val="24"/>
                <w:szCs w:val="24"/>
                <w:highlight w:val="none"/>
              </w:rPr>
              <w:t>）及修改单中的有关规定</w:t>
            </w:r>
          </w:p>
        </w:tc>
      </w:tr>
      <w:tr w14:paraId="0BE90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48" w:type="pct"/>
            <w:vAlign w:val="center"/>
          </w:tcPr>
          <w:p w14:paraId="692A4A1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土壤及地下水污染防治措施</w:t>
            </w:r>
          </w:p>
        </w:tc>
        <w:tc>
          <w:tcPr>
            <w:tcW w:w="4251" w:type="pct"/>
            <w:gridSpan w:val="5"/>
            <w:vAlign w:val="center"/>
          </w:tcPr>
          <w:p w14:paraId="54DD31A5">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企业需按照环评要求做好废气防治、地面硬化和全厂重点防渗、固废</w:t>
            </w:r>
            <w:r>
              <w:rPr>
                <w:rFonts w:hint="eastAsia" w:ascii="Times New Roman" w:hAnsi="Times New Roman" w:cs="Times New Roman"/>
                <w:color w:val="auto"/>
                <w:sz w:val="24"/>
                <w:szCs w:val="24"/>
                <w:highlight w:val="none"/>
                <w:lang w:eastAsia="zh-CN"/>
              </w:rPr>
              <w:t>集</w:t>
            </w:r>
            <w:r>
              <w:rPr>
                <w:rFonts w:hint="default" w:ascii="Times New Roman" w:hAnsi="Times New Roman"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处置，并定期巡查防止事故发生。</w:t>
            </w:r>
          </w:p>
          <w:p w14:paraId="5E13C967">
            <w:pPr>
              <w:spacing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仓库内危废容器需叠放时，采用货架式进行处理，避免危废容器间直接接触；</w:t>
            </w:r>
          </w:p>
          <w:p w14:paraId="1DA32AF9">
            <w:pPr>
              <w:spacing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项目实施以后危废暂存区、收集池、应急池、裙脚等均按照《危险废物贮存污染控制标准》(GB18597-2023)、《危险废物收集贮存运输技术规范》</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HJ2025-2012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相关要求进行建设，做到防渗、防风、防雨、防晒要求，并配备具有液体泄漏堵截设施，堵截设施最小容积不应低于对应贮存区域最大液态废物容器容积或液态废物总储量1/10</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二者取较大者</w:t>
            </w:r>
            <w:r>
              <w:rPr>
                <w:rFonts w:hint="default" w:ascii="Times New Roman" w:hAnsi="Times New Roman" w:cs="Times New Roman"/>
                <w:color w:val="auto"/>
                <w:sz w:val="24"/>
                <w:szCs w:val="24"/>
                <w:highlight w:val="none"/>
                <w:lang w:eastAsia="zh-CN"/>
              </w:rPr>
              <w:t>）</w:t>
            </w:r>
          </w:p>
          <w:p w14:paraId="7590691A">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按规范施工，确保危废暂存场地做好防扬散、防流失、防渗漏：规范设置危险废物警示标志，危险废物容器和包装物上设置危险废物识别标签</w:t>
            </w:r>
            <w:r>
              <w:rPr>
                <w:rFonts w:hint="default" w:ascii="Times New Roman" w:hAnsi="Times New Roman" w:eastAsia="宋体" w:cs="Times New Roman"/>
                <w:color w:val="auto"/>
                <w:sz w:val="24"/>
                <w:szCs w:val="24"/>
                <w:highlight w:val="none"/>
                <w:lang w:eastAsia="zh-CN"/>
              </w:rPr>
              <w:t>；</w:t>
            </w:r>
          </w:p>
          <w:p w14:paraId="5989C9D4">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厂区内全面防渗，危险废物分类、隔离暂存，并落实分区防渗：</w:t>
            </w:r>
          </w:p>
          <w:p w14:paraId="0A16809C">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重点防渗区：库房内所有危废贮存区、事故收集池及截留沟渠、危险废物装卸和重装区；防渗性能须满足等效粘土防渗层厚度≥6.0m</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渗透系数≤1.0×10-¹⁰cm/s的等效防渗层；</w:t>
            </w:r>
          </w:p>
          <w:p w14:paraId="2E0C6D46">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简单防渗区：办公室和生活区，一般地面硬化。</w:t>
            </w:r>
          </w:p>
          <w:p w14:paraId="22570395">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土壤污染防治严格落实源头控制措施和过程防控措施，严格</w:t>
            </w:r>
            <w:r>
              <w:rPr>
                <w:rFonts w:hint="default" w:ascii="Times New Roman" w:hAnsi="Times New Roman"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工业企业土壤和地下水自行监测技术指南（试行）</w:t>
            </w:r>
            <w:r>
              <w:rPr>
                <w:rFonts w:hint="default" w:ascii="Times New Roman" w:hAnsi="Times New Roman" w:eastAsia="宋体" w:cs="Times New Roman"/>
                <w:color w:val="auto"/>
                <w:sz w:val="24"/>
                <w:szCs w:val="24"/>
                <w:highlight w:val="none"/>
                <w:lang w:eastAsia="zh-CN"/>
              </w:rPr>
              <w:t>》（HJ1209-2021）落实土壤和地下水定期监测方案。</w:t>
            </w:r>
          </w:p>
        </w:tc>
      </w:tr>
      <w:tr w14:paraId="026DB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48" w:type="pct"/>
            <w:vAlign w:val="center"/>
          </w:tcPr>
          <w:p w14:paraId="16A9F23B">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生态保护措施</w:t>
            </w:r>
          </w:p>
        </w:tc>
        <w:tc>
          <w:tcPr>
            <w:tcW w:w="4251" w:type="pct"/>
            <w:gridSpan w:val="5"/>
            <w:vAlign w:val="center"/>
          </w:tcPr>
          <w:p w14:paraId="42B65E26">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运营期确保初期雨水不外排，危险废物暂存过程中减少跑冒滴漏，按规范处置固体废物。</w:t>
            </w:r>
          </w:p>
        </w:tc>
      </w:tr>
      <w:tr w14:paraId="306F1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48" w:type="pct"/>
            <w:vAlign w:val="center"/>
          </w:tcPr>
          <w:p w14:paraId="72BCA07B">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环境风险</w:t>
            </w:r>
          </w:p>
          <w:p w14:paraId="4F367FF4">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防范措施</w:t>
            </w:r>
          </w:p>
        </w:tc>
        <w:tc>
          <w:tcPr>
            <w:tcW w:w="4251" w:type="pct"/>
            <w:gridSpan w:val="5"/>
            <w:vAlign w:val="center"/>
          </w:tcPr>
          <w:p w14:paraId="04A946F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1）风险源头管控</w:t>
            </w:r>
          </w:p>
          <w:p w14:paraId="516ECD2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①严格按审批的危废经营许可证收集和转运危险废物，不得超范围、超能力经营。</w:t>
            </w:r>
          </w:p>
          <w:p w14:paraId="168EEA0C">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积极整合危险废物资源信息，规范和理顺回收危险废物的渠道，压缩危险废物储存周期（收集的危险废物90%以上实现当天交付有资质运输单位，当日安全抵达有资质处置单位，暂存的危险废物最大暂存周期不超过1周），源头降低风险源强；并按规范在液态风险物质暂存区（间）设置围堰、截留沟渠、事故应急池、视频监控、抽排风设施。</w:t>
            </w:r>
          </w:p>
          <w:p w14:paraId="0961150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接收危险废物前认真核实危废类别、种类、理化性质（尤其实验室废液不得接收废酸、废碱类，并确认pH值中性），明确禁忌要求；接收前了解和确认废稀释剂主要成分，不同企业的废稀释剂在明确成分和禁忌要求前不得随意混合，确保安全。严格落实暂存过程分类、隔离存放要求；及时收集</w:t>
            </w:r>
            <w:r>
              <w:rPr>
                <w:rFonts w:hint="default" w:ascii="Times New Roman" w:hAnsi="Times New Roman"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的液态风险物质，避免</w:t>
            </w:r>
            <w:r>
              <w:rPr>
                <w:rFonts w:hint="default" w:ascii="Times New Roman" w:hAnsi="Times New Roman"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的液态风险物质外流出暂存区域或事故收集池。</w:t>
            </w:r>
          </w:p>
          <w:p w14:paraId="28681F2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④暂存的危险废物严防流失，严格落实出入暂存库区台账记录和转移联单制度，做到账物相符；</w:t>
            </w:r>
          </w:p>
          <w:p w14:paraId="362A1510">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⑤转移和运输危险废物过程中落实转运车上应配备通讯设备（GPS系统及寻呼系统）、处理处置中心联络人员名单及其电话号码，严格落实跟车、押车要求，严格按审批的路线运输，不得随意更改。</w:t>
            </w:r>
          </w:p>
          <w:p w14:paraId="0A1B1CE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⑥应根据实际情况完善应急救援队伍建立基本的考核制度落实基本的消防器材、应急器材、应急演练等应急能力建设培养全员的应急救援意识和能力。</w:t>
            </w:r>
          </w:p>
          <w:p w14:paraId="50550912">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2）风险途径防范措施</w:t>
            </w:r>
          </w:p>
          <w:p w14:paraId="53C0088F">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①特种作业持证上岗，作业过程中精心操作，严防碰撞和抛洒。</w:t>
            </w:r>
          </w:p>
          <w:p w14:paraId="13F36017">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定期查验危险废物暂存容器（包装桶、包装袋）完好情况，发现隐患及时更换，避免收集、暂存和转移、运输途中发生泄漏；暂存过程包装桶及时盖盖，包装袋及时扎口，严格按操作要求码放，不得超高、超限，严防倾倒和泄漏。</w:t>
            </w:r>
          </w:p>
          <w:p w14:paraId="47E14B44">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③定期检查防渗措施完好情况，并记录在案，发现隐患及时处置；严格落实地下水环境监测与管理要求。</w:t>
            </w:r>
          </w:p>
          <w:p w14:paraId="169E7621">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④危险废物暂存期间，暂存库区不得离人，提高值班人员责任心，及时巡查，发现并处置初期突发环境事件，为应急处置提供时间避免事故扩大；严防危险废物流失。</w:t>
            </w:r>
          </w:p>
          <w:p w14:paraId="70C74D0A">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危险废物分类隔离暂存，不得与禁忌物料混合贮藏，同时应加强管理，门窗上锁专人管理，非操作人员不得进入。定期交有资质单位运输和处置，积极压缩在危险废物在危废暂存间的存放周期，最长暂存时间不超过一周。</w:t>
            </w:r>
          </w:p>
          <w:p w14:paraId="50EFBBA7">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⑥厂区内严禁烟火；按规范配置消防器材和防火防爆型电气设施，如防爆灯具、防爆开关、防爆风机等，并定期校验和更换，确保消防设施完好有效；严禁堵塞、占用消防通道。</w:t>
            </w:r>
          </w:p>
          <w:p w14:paraId="2B7F3F6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④严格落实检修动火审批制度。</w:t>
            </w:r>
          </w:p>
          <w:p w14:paraId="6FD86789">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⑤发生突发环境事件产生的事故废水及时引导至事故收集池，事故处置过程中产生的废水和固废委托有资质单位处理，不得随意排放和处置。</w:t>
            </w:r>
          </w:p>
        </w:tc>
      </w:tr>
      <w:tr w14:paraId="539EA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vAlign w:val="center"/>
          </w:tcPr>
          <w:p w14:paraId="5D7F5850">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其他环境</w:t>
            </w:r>
          </w:p>
          <w:p w14:paraId="656B6D4B">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管理要求</w:t>
            </w:r>
          </w:p>
        </w:tc>
        <w:tc>
          <w:tcPr>
            <w:tcW w:w="4251" w:type="pct"/>
            <w:gridSpan w:val="5"/>
            <w:vAlign w:val="center"/>
          </w:tcPr>
          <w:p w14:paraId="1E5D0FF2">
            <w:pPr>
              <w:adjustRightInd w:val="0"/>
              <w:snapToGrid w:val="0"/>
              <w:spacing w:line="360" w:lineRule="auto"/>
              <w:ind w:left="420" w:left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一、环境管理</w:t>
            </w:r>
          </w:p>
          <w:p w14:paraId="6AFE7B6A">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合规经营</w:t>
            </w:r>
          </w:p>
          <w:p w14:paraId="41071CEB">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根据《排污单位自行监测技术指南总则》（HJ819-2017）、《排污许可证申请与核发技术规范总则》（HJ492-2018）、《排污许可管理办法（试行）》要求填报排污许可相关信息。根据《危险废物经营许可证管理办法</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危险废物经营单位审查和许可指南》（2019年修订版）等要求进行危险废物经营许可证的申请等。</w:t>
            </w:r>
          </w:p>
          <w:p w14:paraId="23EB8FBF">
            <w:pPr>
              <w:numPr>
                <w:ilvl w:val="0"/>
                <w:numId w:val="14"/>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w:t>
            </w:r>
          </w:p>
          <w:p w14:paraId="05BD474A">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健全环境管理组织机构</w:t>
            </w:r>
          </w:p>
          <w:p w14:paraId="1CFFFEF6">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进一步明确控制污染、环境的法律负责者和相关的责任人，负责项目整个过程（包括施工期和运行期）的环境保护工作。</w:t>
            </w:r>
          </w:p>
          <w:p w14:paraId="2C1D6EFC">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2.2环境管理台账要求</w:t>
            </w:r>
          </w:p>
          <w:p w14:paraId="55732D66">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将环保设施的运行情况、环保设施日常检查、环境事件等建立环境管理台账。建立健全工程运行过程中的污染源档案、环保设施和工艺流程档案。按月统计污染物排放的有关数据报表和环保设施的运行状况。</w:t>
            </w:r>
          </w:p>
          <w:p w14:paraId="645A1E32">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2.3环境管理制度要求</w:t>
            </w:r>
          </w:p>
          <w:p w14:paraId="67B4826B">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本项目应从以下几方面加强管理：</w:t>
            </w:r>
          </w:p>
          <w:p w14:paraId="650E0251">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（1）危险废物进入暂存区域的环境管理</w:t>
            </w:r>
          </w:p>
          <w:p w14:paraId="6CF694B0">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对进厂废物的管理的重点是要</w:t>
            </w:r>
            <w:r>
              <w:rPr>
                <w:rFonts w:hint="default" w:ascii="Times New Roman" w:hAnsi="Times New Roman" w:cs="Times New Roman"/>
                <w:color w:val="auto"/>
                <w:sz w:val="24"/>
                <w:szCs w:val="24"/>
                <w:highlight w:val="none"/>
                <w:lang w:eastAsia="zh-CN"/>
              </w:rPr>
              <w:t>做</w:t>
            </w:r>
            <w:r>
              <w:rPr>
                <w:rFonts w:hint="default" w:ascii="Times New Roman" w:hAnsi="Times New Roman" w:eastAsia="宋体" w:cs="Times New Roman"/>
                <w:color w:val="auto"/>
                <w:sz w:val="24"/>
                <w:szCs w:val="24"/>
                <w:highlight w:val="none"/>
              </w:rPr>
              <w:t>到有案可查。</w:t>
            </w:r>
          </w:p>
          <w:p w14:paraId="578940A2">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①废物处理处置合同：对每一种进厂的废物都要与产生废物企业</w:t>
            </w:r>
            <w:r>
              <w:rPr>
                <w:rFonts w:hint="default" w:ascii="Times New Roman" w:hAnsi="Times New Roman" w:cs="Times New Roman"/>
                <w:color w:val="auto"/>
                <w:sz w:val="24"/>
                <w:szCs w:val="24"/>
                <w:highlight w:val="none"/>
                <w:lang w:eastAsia="zh-CN"/>
              </w:rPr>
              <w:t>签订</w:t>
            </w:r>
            <w:r>
              <w:rPr>
                <w:rFonts w:hint="default" w:ascii="Times New Roman" w:hAnsi="Times New Roman" w:eastAsia="宋体" w:cs="Times New Roman"/>
                <w:color w:val="auto"/>
                <w:sz w:val="24"/>
                <w:szCs w:val="24"/>
                <w:highlight w:val="none"/>
              </w:rPr>
              <w:t>合同。合同标明：厂名、法人代表、废物名称、</w:t>
            </w:r>
            <w:r>
              <w:rPr>
                <w:rFonts w:hint="default" w:ascii="Times New Roman" w:hAnsi="Times New Roman"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工艺、主要污染物、废物形态、运输方式、数量等。</w:t>
            </w:r>
          </w:p>
          <w:p w14:paraId="4C8FFE08">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②必要时进行化学成分检测（PH测定等）或进行危险废物鉴别。为废物的收集和贮存</w:t>
            </w:r>
            <w:r>
              <w:rPr>
                <w:rFonts w:hint="default" w:ascii="Times New Roman" w:hAnsi="Times New Roman" w:cs="Times New Roman"/>
                <w:color w:val="auto"/>
                <w:sz w:val="24"/>
                <w:szCs w:val="24"/>
                <w:highlight w:val="none"/>
                <w:lang w:eastAsia="zh-CN"/>
              </w:rPr>
              <w:t>做好准备</w:t>
            </w:r>
            <w:r>
              <w:rPr>
                <w:rFonts w:hint="default" w:ascii="Times New Roman" w:hAnsi="Times New Roman" w:eastAsia="宋体" w:cs="Times New Roman"/>
                <w:color w:val="auto"/>
                <w:sz w:val="24"/>
                <w:szCs w:val="24"/>
                <w:highlight w:val="none"/>
              </w:rPr>
              <w:t>。若进行成分检测或进行危险废物鉴别，合同书同时附有危险废物鉴别报告等相关资料。</w:t>
            </w:r>
          </w:p>
          <w:p w14:paraId="57FE9EBD">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不符合暂存条件的危险废物严禁接收和进入暂存区。</w:t>
            </w:r>
          </w:p>
          <w:p w14:paraId="3CDE3FD3">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③进厂测量：称重、含水率等。</w:t>
            </w:r>
          </w:p>
          <w:p w14:paraId="03FD40C1">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④设立废物名片：进厂废物经测量和化学检测后立刻加标废物名片、存档、挂牌、方可进入暂存区域。</w:t>
            </w:r>
          </w:p>
          <w:p w14:paraId="07BA1407">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（2）危险废物贮存的环境管理</w:t>
            </w:r>
          </w:p>
          <w:p w14:paraId="311A3266">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①严格执行《危险废物贮存污染控制标准》（</w:t>
            </w:r>
            <w:r>
              <w:rPr>
                <w:rFonts w:hint="eastAsia" w:ascii="Times New Roman" w:hAnsi="Times New Roman" w:cs="Times New Roman"/>
                <w:color w:val="auto"/>
                <w:sz w:val="24"/>
                <w:szCs w:val="24"/>
                <w:highlight w:val="none"/>
                <w:lang w:eastAsia="zh-CN"/>
              </w:rPr>
              <w:t>GB 18597-2023</w:t>
            </w:r>
            <w:r>
              <w:rPr>
                <w:rFonts w:hint="default" w:ascii="Times New Roman" w:hAnsi="Times New Roman" w:eastAsia="宋体" w:cs="Times New Roman"/>
                <w:color w:val="auto"/>
                <w:sz w:val="24"/>
                <w:szCs w:val="24"/>
                <w:highlight w:val="none"/>
              </w:rPr>
              <w:t>）、《危险废物污染防治技术政策》（环发</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2001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199号）、《危险废物的收集、贮存和运输技术规范》（HJ2025-2012）中的有关要求。</w:t>
            </w:r>
          </w:p>
          <w:p w14:paraId="68449C80">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②盛装危废容器的强度、压力等要满足相关标准，其材质、衬里等要与废物相容。</w:t>
            </w:r>
          </w:p>
          <w:p w14:paraId="45AD9BF5">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③贮存区要有严格防渗措施，严禁化学不相容性废物接触。</w:t>
            </w:r>
          </w:p>
          <w:p w14:paraId="36868448">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④定期对废物包装容器及贮存设施进行检查，发现破损，及时采取措施清理更换。</w:t>
            </w:r>
          </w:p>
          <w:p w14:paraId="003FB214">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⑤贮存区应配备通讯设备、照明设施和消防设施；</w:t>
            </w:r>
          </w:p>
          <w:p w14:paraId="0233093F">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（3）危险废物运输环境管理</w:t>
            </w:r>
          </w:p>
          <w:p w14:paraId="278ECED6">
            <w:pPr>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废物运输管理最重要的原则是专车专线、有明显的标志。标志要满足GB15562.2-1995的要求。</w:t>
            </w:r>
          </w:p>
          <w:p w14:paraId="46D8A090">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①按规查验危险废物运输单位资质的完备性和有效性，专用车辆一定要有明显的标志。</w:t>
            </w:r>
          </w:p>
          <w:p w14:paraId="64EB1EBB">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②危险废物收集和转运路线均需经过审批，并严格审批路线进行收集和转运。</w:t>
            </w:r>
          </w:p>
          <w:p w14:paraId="2341B9A8">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③制定危险废物泄漏情况下的应急计划。明确不同废物对应的清理方法和工具，对运输人员进行相关培训。</w:t>
            </w:r>
          </w:p>
          <w:p w14:paraId="05175BE2">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④严格执行危险废物转移五联单制度并存档。</w:t>
            </w:r>
          </w:p>
          <w:p w14:paraId="5E19A0A7">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（4）运行监测管理</w:t>
            </w:r>
          </w:p>
          <w:p w14:paraId="7947B9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建立废气、厂界周围、地下水、土壤定期监测点及定期监测制度。同时做好监测</w:t>
            </w:r>
            <w:r>
              <w:rPr>
                <w:rFonts w:hint="default" w:ascii="Times New Roman" w:hAnsi="Times New Roman" w:cs="Times New Roman"/>
                <w:color w:val="auto"/>
                <w:sz w:val="24"/>
                <w:szCs w:val="24"/>
                <w:highlight w:val="none"/>
                <w:lang w:eastAsia="zh-CN"/>
              </w:rPr>
              <w:t>记</w:t>
            </w:r>
            <w:r>
              <w:rPr>
                <w:rFonts w:hint="default" w:ascii="Times New Roman" w:hAnsi="Times New Roman" w:eastAsia="宋体" w:cs="Times New Roman"/>
                <w:color w:val="auto"/>
                <w:sz w:val="24"/>
                <w:szCs w:val="24"/>
                <w:highlight w:val="none"/>
              </w:rPr>
              <w:t>录。</w:t>
            </w:r>
          </w:p>
          <w:p w14:paraId="14BFAD5E">
            <w:p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竣工环境保护验收</w:t>
            </w:r>
          </w:p>
          <w:p w14:paraId="28A262DA">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竣工环境保护验收暂行办法》（国环规环评【2017】4号），建设项目竣工后，建设单位应如实查验、监测、记录建设项目环境保护设施的建设和调试情况，编制验收监测报告。验收报告公示期满后5个工作日内建设单位应登录全国建设项目竣工环境保护信息平台，填报建设项目基本信息、环境保护设施验收情况等相关信息，环境保护部门对上述信息予以公开。建设单位应将验收报告归入环保档案备查。</w:t>
            </w:r>
          </w:p>
          <w:p w14:paraId="581E1CA0">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其他相关要求：</w:t>
            </w:r>
          </w:p>
          <w:p w14:paraId="26955C71">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①排污口位置和数量、排放方式、排放去向、排放污染物种类、排放浓度和排放量、执行的排放标准等符合排污许可证的规定，不得私设暗管或以其他方式逃避监管。</w:t>
            </w:r>
          </w:p>
          <w:p w14:paraId="0B7DB5B6">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②按排污许可证规定的监测点位、监测因子、监测频次和相关监测技术规范开展自行监测并公开。</w:t>
            </w:r>
          </w:p>
          <w:p w14:paraId="624DD233">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③按规范进行台账记录，主要内容包括生产信息、燃料、原辅材料使用情况、污染防治设施运行记录、监测数据等。</w:t>
            </w:r>
          </w:p>
          <w:p w14:paraId="70717873">
            <w:pPr>
              <w:pStyle w:val="3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按排污许可证规定，定期在国家排污许可证管理信息平台填报信息，编制排污许可证执行报告，及时报送有核发权的环境保护主管部门并公开，执行报告主要内容包括生产信息、污染防治设施运行情况、污染物按证排污情况等。</w:t>
            </w:r>
          </w:p>
          <w:p w14:paraId="25E993A3">
            <w:pPr>
              <w:pStyle w:val="26"/>
              <w:numPr>
                <w:ilvl w:val="0"/>
                <w:numId w:val="0"/>
              </w:numPr>
              <w:spacing w:before="0" w:beforeAutospacing="0" w:after="0" w:afterAutospacing="0" w:line="360" w:lineRule="auto"/>
              <w:ind w:leftChars="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二、环保投资</w:t>
            </w:r>
          </w:p>
          <w:p w14:paraId="16F1439D">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建设单位必须落实环保资金，切实用于废气治理、噪声治理、固废处理等，本项目总投资</w:t>
            </w:r>
            <w:r>
              <w:rPr>
                <w:rFonts w:hint="default"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万元，经估算本项目建设用于环保方面的投资</w:t>
            </w:r>
            <w:r>
              <w:rPr>
                <w:rFonts w:hint="default" w:ascii="Times New Roman" w:hAnsi="Times New Roman" w:cs="Times New Roman"/>
                <w:color w:val="auto"/>
                <w:sz w:val="24"/>
                <w:szCs w:val="24"/>
                <w:highlight w:val="none"/>
                <w:lang w:val="en-US" w:eastAsia="zh-CN"/>
              </w:rPr>
              <w:t>59</w:t>
            </w:r>
            <w:r>
              <w:rPr>
                <w:rFonts w:hint="default" w:ascii="Times New Roman" w:hAnsi="Times New Roman" w:cs="Times New Roman"/>
                <w:color w:val="auto"/>
                <w:sz w:val="24"/>
                <w:szCs w:val="24"/>
                <w:highlight w:val="none"/>
              </w:rPr>
              <w:t>万元，占本项目总投资的</w:t>
            </w:r>
            <w:r>
              <w:rPr>
                <w:rFonts w:hint="default" w:ascii="Times New Roman" w:hAnsi="Times New Roman" w:cs="Times New Roman"/>
                <w:color w:val="auto"/>
                <w:sz w:val="24"/>
                <w:szCs w:val="24"/>
                <w:highlight w:val="none"/>
                <w:lang w:val="en-US" w:eastAsia="zh-CN"/>
              </w:rPr>
              <w:t>29.5</w:t>
            </w:r>
            <w:r>
              <w:rPr>
                <w:rFonts w:hint="default" w:ascii="Times New Roman" w:hAnsi="Times New Roman" w:cs="Times New Roman"/>
                <w:color w:val="auto"/>
                <w:sz w:val="24"/>
                <w:szCs w:val="24"/>
                <w:highlight w:val="none"/>
              </w:rPr>
              <w:t>%，具体见下表。</w:t>
            </w:r>
          </w:p>
          <w:p w14:paraId="01DE5327">
            <w:pPr>
              <w:widowControl/>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表5-1环保投资一览表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690"/>
              <w:gridCol w:w="1125"/>
              <w:gridCol w:w="3795"/>
              <w:gridCol w:w="717"/>
              <w:gridCol w:w="1134"/>
            </w:tblGrid>
            <w:tr w14:paraId="7C265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12" w:type="pct"/>
                  <w:gridSpan w:val="3"/>
                  <w:vAlign w:val="center"/>
                </w:tcPr>
                <w:p w14:paraId="38D5871B">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2411" w:type="pct"/>
                  <w:vAlign w:val="center"/>
                </w:tcPr>
                <w:p w14:paraId="55A1165E">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环保设施</w:t>
                  </w:r>
                </w:p>
              </w:tc>
              <w:tc>
                <w:tcPr>
                  <w:tcW w:w="455" w:type="pct"/>
                  <w:tcMar>
                    <w:left w:w="0" w:type="dxa"/>
                    <w:right w:w="0" w:type="dxa"/>
                  </w:tcMar>
                  <w:vAlign w:val="center"/>
                </w:tcPr>
                <w:p w14:paraId="610E4B6F">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c>
                <w:tcPr>
                  <w:tcW w:w="720" w:type="pct"/>
                  <w:tcMar>
                    <w:left w:w="0" w:type="dxa"/>
                    <w:right w:w="0" w:type="dxa"/>
                  </w:tcMar>
                  <w:vAlign w:val="center"/>
                </w:tcPr>
                <w:p w14:paraId="37AD28BA">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投资（万元）</w:t>
                  </w:r>
                </w:p>
              </w:tc>
            </w:tr>
            <w:tr w14:paraId="5F8BD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restart"/>
                  <w:vAlign w:val="center"/>
                </w:tcPr>
                <w:p w14:paraId="4FA66853">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运营期</w:t>
                  </w:r>
                </w:p>
              </w:tc>
              <w:tc>
                <w:tcPr>
                  <w:tcW w:w="438" w:type="pct"/>
                  <w:vAlign w:val="center"/>
                </w:tcPr>
                <w:p w14:paraId="5075C9EB">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714" w:type="pct"/>
                  <w:vAlign w:val="center"/>
                </w:tcPr>
                <w:p w14:paraId="00595507">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有机废气、酸性废气、</w:t>
                  </w:r>
                  <w:r>
                    <w:rPr>
                      <w:rFonts w:hint="eastAsia" w:cs="Times New Roman"/>
                      <w:color w:val="auto"/>
                      <w:sz w:val="21"/>
                      <w:szCs w:val="21"/>
                      <w:highlight w:val="none"/>
                      <w:lang w:eastAsia="zh-CN"/>
                    </w:rPr>
                    <w:t>恶臭气体</w:t>
                  </w:r>
                </w:p>
              </w:tc>
              <w:tc>
                <w:tcPr>
                  <w:tcW w:w="2411" w:type="pct"/>
                  <w:vAlign w:val="center"/>
                </w:tcPr>
                <w:p w14:paraId="6114AFFA">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对HW12、HW13、HW16、HW17、HW49、HW50贮存间设置为负压收集系统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二级活性炭</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15m排气筒（DA001）排放；废铅蓄电池、含酸性废液、废渣设置为微负压收集系统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碱液喷淋+干式过滤</w:t>
                  </w:r>
                  <w:r>
                    <w:rPr>
                      <w:rFonts w:hint="eastAsia" w:cs="Times New Roman"/>
                      <w:color w:val="auto"/>
                      <w:sz w:val="21"/>
                      <w:szCs w:val="21"/>
                      <w:highlight w:val="none"/>
                      <w:lang w:val="en-US" w:eastAsia="zh-CN"/>
                    </w:rPr>
                    <w:t>+活性炭吸附</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15m排气筒（DA002）排放。</w:t>
                  </w:r>
                </w:p>
              </w:tc>
              <w:tc>
                <w:tcPr>
                  <w:tcW w:w="455" w:type="pct"/>
                  <w:tcMar>
                    <w:left w:w="0" w:type="dxa"/>
                    <w:right w:w="0" w:type="dxa"/>
                  </w:tcMar>
                  <w:vAlign w:val="center"/>
                </w:tcPr>
                <w:p w14:paraId="5CF49B50">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1189560E">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r w14:paraId="01799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vMerge w:val="continue"/>
                  <w:vAlign w:val="center"/>
                </w:tcPr>
                <w:p w14:paraId="7C53071D">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p>
              </w:tc>
              <w:tc>
                <w:tcPr>
                  <w:tcW w:w="438" w:type="pct"/>
                  <w:vAlign w:val="center"/>
                </w:tcPr>
                <w:p w14:paraId="7F62F501">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714" w:type="pct"/>
                  <w:vAlign w:val="center"/>
                </w:tcPr>
                <w:p w14:paraId="4D51A40B">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设备噪声</w:t>
                  </w:r>
                </w:p>
              </w:tc>
              <w:tc>
                <w:tcPr>
                  <w:tcW w:w="2411" w:type="pct"/>
                  <w:vAlign w:val="center"/>
                </w:tcPr>
                <w:p w14:paraId="00EB7042">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基础减振、风机安装隔声罩等</w:t>
                  </w:r>
                </w:p>
              </w:tc>
              <w:tc>
                <w:tcPr>
                  <w:tcW w:w="455" w:type="pct"/>
                  <w:tcMar>
                    <w:left w:w="0" w:type="dxa"/>
                    <w:right w:w="0" w:type="dxa"/>
                  </w:tcMar>
                  <w:vAlign w:val="center"/>
                </w:tcPr>
                <w:p w14:paraId="14977EF5">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79480367">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r>
            <w:tr w14:paraId="2A642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2" w:type="pct"/>
                  <w:gridSpan w:val="3"/>
                  <w:vAlign w:val="center"/>
                </w:tcPr>
                <w:p w14:paraId="350C5AFA">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土壤、地下水</w:t>
                  </w:r>
                </w:p>
              </w:tc>
              <w:tc>
                <w:tcPr>
                  <w:tcW w:w="2411" w:type="pct"/>
                  <w:vAlign w:val="center"/>
                </w:tcPr>
                <w:p w14:paraId="1FD90B1B">
                  <w:pPr>
                    <w:widowControl/>
                    <w:adjustRightInd w:val="0"/>
                    <w:snapToGrid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厂区采取分区防渗：整个贮存库房、收集池、收集沟、应急池进行重点防渗，确保等效黏土防渗层Mb≥6.0m</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防渗系数K≤10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cm/s。场区内布设1口地下水水质跟踪监测井，严格按照要求对项目下游地下水水质监测井进行监测，加强对防渗工程的检查：加强营运管理、规范操作，避免发生“跑、冒、滴、漏”</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各危险废物均在贮存库内进行装卸，禁止露天堆放危险废物和沾染有危险废物的包装容器，避免雨水冲刷导致污染物进入土壤造成污染</w:t>
                  </w:r>
                </w:p>
              </w:tc>
              <w:tc>
                <w:tcPr>
                  <w:tcW w:w="455" w:type="pct"/>
                  <w:tcMar>
                    <w:left w:w="0" w:type="dxa"/>
                    <w:right w:w="0" w:type="dxa"/>
                  </w:tcMar>
                  <w:vAlign w:val="center"/>
                </w:tcPr>
                <w:p w14:paraId="5E936C39">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339880BA">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686AD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2" w:type="pct"/>
                  <w:gridSpan w:val="3"/>
                  <w:vAlign w:val="center"/>
                </w:tcPr>
                <w:p w14:paraId="3DD9E489">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环境风险防范</w:t>
                  </w:r>
                </w:p>
              </w:tc>
              <w:tc>
                <w:tcPr>
                  <w:tcW w:w="2411" w:type="pct"/>
                  <w:vAlign w:val="center"/>
                </w:tcPr>
                <w:p w14:paraId="53A5F8F2">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贮存库按地下水和土壤防护要求防渗处理；每个贮存危险废物的房间内均设置防渗收集沟、防腐防渗收集池；设置可燃气体报警探头、有毒气体报警探头、视频监控等；配置消防沙、消火栓、灭火器、自动喷淋灭火系统等消防设施：配备应急物资；</w:t>
                  </w:r>
                </w:p>
              </w:tc>
              <w:tc>
                <w:tcPr>
                  <w:tcW w:w="455" w:type="pct"/>
                  <w:tcMar>
                    <w:left w:w="0" w:type="dxa"/>
                    <w:right w:w="0" w:type="dxa"/>
                  </w:tcMar>
                  <w:vAlign w:val="center"/>
                </w:tcPr>
                <w:p w14:paraId="7769F231">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c>
                <w:tcPr>
                  <w:tcW w:w="720" w:type="pct"/>
                  <w:tcMar>
                    <w:left w:w="0" w:type="dxa"/>
                    <w:right w:w="0" w:type="dxa"/>
                  </w:tcMar>
                  <w:vAlign w:val="center"/>
                </w:tcPr>
                <w:p w14:paraId="6EE5EC84">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r>
            <w:tr w14:paraId="0391A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9" w:type="pct"/>
                  <w:gridSpan w:val="5"/>
                  <w:vAlign w:val="center"/>
                </w:tcPr>
                <w:p w14:paraId="153678EF">
                  <w:pPr>
                    <w:widowControl/>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合计</w:t>
                  </w:r>
                </w:p>
              </w:tc>
              <w:tc>
                <w:tcPr>
                  <w:tcW w:w="720" w:type="pct"/>
                  <w:tcMar>
                    <w:left w:w="0" w:type="dxa"/>
                    <w:right w:w="0" w:type="dxa"/>
                  </w:tcMar>
                  <w:vAlign w:val="center"/>
                </w:tcPr>
                <w:p w14:paraId="40C07AB9">
                  <w:pPr>
                    <w:widowControl/>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w:t>
                  </w:r>
                </w:p>
              </w:tc>
            </w:tr>
          </w:tbl>
          <w:p w14:paraId="39F11D85">
            <w:pPr>
              <w:pStyle w:val="34"/>
              <w:rPr>
                <w:rFonts w:hint="default" w:ascii="Times New Roman" w:hAnsi="Times New Roman" w:cs="Times New Roman"/>
                <w:b/>
                <w:color w:val="auto"/>
                <w:highlight w:val="none"/>
              </w:rPr>
            </w:pPr>
          </w:p>
          <w:p w14:paraId="1042521A">
            <w:pPr>
              <w:rPr>
                <w:rFonts w:hint="default" w:ascii="Times New Roman" w:hAnsi="Times New Roman" w:cs="Times New Roman"/>
                <w:b/>
                <w:color w:val="auto"/>
                <w:highlight w:val="none"/>
              </w:rPr>
            </w:pPr>
          </w:p>
          <w:p w14:paraId="57BD786A">
            <w:pPr>
              <w:pStyle w:val="34"/>
              <w:rPr>
                <w:rFonts w:hint="default"/>
                <w:color w:val="auto"/>
                <w:highlight w:val="none"/>
              </w:rPr>
            </w:pPr>
          </w:p>
          <w:p w14:paraId="329509C0">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p>
          <w:p w14:paraId="5681E645">
            <w:pPr>
              <w:pStyle w:val="34"/>
              <w:rPr>
                <w:rFonts w:hint="default" w:ascii="Times New Roman" w:hAnsi="Times New Roman" w:cs="Times New Roman"/>
                <w:color w:val="auto"/>
                <w:sz w:val="24"/>
                <w:szCs w:val="24"/>
                <w:highlight w:val="none"/>
              </w:rPr>
            </w:pPr>
          </w:p>
          <w:p w14:paraId="3760E666">
            <w:pPr>
              <w:rPr>
                <w:rFonts w:hint="default" w:ascii="Times New Roman" w:hAnsi="Times New Roman" w:cs="Times New Roman"/>
                <w:color w:val="auto"/>
                <w:sz w:val="24"/>
                <w:szCs w:val="24"/>
                <w:highlight w:val="none"/>
              </w:rPr>
            </w:pPr>
          </w:p>
          <w:p w14:paraId="60BD9C75">
            <w:pPr>
              <w:pStyle w:val="34"/>
              <w:rPr>
                <w:rFonts w:hint="default" w:ascii="Times New Roman" w:hAnsi="Times New Roman" w:cs="Times New Roman"/>
                <w:color w:val="auto"/>
                <w:sz w:val="24"/>
                <w:szCs w:val="24"/>
                <w:highlight w:val="none"/>
              </w:rPr>
            </w:pPr>
          </w:p>
          <w:p w14:paraId="3741BFC6">
            <w:pPr>
              <w:rPr>
                <w:rFonts w:hint="default" w:ascii="Times New Roman" w:hAnsi="Times New Roman" w:cs="Times New Roman"/>
                <w:color w:val="auto"/>
                <w:sz w:val="24"/>
                <w:szCs w:val="24"/>
                <w:highlight w:val="none"/>
              </w:rPr>
            </w:pPr>
          </w:p>
          <w:p w14:paraId="6CAC7A9A">
            <w:pPr>
              <w:pStyle w:val="34"/>
              <w:rPr>
                <w:rFonts w:hint="default" w:ascii="Times New Roman" w:hAnsi="Times New Roman" w:cs="Times New Roman"/>
                <w:color w:val="auto"/>
                <w:sz w:val="24"/>
                <w:szCs w:val="24"/>
                <w:highlight w:val="none"/>
              </w:rPr>
            </w:pPr>
          </w:p>
          <w:p w14:paraId="356C3154">
            <w:pPr>
              <w:rPr>
                <w:rFonts w:hint="default" w:ascii="Times New Roman" w:hAnsi="Times New Roman" w:cs="Times New Roman"/>
                <w:color w:val="auto"/>
                <w:sz w:val="24"/>
                <w:szCs w:val="24"/>
                <w:highlight w:val="none"/>
              </w:rPr>
            </w:pPr>
          </w:p>
          <w:p w14:paraId="4AC24195">
            <w:pPr>
              <w:pStyle w:val="34"/>
              <w:rPr>
                <w:rFonts w:hint="default" w:ascii="Times New Roman" w:hAnsi="Times New Roman" w:cs="Times New Roman"/>
                <w:color w:val="auto"/>
                <w:sz w:val="24"/>
                <w:szCs w:val="24"/>
                <w:highlight w:val="none"/>
              </w:rPr>
            </w:pPr>
          </w:p>
          <w:p w14:paraId="60351BCF">
            <w:pPr>
              <w:rPr>
                <w:rFonts w:hint="default" w:ascii="Times New Roman" w:hAnsi="Times New Roman" w:cs="Times New Roman"/>
                <w:color w:val="auto"/>
                <w:sz w:val="24"/>
                <w:szCs w:val="24"/>
                <w:highlight w:val="none"/>
              </w:rPr>
            </w:pPr>
          </w:p>
          <w:p w14:paraId="0FE38045">
            <w:pPr>
              <w:pStyle w:val="34"/>
              <w:rPr>
                <w:rFonts w:hint="default" w:ascii="Times New Roman" w:hAnsi="Times New Roman" w:cs="Times New Roman"/>
                <w:color w:val="auto"/>
                <w:sz w:val="24"/>
                <w:szCs w:val="24"/>
                <w:highlight w:val="none"/>
              </w:rPr>
            </w:pPr>
          </w:p>
          <w:p w14:paraId="5E6E61FF">
            <w:pPr>
              <w:rPr>
                <w:rFonts w:hint="default" w:ascii="Times New Roman" w:hAnsi="Times New Roman" w:cs="Times New Roman"/>
                <w:color w:val="auto"/>
                <w:sz w:val="24"/>
                <w:szCs w:val="24"/>
                <w:highlight w:val="none"/>
              </w:rPr>
            </w:pPr>
          </w:p>
          <w:p w14:paraId="2B6AC4E7">
            <w:pPr>
              <w:pStyle w:val="34"/>
              <w:rPr>
                <w:rFonts w:hint="default" w:ascii="Times New Roman" w:hAnsi="Times New Roman" w:cs="Times New Roman"/>
                <w:color w:val="auto"/>
                <w:sz w:val="24"/>
                <w:szCs w:val="24"/>
                <w:highlight w:val="none"/>
              </w:rPr>
            </w:pPr>
          </w:p>
          <w:p w14:paraId="7A586E3C">
            <w:pPr>
              <w:rPr>
                <w:rFonts w:hint="default" w:ascii="Times New Roman" w:hAnsi="Times New Roman" w:cs="Times New Roman"/>
                <w:color w:val="auto"/>
                <w:sz w:val="24"/>
                <w:szCs w:val="24"/>
                <w:highlight w:val="none"/>
              </w:rPr>
            </w:pPr>
          </w:p>
          <w:p w14:paraId="42F8F3D5">
            <w:pPr>
              <w:pStyle w:val="34"/>
              <w:rPr>
                <w:rFonts w:hint="default" w:ascii="Times New Roman" w:hAnsi="Times New Roman" w:cs="Times New Roman"/>
                <w:color w:val="auto"/>
                <w:sz w:val="24"/>
                <w:szCs w:val="24"/>
                <w:highlight w:val="none"/>
              </w:rPr>
            </w:pPr>
          </w:p>
          <w:p w14:paraId="5073EFBF">
            <w:pPr>
              <w:rPr>
                <w:rFonts w:hint="default" w:ascii="Times New Roman" w:hAnsi="Times New Roman" w:cs="Times New Roman"/>
                <w:color w:val="auto"/>
                <w:sz w:val="24"/>
                <w:szCs w:val="24"/>
                <w:highlight w:val="none"/>
              </w:rPr>
            </w:pPr>
          </w:p>
          <w:p w14:paraId="511B25CF">
            <w:pPr>
              <w:pStyle w:val="34"/>
              <w:rPr>
                <w:rFonts w:hint="default" w:ascii="Times New Roman" w:hAnsi="Times New Roman" w:cs="Times New Roman"/>
                <w:color w:val="auto"/>
                <w:sz w:val="24"/>
                <w:szCs w:val="24"/>
                <w:highlight w:val="none"/>
              </w:rPr>
            </w:pPr>
          </w:p>
          <w:p w14:paraId="4F198180">
            <w:pPr>
              <w:rPr>
                <w:rFonts w:hint="default" w:ascii="Times New Roman" w:hAnsi="Times New Roman" w:cs="Times New Roman"/>
                <w:color w:val="auto"/>
                <w:sz w:val="24"/>
                <w:szCs w:val="24"/>
                <w:highlight w:val="none"/>
              </w:rPr>
            </w:pPr>
          </w:p>
          <w:p w14:paraId="387B73B7">
            <w:pPr>
              <w:pStyle w:val="34"/>
              <w:rPr>
                <w:rFonts w:hint="default" w:ascii="Times New Roman" w:hAnsi="Times New Roman" w:cs="Times New Roman"/>
                <w:color w:val="auto"/>
                <w:sz w:val="24"/>
                <w:szCs w:val="24"/>
                <w:highlight w:val="none"/>
              </w:rPr>
            </w:pPr>
          </w:p>
          <w:p w14:paraId="68941D40">
            <w:pPr>
              <w:rPr>
                <w:rFonts w:hint="default" w:ascii="Times New Roman" w:hAnsi="Times New Roman" w:cs="Times New Roman"/>
                <w:color w:val="auto"/>
                <w:sz w:val="24"/>
                <w:szCs w:val="24"/>
                <w:highlight w:val="none"/>
              </w:rPr>
            </w:pPr>
          </w:p>
          <w:p w14:paraId="12CDBC1A">
            <w:pPr>
              <w:pStyle w:val="34"/>
              <w:rPr>
                <w:rFonts w:hint="default" w:ascii="Times New Roman" w:hAnsi="Times New Roman" w:cs="Times New Roman"/>
                <w:color w:val="auto"/>
                <w:sz w:val="24"/>
                <w:szCs w:val="24"/>
                <w:highlight w:val="none"/>
              </w:rPr>
            </w:pPr>
          </w:p>
          <w:p w14:paraId="59D4AD2F">
            <w:pPr>
              <w:rPr>
                <w:rFonts w:hint="default" w:ascii="Times New Roman" w:hAnsi="Times New Roman" w:cs="Times New Roman"/>
                <w:color w:val="auto"/>
                <w:sz w:val="24"/>
                <w:szCs w:val="24"/>
                <w:highlight w:val="none"/>
              </w:rPr>
            </w:pPr>
          </w:p>
          <w:p w14:paraId="4EFDF9C6">
            <w:pPr>
              <w:pStyle w:val="34"/>
              <w:rPr>
                <w:rFonts w:hint="default" w:ascii="Times New Roman" w:hAnsi="Times New Roman" w:cs="Times New Roman"/>
                <w:color w:val="auto"/>
                <w:sz w:val="24"/>
                <w:szCs w:val="24"/>
                <w:highlight w:val="none"/>
              </w:rPr>
            </w:pPr>
          </w:p>
          <w:p w14:paraId="73A70FE6">
            <w:pPr>
              <w:rPr>
                <w:rFonts w:hint="default" w:ascii="Times New Roman" w:hAnsi="Times New Roman" w:cs="Times New Roman"/>
                <w:color w:val="auto"/>
                <w:sz w:val="24"/>
                <w:szCs w:val="24"/>
                <w:highlight w:val="none"/>
              </w:rPr>
            </w:pPr>
          </w:p>
          <w:p w14:paraId="0569DA08">
            <w:pPr>
              <w:pStyle w:val="34"/>
              <w:rPr>
                <w:rFonts w:hint="default" w:ascii="Times New Roman" w:hAnsi="Times New Roman" w:cs="Times New Roman"/>
                <w:color w:val="auto"/>
                <w:sz w:val="24"/>
                <w:szCs w:val="24"/>
                <w:highlight w:val="none"/>
              </w:rPr>
            </w:pPr>
          </w:p>
          <w:p w14:paraId="4B42FF81">
            <w:pPr>
              <w:rPr>
                <w:rFonts w:hint="default" w:ascii="Times New Roman" w:hAnsi="Times New Roman" w:cs="Times New Roman"/>
                <w:color w:val="auto"/>
                <w:sz w:val="24"/>
                <w:szCs w:val="24"/>
                <w:highlight w:val="none"/>
              </w:rPr>
            </w:pPr>
          </w:p>
          <w:p w14:paraId="03B30FB4">
            <w:pPr>
              <w:pStyle w:val="34"/>
              <w:rPr>
                <w:rFonts w:hint="default" w:ascii="Times New Roman" w:hAnsi="Times New Roman" w:cs="Times New Roman"/>
                <w:color w:val="auto"/>
                <w:sz w:val="24"/>
                <w:szCs w:val="24"/>
                <w:highlight w:val="none"/>
              </w:rPr>
            </w:pPr>
          </w:p>
          <w:p w14:paraId="027AE625">
            <w:pPr>
              <w:rPr>
                <w:rFonts w:hint="default" w:ascii="Times New Roman" w:hAnsi="Times New Roman" w:cs="Times New Roman"/>
                <w:color w:val="auto"/>
                <w:sz w:val="24"/>
                <w:szCs w:val="24"/>
                <w:highlight w:val="none"/>
              </w:rPr>
            </w:pPr>
          </w:p>
          <w:p w14:paraId="03528C85">
            <w:pPr>
              <w:pStyle w:val="34"/>
              <w:rPr>
                <w:rFonts w:hint="default" w:ascii="Times New Roman" w:hAnsi="Times New Roman" w:cs="Times New Roman"/>
                <w:color w:val="auto"/>
                <w:sz w:val="24"/>
                <w:szCs w:val="24"/>
                <w:highlight w:val="none"/>
              </w:rPr>
            </w:pPr>
          </w:p>
          <w:p w14:paraId="49761133">
            <w:pPr>
              <w:rPr>
                <w:rFonts w:hint="default" w:ascii="Times New Roman" w:hAnsi="Times New Roman" w:cs="Times New Roman"/>
                <w:color w:val="auto"/>
                <w:sz w:val="24"/>
                <w:szCs w:val="24"/>
                <w:highlight w:val="none"/>
              </w:rPr>
            </w:pPr>
          </w:p>
          <w:p w14:paraId="4D20121A">
            <w:pPr>
              <w:pStyle w:val="34"/>
              <w:rPr>
                <w:rFonts w:hint="default" w:ascii="Times New Roman" w:hAnsi="Times New Roman" w:cs="Times New Roman"/>
                <w:color w:val="auto"/>
                <w:sz w:val="24"/>
                <w:szCs w:val="24"/>
                <w:highlight w:val="none"/>
              </w:rPr>
            </w:pPr>
          </w:p>
          <w:p w14:paraId="44880007">
            <w:pPr>
              <w:rPr>
                <w:rFonts w:hint="default" w:ascii="Times New Roman" w:hAnsi="Times New Roman" w:cs="Times New Roman"/>
                <w:color w:val="auto"/>
                <w:sz w:val="24"/>
                <w:szCs w:val="24"/>
                <w:highlight w:val="none"/>
              </w:rPr>
            </w:pPr>
          </w:p>
          <w:p w14:paraId="6D0662F4">
            <w:pPr>
              <w:pStyle w:val="34"/>
              <w:rPr>
                <w:rFonts w:hint="default" w:ascii="Times New Roman" w:hAnsi="Times New Roman" w:cs="Times New Roman"/>
                <w:color w:val="auto"/>
                <w:sz w:val="24"/>
                <w:szCs w:val="24"/>
                <w:highlight w:val="none"/>
              </w:rPr>
            </w:pPr>
          </w:p>
          <w:p w14:paraId="3A682A42">
            <w:pPr>
              <w:rPr>
                <w:rFonts w:hint="default" w:ascii="Times New Roman" w:hAnsi="Times New Roman" w:cs="Times New Roman"/>
                <w:color w:val="auto"/>
                <w:sz w:val="24"/>
                <w:szCs w:val="24"/>
                <w:highlight w:val="none"/>
              </w:rPr>
            </w:pPr>
          </w:p>
          <w:p w14:paraId="0643B6E7">
            <w:pPr>
              <w:pStyle w:val="34"/>
              <w:rPr>
                <w:rFonts w:hint="default" w:ascii="Times New Roman" w:hAnsi="Times New Roman" w:cs="Times New Roman"/>
                <w:color w:val="auto"/>
                <w:sz w:val="24"/>
                <w:szCs w:val="24"/>
                <w:highlight w:val="none"/>
              </w:rPr>
            </w:pPr>
          </w:p>
          <w:p w14:paraId="331F9CC1">
            <w:pPr>
              <w:rPr>
                <w:rFonts w:hint="default" w:ascii="Times New Roman" w:hAnsi="Times New Roman" w:cs="Times New Roman"/>
                <w:color w:val="auto"/>
                <w:sz w:val="24"/>
                <w:szCs w:val="24"/>
                <w:highlight w:val="none"/>
              </w:rPr>
            </w:pPr>
          </w:p>
          <w:p w14:paraId="6DD910BF">
            <w:pPr>
              <w:pStyle w:val="34"/>
              <w:rPr>
                <w:rFonts w:hint="default"/>
                <w:color w:val="auto"/>
                <w:highlight w:val="none"/>
              </w:rPr>
            </w:pPr>
          </w:p>
        </w:tc>
      </w:tr>
    </w:tbl>
    <w:p w14:paraId="59E46800">
      <w:pPr>
        <w:pStyle w:val="30"/>
        <w:jc w:val="center"/>
        <w:outlineLvl w:val="9"/>
        <w:rPr>
          <w:rFonts w:hint="eastAsia" w:ascii="黑体" w:hAnsi="黑体" w:eastAsia="黑体"/>
          <w:snapToGrid w:val="0"/>
          <w:color w:val="auto"/>
          <w:sz w:val="21"/>
          <w:szCs w:val="21"/>
          <w:highlight w:val="none"/>
        </w:rPr>
        <w:sectPr>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61C25E8D">
      <w:pPr>
        <w:pStyle w:val="30"/>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84" w:name="_Toc30514"/>
      <w:bookmarkStart w:id="85" w:name="_Toc18775"/>
      <w:bookmarkStart w:id="86" w:name="_Toc30588"/>
      <w:bookmarkStart w:id="87" w:name="_Toc17847"/>
      <w:r>
        <w:rPr>
          <w:rFonts w:hint="eastAsia" w:ascii="黑体" w:hAnsi="黑体" w:eastAsia="黑体"/>
          <w:snapToGrid w:val="0"/>
          <w:color w:val="auto"/>
          <w:sz w:val="30"/>
          <w:szCs w:val="30"/>
          <w:highlight w:val="none"/>
        </w:rPr>
        <w:t>六、结论</w:t>
      </w:r>
      <w:bookmarkEnd w:id="84"/>
      <w:bookmarkEnd w:id="85"/>
      <w:bookmarkEnd w:id="86"/>
      <w:bookmarkEnd w:id="87"/>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B82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68" w:hRule="atLeast"/>
        </w:trPr>
        <w:tc>
          <w:tcPr>
            <w:tcW w:w="9060" w:type="dxa"/>
            <w:vAlign w:val="center"/>
          </w:tcPr>
          <w:p w14:paraId="476208FF">
            <w:pPr>
              <w:widowControl/>
              <w:adjustRightInd w:val="0"/>
              <w:spacing w:line="360" w:lineRule="auto"/>
              <w:ind w:firstLine="480" w:firstLineChars="200"/>
              <w:rPr>
                <w:snapToGrid w:val="0"/>
                <w:color w:val="auto"/>
                <w:kern w:val="0"/>
                <w:sz w:val="24"/>
                <w:szCs w:val="24"/>
                <w:highlight w:val="none"/>
              </w:rPr>
            </w:pPr>
            <w:r>
              <w:rPr>
                <w:snapToGrid w:val="0"/>
                <w:color w:val="auto"/>
                <w:kern w:val="0"/>
                <w:sz w:val="24"/>
                <w:szCs w:val="24"/>
                <w:highlight w:val="none"/>
              </w:rPr>
              <w:t>项目</w:t>
            </w:r>
            <w:r>
              <w:rPr>
                <w:rFonts w:hint="eastAsia"/>
                <w:snapToGrid w:val="0"/>
                <w:color w:val="auto"/>
                <w:kern w:val="0"/>
                <w:sz w:val="24"/>
                <w:szCs w:val="24"/>
                <w:highlight w:val="none"/>
              </w:rPr>
              <w:t>建设</w:t>
            </w:r>
            <w:r>
              <w:rPr>
                <w:snapToGrid w:val="0"/>
                <w:color w:val="auto"/>
                <w:kern w:val="0"/>
                <w:sz w:val="24"/>
                <w:szCs w:val="24"/>
                <w:highlight w:val="none"/>
              </w:rPr>
              <w:t>符合国家产业政策和地方规划要求，总体布局较为合理，并具有较明显的社会、经济、环境综合效益</w:t>
            </w:r>
            <w:r>
              <w:rPr>
                <w:rFonts w:hint="eastAsia"/>
                <w:snapToGrid w:val="0"/>
                <w:color w:val="auto"/>
                <w:kern w:val="0"/>
                <w:sz w:val="24"/>
                <w:szCs w:val="24"/>
                <w:highlight w:val="none"/>
              </w:rPr>
              <w:t>；采取的</w:t>
            </w:r>
            <w:r>
              <w:rPr>
                <w:snapToGrid w:val="0"/>
                <w:color w:val="auto"/>
                <w:kern w:val="0"/>
                <w:sz w:val="24"/>
                <w:szCs w:val="24"/>
                <w:highlight w:val="none"/>
              </w:rPr>
              <w:t>污染防治措施</w:t>
            </w:r>
            <w:r>
              <w:rPr>
                <w:rFonts w:hint="eastAsia"/>
                <w:snapToGrid w:val="0"/>
                <w:color w:val="auto"/>
                <w:kern w:val="0"/>
                <w:sz w:val="24"/>
                <w:szCs w:val="24"/>
                <w:highlight w:val="none"/>
              </w:rPr>
              <w:t>可行，落实</w:t>
            </w:r>
            <w:r>
              <w:rPr>
                <w:snapToGrid w:val="0"/>
                <w:color w:val="auto"/>
                <w:kern w:val="0"/>
                <w:sz w:val="24"/>
                <w:szCs w:val="24"/>
                <w:highlight w:val="none"/>
              </w:rPr>
              <w:t>环评提出的各项要求，污染物可做到达标排放</w:t>
            </w:r>
            <w:r>
              <w:rPr>
                <w:rFonts w:hint="eastAsia"/>
                <w:snapToGrid w:val="0"/>
                <w:color w:val="auto"/>
                <w:kern w:val="0"/>
                <w:sz w:val="24"/>
                <w:szCs w:val="24"/>
                <w:highlight w:val="none"/>
              </w:rPr>
              <w:t>和合理处置</w:t>
            </w:r>
            <w:r>
              <w:rPr>
                <w:snapToGrid w:val="0"/>
                <w:color w:val="auto"/>
                <w:kern w:val="0"/>
                <w:sz w:val="24"/>
                <w:szCs w:val="24"/>
                <w:highlight w:val="none"/>
              </w:rPr>
              <w:t>，对环境影响较小</w:t>
            </w:r>
            <w:r>
              <w:rPr>
                <w:rFonts w:hint="eastAsia"/>
                <w:snapToGrid w:val="0"/>
                <w:color w:val="auto"/>
                <w:kern w:val="0"/>
                <w:sz w:val="24"/>
                <w:szCs w:val="24"/>
                <w:highlight w:val="none"/>
              </w:rPr>
              <w:t>，</w:t>
            </w:r>
            <w:r>
              <w:rPr>
                <w:snapToGrid w:val="0"/>
                <w:color w:val="auto"/>
                <w:kern w:val="0"/>
                <w:sz w:val="24"/>
                <w:szCs w:val="24"/>
                <w:highlight w:val="none"/>
              </w:rPr>
              <w:t>不会改变区域环境功能。从环境</w:t>
            </w:r>
            <w:r>
              <w:rPr>
                <w:rFonts w:hint="eastAsia"/>
                <w:snapToGrid w:val="0"/>
                <w:color w:val="auto"/>
                <w:kern w:val="0"/>
                <w:sz w:val="24"/>
                <w:szCs w:val="24"/>
                <w:highlight w:val="none"/>
              </w:rPr>
              <w:t>保护</w:t>
            </w:r>
            <w:r>
              <w:rPr>
                <w:snapToGrid w:val="0"/>
                <w:color w:val="auto"/>
                <w:kern w:val="0"/>
                <w:sz w:val="24"/>
                <w:szCs w:val="24"/>
                <w:highlight w:val="none"/>
              </w:rPr>
              <w:t>的角度分析，项目建设是可行的。</w:t>
            </w:r>
          </w:p>
          <w:p w14:paraId="485BFF82">
            <w:pPr>
              <w:pStyle w:val="30"/>
              <w:jc w:val="center"/>
              <w:outlineLvl w:val="9"/>
              <w:rPr>
                <w:rFonts w:ascii="黑体" w:hAnsi="黑体" w:eastAsia="黑体"/>
                <w:snapToGrid w:val="0"/>
                <w:color w:val="auto"/>
                <w:sz w:val="21"/>
                <w:szCs w:val="21"/>
                <w:highlight w:val="none"/>
              </w:rPr>
            </w:pPr>
          </w:p>
        </w:tc>
      </w:tr>
    </w:tbl>
    <w:p w14:paraId="24A6B83F">
      <w:pPr>
        <w:pStyle w:val="30"/>
        <w:jc w:val="center"/>
        <w:outlineLvl w:val="9"/>
        <w:rPr>
          <w:rFonts w:ascii="黑体" w:hAnsi="黑体" w:eastAsia="黑体"/>
          <w:snapToGrid w:val="0"/>
          <w:color w:val="auto"/>
          <w:sz w:val="21"/>
          <w:szCs w:val="21"/>
          <w:highlight w:val="none"/>
        </w:rPr>
        <w:sectPr>
          <w:footerReference r:id="rId4"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53E2F5C5">
      <w:pPr>
        <w:rPr>
          <w:rFonts w:hint="eastAsia" w:ascii="方正小标宋_GBK" w:hAnsi="黑体" w:eastAsia="方正小标宋_GBK"/>
          <w:snapToGrid w:val="0"/>
          <w:color w:val="auto"/>
          <w:sz w:val="30"/>
          <w:szCs w:val="30"/>
          <w:highlight w:val="none"/>
        </w:rPr>
      </w:pPr>
    </w:p>
    <w:p w14:paraId="10AF6028">
      <w:pPr>
        <w:pStyle w:val="30"/>
        <w:adjustRightInd w:val="0"/>
        <w:snapToGrid w:val="0"/>
        <w:spacing w:before="0" w:beforeAutospacing="0" w:after="0" w:afterAutospacing="0" w:line="360" w:lineRule="auto"/>
        <w:jc w:val="center"/>
        <w:outlineLvl w:val="9"/>
        <w:rPr>
          <w:rFonts w:hint="eastAsia" w:ascii="方正小标宋_GBK" w:hAnsi="黑体" w:eastAsia="方正小标宋_GBK"/>
          <w:snapToGrid w:val="0"/>
          <w:color w:val="auto"/>
          <w:sz w:val="30"/>
          <w:szCs w:val="30"/>
          <w:highlight w:val="none"/>
        </w:rPr>
      </w:pPr>
    </w:p>
    <w:p w14:paraId="1369F900">
      <w:pPr>
        <w:pStyle w:val="30"/>
        <w:adjustRightInd w:val="0"/>
        <w:snapToGrid w:val="0"/>
        <w:spacing w:before="0" w:beforeAutospacing="0" w:after="0" w:afterAutospacing="0" w:line="360" w:lineRule="auto"/>
        <w:jc w:val="center"/>
        <w:outlineLvl w:val="1"/>
        <w:rPr>
          <w:rFonts w:ascii="方正小标宋_GBK" w:hAnsi="黑体" w:eastAsia="方正小标宋_GBK"/>
          <w:snapToGrid w:val="0"/>
          <w:color w:val="auto"/>
          <w:sz w:val="30"/>
          <w:szCs w:val="30"/>
          <w:highlight w:val="none"/>
        </w:rPr>
      </w:pPr>
      <w:bookmarkStart w:id="88" w:name="_Toc5865"/>
      <w:bookmarkStart w:id="89" w:name="_Toc8862"/>
      <w:bookmarkStart w:id="90" w:name="_Toc10391"/>
      <w:bookmarkStart w:id="91" w:name="_Toc5319"/>
      <w:r>
        <w:rPr>
          <w:rFonts w:hint="eastAsia" w:ascii="方正小标宋_GBK" w:hAnsi="黑体" w:eastAsia="方正小标宋_GBK"/>
          <w:snapToGrid w:val="0"/>
          <w:color w:val="auto"/>
          <w:sz w:val="30"/>
          <w:szCs w:val="30"/>
          <w:highlight w:val="none"/>
        </w:rPr>
        <w:t>建设项目污染物排放量汇总表</w:t>
      </w:r>
      <w:bookmarkEnd w:id="88"/>
      <w:bookmarkEnd w:id="89"/>
      <w:bookmarkEnd w:id="90"/>
      <w:bookmarkEnd w:id="91"/>
    </w:p>
    <w:tbl>
      <w:tblPr>
        <w:tblStyle w:val="35"/>
        <w:tblW w:w="495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804"/>
        <w:gridCol w:w="1424"/>
        <w:gridCol w:w="1215"/>
        <w:gridCol w:w="1627"/>
        <w:gridCol w:w="1491"/>
        <w:gridCol w:w="1296"/>
        <w:gridCol w:w="1810"/>
        <w:gridCol w:w="1440"/>
      </w:tblGrid>
      <w:tr w14:paraId="0C369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74" w:type="pct"/>
            <w:tcBorders>
              <w:tl2br w:val="single" w:color="auto" w:sz="4" w:space="0"/>
            </w:tcBorders>
            <w:tcMar>
              <w:left w:w="28" w:type="dxa"/>
              <w:right w:w="28" w:type="dxa"/>
            </w:tcMar>
            <w:vAlign w:val="center"/>
          </w:tcPr>
          <w:p w14:paraId="4586791F">
            <w:pPr>
              <w:pStyle w:val="75"/>
              <w:spacing w:beforeLines="0" w:afterLines="0" w:line="240" w:lineRule="auto"/>
              <w:ind w:firstLine="792" w:firstLineChars="400"/>
              <w:jc w:val="both"/>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项目</w:t>
            </w:r>
          </w:p>
          <w:p w14:paraId="024D7364">
            <w:pPr>
              <w:pStyle w:val="75"/>
              <w:spacing w:beforeLines="0" w:afterLines="0" w:line="240" w:lineRule="auto"/>
              <w:ind w:left="0" w:leftChars="0" w:firstLine="0" w:firstLineChars="0"/>
              <w:jc w:val="both"/>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分类</w:t>
            </w:r>
          </w:p>
        </w:tc>
        <w:tc>
          <w:tcPr>
            <w:tcW w:w="674" w:type="pct"/>
            <w:tcMar>
              <w:left w:w="28" w:type="dxa"/>
              <w:right w:w="28" w:type="dxa"/>
            </w:tcMar>
            <w:vAlign w:val="center"/>
          </w:tcPr>
          <w:p w14:paraId="15C0FABE">
            <w:pPr>
              <w:pStyle w:val="75"/>
              <w:spacing w:beforeLines="0" w:afterLines="0" w:line="240" w:lineRule="auto"/>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污染物名称</w:t>
            </w:r>
          </w:p>
        </w:tc>
        <w:tc>
          <w:tcPr>
            <w:tcW w:w="532" w:type="pct"/>
            <w:tcMar>
              <w:left w:w="28" w:type="dxa"/>
              <w:right w:w="28" w:type="dxa"/>
            </w:tcMar>
            <w:vAlign w:val="center"/>
          </w:tcPr>
          <w:p w14:paraId="1898A361">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=1\*GB3\*MERGEFORMAT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①</w:t>
            </w:r>
            <w:r>
              <w:rPr>
                <w:rFonts w:ascii="Times New Roman"/>
                <w:snapToGrid w:val="0"/>
                <w:color w:val="auto"/>
                <w:spacing w:val="-6"/>
                <w:kern w:val="21"/>
                <w:szCs w:val="21"/>
                <w:highlight w:val="none"/>
              </w:rPr>
              <w:fldChar w:fldCharType="end"/>
            </w:r>
          </w:p>
        </w:tc>
        <w:tc>
          <w:tcPr>
            <w:tcW w:w="454" w:type="pct"/>
            <w:tcMar>
              <w:left w:w="28" w:type="dxa"/>
              <w:right w:w="28" w:type="dxa"/>
            </w:tcMar>
            <w:vAlign w:val="center"/>
          </w:tcPr>
          <w:p w14:paraId="3D64E9C5">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现有工程许可排放量</w:t>
            </w:r>
          </w:p>
          <w:p w14:paraId="12373819">
            <w:pPr>
              <w:pStyle w:val="75"/>
              <w:spacing w:beforeLines="0" w:afterLine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=2\*GB3\*MERGEFORMAT</w:instrText>
            </w:r>
            <w:r>
              <w:rPr>
                <w:rFonts w:ascii="Times New Roman"/>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snapToGrid w:val="0"/>
                <w:color w:val="auto"/>
                <w:spacing w:val="-6"/>
                <w:kern w:val="21"/>
                <w:szCs w:val="21"/>
                <w:highlight w:val="none"/>
              </w:rPr>
              <w:fldChar w:fldCharType="end"/>
            </w:r>
          </w:p>
        </w:tc>
        <w:tc>
          <w:tcPr>
            <w:tcW w:w="608" w:type="pct"/>
            <w:tcMar>
              <w:left w:w="28" w:type="dxa"/>
              <w:right w:w="28" w:type="dxa"/>
            </w:tcMar>
            <w:vAlign w:val="center"/>
          </w:tcPr>
          <w:p w14:paraId="169312FD">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在建工程排放量（固体废物产生量）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=3\*GB3\*MERGEFORMAT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③</w:t>
            </w:r>
            <w:r>
              <w:rPr>
                <w:rFonts w:ascii="Times New Roman"/>
                <w:snapToGrid w:val="0"/>
                <w:color w:val="auto"/>
                <w:spacing w:val="-6"/>
                <w:kern w:val="21"/>
                <w:szCs w:val="21"/>
                <w:highlight w:val="none"/>
              </w:rPr>
              <w:fldChar w:fldCharType="end"/>
            </w:r>
          </w:p>
        </w:tc>
        <w:tc>
          <w:tcPr>
            <w:tcW w:w="557" w:type="pct"/>
            <w:tcMar>
              <w:left w:w="28" w:type="dxa"/>
              <w:right w:w="28" w:type="dxa"/>
            </w:tcMar>
            <w:vAlign w:val="center"/>
          </w:tcPr>
          <w:p w14:paraId="2C930297">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本项目排放量（固体废物产生量）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=4\*GB3\*MERGEFORMAT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④</w:t>
            </w:r>
            <w:r>
              <w:rPr>
                <w:rFonts w:ascii="Times New Roman"/>
                <w:snapToGrid w:val="0"/>
                <w:color w:val="auto"/>
                <w:spacing w:val="-6"/>
                <w:kern w:val="21"/>
                <w:szCs w:val="21"/>
                <w:highlight w:val="none"/>
              </w:rPr>
              <w:fldChar w:fldCharType="end"/>
            </w:r>
          </w:p>
        </w:tc>
        <w:tc>
          <w:tcPr>
            <w:tcW w:w="484" w:type="pct"/>
            <w:tcMar>
              <w:left w:w="28" w:type="dxa"/>
              <w:right w:w="28" w:type="dxa"/>
            </w:tcMar>
            <w:vAlign w:val="center"/>
          </w:tcPr>
          <w:p w14:paraId="1E7C33A7">
            <w:pPr>
              <w:pStyle w:val="75"/>
              <w:spacing w:beforeLines="0" w:afterLines="0" w:line="240" w:lineRule="auto"/>
              <w:ind w:left="0" w:leftChars="0" w:firstLine="0" w:firstLineChars="0"/>
              <w:jc w:val="center"/>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以新带老削减量（新建项目不填）</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=5\*GB3\*MERGEFORMAT</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⑤</w:t>
            </w:r>
            <w:r>
              <w:rPr>
                <w:rFonts w:ascii="Times New Roman"/>
                <w:snapToGrid w:val="0"/>
                <w:color w:val="auto"/>
                <w:spacing w:val="-16"/>
                <w:kern w:val="21"/>
                <w:szCs w:val="21"/>
                <w:highlight w:val="none"/>
              </w:rPr>
              <w:fldChar w:fldCharType="end"/>
            </w:r>
          </w:p>
        </w:tc>
        <w:tc>
          <w:tcPr>
            <w:tcW w:w="676" w:type="pct"/>
            <w:tcMar>
              <w:left w:w="28" w:type="dxa"/>
              <w:right w:w="28" w:type="dxa"/>
            </w:tcMar>
            <w:vAlign w:val="center"/>
          </w:tcPr>
          <w:p w14:paraId="17F58E67">
            <w:pPr>
              <w:pStyle w:val="75"/>
              <w:spacing w:beforeLines="0" w:afterLines="0" w:line="240" w:lineRule="auto"/>
              <w:ind w:left="0" w:leftChars="0" w:firstLine="0" w:firstLineChars="0"/>
              <w:jc w:val="center"/>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本项目建成后全厂排放量（固体废物产生量）</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=6\*GB3\*MERGEFORMAT</w:instrText>
            </w:r>
            <w:r>
              <w:rPr>
                <w:rFonts w:ascii="Times New Roman"/>
                <w:snapToGrid w:val="0"/>
                <w:color w:val="auto"/>
                <w:spacing w:val="-16"/>
                <w:kern w:val="21"/>
                <w:szCs w:val="21"/>
                <w:highlight w:val="none"/>
              </w:rPr>
              <w:fldChar w:fldCharType="separate"/>
            </w:r>
            <w:r>
              <w:rPr>
                <w:rFonts w:hint="eastAsia" w:hAnsi="宋体" w:cs="宋体"/>
                <w:color w:val="auto"/>
                <w:szCs w:val="21"/>
                <w:highlight w:val="none"/>
              </w:rPr>
              <w:t>⑥</w:t>
            </w:r>
            <w:r>
              <w:rPr>
                <w:rFonts w:ascii="Times New Roman"/>
                <w:snapToGrid w:val="0"/>
                <w:color w:val="auto"/>
                <w:spacing w:val="-16"/>
                <w:kern w:val="21"/>
                <w:szCs w:val="21"/>
                <w:highlight w:val="none"/>
              </w:rPr>
              <w:fldChar w:fldCharType="end"/>
            </w:r>
          </w:p>
        </w:tc>
        <w:tc>
          <w:tcPr>
            <w:tcW w:w="538" w:type="pct"/>
            <w:tcMar>
              <w:left w:w="28" w:type="dxa"/>
              <w:right w:w="28" w:type="dxa"/>
            </w:tcMar>
            <w:vAlign w:val="center"/>
          </w:tcPr>
          <w:p w14:paraId="19BACC5E">
            <w:pPr>
              <w:pStyle w:val="75"/>
              <w:spacing w:beforeLines="0" w:afterLines="0" w:line="240" w:lineRule="auto"/>
              <w:ind w:left="0" w:leftChars="0" w:firstLine="0" w:firstLineChars="0"/>
              <w:jc w:val="center"/>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变化量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=7\*GB3\*MERGEFORMAT</w:instrText>
            </w:r>
            <w:r>
              <w:rPr>
                <w:rFonts w:ascii="Times New Roman"/>
                <w:snapToGrid w:val="0"/>
                <w:color w:val="auto"/>
                <w:spacing w:val="-6"/>
                <w:kern w:val="21"/>
                <w:szCs w:val="21"/>
                <w:highlight w:val="none"/>
              </w:rPr>
              <w:fldChar w:fldCharType="separate"/>
            </w:r>
            <w:r>
              <w:rPr>
                <w:rFonts w:hint="eastAsia" w:hAnsi="宋体" w:cs="宋体"/>
                <w:color w:val="auto"/>
                <w:szCs w:val="21"/>
                <w:highlight w:val="none"/>
              </w:rPr>
              <w:t>⑦</w:t>
            </w:r>
            <w:r>
              <w:rPr>
                <w:rFonts w:ascii="Times New Roman"/>
                <w:snapToGrid w:val="0"/>
                <w:color w:val="auto"/>
                <w:spacing w:val="-6"/>
                <w:kern w:val="21"/>
                <w:szCs w:val="21"/>
                <w:highlight w:val="none"/>
              </w:rPr>
              <w:fldChar w:fldCharType="end"/>
            </w:r>
          </w:p>
        </w:tc>
      </w:tr>
      <w:tr w14:paraId="3D6B8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restart"/>
            <w:vAlign w:val="center"/>
          </w:tcPr>
          <w:p w14:paraId="7A7269C6">
            <w:pPr>
              <w:pStyle w:val="75"/>
              <w:spacing w:beforeLines="0" w:afterLines="0" w:line="240" w:lineRule="auto"/>
              <w:ind w:left="0" w:leftChars="0" w:firstLine="0" w:firstLineChars="0"/>
              <w:jc w:val="both"/>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674" w:type="pct"/>
            <w:vAlign w:val="center"/>
          </w:tcPr>
          <w:p w14:paraId="3062F38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非甲烷总烃</w:t>
            </w:r>
          </w:p>
        </w:tc>
        <w:tc>
          <w:tcPr>
            <w:tcW w:w="532" w:type="pct"/>
            <w:vAlign w:val="center"/>
          </w:tcPr>
          <w:p w14:paraId="6EABE8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default" w:ascii="Times New Roman" w:eastAsia="宋体"/>
                <w:snapToGrid w:val="0"/>
                <w:color w:val="auto"/>
                <w:kern w:val="21"/>
                <w:szCs w:val="21"/>
                <w:highlight w:val="none"/>
                <w:lang w:val="en-US"/>
              </w:rPr>
            </w:pPr>
            <w:r>
              <w:rPr>
                <w:rFonts w:hint="eastAsia" w:cs="Times New Roman"/>
                <w:color w:val="auto"/>
                <w:sz w:val="21"/>
                <w:szCs w:val="21"/>
                <w:highlight w:val="none"/>
                <w:lang w:val="en-US" w:eastAsia="zh-CN"/>
              </w:rPr>
              <w:t>0.233</w:t>
            </w:r>
          </w:p>
        </w:tc>
        <w:tc>
          <w:tcPr>
            <w:tcW w:w="454" w:type="pct"/>
            <w:vAlign w:val="center"/>
          </w:tcPr>
          <w:p w14:paraId="420BA61A">
            <w:pPr>
              <w:pStyle w:val="75"/>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08" w:type="pct"/>
            <w:vAlign w:val="center"/>
          </w:tcPr>
          <w:p w14:paraId="0546174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default" w:ascii="Times New Roman"/>
                <w:snapToGrid w:val="0"/>
                <w:color w:val="auto"/>
                <w:kern w:val="21"/>
                <w:szCs w:val="21"/>
                <w:highlight w:val="none"/>
                <w:lang w:val="en-US"/>
              </w:rPr>
            </w:pPr>
            <w:r>
              <w:rPr>
                <w:rFonts w:hint="eastAsia" w:cs="Times New Roman"/>
                <w:color w:val="auto"/>
                <w:sz w:val="21"/>
                <w:szCs w:val="21"/>
                <w:highlight w:val="none"/>
                <w:lang w:val="en-US" w:eastAsia="zh-CN"/>
              </w:rPr>
              <w:t>0.248</w:t>
            </w:r>
          </w:p>
        </w:tc>
        <w:tc>
          <w:tcPr>
            <w:tcW w:w="557" w:type="pct"/>
            <w:vAlign w:val="center"/>
          </w:tcPr>
          <w:p w14:paraId="0649E5A9">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rPr>
            </w:pPr>
            <w:r>
              <w:rPr>
                <w:rFonts w:hint="eastAsia" w:ascii="Times New Roman" w:eastAsia="宋体"/>
                <w:snapToGrid w:val="0"/>
                <w:color w:val="auto"/>
                <w:kern w:val="21"/>
                <w:szCs w:val="21"/>
                <w:highlight w:val="none"/>
                <w:lang w:val="en-US" w:eastAsia="zh-CN"/>
              </w:rPr>
              <w:t>0.248</w:t>
            </w:r>
          </w:p>
        </w:tc>
        <w:tc>
          <w:tcPr>
            <w:tcW w:w="484" w:type="pct"/>
            <w:vAlign w:val="center"/>
          </w:tcPr>
          <w:p w14:paraId="2A2E179E">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eastAsia="zh-CN"/>
              </w:rPr>
            </w:pPr>
            <w:r>
              <w:rPr>
                <w:rFonts w:hint="eastAsia" w:ascii="Times New Roman"/>
                <w:snapToGrid w:val="0"/>
                <w:color w:val="auto"/>
                <w:kern w:val="21"/>
                <w:szCs w:val="21"/>
                <w:highlight w:val="none"/>
                <w:lang w:val="en-US" w:eastAsia="zh-CN"/>
              </w:rPr>
              <w:t>0</w:t>
            </w:r>
          </w:p>
        </w:tc>
        <w:tc>
          <w:tcPr>
            <w:tcW w:w="676" w:type="pct"/>
            <w:vAlign w:val="center"/>
          </w:tcPr>
          <w:p w14:paraId="1FE306A6">
            <w:pPr>
              <w:pStyle w:val="75"/>
              <w:spacing w:beforeLines="0" w:afterLines="0" w:line="240" w:lineRule="auto"/>
              <w:ind w:left="0" w:leftChars="0" w:firstLine="0" w:firstLineChars="0"/>
              <w:jc w:val="center"/>
              <w:rPr>
                <w:rFonts w:hint="default" w:ascii="Times New Roman"/>
                <w:snapToGrid w:val="0"/>
                <w:color w:val="auto"/>
                <w:kern w:val="21"/>
                <w:szCs w:val="21"/>
                <w:highlight w:val="none"/>
                <w:lang w:val="en-US"/>
              </w:rPr>
            </w:pPr>
            <w:r>
              <w:rPr>
                <w:rFonts w:hint="eastAsia" w:ascii="Times New Roman" w:eastAsia="宋体"/>
                <w:snapToGrid w:val="0"/>
                <w:color w:val="auto"/>
                <w:kern w:val="21"/>
                <w:szCs w:val="21"/>
                <w:highlight w:val="none"/>
                <w:lang w:val="en-US" w:eastAsia="zh-CN"/>
              </w:rPr>
              <w:t>0.0481</w:t>
            </w:r>
          </w:p>
        </w:tc>
        <w:tc>
          <w:tcPr>
            <w:tcW w:w="538" w:type="pct"/>
            <w:vAlign w:val="center"/>
          </w:tcPr>
          <w:p w14:paraId="11E6BF07">
            <w:pPr>
              <w:pStyle w:val="75"/>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rPr>
            </w:pPr>
            <w:r>
              <w:rPr>
                <w:rFonts w:hint="eastAsia" w:ascii="Times New Roman" w:eastAsia="宋体"/>
                <w:snapToGrid w:val="0"/>
                <w:color w:val="auto"/>
                <w:kern w:val="21"/>
                <w:szCs w:val="21"/>
                <w:highlight w:val="none"/>
              </w:rPr>
              <w:t>+</w:t>
            </w:r>
            <w:r>
              <w:rPr>
                <w:rFonts w:hint="eastAsia" w:ascii="Times New Roman" w:eastAsia="宋体"/>
                <w:snapToGrid w:val="0"/>
                <w:color w:val="auto"/>
                <w:kern w:val="21"/>
                <w:szCs w:val="21"/>
                <w:highlight w:val="none"/>
                <w:lang w:val="en-US" w:eastAsia="zh-CN"/>
              </w:rPr>
              <w:t>0.248</w:t>
            </w:r>
          </w:p>
        </w:tc>
      </w:tr>
      <w:tr w14:paraId="7A884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3523A5F6">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52F0DB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氟化氢</w:t>
            </w:r>
          </w:p>
        </w:tc>
        <w:tc>
          <w:tcPr>
            <w:tcW w:w="532" w:type="pct"/>
            <w:vAlign w:val="center"/>
          </w:tcPr>
          <w:p w14:paraId="054F74D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54" w:type="pct"/>
            <w:vAlign w:val="center"/>
          </w:tcPr>
          <w:p w14:paraId="0E728AFD">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5B5A50F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w:t>
            </w:r>
          </w:p>
        </w:tc>
        <w:tc>
          <w:tcPr>
            <w:tcW w:w="557" w:type="pct"/>
            <w:vAlign w:val="center"/>
          </w:tcPr>
          <w:p w14:paraId="6E7162A7">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0.001</w:t>
            </w:r>
          </w:p>
        </w:tc>
        <w:tc>
          <w:tcPr>
            <w:tcW w:w="484" w:type="pct"/>
            <w:vAlign w:val="center"/>
          </w:tcPr>
          <w:p w14:paraId="79A70D32">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6AADFECD">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rPr>
            </w:pPr>
            <w:r>
              <w:rPr>
                <w:rFonts w:hint="eastAsia" w:ascii="Times New Roman" w:eastAsia="宋体"/>
                <w:snapToGrid w:val="0"/>
                <w:color w:val="auto"/>
                <w:kern w:val="21"/>
                <w:szCs w:val="21"/>
                <w:highlight w:val="none"/>
                <w:lang w:val="en-US" w:eastAsia="zh-CN"/>
              </w:rPr>
              <w:t>0.001</w:t>
            </w:r>
          </w:p>
        </w:tc>
        <w:tc>
          <w:tcPr>
            <w:tcW w:w="538" w:type="pct"/>
            <w:vAlign w:val="center"/>
          </w:tcPr>
          <w:p w14:paraId="7C21B336">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rPr>
            </w:pPr>
            <w:r>
              <w:rPr>
                <w:rFonts w:hint="eastAsia" w:ascii="Times New Roman" w:eastAsia="宋体"/>
                <w:snapToGrid w:val="0"/>
                <w:color w:val="auto"/>
                <w:kern w:val="21"/>
                <w:szCs w:val="21"/>
                <w:highlight w:val="none"/>
                <w:lang w:val="en-US" w:eastAsia="zh-CN"/>
              </w:rPr>
              <w:t>+0.001</w:t>
            </w:r>
          </w:p>
        </w:tc>
      </w:tr>
      <w:tr w14:paraId="20355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74CF2152">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7DE3B4A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532" w:type="pct"/>
            <w:vAlign w:val="center"/>
          </w:tcPr>
          <w:p w14:paraId="613253E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54" w:type="pct"/>
            <w:vAlign w:val="center"/>
          </w:tcPr>
          <w:p w14:paraId="25A867E9">
            <w:pPr>
              <w:pStyle w:val="75"/>
              <w:spacing w:beforeLines="0" w:afterLines="0" w:line="240" w:lineRule="auto"/>
              <w:ind w:firstLine="420" w:firstLineChars="200"/>
              <w:jc w:val="center"/>
              <w:rPr>
                <w:rFonts w:ascii="Times New Roman"/>
                <w:snapToGrid w:val="0"/>
                <w:color w:val="auto"/>
                <w:kern w:val="21"/>
                <w:szCs w:val="21"/>
                <w:highlight w:val="none"/>
              </w:rPr>
            </w:pPr>
          </w:p>
        </w:tc>
        <w:tc>
          <w:tcPr>
            <w:tcW w:w="608" w:type="pct"/>
            <w:vAlign w:val="center"/>
          </w:tcPr>
          <w:p w14:paraId="672E0DC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7" w:type="pct"/>
            <w:vAlign w:val="center"/>
          </w:tcPr>
          <w:p w14:paraId="5FC7EB64">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0.052</w:t>
            </w:r>
          </w:p>
        </w:tc>
        <w:tc>
          <w:tcPr>
            <w:tcW w:w="484" w:type="pct"/>
            <w:vAlign w:val="center"/>
          </w:tcPr>
          <w:p w14:paraId="6B233599">
            <w:pPr>
              <w:pStyle w:val="75"/>
              <w:spacing w:beforeLines="0" w:afterLines="0" w:line="240" w:lineRule="auto"/>
              <w:jc w:val="center"/>
              <w:rPr>
                <w:rFonts w:hint="eastAsia" w:ascii="Times New Roman"/>
                <w:snapToGrid w:val="0"/>
                <w:color w:val="auto"/>
                <w:kern w:val="21"/>
                <w:szCs w:val="21"/>
                <w:highlight w:val="none"/>
                <w:lang w:val="en-US" w:eastAsia="zh-CN"/>
              </w:rPr>
            </w:pPr>
          </w:p>
        </w:tc>
        <w:tc>
          <w:tcPr>
            <w:tcW w:w="676" w:type="pct"/>
            <w:vAlign w:val="center"/>
          </w:tcPr>
          <w:p w14:paraId="684AE6B4">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0.052</w:t>
            </w:r>
          </w:p>
        </w:tc>
        <w:tc>
          <w:tcPr>
            <w:tcW w:w="538" w:type="pct"/>
            <w:vAlign w:val="center"/>
          </w:tcPr>
          <w:p w14:paraId="41FE7BBE">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+0.052</w:t>
            </w:r>
          </w:p>
        </w:tc>
      </w:tr>
      <w:tr w14:paraId="75AD2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315E47BA">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19A2A18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532" w:type="pct"/>
            <w:vAlign w:val="center"/>
          </w:tcPr>
          <w:p w14:paraId="148ABD0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54" w:type="pct"/>
            <w:vAlign w:val="center"/>
          </w:tcPr>
          <w:p w14:paraId="16036DC5">
            <w:pPr>
              <w:pStyle w:val="75"/>
              <w:spacing w:beforeLines="0" w:afterLines="0" w:line="240" w:lineRule="auto"/>
              <w:ind w:firstLine="420" w:firstLineChars="200"/>
              <w:jc w:val="center"/>
              <w:rPr>
                <w:rFonts w:ascii="Times New Roman"/>
                <w:snapToGrid w:val="0"/>
                <w:color w:val="auto"/>
                <w:kern w:val="21"/>
                <w:szCs w:val="21"/>
                <w:highlight w:val="none"/>
              </w:rPr>
            </w:pPr>
          </w:p>
        </w:tc>
        <w:tc>
          <w:tcPr>
            <w:tcW w:w="608" w:type="pct"/>
            <w:vAlign w:val="center"/>
          </w:tcPr>
          <w:p w14:paraId="7751CC2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57" w:type="pct"/>
            <w:vAlign w:val="center"/>
          </w:tcPr>
          <w:p w14:paraId="5BF650DF">
            <w:pPr>
              <w:pStyle w:val="75"/>
              <w:tabs>
                <w:tab w:val="left" w:pos="264"/>
                <w:tab w:val="center" w:pos="670"/>
              </w:tabs>
              <w:spacing w:beforeLines="0" w:afterLines="0" w:line="240" w:lineRule="auto"/>
              <w:ind w:left="0" w:leftChars="0" w:firstLine="0" w:firstLineChars="0"/>
              <w:jc w:val="center"/>
              <w:rPr>
                <w:rFonts w:hint="default"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0.0048</w:t>
            </w:r>
          </w:p>
        </w:tc>
        <w:tc>
          <w:tcPr>
            <w:tcW w:w="484" w:type="pct"/>
            <w:vAlign w:val="center"/>
          </w:tcPr>
          <w:p w14:paraId="08C618B5">
            <w:pPr>
              <w:pStyle w:val="75"/>
              <w:spacing w:beforeLines="0" w:afterLines="0" w:line="240" w:lineRule="auto"/>
              <w:jc w:val="center"/>
              <w:rPr>
                <w:rFonts w:hint="eastAsia" w:ascii="Times New Roman"/>
                <w:snapToGrid w:val="0"/>
                <w:color w:val="auto"/>
                <w:kern w:val="21"/>
                <w:szCs w:val="21"/>
                <w:highlight w:val="none"/>
                <w:lang w:val="en-US" w:eastAsia="zh-CN"/>
              </w:rPr>
            </w:pPr>
          </w:p>
        </w:tc>
        <w:tc>
          <w:tcPr>
            <w:tcW w:w="676" w:type="pct"/>
            <w:vAlign w:val="center"/>
          </w:tcPr>
          <w:p w14:paraId="68B962A6">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0.0048</w:t>
            </w:r>
          </w:p>
        </w:tc>
        <w:tc>
          <w:tcPr>
            <w:tcW w:w="538" w:type="pct"/>
            <w:vAlign w:val="center"/>
          </w:tcPr>
          <w:p w14:paraId="5BC1DCED">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+0.0048</w:t>
            </w:r>
          </w:p>
        </w:tc>
      </w:tr>
      <w:tr w14:paraId="015B6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2FCD9799">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08A8CE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eastAsia" w:cs="Times New Roman"/>
                <w:color w:val="auto"/>
                <w:sz w:val="21"/>
                <w:szCs w:val="21"/>
                <w:highlight w:val="none"/>
                <w:lang w:val="en-US" w:eastAsia="zh-CN"/>
              </w:rPr>
              <w:t>颗粒物</w:t>
            </w:r>
          </w:p>
        </w:tc>
        <w:tc>
          <w:tcPr>
            <w:tcW w:w="532" w:type="pct"/>
            <w:vAlign w:val="center"/>
          </w:tcPr>
          <w:p w14:paraId="602D069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0.049</w:t>
            </w:r>
          </w:p>
        </w:tc>
        <w:tc>
          <w:tcPr>
            <w:tcW w:w="454" w:type="pct"/>
            <w:vAlign w:val="center"/>
          </w:tcPr>
          <w:p w14:paraId="1860D93A">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4CB8402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0.404</w:t>
            </w:r>
          </w:p>
        </w:tc>
        <w:tc>
          <w:tcPr>
            <w:tcW w:w="557" w:type="pct"/>
            <w:vAlign w:val="center"/>
          </w:tcPr>
          <w:p w14:paraId="7BDBB538">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0E325D88">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4487F75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0.453</w:t>
            </w:r>
          </w:p>
        </w:tc>
        <w:tc>
          <w:tcPr>
            <w:tcW w:w="538" w:type="pct"/>
            <w:vAlign w:val="center"/>
          </w:tcPr>
          <w:p w14:paraId="4183D77B">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6101F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1EB7FF0A">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43C05F7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532" w:type="pct"/>
            <w:vAlign w:val="center"/>
          </w:tcPr>
          <w:p w14:paraId="55B52F6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0.2</w:t>
            </w:r>
          </w:p>
        </w:tc>
        <w:tc>
          <w:tcPr>
            <w:tcW w:w="454" w:type="pct"/>
            <w:vAlign w:val="center"/>
          </w:tcPr>
          <w:p w14:paraId="2AC895B5">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579A84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0.042</w:t>
            </w:r>
          </w:p>
        </w:tc>
        <w:tc>
          <w:tcPr>
            <w:tcW w:w="557" w:type="pct"/>
            <w:vAlign w:val="center"/>
          </w:tcPr>
          <w:p w14:paraId="267D6B73">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3FB1DE43">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785738B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0.242</w:t>
            </w:r>
          </w:p>
        </w:tc>
        <w:tc>
          <w:tcPr>
            <w:tcW w:w="538" w:type="pct"/>
            <w:vAlign w:val="center"/>
          </w:tcPr>
          <w:p w14:paraId="60E19EF2">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5F5A5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396A45D9">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3A43425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default" w:cs="Times New Roman"/>
                <w:color w:val="auto"/>
                <w:sz w:val="21"/>
                <w:szCs w:val="21"/>
                <w:highlight w:val="none"/>
                <w:lang w:val="en-US" w:eastAsia="zh-CN"/>
              </w:rPr>
              <w:t>NOx</w:t>
            </w:r>
          </w:p>
        </w:tc>
        <w:tc>
          <w:tcPr>
            <w:tcW w:w="532" w:type="pct"/>
            <w:vAlign w:val="center"/>
          </w:tcPr>
          <w:p w14:paraId="0981689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0.176</w:t>
            </w:r>
          </w:p>
        </w:tc>
        <w:tc>
          <w:tcPr>
            <w:tcW w:w="454" w:type="pct"/>
            <w:vAlign w:val="center"/>
          </w:tcPr>
          <w:p w14:paraId="671AB6D4">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46EE893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0.93</w:t>
            </w:r>
          </w:p>
        </w:tc>
        <w:tc>
          <w:tcPr>
            <w:tcW w:w="557" w:type="pct"/>
            <w:vAlign w:val="center"/>
          </w:tcPr>
          <w:p w14:paraId="4A156691">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4F610124">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77C650C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1.106</w:t>
            </w:r>
          </w:p>
        </w:tc>
        <w:tc>
          <w:tcPr>
            <w:tcW w:w="538" w:type="pct"/>
            <w:vAlign w:val="center"/>
          </w:tcPr>
          <w:p w14:paraId="23B52F35">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45C89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4" w:type="pct"/>
            <w:vMerge w:val="continue"/>
            <w:vAlign w:val="center"/>
          </w:tcPr>
          <w:p w14:paraId="7F4E7247">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405941A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snapToGrid w:val="0"/>
                <w:color w:val="auto"/>
                <w:kern w:val="21"/>
                <w:szCs w:val="21"/>
                <w:highlight w:val="none"/>
              </w:rPr>
            </w:pPr>
            <w:r>
              <w:rPr>
                <w:rFonts w:hint="eastAsia" w:cs="Times New Roman"/>
                <w:color w:val="auto"/>
                <w:sz w:val="21"/>
                <w:szCs w:val="21"/>
                <w:highlight w:val="none"/>
                <w:lang w:val="en-US" w:eastAsia="zh-CN"/>
              </w:rPr>
              <w:t>油烟</w:t>
            </w:r>
          </w:p>
        </w:tc>
        <w:tc>
          <w:tcPr>
            <w:tcW w:w="532" w:type="pct"/>
            <w:vAlign w:val="center"/>
          </w:tcPr>
          <w:p w14:paraId="3A422E7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6.311kg/a</w:t>
            </w:r>
          </w:p>
        </w:tc>
        <w:tc>
          <w:tcPr>
            <w:tcW w:w="454" w:type="pct"/>
            <w:vAlign w:val="center"/>
          </w:tcPr>
          <w:p w14:paraId="5464555C">
            <w:pPr>
              <w:pStyle w:val="75"/>
              <w:spacing w:beforeLines="0" w:afterLines="0" w:line="240" w:lineRule="auto"/>
              <w:jc w:val="center"/>
              <w:rPr>
                <w:rFonts w:ascii="Times New Roman"/>
                <w:snapToGrid w:val="0"/>
                <w:color w:val="auto"/>
                <w:kern w:val="21"/>
                <w:szCs w:val="21"/>
                <w:highlight w:val="none"/>
              </w:rPr>
            </w:pPr>
          </w:p>
        </w:tc>
        <w:tc>
          <w:tcPr>
            <w:tcW w:w="608" w:type="pct"/>
            <w:vAlign w:val="center"/>
          </w:tcPr>
          <w:p w14:paraId="662C84D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ascii="Times New Roman"/>
                <w:snapToGrid w:val="0"/>
                <w:color w:val="auto"/>
                <w:kern w:val="21"/>
                <w:szCs w:val="21"/>
                <w:highlight w:val="none"/>
              </w:rPr>
            </w:pPr>
            <w:r>
              <w:rPr>
                <w:rFonts w:hint="eastAsia" w:cs="Times New Roman"/>
                <w:color w:val="auto"/>
                <w:sz w:val="21"/>
                <w:szCs w:val="21"/>
                <w:highlight w:val="none"/>
                <w:lang w:val="en-US" w:eastAsia="zh-CN"/>
              </w:rPr>
              <w:t>0.56kg/a</w:t>
            </w:r>
          </w:p>
        </w:tc>
        <w:tc>
          <w:tcPr>
            <w:tcW w:w="557" w:type="pct"/>
            <w:vAlign w:val="center"/>
          </w:tcPr>
          <w:p w14:paraId="0239DC96">
            <w:pPr>
              <w:pStyle w:val="75"/>
              <w:tabs>
                <w:tab w:val="left" w:pos="264"/>
                <w:tab w:val="center" w:pos="670"/>
              </w:tabs>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c>
          <w:tcPr>
            <w:tcW w:w="484" w:type="pct"/>
            <w:vAlign w:val="center"/>
          </w:tcPr>
          <w:p w14:paraId="12F4962F">
            <w:pPr>
              <w:pStyle w:val="75"/>
              <w:spacing w:beforeLines="0" w:afterLines="0" w:line="240" w:lineRule="auto"/>
              <w:ind w:left="0" w:leftChars="0" w:firstLine="0" w:firstLineChars="0"/>
              <w:jc w:val="center"/>
              <w:rPr>
                <w:rFonts w:hint="eastAsia" w:ascii="Times New Roman" w:eastAsiaTheme="minorEastAsia"/>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676" w:type="pct"/>
            <w:vAlign w:val="center"/>
          </w:tcPr>
          <w:p w14:paraId="664CAA9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0" w:firstLineChars="0"/>
              <w:jc w:val="center"/>
              <w:textAlignment w:val="center"/>
              <w:outlineLvl w:val="9"/>
              <w:rPr>
                <w:rFonts w:hint="eastAsia" w:ascii="Times New Roman" w:eastAsia="宋体"/>
                <w:snapToGrid w:val="0"/>
                <w:color w:val="auto"/>
                <w:kern w:val="21"/>
                <w:szCs w:val="21"/>
                <w:highlight w:val="none"/>
              </w:rPr>
            </w:pPr>
            <w:r>
              <w:rPr>
                <w:rFonts w:hint="eastAsia" w:cs="Times New Roman"/>
                <w:color w:val="auto"/>
                <w:sz w:val="21"/>
                <w:szCs w:val="21"/>
                <w:highlight w:val="none"/>
                <w:lang w:val="en-US" w:eastAsia="zh-CN"/>
              </w:rPr>
              <w:t>6.871</w:t>
            </w:r>
          </w:p>
        </w:tc>
        <w:tc>
          <w:tcPr>
            <w:tcW w:w="538" w:type="pct"/>
            <w:vAlign w:val="center"/>
          </w:tcPr>
          <w:p w14:paraId="6083C316">
            <w:pPr>
              <w:pStyle w:val="75"/>
              <w:spacing w:beforeLines="0" w:afterLines="0" w:line="240" w:lineRule="auto"/>
              <w:ind w:left="0" w:leftChars="0" w:firstLine="0" w:firstLineChars="0"/>
              <w:jc w:val="center"/>
              <w:rPr>
                <w:rFonts w:hint="eastAsia" w:ascii="Times New Roman" w:eastAsia="宋体"/>
                <w:snapToGrid w:val="0"/>
                <w:color w:val="auto"/>
                <w:kern w:val="21"/>
                <w:szCs w:val="21"/>
                <w:highlight w:val="none"/>
                <w:lang w:val="en-US" w:eastAsia="zh-CN"/>
              </w:rPr>
            </w:pPr>
            <w:r>
              <w:rPr>
                <w:rFonts w:hint="eastAsia" w:ascii="Times New Roman" w:eastAsia="宋体"/>
                <w:snapToGrid w:val="0"/>
                <w:color w:val="auto"/>
                <w:kern w:val="21"/>
                <w:szCs w:val="21"/>
                <w:highlight w:val="none"/>
                <w:lang w:val="en-US" w:eastAsia="zh-CN"/>
              </w:rPr>
              <w:t>/</w:t>
            </w:r>
          </w:p>
        </w:tc>
      </w:tr>
      <w:tr w14:paraId="384D3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74" w:type="pct"/>
            <w:vAlign w:val="center"/>
          </w:tcPr>
          <w:p w14:paraId="1F751B03">
            <w:pPr>
              <w:pStyle w:val="75"/>
              <w:spacing w:beforeLines="0" w:afterLines="0" w:line="240" w:lineRule="auto"/>
              <w:ind w:left="0" w:leftChars="0" w:firstLine="0" w:firstLineChars="0"/>
              <w:jc w:val="both"/>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674" w:type="pct"/>
            <w:vAlign w:val="center"/>
          </w:tcPr>
          <w:p w14:paraId="166F77CE">
            <w:pPr>
              <w:pStyle w:val="75"/>
              <w:spacing w:beforeLines="0" w:afterLines="0" w:line="240" w:lineRule="auto"/>
              <w:jc w:val="center"/>
              <w:rPr>
                <w:rFonts w:ascii="Times New Roman" w:eastAsia="宋体"/>
                <w:snapToGrid w:val="0"/>
                <w:color w:val="auto"/>
                <w:kern w:val="21"/>
                <w:szCs w:val="21"/>
                <w:highlight w:val="none"/>
              </w:rPr>
            </w:pPr>
            <w:r>
              <w:rPr>
                <w:rFonts w:hint="eastAsia" w:ascii="Times New Roman"/>
                <w:bCs/>
                <w:color w:val="auto"/>
                <w:szCs w:val="21"/>
                <w:highlight w:val="none"/>
              </w:rPr>
              <w:t>生活污水</w:t>
            </w:r>
          </w:p>
        </w:tc>
        <w:tc>
          <w:tcPr>
            <w:tcW w:w="532" w:type="pct"/>
            <w:vAlign w:val="center"/>
          </w:tcPr>
          <w:p w14:paraId="703F9923">
            <w:pPr>
              <w:pStyle w:val="75"/>
              <w:spacing w:beforeLines="0" w:afterLines="0" w:line="240" w:lineRule="auto"/>
              <w:ind w:left="0" w:leftChars="0" w:firstLine="0" w:firstLineChars="0"/>
              <w:jc w:val="center"/>
              <w:rPr>
                <w:rFonts w:ascii="Times New Roman" w:eastAsia="宋体"/>
                <w:snapToGrid w:val="0"/>
                <w:color w:val="auto"/>
                <w:kern w:val="21"/>
                <w:szCs w:val="21"/>
                <w:highlight w:val="none"/>
              </w:rPr>
            </w:pPr>
            <w:r>
              <w:rPr>
                <w:rFonts w:ascii="Times New Roman"/>
                <w:snapToGrid w:val="0"/>
                <w:color w:val="auto"/>
                <w:kern w:val="21"/>
                <w:szCs w:val="21"/>
                <w:highlight w:val="none"/>
              </w:rPr>
              <w:t>/</w:t>
            </w:r>
          </w:p>
        </w:tc>
        <w:tc>
          <w:tcPr>
            <w:tcW w:w="454" w:type="pct"/>
            <w:vAlign w:val="center"/>
          </w:tcPr>
          <w:p w14:paraId="61C65A9A">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08" w:type="pct"/>
            <w:vAlign w:val="center"/>
          </w:tcPr>
          <w:p w14:paraId="5DF3C499">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557" w:type="pct"/>
            <w:vAlign w:val="center"/>
          </w:tcPr>
          <w:p w14:paraId="6B60F80D">
            <w:pPr>
              <w:widowControl/>
              <w:spacing w:line="320" w:lineRule="exact"/>
              <w:jc w:val="center"/>
              <w:rPr>
                <w:snapToGrid w:val="0"/>
                <w:color w:val="auto"/>
                <w:kern w:val="21"/>
                <w:highlight w:val="none"/>
              </w:rPr>
            </w:pPr>
            <w:r>
              <w:rPr>
                <w:rFonts w:hint="eastAsia"/>
                <w:bCs/>
                <w:color w:val="auto"/>
                <w:highlight w:val="none"/>
              </w:rPr>
              <w:t>/</w:t>
            </w:r>
          </w:p>
        </w:tc>
        <w:tc>
          <w:tcPr>
            <w:tcW w:w="484" w:type="pct"/>
            <w:vAlign w:val="center"/>
          </w:tcPr>
          <w:p w14:paraId="01BE3FA1">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73B4E3F4">
            <w:pPr>
              <w:widowControl/>
              <w:spacing w:line="320" w:lineRule="exact"/>
              <w:jc w:val="center"/>
              <w:rPr>
                <w:snapToGrid w:val="0"/>
                <w:color w:val="auto"/>
                <w:kern w:val="21"/>
                <w:highlight w:val="none"/>
              </w:rPr>
            </w:pPr>
            <w:r>
              <w:rPr>
                <w:rFonts w:hint="eastAsia"/>
                <w:bCs/>
                <w:color w:val="auto"/>
                <w:highlight w:val="none"/>
              </w:rPr>
              <w:t>/</w:t>
            </w:r>
          </w:p>
        </w:tc>
        <w:tc>
          <w:tcPr>
            <w:tcW w:w="538" w:type="pct"/>
            <w:vAlign w:val="center"/>
          </w:tcPr>
          <w:p w14:paraId="632ED23F">
            <w:pPr>
              <w:widowControl/>
              <w:spacing w:line="320" w:lineRule="exact"/>
              <w:jc w:val="center"/>
              <w:rPr>
                <w:snapToGrid w:val="0"/>
                <w:color w:val="auto"/>
                <w:kern w:val="21"/>
                <w:highlight w:val="none"/>
              </w:rPr>
            </w:pPr>
            <w:r>
              <w:rPr>
                <w:rFonts w:hint="eastAsia"/>
                <w:color w:val="auto"/>
                <w:highlight w:val="none"/>
              </w:rPr>
              <w:t>/</w:t>
            </w:r>
          </w:p>
        </w:tc>
      </w:tr>
      <w:tr w14:paraId="3E3EE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74" w:type="pct"/>
            <w:vAlign w:val="center"/>
          </w:tcPr>
          <w:p w14:paraId="57589209">
            <w:pPr>
              <w:pStyle w:val="75"/>
              <w:spacing w:beforeLines="0" w:afterLines="0" w:line="240" w:lineRule="auto"/>
              <w:ind w:left="0" w:leftChars="0" w:firstLine="0" w:firstLineChars="0"/>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一般工业固体废物</w:t>
            </w:r>
          </w:p>
        </w:tc>
        <w:tc>
          <w:tcPr>
            <w:tcW w:w="674" w:type="pct"/>
            <w:vAlign w:val="center"/>
          </w:tcPr>
          <w:p w14:paraId="0A45DC81">
            <w:pPr>
              <w:jc w:val="center"/>
              <w:rPr>
                <w:color w:val="auto"/>
                <w:highlight w:val="none"/>
              </w:rPr>
            </w:pPr>
            <w:r>
              <w:rPr>
                <w:rFonts w:ascii="Times New Roman"/>
                <w:snapToGrid w:val="0"/>
                <w:color w:val="auto"/>
                <w:kern w:val="21"/>
                <w:szCs w:val="21"/>
                <w:highlight w:val="none"/>
              </w:rPr>
              <w:t>/</w:t>
            </w:r>
          </w:p>
        </w:tc>
        <w:tc>
          <w:tcPr>
            <w:tcW w:w="532" w:type="pct"/>
            <w:vAlign w:val="center"/>
          </w:tcPr>
          <w:p w14:paraId="7C3C8118">
            <w:pPr>
              <w:spacing w:beforeLines="0" w:afterLines="0" w:line="240" w:lineRule="auto"/>
              <w:jc w:val="center"/>
              <w:rPr>
                <w:rFonts w:ascii="Times New Roman" w:eastAsia="宋体"/>
                <w:snapToGrid w:val="0"/>
                <w:color w:val="auto"/>
                <w:kern w:val="21"/>
                <w:szCs w:val="21"/>
                <w:highlight w:val="none"/>
              </w:rPr>
            </w:pPr>
            <w:r>
              <w:rPr>
                <w:rFonts w:ascii="Times New Roman"/>
                <w:snapToGrid w:val="0"/>
                <w:color w:val="auto"/>
                <w:kern w:val="21"/>
                <w:szCs w:val="21"/>
                <w:highlight w:val="none"/>
              </w:rPr>
              <w:t>/</w:t>
            </w:r>
          </w:p>
        </w:tc>
        <w:tc>
          <w:tcPr>
            <w:tcW w:w="454" w:type="pct"/>
            <w:vAlign w:val="center"/>
          </w:tcPr>
          <w:p w14:paraId="1718B92B">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08" w:type="pct"/>
            <w:vAlign w:val="center"/>
          </w:tcPr>
          <w:p w14:paraId="33495129">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557" w:type="pct"/>
            <w:vAlign w:val="center"/>
          </w:tcPr>
          <w:p w14:paraId="0E963B4E">
            <w:pPr>
              <w:jc w:val="center"/>
              <w:rPr>
                <w:snapToGrid w:val="0"/>
                <w:color w:val="auto"/>
                <w:kern w:val="21"/>
                <w:highlight w:val="none"/>
              </w:rPr>
            </w:pPr>
            <w:r>
              <w:rPr>
                <w:rFonts w:ascii="Times New Roman"/>
                <w:snapToGrid w:val="0"/>
                <w:color w:val="auto"/>
                <w:kern w:val="21"/>
                <w:szCs w:val="21"/>
                <w:highlight w:val="none"/>
              </w:rPr>
              <w:t>/</w:t>
            </w:r>
          </w:p>
        </w:tc>
        <w:tc>
          <w:tcPr>
            <w:tcW w:w="484" w:type="pct"/>
            <w:vAlign w:val="center"/>
          </w:tcPr>
          <w:p w14:paraId="30CC4AA7">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78BB17FD">
            <w:pPr>
              <w:jc w:val="center"/>
              <w:rPr>
                <w:snapToGrid w:val="0"/>
                <w:color w:val="auto"/>
                <w:kern w:val="21"/>
                <w:highlight w:val="none"/>
              </w:rPr>
            </w:pPr>
            <w:r>
              <w:rPr>
                <w:rFonts w:ascii="Times New Roman"/>
                <w:snapToGrid w:val="0"/>
                <w:color w:val="auto"/>
                <w:kern w:val="21"/>
                <w:szCs w:val="21"/>
                <w:highlight w:val="none"/>
              </w:rPr>
              <w:t>/</w:t>
            </w:r>
          </w:p>
        </w:tc>
        <w:tc>
          <w:tcPr>
            <w:tcW w:w="538" w:type="pct"/>
            <w:vAlign w:val="center"/>
          </w:tcPr>
          <w:p w14:paraId="4257E6C5">
            <w:pPr>
              <w:jc w:val="center"/>
              <w:rPr>
                <w:snapToGrid w:val="0"/>
                <w:color w:val="auto"/>
                <w:kern w:val="21"/>
                <w:highlight w:val="none"/>
              </w:rPr>
            </w:pPr>
            <w:r>
              <w:rPr>
                <w:rFonts w:ascii="Times New Roman"/>
                <w:snapToGrid w:val="0"/>
                <w:color w:val="auto"/>
                <w:kern w:val="21"/>
                <w:szCs w:val="21"/>
                <w:highlight w:val="none"/>
              </w:rPr>
              <w:t>/</w:t>
            </w:r>
          </w:p>
        </w:tc>
      </w:tr>
      <w:tr w14:paraId="3AB68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74" w:type="pct"/>
            <w:vMerge w:val="restart"/>
            <w:vAlign w:val="center"/>
          </w:tcPr>
          <w:p w14:paraId="231B09FB">
            <w:pPr>
              <w:pStyle w:val="75"/>
              <w:spacing w:before="24" w:after="24" w:line="240" w:lineRule="auto"/>
              <w:ind w:left="0" w:leftChars="0" w:firstLine="0" w:firstLineChars="0"/>
              <w:jc w:val="both"/>
              <w:rPr>
                <w:rFonts w:ascii="Times New Roman"/>
                <w:snapToGrid w:val="0"/>
                <w:color w:val="auto"/>
                <w:kern w:val="21"/>
                <w:szCs w:val="21"/>
                <w:highlight w:val="none"/>
              </w:rPr>
            </w:pPr>
            <w:r>
              <w:rPr>
                <w:rFonts w:ascii="Times New Roman"/>
                <w:snapToGrid w:val="0"/>
                <w:color w:val="auto"/>
                <w:kern w:val="21"/>
                <w:szCs w:val="21"/>
                <w:highlight w:val="none"/>
              </w:rPr>
              <w:t>危险废物</w:t>
            </w:r>
          </w:p>
        </w:tc>
        <w:tc>
          <w:tcPr>
            <w:tcW w:w="674" w:type="pct"/>
            <w:vAlign w:val="center"/>
          </w:tcPr>
          <w:p w14:paraId="4705B2FE">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含油手套、抹布</w:t>
            </w:r>
          </w:p>
        </w:tc>
        <w:tc>
          <w:tcPr>
            <w:tcW w:w="532" w:type="pct"/>
            <w:vAlign w:val="center"/>
          </w:tcPr>
          <w:p w14:paraId="78B93996">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454" w:type="pct"/>
            <w:vAlign w:val="center"/>
          </w:tcPr>
          <w:p w14:paraId="2658744D">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608" w:type="pct"/>
            <w:vAlign w:val="center"/>
          </w:tcPr>
          <w:p w14:paraId="7C47572C">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557" w:type="pct"/>
            <w:vAlign w:val="center"/>
          </w:tcPr>
          <w:p w14:paraId="5F409709">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15</w:t>
            </w:r>
            <w:r>
              <w:rPr>
                <w:rFonts w:hint="eastAsia" w:ascii="Times New Roman"/>
                <w:bCs/>
                <w:color w:val="auto"/>
                <w:szCs w:val="21"/>
                <w:highlight w:val="none"/>
              </w:rPr>
              <w:t>t/a</w:t>
            </w:r>
          </w:p>
        </w:tc>
        <w:tc>
          <w:tcPr>
            <w:tcW w:w="484" w:type="pct"/>
            <w:vAlign w:val="center"/>
          </w:tcPr>
          <w:p w14:paraId="4E862600">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2BBE7D74">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15</w:t>
            </w:r>
            <w:r>
              <w:rPr>
                <w:rFonts w:hint="eastAsia" w:ascii="Times New Roman"/>
                <w:bCs/>
                <w:color w:val="auto"/>
                <w:szCs w:val="21"/>
                <w:highlight w:val="none"/>
              </w:rPr>
              <w:t>t/a</w:t>
            </w:r>
          </w:p>
        </w:tc>
        <w:tc>
          <w:tcPr>
            <w:tcW w:w="538" w:type="pct"/>
            <w:vAlign w:val="center"/>
          </w:tcPr>
          <w:p w14:paraId="33103301">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w:t>
            </w:r>
            <w:r>
              <w:rPr>
                <w:rFonts w:hint="eastAsia" w:ascii="Times New Roman"/>
                <w:bCs/>
                <w:color w:val="auto"/>
                <w:szCs w:val="21"/>
                <w:highlight w:val="none"/>
              </w:rPr>
              <w:t>0.</w:t>
            </w:r>
            <w:r>
              <w:rPr>
                <w:rFonts w:hint="eastAsia" w:ascii="Times New Roman"/>
                <w:bCs/>
                <w:color w:val="auto"/>
                <w:szCs w:val="21"/>
                <w:highlight w:val="none"/>
                <w:lang w:val="en-US" w:eastAsia="zh-CN"/>
              </w:rPr>
              <w:t>15</w:t>
            </w:r>
            <w:r>
              <w:rPr>
                <w:rFonts w:hint="eastAsia" w:ascii="Times New Roman"/>
                <w:bCs/>
                <w:color w:val="auto"/>
                <w:szCs w:val="21"/>
                <w:highlight w:val="none"/>
              </w:rPr>
              <w:t>t/a</w:t>
            </w:r>
          </w:p>
        </w:tc>
      </w:tr>
      <w:tr w14:paraId="60B5E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74" w:type="pct"/>
            <w:vMerge w:val="continue"/>
            <w:vAlign w:val="center"/>
          </w:tcPr>
          <w:p w14:paraId="150F3D9E">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10C99A8A">
            <w:pPr>
              <w:pStyle w:val="75"/>
              <w:spacing w:beforeLines="0" w:afterLines="0" w:line="240" w:lineRule="auto"/>
              <w:ind w:left="0" w:leftChars="0" w:firstLine="0" w:firstLineChars="0"/>
              <w:jc w:val="center"/>
              <w:rPr>
                <w:rFonts w:hint="eastAsia" w:ascii="Times New Roman"/>
                <w:bCs/>
                <w:color w:val="auto"/>
                <w:szCs w:val="21"/>
                <w:highlight w:val="none"/>
                <w:lang w:eastAsia="zh-CN"/>
              </w:rPr>
            </w:pPr>
            <w:r>
              <w:rPr>
                <w:rFonts w:hint="eastAsia" w:ascii="Times New Roman"/>
                <w:bCs/>
                <w:color w:val="auto"/>
                <w:szCs w:val="21"/>
                <w:highlight w:val="none"/>
                <w:lang w:eastAsia="zh-CN"/>
              </w:rPr>
              <w:t>碱液喷淋塔废碱液</w:t>
            </w:r>
          </w:p>
        </w:tc>
        <w:tc>
          <w:tcPr>
            <w:tcW w:w="532" w:type="pct"/>
            <w:vAlign w:val="center"/>
          </w:tcPr>
          <w:p w14:paraId="003F9FDD">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454" w:type="pct"/>
            <w:vAlign w:val="center"/>
          </w:tcPr>
          <w:p w14:paraId="0E8F89DC">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608" w:type="pct"/>
            <w:vAlign w:val="center"/>
          </w:tcPr>
          <w:p w14:paraId="1FE68A4B">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w:t>
            </w:r>
          </w:p>
        </w:tc>
        <w:tc>
          <w:tcPr>
            <w:tcW w:w="557" w:type="pct"/>
            <w:vAlign w:val="center"/>
          </w:tcPr>
          <w:p w14:paraId="13A18F32">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56</w:t>
            </w:r>
            <w:r>
              <w:rPr>
                <w:rFonts w:hint="eastAsia" w:ascii="Times New Roman"/>
                <w:bCs/>
                <w:color w:val="auto"/>
                <w:szCs w:val="21"/>
                <w:highlight w:val="none"/>
              </w:rPr>
              <w:t>t/a</w:t>
            </w:r>
          </w:p>
        </w:tc>
        <w:tc>
          <w:tcPr>
            <w:tcW w:w="484" w:type="pct"/>
            <w:vAlign w:val="center"/>
          </w:tcPr>
          <w:p w14:paraId="6E8AC2E4">
            <w:pPr>
              <w:pStyle w:val="75"/>
              <w:spacing w:beforeLines="0" w:afterLines="0" w:line="240" w:lineRule="auto"/>
              <w:ind w:left="0" w:leftChars="0" w:firstLine="0" w:firstLineChars="0"/>
              <w:jc w:val="center"/>
              <w:rPr>
                <w:rFonts w:ascii="Times New Roman"/>
                <w:snapToGrid w:val="0"/>
                <w:color w:val="auto"/>
                <w:kern w:val="21"/>
                <w:szCs w:val="21"/>
                <w:highlight w:val="none"/>
              </w:rPr>
            </w:pPr>
            <w:r>
              <w:rPr>
                <w:rFonts w:ascii="Times New Roman"/>
                <w:snapToGrid w:val="0"/>
                <w:color w:val="auto"/>
                <w:kern w:val="21"/>
                <w:szCs w:val="21"/>
                <w:highlight w:val="none"/>
              </w:rPr>
              <w:t>/</w:t>
            </w:r>
          </w:p>
        </w:tc>
        <w:tc>
          <w:tcPr>
            <w:tcW w:w="676" w:type="pct"/>
            <w:vAlign w:val="center"/>
          </w:tcPr>
          <w:p w14:paraId="04658A83">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rPr>
              <w:t>0.</w:t>
            </w:r>
            <w:r>
              <w:rPr>
                <w:rFonts w:hint="eastAsia" w:ascii="Times New Roman"/>
                <w:bCs/>
                <w:color w:val="auto"/>
                <w:szCs w:val="21"/>
                <w:highlight w:val="none"/>
                <w:lang w:val="en-US" w:eastAsia="zh-CN"/>
              </w:rPr>
              <w:t>56</w:t>
            </w:r>
            <w:r>
              <w:rPr>
                <w:rFonts w:hint="eastAsia" w:ascii="Times New Roman"/>
                <w:bCs/>
                <w:color w:val="auto"/>
                <w:szCs w:val="21"/>
                <w:highlight w:val="none"/>
              </w:rPr>
              <w:t>t/a</w:t>
            </w:r>
          </w:p>
        </w:tc>
        <w:tc>
          <w:tcPr>
            <w:tcW w:w="538" w:type="pct"/>
            <w:vAlign w:val="center"/>
          </w:tcPr>
          <w:p w14:paraId="3ED4650F">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w:t>
            </w:r>
            <w:r>
              <w:rPr>
                <w:rFonts w:hint="eastAsia" w:ascii="Times New Roman"/>
                <w:bCs/>
                <w:color w:val="auto"/>
                <w:szCs w:val="21"/>
                <w:highlight w:val="none"/>
              </w:rPr>
              <w:t>0.</w:t>
            </w:r>
            <w:r>
              <w:rPr>
                <w:rFonts w:hint="eastAsia" w:ascii="Times New Roman"/>
                <w:bCs/>
                <w:color w:val="auto"/>
                <w:szCs w:val="21"/>
                <w:highlight w:val="none"/>
                <w:lang w:val="en-US" w:eastAsia="zh-CN"/>
              </w:rPr>
              <w:t>56</w:t>
            </w:r>
            <w:r>
              <w:rPr>
                <w:rFonts w:hint="eastAsia" w:ascii="Times New Roman"/>
                <w:bCs/>
                <w:color w:val="auto"/>
                <w:szCs w:val="21"/>
                <w:highlight w:val="none"/>
              </w:rPr>
              <w:t>t/a</w:t>
            </w:r>
          </w:p>
        </w:tc>
      </w:tr>
      <w:tr w14:paraId="33F60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74" w:type="pct"/>
            <w:vMerge w:val="continue"/>
            <w:vAlign w:val="center"/>
          </w:tcPr>
          <w:p w14:paraId="52E2F843">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037DAF7D">
            <w:pPr>
              <w:pStyle w:val="75"/>
              <w:spacing w:beforeLines="0" w:afterLines="0" w:line="240" w:lineRule="auto"/>
              <w:ind w:left="0" w:leftChars="0" w:firstLine="0" w:firstLineChars="0"/>
              <w:jc w:val="center"/>
              <w:rPr>
                <w:rFonts w:hint="eastAsia" w:ascii="Times New Roman"/>
                <w:bCs/>
                <w:color w:val="auto"/>
                <w:szCs w:val="21"/>
                <w:highlight w:val="none"/>
              </w:rPr>
            </w:pPr>
            <w:r>
              <w:rPr>
                <w:rFonts w:hint="eastAsia" w:ascii="Times New Roman"/>
                <w:bCs/>
                <w:color w:val="auto"/>
                <w:szCs w:val="21"/>
                <w:highlight w:val="none"/>
              </w:rPr>
              <w:t>废活性炭</w:t>
            </w:r>
          </w:p>
        </w:tc>
        <w:tc>
          <w:tcPr>
            <w:tcW w:w="532" w:type="pct"/>
            <w:vAlign w:val="center"/>
          </w:tcPr>
          <w:p w14:paraId="1FD0C0FA">
            <w:pPr>
              <w:pStyle w:val="75"/>
              <w:spacing w:beforeLines="0" w:afterLines="0" w:line="240" w:lineRule="auto"/>
              <w:jc w:val="center"/>
              <w:rPr>
                <w:rFonts w:hint="eastAsia" w:ascii="Times New Roman"/>
                <w:bCs/>
                <w:color w:val="auto"/>
                <w:szCs w:val="21"/>
                <w:highlight w:val="none"/>
              </w:rPr>
            </w:pPr>
          </w:p>
        </w:tc>
        <w:tc>
          <w:tcPr>
            <w:tcW w:w="454" w:type="pct"/>
            <w:vAlign w:val="center"/>
          </w:tcPr>
          <w:p w14:paraId="4AE59E24">
            <w:pPr>
              <w:pStyle w:val="75"/>
              <w:spacing w:beforeLines="0" w:afterLines="0" w:line="240" w:lineRule="auto"/>
              <w:jc w:val="center"/>
              <w:rPr>
                <w:rFonts w:hint="eastAsia" w:ascii="Times New Roman"/>
                <w:bCs/>
                <w:color w:val="auto"/>
                <w:szCs w:val="21"/>
                <w:highlight w:val="none"/>
              </w:rPr>
            </w:pPr>
          </w:p>
        </w:tc>
        <w:tc>
          <w:tcPr>
            <w:tcW w:w="608" w:type="pct"/>
            <w:vAlign w:val="center"/>
          </w:tcPr>
          <w:p w14:paraId="166D7DCB">
            <w:pPr>
              <w:pStyle w:val="75"/>
              <w:spacing w:beforeLines="0" w:afterLines="0" w:line="240" w:lineRule="auto"/>
              <w:jc w:val="center"/>
              <w:rPr>
                <w:rFonts w:hint="eastAsia" w:ascii="Times New Roman"/>
                <w:bCs/>
                <w:color w:val="auto"/>
                <w:szCs w:val="21"/>
                <w:highlight w:val="none"/>
              </w:rPr>
            </w:pPr>
          </w:p>
        </w:tc>
        <w:tc>
          <w:tcPr>
            <w:tcW w:w="557" w:type="pct"/>
            <w:vAlign w:val="center"/>
          </w:tcPr>
          <w:p w14:paraId="0D0734FB">
            <w:pPr>
              <w:pStyle w:val="75"/>
              <w:spacing w:beforeLines="0" w:afterLines="0" w:line="240" w:lineRule="auto"/>
              <w:ind w:left="0" w:leftChars="0" w:firstLine="0" w:firstLineChars="0"/>
              <w:jc w:val="center"/>
              <w:rPr>
                <w:rFonts w:hint="default" w:ascii="Times New Roman" w:eastAsiaTheme="minorEastAsia"/>
                <w:bCs/>
                <w:color w:val="auto"/>
                <w:szCs w:val="21"/>
                <w:highlight w:val="none"/>
                <w:lang w:val="en-US" w:eastAsia="zh-CN"/>
              </w:rPr>
            </w:pPr>
            <w:r>
              <w:rPr>
                <w:rFonts w:hint="eastAsia" w:ascii="Times New Roman"/>
                <w:bCs/>
                <w:color w:val="auto"/>
                <w:szCs w:val="21"/>
                <w:highlight w:val="none"/>
                <w:lang w:val="en-US" w:eastAsia="zh-CN"/>
              </w:rPr>
              <w:t>0.319</w:t>
            </w:r>
            <w:r>
              <w:rPr>
                <w:rFonts w:hint="eastAsia" w:ascii="Times New Roman"/>
                <w:bCs/>
                <w:color w:val="auto"/>
                <w:szCs w:val="21"/>
                <w:highlight w:val="none"/>
              </w:rPr>
              <w:t>t/a</w:t>
            </w:r>
          </w:p>
        </w:tc>
        <w:tc>
          <w:tcPr>
            <w:tcW w:w="484" w:type="pct"/>
            <w:vAlign w:val="center"/>
          </w:tcPr>
          <w:p w14:paraId="01B53BA4">
            <w:pPr>
              <w:pStyle w:val="75"/>
              <w:spacing w:beforeLines="0" w:afterLines="0" w:line="240" w:lineRule="auto"/>
              <w:jc w:val="center"/>
              <w:rPr>
                <w:rFonts w:ascii="Times New Roman"/>
                <w:snapToGrid w:val="0"/>
                <w:color w:val="auto"/>
                <w:kern w:val="21"/>
                <w:szCs w:val="21"/>
                <w:highlight w:val="none"/>
              </w:rPr>
            </w:pPr>
          </w:p>
        </w:tc>
        <w:tc>
          <w:tcPr>
            <w:tcW w:w="676" w:type="pct"/>
            <w:vAlign w:val="center"/>
          </w:tcPr>
          <w:p w14:paraId="6B62DA97">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0.319</w:t>
            </w:r>
            <w:r>
              <w:rPr>
                <w:rFonts w:hint="eastAsia" w:ascii="Times New Roman"/>
                <w:bCs/>
                <w:color w:val="auto"/>
                <w:szCs w:val="21"/>
                <w:highlight w:val="none"/>
              </w:rPr>
              <w:t>t/a</w:t>
            </w:r>
          </w:p>
        </w:tc>
        <w:tc>
          <w:tcPr>
            <w:tcW w:w="538" w:type="pct"/>
            <w:vAlign w:val="center"/>
          </w:tcPr>
          <w:p w14:paraId="12A04057">
            <w:pPr>
              <w:pStyle w:val="75"/>
              <w:spacing w:beforeLines="0" w:afterLines="0" w:line="240" w:lineRule="auto"/>
              <w:ind w:left="0" w:leftChars="0" w:firstLine="0" w:firstLineChars="0"/>
              <w:jc w:val="center"/>
              <w:rPr>
                <w:snapToGrid w:val="0"/>
                <w:color w:val="auto"/>
                <w:kern w:val="21"/>
                <w:highlight w:val="none"/>
              </w:rPr>
            </w:pPr>
            <w:r>
              <w:rPr>
                <w:rFonts w:hint="eastAsia" w:ascii="Times New Roman"/>
                <w:bCs/>
                <w:color w:val="auto"/>
                <w:szCs w:val="21"/>
                <w:highlight w:val="none"/>
                <w:lang w:val="en-US" w:eastAsia="zh-CN"/>
              </w:rPr>
              <w:t>+0.319</w:t>
            </w:r>
            <w:r>
              <w:rPr>
                <w:rFonts w:hint="eastAsia" w:ascii="Times New Roman"/>
                <w:bCs/>
                <w:color w:val="auto"/>
                <w:szCs w:val="21"/>
                <w:highlight w:val="none"/>
              </w:rPr>
              <w:t>t/a</w:t>
            </w:r>
          </w:p>
        </w:tc>
      </w:tr>
      <w:tr w14:paraId="7796D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74" w:type="pct"/>
            <w:vMerge w:val="continue"/>
            <w:vAlign w:val="center"/>
          </w:tcPr>
          <w:p w14:paraId="7D088BCA">
            <w:pPr>
              <w:pStyle w:val="75"/>
              <w:spacing w:beforeLines="0" w:afterLines="0" w:line="240" w:lineRule="auto"/>
              <w:jc w:val="both"/>
              <w:rPr>
                <w:rFonts w:ascii="Times New Roman"/>
                <w:snapToGrid w:val="0"/>
                <w:color w:val="auto"/>
                <w:kern w:val="21"/>
                <w:szCs w:val="21"/>
                <w:highlight w:val="none"/>
              </w:rPr>
            </w:pPr>
          </w:p>
        </w:tc>
        <w:tc>
          <w:tcPr>
            <w:tcW w:w="674" w:type="pct"/>
            <w:vAlign w:val="center"/>
          </w:tcPr>
          <w:p w14:paraId="4A2837AA">
            <w:pPr>
              <w:pStyle w:val="75"/>
              <w:spacing w:beforeLines="0" w:afterLines="0" w:line="240" w:lineRule="auto"/>
              <w:ind w:left="0" w:leftChars="0" w:firstLine="0" w:firstLineChars="0"/>
              <w:jc w:val="center"/>
              <w:rPr>
                <w:rFonts w:hint="eastAsia" w:ascii="Times New Roman" w:eastAsiaTheme="minorEastAsia"/>
                <w:bCs/>
                <w:color w:val="auto"/>
                <w:szCs w:val="21"/>
                <w:highlight w:val="none"/>
                <w:lang w:eastAsia="zh-CN"/>
              </w:rPr>
            </w:pPr>
            <w:r>
              <w:rPr>
                <w:rFonts w:hint="eastAsia" w:ascii="Times New Roman"/>
                <w:bCs/>
                <w:color w:val="auto"/>
                <w:szCs w:val="21"/>
                <w:highlight w:val="none"/>
                <w:lang w:eastAsia="zh-CN"/>
              </w:rPr>
              <w:t>废过滤棉</w:t>
            </w:r>
          </w:p>
        </w:tc>
        <w:tc>
          <w:tcPr>
            <w:tcW w:w="532" w:type="pct"/>
            <w:vAlign w:val="center"/>
          </w:tcPr>
          <w:p w14:paraId="284DB24B">
            <w:pPr>
              <w:pStyle w:val="75"/>
              <w:spacing w:beforeLines="0" w:afterLines="0" w:line="240" w:lineRule="auto"/>
              <w:jc w:val="center"/>
              <w:rPr>
                <w:rFonts w:hint="eastAsia" w:ascii="Times New Roman"/>
                <w:bCs/>
                <w:color w:val="auto"/>
                <w:szCs w:val="21"/>
                <w:highlight w:val="none"/>
              </w:rPr>
            </w:pPr>
          </w:p>
        </w:tc>
        <w:tc>
          <w:tcPr>
            <w:tcW w:w="454" w:type="pct"/>
            <w:vAlign w:val="center"/>
          </w:tcPr>
          <w:p w14:paraId="0A848AA8">
            <w:pPr>
              <w:pStyle w:val="75"/>
              <w:spacing w:beforeLines="0" w:afterLines="0" w:line="240" w:lineRule="auto"/>
              <w:jc w:val="center"/>
              <w:rPr>
                <w:rFonts w:hint="eastAsia" w:ascii="Times New Roman"/>
                <w:bCs/>
                <w:color w:val="auto"/>
                <w:szCs w:val="21"/>
                <w:highlight w:val="none"/>
              </w:rPr>
            </w:pPr>
          </w:p>
        </w:tc>
        <w:tc>
          <w:tcPr>
            <w:tcW w:w="608" w:type="pct"/>
            <w:vAlign w:val="center"/>
          </w:tcPr>
          <w:p w14:paraId="533E5C5B">
            <w:pPr>
              <w:pStyle w:val="75"/>
              <w:spacing w:beforeLines="0" w:afterLines="0" w:line="240" w:lineRule="auto"/>
              <w:jc w:val="center"/>
              <w:rPr>
                <w:rFonts w:hint="eastAsia" w:ascii="Times New Roman"/>
                <w:bCs/>
                <w:color w:val="auto"/>
                <w:szCs w:val="21"/>
                <w:highlight w:val="none"/>
              </w:rPr>
            </w:pPr>
          </w:p>
        </w:tc>
        <w:tc>
          <w:tcPr>
            <w:tcW w:w="557" w:type="pct"/>
            <w:vAlign w:val="center"/>
          </w:tcPr>
          <w:p w14:paraId="52F2934B">
            <w:pPr>
              <w:pStyle w:val="75"/>
              <w:spacing w:beforeLines="0" w:afterLines="0" w:line="240" w:lineRule="auto"/>
              <w:ind w:left="0" w:leftChars="0" w:firstLine="0" w:firstLineChars="0"/>
              <w:jc w:val="center"/>
              <w:rPr>
                <w:rFonts w:hint="default" w:ascii="Times New Roman"/>
                <w:bCs/>
                <w:color w:val="auto"/>
                <w:szCs w:val="21"/>
                <w:highlight w:val="none"/>
                <w:lang w:val="en-US" w:eastAsia="zh-CN"/>
              </w:rPr>
            </w:pPr>
            <w:r>
              <w:rPr>
                <w:rFonts w:hint="eastAsia" w:ascii="Times New Roman"/>
                <w:bCs/>
                <w:color w:val="auto"/>
                <w:szCs w:val="21"/>
                <w:highlight w:val="none"/>
                <w:lang w:val="en-US" w:eastAsia="zh-CN"/>
              </w:rPr>
              <w:t>0.4</w:t>
            </w:r>
            <w:r>
              <w:rPr>
                <w:rFonts w:hint="eastAsia" w:ascii="Times New Roman"/>
                <w:bCs/>
                <w:color w:val="auto"/>
                <w:szCs w:val="21"/>
                <w:highlight w:val="none"/>
              </w:rPr>
              <w:t>t/a</w:t>
            </w:r>
          </w:p>
        </w:tc>
        <w:tc>
          <w:tcPr>
            <w:tcW w:w="484" w:type="pct"/>
            <w:vAlign w:val="center"/>
          </w:tcPr>
          <w:p w14:paraId="727B75FA">
            <w:pPr>
              <w:pStyle w:val="75"/>
              <w:spacing w:beforeLines="0" w:afterLines="0" w:line="240" w:lineRule="auto"/>
              <w:jc w:val="center"/>
              <w:rPr>
                <w:rFonts w:ascii="Times New Roman"/>
                <w:snapToGrid w:val="0"/>
                <w:color w:val="auto"/>
                <w:kern w:val="21"/>
                <w:szCs w:val="21"/>
                <w:highlight w:val="none"/>
              </w:rPr>
            </w:pPr>
          </w:p>
        </w:tc>
        <w:tc>
          <w:tcPr>
            <w:tcW w:w="676" w:type="pct"/>
            <w:vAlign w:val="center"/>
          </w:tcPr>
          <w:p w14:paraId="6D1E978E">
            <w:pPr>
              <w:pStyle w:val="75"/>
              <w:spacing w:beforeLines="0" w:afterLines="0" w:line="240" w:lineRule="auto"/>
              <w:ind w:left="0" w:leftChars="0" w:firstLine="0" w:firstLineChars="0"/>
              <w:jc w:val="center"/>
              <w:rPr>
                <w:rFonts w:hint="eastAsia" w:ascii="Times New Roman"/>
                <w:bCs/>
                <w:color w:val="auto"/>
                <w:szCs w:val="21"/>
                <w:highlight w:val="none"/>
                <w:lang w:val="en-US" w:eastAsia="zh-CN"/>
              </w:rPr>
            </w:pPr>
            <w:r>
              <w:rPr>
                <w:rFonts w:hint="eastAsia" w:ascii="Times New Roman"/>
                <w:bCs/>
                <w:color w:val="auto"/>
                <w:szCs w:val="21"/>
                <w:highlight w:val="none"/>
                <w:lang w:val="en-US" w:eastAsia="zh-CN"/>
              </w:rPr>
              <w:t>0.4</w:t>
            </w:r>
            <w:r>
              <w:rPr>
                <w:rFonts w:hint="eastAsia" w:ascii="Times New Roman"/>
                <w:bCs/>
                <w:color w:val="auto"/>
                <w:szCs w:val="21"/>
                <w:highlight w:val="none"/>
              </w:rPr>
              <w:t>t/a</w:t>
            </w:r>
          </w:p>
        </w:tc>
        <w:tc>
          <w:tcPr>
            <w:tcW w:w="538" w:type="pct"/>
            <w:vAlign w:val="center"/>
          </w:tcPr>
          <w:p w14:paraId="0BDE91B0">
            <w:pPr>
              <w:pStyle w:val="75"/>
              <w:spacing w:beforeLines="0" w:afterLines="0" w:line="240" w:lineRule="auto"/>
              <w:ind w:left="0" w:leftChars="0" w:firstLine="0" w:firstLineChars="0"/>
              <w:jc w:val="center"/>
              <w:rPr>
                <w:rFonts w:hint="eastAsia" w:ascii="Times New Roman"/>
                <w:bCs/>
                <w:color w:val="auto"/>
                <w:szCs w:val="21"/>
                <w:highlight w:val="none"/>
                <w:lang w:val="en-US" w:eastAsia="zh-CN"/>
              </w:rPr>
            </w:pPr>
            <w:r>
              <w:rPr>
                <w:rFonts w:hint="eastAsia" w:ascii="Times New Roman"/>
                <w:bCs/>
                <w:color w:val="auto"/>
                <w:szCs w:val="21"/>
                <w:highlight w:val="none"/>
                <w:lang w:val="en-US" w:eastAsia="zh-CN"/>
              </w:rPr>
              <w:t>+0.4</w:t>
            </w:r>
            <w:r>
              <w:rPr>
                <w:rFonts w:hint="eastAsia" w:ascii="Times New Roman"/>
                <w:bCs/>
                <w:color w:val="auto"/>
                <w:szCs w:val="21"/>
                <w:highlight w:val="none"/>
              </w:rPr>
              <w:t>t/a</w:t>
            </w:r>
          </w:p>
        </w:tc>
      </w:tr>
    </w:tbl>
    <w:p w14:paraId="5505EBA3">
      <w:pPr>
        <w:pStyle w:val="75"/>
        <w:spacing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6A50493F">
      <w:pPr>
        <w:rPr>
          <w:rFonts w:hAnsi="宋体"/>
          <w:snapToGrid w:val="0"/>
          <w:color w:val="auto"/>
          <w:spacing w:val="-6"/>
          <w:kern w:val="21"/>
          <w:szCs w:val="21"/>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425D15D0">
      <w:pPr>
        <w:rPr>
          <w:color w:val="auto"/>
          <w:highlight w:val="none"/>
        </w:rPr>
      </w:pPr>
    </w:p>
    <w:bookmarkEnd w:id="92"/>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BF11A96-3B12-4CF8-B7BF-E5E57B4655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2" w:fontKey="{E511C6CD-A296-4328-A890-695A4054BFEC}"/>
  </w:font>
  <w:font w:name="仿宋">
    <w:panose1 w:val="02010609060101010101"/>
    <w:charset w:val="86"/>
    <w:family w:val="modern"/>
    <w:pitch w:val="default"/>
    <w:sig w:usb0="800002BF" w:usb1="38CF7CFA" w:usb2="00000016" w:usb3="00000000" w:csb0="00040001" w:csb1="00000000"/>
    <w:embedRegular r:id="rId3" w:fontKey="{23A647EE-D3F7-4DA4-9E0D-4B1FDE4E54A8}"/>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体">
    <w:altName w:val="仿宋"/>
    <w:panose1 w:val="00000000000000000000"/>
    <w:charset w:val="86"/>
    <w:family w:val="roma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embedRegular r:id="rId4" w:fontKey="{465F3A0D-5058-46A3-B19B-731F6B0A2D2E}"/>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embedRegular r:id="rId5" w:fontKey="{597ABF5D-0D68-4E20-8B6D-B7B31041797C}"/>
  </w:font>
  <w:font w:name="华文仿宋">
    <w:panose1 w:val="02010600040101010101"/>
    <w:charset w:val="86"/>
    <w:family w:val="auto"/>
    <w:pitch w:val="default"/>
    <w:sig w:usb0="00000287" w:usb1="080F0000" w:usb2="00000000" w:usb3="00000000" w:csb0="0004009F" w:csb1="DFD70000"/>
    <w:embedRegular r:id="rId6" w:fontKey="{F147A4D1-BE31-4445-97ED-8ABE764F63AB}"/>
  </w:font>
  <w:font w:name="Wingdings 2">
    <w:panose1 w:val="05020102010507070707"/>
    <w:charset w:val="02"/>
    <w:family w:val="roman"/>
    <w:pitch w:val="default"/>
    <w:sig w:usb0="00000000" w:usb1="00000000" w:usb2="00000000" w:usb3="00000000" w:csb0="80000000" w:csb1="00000000"/>
    <w:embedRegular r:id="rId7" w:fontKey="{F606F3D3-8C32-4F65-BF82-5DB4BC8F691D}"/>
  </w:font>
  <w:font w:name="等线">
    <w:panose1 w:val="02010600030101010101"/>
    <w:charset w:val="86"/>
    <w:family w:val="auto"/>
    <w:pitch w:val="default"/>
    <w:sig w:usb0="A00002BF" w:usb1="38CF7CFA" w:usb2="00000016" w:usb3="00000000" w:csb0="0004000F" w:csb1="00000000"/>
    <w:embedRegular r:id="rId8" w:fontKey="{F16C7B61-EBE6-4378-AFC6-FBF8278255C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0888B">
    <w:pPr>
      <w:pStyle w:val="20"/>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41</w:t>
    </w:r>
    <w:r>
      <w:rPr>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14:paraId="0FE8523F">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00E68">
    <w:pPr>
      <w:pStyle w:val="20"/>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sz w:val="26"/>
        <w:szCs w:val="26"/>
      </w:rPr>
      <w:fldChar w:fldCharType="begin"/>
    </w:r>
    <w:r>
      <w:rPr>
        <w:rStyle w:val="39"/>
        <w:sz w:val="26"/>
        <w:szCs w:val="26"/>
      </w:rPr>
      <w:instrText xml:space="preserve">PAGE  </w:instrText>
    </w:r>
    <w:r>
      <w:rPr>
        <w:sz w:val="26"/>
        <w:szCs w:val="26"/>
      </w:rPr>
      <w:fldChar w:fldCharType="separate"/>
    </w:r>
    <w:r>
      <w:rPr>
        <w:rStyle w:val="39"/>
        <w:sz w:val="26"/>
        <w:szCs w:val="26"/>
      </w:rPr>
      <w:t>43</w:t>
    </w:r>
    <w:r>
      <w:rPr>
        <w:sz w:val="26"/>
        <w:szCs w:val="26"/>
      </w:rPr>
      <w:fldChar w:fldCharType="end"/>
    </w:r>
    <w:r>
      <w:rPr>
        <w:rStyle w:val="39"/>
        <w:sz w:val="20"/>
      </w:rPr>
      <w:t xml:space="preserve"> </w:t>
    </w:r>
    <w:r>
      <w:rPr>
        <w:rStyle w:val="39"/>
        <w:rFonts w:hint="eastAsia" w:ascii="宋体" w:hAnsi="宋体"/>
        <w:sz w:val="20"/>
      </w:rPr>
      <w:t xml:space="preserve"> </w:t>
    </w:r>
    <w:r>
      <w:rPr>
        <w:rStyle w:val="39"/>
        <w:rFonts w:hint="eastAsia" w:ascii="宋体" w:hAnsi="宋体"/>
        <w:sz w:val="28"/>
        <w:szCs w:val="28"/>
      </w:rPr>
      <w:t>—</w:t>
    </w:r>
  </w:p>
  <w:p w14:paraId="3074A6E0">
    <w:pPr>
      <w:pStyle w:val="2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CE8DD">
    <w:pPr>
      <w:pStyle w:val="2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990B8"/>
    <w:multiLevelType w:val="singleLevel"/>
    <w:tmpl w:val="8E7990B8"/>
    <w:lvl w:ilvl="0" w:tentative="0">
      <w:start w:val="2"/>
      <w:numFmt w:val="decimal"/>
      <w:suff w:val="nothing"/>
      <w:lvlText w:val="（%1）"/>
      <w:lvlJc w:val="left"/>
    </w:lvl>
  </w:abstractNum>
  <w:abstractNum w:abstractNumId="1">
    <w:nsid w:val="A3A0DA28"/>
    <w:multiLevelType w:val="singleLevel"/>
    <w:tmpl w:val="A3A0DA28"/>
    <w:lvl w:ilvl="0" w:tentative="0">
      <w:start w:val="2"/>
      <w:numFmt w:val="decimal"/>
      <w:lvlText w:val="%1."/>
      <w:lvlJc w:val="left"/>
      <w:pPr>
        <w:tabs>
          <w:tab w:val="left" w:pos="312"/>
        </w:tabs>
      </w:pPr>
    </w:lvl>
  </w:abstractNum>
  <w:abstractNum w:abstractNumId="2">
    <w:nsid w:val="BB4BD181"/>
    <w:multiLevelType w:val="singleLevel"/>
    <w:tmpl w:val="BB4BD181"/>
    <w:lvl w:ilvl="0" w:tentative="0">
      <w:start w:val="1"/>
      <w:numFmt w:val="decimal"/>
      <w:suff w:val="nothing"/>
      <w:lvlText w:val="%1、"/>
      <w:lvlJc w:val="left"/>
    </w:lvl>
  </w:abstractNum>
  <w:abstractNum w:abstractNumId="3">
    <w:nsid w:val="C33F4A74"/>
    <w:multiLevelType w:val="singleLevel"/>
    <w:tmpl w:val="C33F4A74"/>
    <w:lvl w:ilvl="0" w:tentative="0">
      <w:start w:val="1"/>
      <w:numFmt w:val="decimal"/>
      <w:suff w:val="nothing"/>
      <w:lvlText w:val="%1、"/>
      <w:lvlJc w:val="left"/>
    </w:lvl>
  </w:abstractNum>
  <w:abstractNum w:abstractNumId="4">
    <w:nsid w:val="D3BD7292"/>
    <w:multiLevelType w:val="singleLevel"/>
    <w:tmpl w:val="D3BD7292"/>
    <w:lvl w:ilvl="0" w:tentative="0">
      <w:start w:val="1"/>
      <w:numFmt w:val="decimal"/>
      <w:suff w:val="nothing"/>
      <w:lvlText w:val="%1、"/>
      <w:lvlJc w:val="left"/>
    </w:lvl>
  </w:abstractNum>
  <w:abstractNum w:abstractNumId="5">
    <w:nsid w:val="F301F1B3"/>
    <w:multiLevelType w:val="singleLevel"/>
    <w:tmpl w:val="F301F1B3"/>
    <w:lvl w:ilvl="0" w:tentative="0">
      <w:start w:val="1"/>
      <w:numFmt w:val="decimal"/>
      <w:suff w:val="nothing"/>
      <w:lvlText w:val="（%1）"/>
      <w:lvlJc w:val="left"/>
    </w:lvl>
  </w:abstractNum>
  <w:abstractNum w:abstractNumId="6">
    <w:nsid w:val="F7AA6277"/>
    <w:multiLevelType w:val="singleLevel"/>
    <w:tmpl w:val="F7AA6277"/>
    <w:lvl w:ilvl="0" w:tentative="0">
      <w:start w:val="1"/>
      <w:numFmt w:val="decimal"/>
      <w:suff w:val="nothing"/>
      <w:lvlText w:val="%1、"/>
      <w:lvlJc w:val="left"/>
    </w:lvl>
  </w:abstractNum>
  <w:abstractNum w:abstractNumId="7">
    <w:nsid w:val="FED185BE"/>
    <w:multiLevelType w:val="singleLevel"/>
    <w:tmpl w:val="FED185BE"/>
    <w:lvl w:ilvl="0" w:tentative="0">
      <w:start w:val="3"/>
      <w:numFmt w:val="decimal"/>
      <w:suff w:val="nothing"/>
      <w:lvlText w:val="（%1）"/>
      <w:lvlJc w:val="left"/>
    </w:lvl>
  </w:abstractNum>
  <w:abstractNum w:abstractNumId="8">
    <w:nsid w:val="00000004"/>
    <w:multiLevelType w:val="singleLevel"/>
    <w:tmpl w:val="00000004"/>
    <w:lvl w:ilvl="0" w:tentative="0">
      <w:start w:val="1"/>
      <w:numFmt w:val="decimal"/>
      <w:suff w:val="nothing"/>
      <w:lvlText w:val="（%1）"/>
      <w:lvlJc w:val="left"/>
    </w:lvl>
  </w:abstractNum>
  <w:abstractNum w:abstractNumId="9">
    <w:nsid w:val="0BDE60CB"/>
    <w:multiLevelType w:val="singleLevel"/>
    <w:tmpl w:val="0BDE60CB"/>
    <w:lvl w:ilvl="0" w:tentative="0">
      <w:start w:val="1"/>
      <w:numFmt w:val="chineseCounting"/>
      <w:suff w:val="nothing"/>
      <w:lvlText w:val="%1、"/>
      <w:lvlJc w:val="left"/>
      <w:rPr>
        <w:rFonts w:hint="eastAsia"/>
      </w:rPr>
    </w:lvl>
  </w:abstractNum>
  <w:abstractNum w:abstractNumId="10">
    <w:nsid w:val="0F2F38EC"/>
    <w:multiLevelType w:val="singleLevel"/>
    <w:tmpl w:val="0F2F38EC"/>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1">
    <w:nsid w:val="1A31472F"/>
    <w:multiLevelType w:val="singleLevel"/>
    <w:tmpl w:val="1A31472F"/>
    <w:lvl w:ilvl="0" w:tentative="0">
      <w:start w:val="1"/>
      <w:numFmt w:val="decimal"/>
      <w:suff w:val="nothing"/>
      <w:lvlText w:val="%1、"/>
      <w:lvlJc w:val="left"/>
    </w:lvl>
  </w:abstractNum>
  <w:abstractNum w:abstractNumId="12">
    <w:nsid w:val="32053223"/>
    <w:multiLevelType w:val="singleLevel"/>
    <w:tmpl w:val="32053223"/>
    <w:lvl w:ilvl="0" w:tentative="0">
      <w:start w:val="1"/>
      <w:numFmt w:val="decimal"/>
      <w:suff w:val="nothing"/>
      <w:lvlText w:val="%1、"/>
      <w:lvlJc w:val="left"/>
    </w:lvl>
  </w:abstractNum>
  <w:abstractNum w:abstractNumId="13">
    <w:nsid w:val="7CAB1416"/>
    <w:multiLevelType w:val="singleLevel"/>
    <w:tmpl w:val="7CAB1416"/>
    <w:lvl w:ilvl="0" w:tentative="0">
      <w:start w:val="1"/>
      <w:numFmt w:val="decimal"/>
      <w:suff w:val="nothing"/>
      <w:lvlText w:val="%1、"/>
      <w:lvlJc w:val="left"/>
    </w:lvl>
  </w:abstractNum>
  <w:num w:numId="1">
    <w:abstractNumId w:val="10"/>
  </w:num>
  <w:num w:numId="2">
    <w:abstractNumId w:val="4"/>
  </w:num>
  <w:num w:numId="3">
    <w:abstractNumId w:val="3"/>
  </w:num>
  <w:num w:numId="4">
    <w:abstractNumId w:val="2"/>
  </w:num>
  <w:num w:numId="5">
    <w:abstractNumId w:val="12"/>
  </w:num>
  <w:num w:numId="6">
    <w:abstractNumId w:val="11"/>
  </w:num>
  <w:num w:numId="7">
    <w:abstractNumId w:val="13"/>
  </w:num>
  <w:num w:numId="8">
    <w:abstractNumId w:val="6"/>
  </w:num>
  <w:num w:numId="9">
    <w:abstractNumId w:val="0"/>
  </w:num>
  <w:num w:numId="10">
    <w:abstractNumId w:val="7"/>
  </w:num>
  <w:num w:numId="11">
    <w:abstractNumId w:val="9"/>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YTQ0N2EyOTQ0NWQ4OTRjOGYzYmQ1NTJjMWY1OGUifQ=="/>
  </w:docVars>
  <w:rsids>
    <w:rsidRoot w:val="00172A27"/>
    <w:rsid w:val="003C49A4"/>
    <w:rsid w:val="00602E8D"/>
    <w:rsid w:val="00B94C02"/>
    <w:rsid w:val="050B287F"/>
    <w:rsid w:val="05F61781"/>
    <w:rsid w:val="06764EFD"/>
    <w:rsid w:val="06991B9D"/>
    <w:rsid w:val="073443D1"/>
    <w:rsid w:val="07462294"/>
    <w:rsid w:val="07B8619C"/>
    <w:rsid w:val="098705F9"/>
    <w:rsid w:val="0B710C48"/>
    <w:rsid w:val="0CEC5EA7"/>
    <w:rsid w:val="0CFE46A8"/>
    <w:rsid w:val="0EDB32C2"/>
    <w:rsid w:val="0F713C26"/>
    <w:rsid w:val="116E6872"/>
    <w:rsid w:val="12E310C8"/>
    <w:rsid w:val="136278DA"/>
    <w:rsid w:val="13F04F56"/>
    <w:rsid w:val="15D1149D"/>
    <w:rsid w:val="16F85D26"/>
    <w:rsid w:val="17BE7DA3"/>
    <w:rsid w:val="17E1056D"/>
    <w:rsid w:val="18683F7A"/>
    <w:rsid w:val="18EE0096"/>
    <w:rsid w:val="1960268B"/>
    <w:rsid w:val="1B040678"/>
    <w:rsid w:val="1BA55384"/>
    <w:rsid w:val="1BB9120B"/>
    <w:rsid w:val="1D6F5768"/>
    <w:rsid w:val="1E9417DA"/>
    <w:rsid w:val="1EBD4792"/>
    <w:rsid w:val="1F5E5F75"/>
    <w:rsid w:val="209E664C"/>
    <w:rsid w:val="21BE7770"/>
    <w:rsid w:val="227575C1"/>
    <w:rsid w:val="294E6013"/>
    <w:rsid w:val="2C5C1A8E"/>
    <w:rsid w:val="2D8374D9"/>
    <w:rsid w:val="330B7D6A"/>
    <w:rsid w:val="36356EAC"/>
    <w:rsid w:val="36CB0519"/>
    <w:rsid w:val="37B0704E"/>
    <w:rsid w:val="387E2DAD"/>
    <w:rsid w:val="38DB01DF"/>
    <w:rsid w:val="3951760D"/>
    <w:rsid w:val="3BD01B51"/>
    <w:rsid w:val="3C740B7F"/>
    <w:rsid w:val="40F565D0"/>
    <w:rsid w:val="42216D28"/>
    <w:rsid w:val="43C6723F"/>
    <w:rsid w:val="44DA57EF"/>
    <w:rsid w:val="458E2959"/>
    <w:rsid w:val="46036001"/>
    <w:rsid w:val="468F7A1B"/>
    <w:rsid w:val="472548D8"/>
    <w:rsid w:val="47C02A7A"/>
    <w:rsid w:val="4BB476DA"/>
    <w:rsid w:val="4C416153"/>
    <w:rsid w:val="4CA01954"/>
    <w:rsid w:val="4F26387B"/>
    <w:rsid w:val="517F7502"/>
    <w:rsid w:val="52771B37"/>
    <w:rsid w:val="535870AC"/>
    <w:rsid w:val="544D66EF"/>
    <w:rsid w:val="556676B0"/>
    <w:rsid w:val="560C5F51"/>
    <w:rsid w:val="564567FC"/>
    <w:rsid w:val="581F05EA"/>
    <w:rsid w:val="58296419"/>
    <w:rsid w:val="58C47DA1"/>
    <w:rsid w:val="59513E7A"/>
    <w:rsid w:val="599B1A2F"/>
    <w:rsid w:val="5A290952"/>
    <w:rsid w:val="5AA77732"/>
    <w:rsid w:val="5EB57009"/>
    <w:rsid w:val="60D96F48"/>
    <w:rsid w:val="62B47227"/>
    <w:rsid w:val="63EF3E98"/>
    <w:rsid w:val="66C20165"/>
    <w:rsid w:val="6FFC72C8"/>
    <w:rsid w:val="71B2169E"/>
    <w:rsid w:val="71E02DC1"/>
    <w:rsid w:val="738035EF"/>
    <w:rsid w:val="762A1882"/>
    <w:rsid w:val="7BFF1E8B"/>
    <w:rsid w:val="7C310B11"/>
    <w:rsid w:val="7CE2650A"/>
    <w:rsid w:val="BDCF9188"/>
    <w:rsid w:val="FDFD7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nhideWhenUsed="0"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8"/>
    <w:autoRedefine/>
    <w:qFormat/>
    <w:uiPriority w:val="99"/>
    <w:pPr>
      <w:keepNext/>
      <w:overflowPunct w:val="0"/>
      <w:snapToGrid w:val="0"/>
      <w:spacing w:before="120" w:after="160" w:line="259" w:lineRule="auto"/>
      <w:ind w:left="432" w:hanging="432"/>
      <w:outlineLvl w:val="0"/>
    </w:pPr>
    <w:rPr>
      <w:rFonts w:ascii="Times New Roman" w:hAnsi="Times New Roman" w:eastAsia="黑体"/>
      <w:b/>
      <w:bCs/>
      <w:color w:val="000000"/>
      <w:kern w:val="44"/>
      <w:sz w:val="28"/>
      <w:szCs w:val="30"/>
    </w:rPr>
  </w:style>
  <w:style w:type="paragraph" w:styleId="3">
    <w:name w:val="heading 2"/>
    <w:basedOn w:val="1"/>
    <w:next w:val="1"/>
    <w:link w:val="46"/>
    <w:autoRedefine/>
    <w:qFormat/>
    <w:uiPriority w:val="9"/>
    <w:pPr>
      <w:keepNext/>
      <w:keepLines/>
      <w:spacing w:before="140" w:after="140" w:line="240" w:lineRule="auto"/>
      <w:outlineLvl w:val="1"/>
    </w:pPr>
    <w:rPr>
      <w:rFonts w:ascii="等线 Light" w:hAnsi="等线 Light" w:eastAsia="黑体"/>
      <w:b/>
      <w:bCs/>
      <w:sz w:val="24"/>
      <w:szCs w:val="32"/>
    </w:rPr>
  </w:style>
  <w:style w:type="paragraph" w:styleId="4">
    <w:name w:val="heading 3"/>
    <w:basedOn w:val="1"/>
    <w:next w:val="1"/>
    <w:link w:val="47"/>
    <w:autoRedefine/>
    <w:qFormat/>
    <w:uiPriority w:val="99"/>
    <w:pPr>
      <w:keepNext/>
      <w:keepLines/>
      <w:widowControl/>
      <w:spacing w:line="360" w:lineRule="auto"/>
      <w:ind w:firstLine="512"/>
      <w:jc w:val="left"/>
      <w:outlineLvl w:val="2"/>
    </w:pPr>
    <w:rPr>
      <w:b/>
      <w:bCs/>
      <w:color w:val="000000"/>
      <w:kern w:val="0"/>
      <w:sz w:val="24"/>
    </w:rPr>
  </w:style>
  <w:style w:type="paragraph" w:styleId="5">
    <w:name w:val="heading 4"/>
    <w:basedOn w:val="1"/>
    <w:next w:val="1"/>
    <w:link w:val="51"/>
    <w:autoRedefine/>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2"/>
    <w:autoRedefine/>
    <w:qFormat/>
    <w:uiPriority w:val="0"/>
    <w:pPr>
      <w:ind w:firstLine="420" w:firstLineChars="200"/>
    </w:pPr>
    <w:rPr>
      <w:szCs w:val="20"/>
    </w:rPr>
  </w:style>
  <w:style w:type="paragraph" w:styleId="7">
    <w:name w:val="caption"/>
    <w:basedOn w:val="1"/>
    <w:next w:val="1"/>
    <w:link w:val="53"/>
    <w:autoRedefine/>
    <w:qFormat/>
    <w:uiPriority w:val="0"/>
    <w:rPr>
      <w:rFonts w:ascii="Arial" w:hAnsi="Arial" w:eastAsia="黑体" w:cs="Arial"/>
      <w:sz w:val="20"/>
      <w:szCs w:val="20"/>
    </w:rPr>
  </w:style>
  <w:style w:type="paragraph" w:styleId="8">
    <w:name w:val="Document Map"/>
    <w:basedOn w:val="1"/>
    <w:link w:val="54"/>
    <w:autoRedefine/>
    <w:unhideWhenUsed/>
    <w:qFormat/>
    <w:uiPriority w:val="99"/>
    <w:pPr>
      <w:widowControl/>
      <w:spacing w:line="360" w:lineRule="auto"/>
      <w:jc w:val="left"/>
    </w:pPr>
    <w:rPr>
      <w:rFonts w:ascii="宋体"/>
      <w:color w:val="000000"/>
      <w:sz w:val="18"/>
      <w:szCs w:val="18"/>
    </w:rPr>
  </w:style>
  <w:style w:type="paragraph" w:styleId="9">
    <w:name w:val="annotation text"/>
    <w:basedOn w:val="1"/>
    <w:link w:val="55"/>
    <w:autoRedefine/>
    <w:semiHidden/>
    <w:qFormat/>
    <w:uiPriority w:val="99"/>
    <w:pPr>
      <w:jc w:val="left"/>
    </w:pPr>
    <w:rPr>
      <w:kern w:val="0"/>
      <w:sz w:val="24"/>
      <w:szCs w:val="20"/>
    </w:rPr>
  </w:style>
  <w:style w:type="paragraph" w:styleId="10">
    <w:name w:val="Body Text 3"/>
    <w:basedOn w:val="1"/>
    <w:link w:val="56"/>
    <w:autoRedefine/>
    <w:unhideWhenUsed/>
    <w:qFormat/>
    <w:uiPriority w:val="99"/>
    <w:pPr>
      <w:widowControl/>
      <w:spacing w:after="120" w:line="360" w:lineRule="auto"/>
      <w:jc w:val="left"/>
    </w:pPr>
    <w:rPr>
      <w:color w:val="000000"/>
      <w:sz w:val="16"/>
      <w:szCs w:val="16"/>
    </w:rPr>
  </w:style>
  <w:style w:type="paragraph" w:styleId="11">
    <w:name w:val="Body Text"/>
    <w:basedOn w:val="1"/>
    <w:next w:val="12"/>
    <w:link w:val="57"/>
    <w:autoRedefine/>
    <w:qFormat/>
    <w:uiPriority w:val="99"/>
    <w:pPr>
      <w:widowControl/>
      <w:snapToGrid w:val="0"/>
      <w:spacing w:before="60" w:after="160" w:line="259" w:lineRule="auto"/>
      <w:ind w:right="113"/>
    </w:pPr>
    <w:rPr>
      <w:kern w:val="0"/>
      <w:sz w:val="18"/>
      <w:szCs w:val="20"/>
    </w:rPr>
  </w:style>
  <w:style w:type="paragraph" w:styleId="12">
    <w:name w:val="List Bullet 5"/>
    <w:basedOn w:val="1"/>
    <w:autoRedefine/>
    <w:qFormat/>
    <w:uiPriority w:val="0"/>
    <w:pPr>
      <w:numPr>
        <w:ilvl w:val="0"/>
        <w:numId w:val="1"/>
      </w:numPr>
    </w:pPr>
  </w:style>
  <w:style w:type="paragraph" w:styleId="13">
    <w:name w:val="Body Text Indent"/>
    <w:basedOn w:val="1"/>
    <w:next w:val="14"/>
    <w:link w:val="45"/>
    <w:autoRedefine/>
    <w:qFormat/>
    <w:uiPriority w:val="0"/>
    <w:pPr>
      <w:spacing w:after="120"/>
      <w:ind w:left="420" w:leftChars="200"/>
    </w:pPr>
    <w:rPr>
      <w:kern w:val="0"/>
      <w:sz w:val="24"/>
      <w:szCs w:val="20"/>
    </w:rPr>
  </w:style>
  <w:style w:type="paragraph" w:styleId="14">
    <w:name w:val="Body Text First Indent"/>
    <w:basedOn w:val="11"/>
    <w:next w:val="1"/>
    <w:link w:val="58"/>
    <w:autoRedefine/>
    <w:unhideWhenUsed/>
    <w:qFormat/>
    <w:uiPriority w:val="99"/>
    <w:pPr>
      <w:snapToGrid/>
      <w:spacing w:before="0" w:after="120" w:line="360" w:lineRule="auto"/>
      <w:ind w:right="0" w:firstLine="420" w:firstLineChars="100"/>
      <w:jc w:val="left"/>
    </w:pPr>
    <w:rPr>
      <w:color w:val="000000"/>
      <w:kern w:val="2"/>
      <w:sz w:val="24"/>
      <w:szCs w:val="24"/>
    </w:rPr>
  </w:style>
  <w:style w:type="paragraph" w:styleId="15">
    <w:name w:val="Block Text"/>
    <w:basedOn w:val="1"/>
    <w:next w:val="1"/>
    <w:autoRedefine/>
    <w:semiHidden/>
    <w:qFormat/>
    <w:uiPriority w:val="0"/>
    <w:pPr>
      <w:adjustRightInd w:val="0"/>
      <w:snapToGrid w:val="0"/>
      <w:spacing w:after="120" w:line="336" w:lineRule="auto"/>
      <w:ind w:left="1440" w:leftChars="700" w:right="1440" w:rightChars="700" w:firstLine="601"/>
    </w:pPr>
    <w:rPr>
      <w:rFonts w:ascii="仿宋_GB2312" w:eastAsia="仿宋_GB2312"/>
      <w:sz w:val="28"/>
      <w:szCs w:val="28"/>
    </w:rPr>
  </w:style>
  <w:style w:type="paragraph" w:styleId="16">
    <w:name w:val="Plain Text"/>
    <w:basedOn w:val="1"/>
    <w:next w:val="1"/>
    <w:link w:val="59"/>
    <w:autoRedefine/>
    <w:qFormat/>
    <w:uiPriority w:val="0"/>
    <w:pPr>
      <w:widowControl/>
      <w:jc w:val="left"/>
    </w:pPr>
    <w:rPr>
      <w:rFonts w:ascii="宋体" w:hAnsi="Courier New"/>
      <w:szCs w:val="20"/>
    </w:rPr>
  </w:style>
  <w:style w:type="paragraph" w:styleId="17">
    <w:name w:val="Date"/>
    <w:basedOn w:val="1"/>
    <w:next w:val="1"/>
    <w:link w:val="60"/>
    <w:autoRedefine/>
    <w:qFormat/>
    <w:uiPriority w:val="0"/>
    <w:pPr>
      <w:ind w:left="100" w:leftChars="2500"/>
    </w:pPr>
    <w:rPr>
      <w:kern w:val="0"/>
      <w:sz w:val="24"/>
      <w:szCs w:val="20"/>
    </w:rPr>
  </w:style>
  <w:style w:type="paragraph" w:styleId="18">
    <w:name w:val="Body Text Indent 2"/>
    <w:basedOn w:val="1"/>
    <w:link w:val="61"/>
    <w:autoRedefine/>
    <w:unhideWhenUsed/>
    <w:qFormat/>
    <w:uiPriority w:val="99"/>
    <w:pPr>
      <w:widowControl/>
      <w:spacing w:after="120" w:line="480" w:lineRule="auto"/>
      <w:ind w:left="420" w:leftChars="200"/>
      <w:jc w:val="left"/>
    </w:pPr>
    <w:rPr>
      <w:color w:val="000000"/>
      <w:sz w:val="24"/>
    </w:rPr>
  </w:style>
  <w:style w:type="paragraph" w:styleId="19">
    <w:name w:val="Balloon Text"/>
    <w:basedOn w:val="1"/>
    <w:link w:val="62"/>
    <w:autoRedefine/>
    <w:qFormat/>
    <w:uiPriority w:val="99"/>
    <w:rPr>
      <w:kern w:val="0"/>
      <w:sz w:val="18"/>
      <w:szCs w:val="20"/>
    </w:rPr>
  </w:style>
  <w:style w:type="paragraph" w:styleId="20">
    <w:name w:val="footer"/>
    <w:basedOn w:val="1"/>
    <w:next w:val="1"/>
    <w:link w:val="50"/>
    <w:autoRedefine/>
    <w:unhideWhenUsed/>
    <w:qFormat/>
    <w:uiPriority w:val="99"/>
    <w:pPr>
      <w:tabs>
        <w:tab w:val="center" w:pos="4153"/>
        <w:tab w:val="right" w:pos="8306"/>
      </w:tabs>
      <w:snapToGrid w:val="0"/>
      <w:jc w:val="left"/>
    </w:pPr>
    <w:rPr>
      <w:sz w:val="18"/>
      <w:szCs w:val="18"/>
    </w:rPr>
  </w:style>
  <w:style w:type="paragraph" w:styleId="21">
    <w:name w:val="header"/>
    <w:basedOn w:val="1"/>
    <w:link w:val="4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semiHidden/>
    <w:unhideWhenUsed/>
    <w:qFormat/>
    <w:uiPriority w:val="39"/>
  </w:style>
  <w:style w:type="paragraph" w:styleId="23">
    <w:name w:val="Subtitle"/>
    <w:basedOn w:val="1"/>
    <w:next w:val="1"/>
    <w:autoRedefine/>
    <w:qFormat/>
    <w:uiPriority w:val="0"/>
    <w:pPr>
      <w:adjustRightInd w:val="0"/>
      <w:snapToGrid w:val="0"/>
      <w:spacing w:line="420" w:lineRule="exact"/>
      <w:jc w:val="center"/>
    </w:pPr>
    <w:rPr>
      <w:b/>
      <w:bCs/>
      <w:kern w:val="28"/>
      <w:sz w:val="21"/>
      <w:szCs w:val="32"/>
    </w:rPr>
  </w:style>
  <w:style w:type="paragraph" w:styleId="24">
    <w:name w:val="List"/>
    <w:basedOn w:val="1"/>
    <w:autoRedefine/>
    <w:unhideWhenUsed/>
    <w:qFormat/>
    <w:uiPriority w:val="99"/>
    <w:pPr>
      <w:widowControl/>
      <w:spacing w:line="320" w:lineRule="exact"/>
      <w:jc w:val="center"/>
    </w:pPr>
    <w:rPr>
      <w:color w:val="000000"/>
      <w:sz w:val="22"/>
      <w:szCs w:val="22"/>
    </w:rPr>
  </w:style>
  <w:style w:type="paragraph" w:styleId="25">
    <w:name w:val="Body Text Indent 3"/>
    <w:basedOn w:val="1"/>
    <w:link w:val="63"/>
    <w:autoRedefine/>
    <w:unhideWhenUsed/>
    <w:qFormat/>
    <w:uiPriority w:val="99"/>
    <w:pPr>
      <w:widowControl/>
      <w:spacing w:after="120" w:line="360" w:lineRule="auto"/>
      <w:ind w:left="420" w:leftChars="200"/>
      <w:jc w:val="left"/>
    </w:pPr>
    <w:rPr>
      <w:color w:val="000000"/>
      <w:sz w:val="16"/>
      <w:szCs w:val="16"/>
    </w:rPr>
  </w:style>
  <w:style w:type="paragraph" w:styleId="26">
    <w:name w:val="table of figures"/>
    <w:basedOn w:val="1"/>
    <w:next w:val="1"/>
    <w:autoRedefine/>
    <w:unhideWhenUsed/>
    <w:qFormat/>
    <w:uiPriority w:val="0"/>
    <w:pPr>
      <w:widowControl/>
      <w:spacing w:before="100" w:beforeAutospacing="1" w:after="100" w:afterAutospacing="1" w:line="360" w:lineRule="auto"/>
      <w:ind w:leftChars="200" w:hanging="200" w:hangingChars="200"/>
      <w:jc w:val="left"/>
    </w:pPr>
    <w:rPr>
      <w:color w:val="000000"/>
      <w:sz w:val="24"/>
    </w:rPr>
  </w:style>
  <w:style w:type="paragraph" w:styleId="27">
    <w:name w:val="toc 2"/>
    <w:basedOn w:val="1"/>
    <w:next w:val="1"/>
    <w:autoRedefine/>
    <w:semiHidden/>
    <w:unhideWhenUsed/>
    <w:qFormat/>
    <w:uiPriority w:val="39"/>
    <w:pPr>
      <w:ind w:left="420" w:leftChars="200"/>
    </w:pPr>
  </w:style>
  <w:style w:type="paragraph" w:styleId="28">
    <w:name w:val="Body Text 2"/>
    <w:basedOn w:val="1"/>
    <w:link w:val="64"/>
    <w:autoRedefine/>
    <w:unhideWhenUsed/>
    <w:qFormat/>
    <w:uiPriority w:val="99"/>
    <w:pPr>
      <w:widowControl/>
      <w:spacing w:after="120" w:line="480" w:lineRule="auto"/>
      <w:jc w:val="left"/>
    </w:pPr>
    <w:rPr>
      <w:color w:val="000000"/>
      <w:sz w:val="24"/>
    </w:rPr>
  </w:style>
  <w:style w:type="paragraph" w:styleId="29">
    <w:name w:val="HTML Preformatted"/>
    <w:basedOn w:val="1"/>
    <w:link w:val="65"/>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0">
    <w:name w:val="Normal (Web)"/>
    <w:basedOn w:val="1"/>
    <w:link w:val="66"/>
    <w:autoRedefine/>
    <w:qFormat/>
    <w:uiPriority w:val="0"/>
    <w:pPr>
      <w:widowControl/>
      <w:spacing w:before="100" w:beforeAutospacing="1" w:after="100" w:afterAutospacing="1"/>
      <w:jc w:val="left"/>
    </w:pPr>
    <w:rPr>
      <w:rFonts w:ascii="宋体" w:hAnsi="宋体"/>
      <w:kern w:val="0"/>
      <w:sz w:val="24"/>
      <w:szCs w:val="20"/>
    </w:rPr>
  </w:style>
  <w:style w:type="paragraph" w:styleId="31">
    <w:name w:val="index 1"/>
    <w:basedOn w:val="1"/>
    <w:next w:val="1"/>
    <w:autoRedefine/>
    <w:qFormat/>
    <w:uiPriority w:val="0"/>
    <w:pPr>
      <w:jc w:val="center"/>
    </w:pPr>
    <w:rPr>
      <w:rFonts w:eastAsia="仿宋_GB2312"/>
      <w:sz w:val="24"/>
      <w:szCs w:val="24"/>
    </w:rPr>
  </w:style>
  <w:style w:type="paragraph" w:styleId="32">
    <w:name w:val="Title"/>
    <w:basedOn w:val="1"/>
    <w:next w:val="1"/>
    <w:link w:val="67"/>
    <w:autoRedefine/>
    <w:qFormat/>
    <w:uiPriority w:val="10"/>
    <w:pPr>
      <w:widowControl/>
      <w:spacing w:before="240" w:after="60" w:line="360" w:lineRule="auto"/>
      <w:jc w:val="center"/>
      <w:outlineLvl w:val="0"/>
    </w:pPr>
    <w:rPr>
      <w:rFonts w:ascii="Cambria" w:hAnsi="Cambria"/>
      <w:b/>
      <w:bCs/>
      <w:color w:val="000000"/>
      <w:sz w:val="32"/>
      <w:szCs w:val="32"/>
    </w:rPr>
  </w:style>
  <w:style w:type="paragraph" w:styleId="33">
    <w:name w:val="annotation subject"/>
    <w:basedOn w:val="9"/>
    <w:next w:val="9"/>
    <w:link w:val="68"/>
    <w:autoRedefine/>
    <w:semiHidden/>
    <w:qFormat/>
    <w:uiPriority w:val="0"/>
    <w:rPr>
      <w:b/>
    </w:rPr>
  </w:style>
  <w:style w:type="paragraph" w:styleId="34">
    <w:name w:val="Body Text First Indent 2"/>
    <w:basedOn w:val="1"/>
    <w:next w:val="1"/>
    <w:link w:val="44"/>
    <w:autoRedefine/>
    <w:qFormat/>
    <w:uiPriority w:val="0"/>
    <w:pPr>
      <w:ind w:firstLine="420" w:firstLineChars="200"/>
    </w:pPr>
    <w:rPr>
      <w:kern w:val="2"/>
      <w:sz w:val="21"/>
      <w:szCs w:val="24"/>
    </w:rPr>
  </w:style>
  <w:style w:type="table" w:styleId="36">
    <w:name w:val="Table Grid"/>
    <w:basedOn w:val="35"/>
    <w:autoRedefine/>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autoRedefine/>
    <w:qFormat/>
    <w:uiPriority w:val="22"/>
    <w:rPr>
      <w:b/>
      <w:bCs/>
    </w:rPr>
  </w:style>
  <w:style w:type="character" w:styleId="39">
    <w:name w:val="page number"/>
    <w:basedOn w:val="37"/>
    <w:autoRedefine/>
    <w:qFormat/>
    <w:uiPriority w:val="0"/>
  </w:style>
  <w:style w:type="character" w:styleId="40">
    <w:name w:val="FollowedHyperlink"/>
    <w:autoRedefine/>
    <w:unhideWhenUsed/>
    <w:qFormat/>
    <w:uiPriority w:val="99"/>
    <w:rPr>
      <w:color w:val="800080"/>
      <w:u w:val="single"/>
    </w:rPr>
  </w:style>
  <w:style w:type="character" w:styleId="41">
    <w:name w:val="Emphasis"/>
    <w:autoRedefine/>
    <w:qFormat/>
    <w:uiPriority w:val="20"/>
    <w:rPr>
      <w:i/>
      <w:iCs/>
    </w:rPr>
  </w:style>
  <w:style w:type="character" w:styleId="42">
    <w:name w:val="Hyperlink"/>
    <w:autoRedefine/>
    <w:unhideWhenUsed/>
    <w:qFormat/>
    <w:uiPriority w:val="99"/>
    <w:rPr>
      <w:color w:val="0000FF"/>
      <w:u w:val="single"/>
    </w:rPr>
  </w:style>
  <w:style w:type="character" w:styleId="43">
    <w:name w:val="annotation reference"/>
    <w:autoRedefine/>
    <w:qFormat/>
    <w:uiPriority w:val="99"/>
    <w:rPr>
      <w:sz w:val="21"/>
    </w:rPr>
  </w:style>
  <w:style w:type="character" w:customStyle="1" w:styleId="44">
    <w:name w:val="正文首行缩进 2 Char"/>
    <w:basedOn w:val="45"/>
    <w:link w:val="34"/>
    <w:autoRedefine/>
    <w:qFormat/>
    <w:uiPriority w:val="0"/>
    <w:rPr>
      <w:szCs w:val="24"/>
    </w:rPr>
  </w:style>
  <w:style w:type="character" w:customStyle="1" w:styleId="45">
    <w:name w:val="正文文本缩进 Char"/>
    <w:basedOn w:val="37"/>
    <w:link w:val="13"/>
    <w:autoRedefine/>
    <w:qFormat/>
    <w:uiPriority w:val="0"/>
    <w:rPr>
      <w:rFonts w:ascii="Times New Roman" w:hAnsi="Times New Roman" w:eastAsia="宋体" w:cs="Times New Roman"/>
      <w:kern w:val="0"/>
      <w:sz w:val="24"/>
      <w:szCs w:val="20"/>
    </w:rPr>
  </w:style>
  <w:style w:type="character" w:customStyle="1" w:styleId="46">
    <w:name w:val="标题 2 Char"/>
    <w:basedOn w:val="37"/>
    <w:link w:val="3"/>
    <w:autoRedefine/>
    <w:qFormat/>
    <w:uiPriority w:val="9"/>
    <w:rPr>
      <w:rFonts w:ascii="等线 Light" w:hAnsi="等线 Light" w:eastAsia="黑体" w:cs="Times New Roman"/>
      <w:b/>
      <w:bCs/>
      <w:sz w:val="24"/>
      <w:szCs w:val="32"/>
    </w:rPr>
  </w:style>
  <w:style w:type="character" w:customStyle="1" w:styleId="47">
    <w:name w:val="标题 3 Char"/>
    <w:basedOn w:val="37"/>
    <w:link w:val="4"/>
    <w:autoRedefine/>
    <w:qFormat/>
    <w:uiPriority w:val="99"/>
    <w:rPr>
      <w:rFonts w:ascii="Times New Roman" w:hAnsi="Times New Roman" w:eastAsia="宋体" w:cs="Times New Roman"/>
      <w:b/>
      <w:bCs/>
      <w:color w:val="000000"/>
      <w:kern w:val="0"/>
      <w:sz w:val="24"/>
      <w:szCs w:val="21"/>
    </w:rPr>
  </w:style>
  <w:style w:type="character" w:customStyle="1" w:styleId="48">
    <w:name w:val="标题 1 Char"/>
    <w:basedOn w:val="37"/>
    <w:link w:val="2"/>
    <w:autoRedefine/>
    <w:qFormat/>
    <w:uiPriority w:val="99"/>
    <w:rPr>
      <w:rFonts w:ascii="Times New Roman" w:hAnsi="Times New Roman" w:eastAsia="黑体" w:cs="Times New Roman"/>
      <w:b/>
      <w:bCs/>
      <w:color w:val="000000"/>
      <w:kern w:val="44"/>
      <w:sz w:val="28"/>
      <w:szCs w:val="30"/>
    </w:rPr>
  </w:style>
  <w:style w:type="character" w:customStyle="1" w:styleId="49">
    <w:name w:val="页眉 Char"/>
    <w:basedOn w:val="37"/>
    <w:link w:val="21"/>
    <w:autoRedefine/>
    <w:qFormat/>
    <w:uiPriority w:val="99"/>
    <w:rPr>
      <w:sz w:val="18"/>
      <w:szCs w:val="18"/>
    </w:rPr>
  </w:style>
  <w:style w:type="character" w:customStyle="1" w:styleId="50">
    <w:name w:val="页脚 Char"/>
    <w:basedOn w:val="37"/>
    <w:link w:val="20"/>
    <w:autoRedefine/>
    <w:qFormat/>
    <w:uiPriority w:val="99"/>
    <w:rPr>
      <w:sz w:val="18"/>
      <w:szCs w:val="18"/>
    </w:rPr>
  </w:style>
  <w:style w:type="character" w:customStyle="1" w:styleId="51">
    <w:name w:val="标题 4 Char"/>
    <w:basedOn w:val="37"/>
    <w:link w:val="5"/>
    <w:autoRedefine/>
    <w:qFormat/>
    <w:uiPriority w:val="9"/>
    <w:rPr>
      <w:rFonts w:ascii="Cambria" w:hAnsi="Cambria" w:eastAsia="宋体" w:cs="Times New Roman"/>
      <w:b/>
      <w:bCs/>
      <w:color w:val="000000"/>
      <w:sz w:val="28"/>
      <w:szCs w:val="28"/>
    </w:rPr>
  </w:style>
  <w:style w:type="character" w:customStyle="1" w:styleId="52">
    <w:name w:val="正文缩进 Char"/>
    <w:link w:val="6"/>
    <w:autoRedefine/>
    <w:qFormat/>
    <w:uiPriority w:val="0"/>
    <w:rPr>
      <w:rFonts w:ascii="Times New Roman" w:hAnsi="Times New Roman" w:eastAsia="宋体" w:cs="Times New Roman"/>
      <w:szCs w:val="20"/>
    </w:rPr>
  </w:style>
  <w:style w:type="character" w:customStyle="1" w:styleId="53">
    <w:name w:val="题注 Char"/>
    <w:link w:val="7"/>
    <w:autoRedefine/>
    <w:qFormat/>
    <w:uiPriority w:val="0"/>
    <w:rPr>
      <w:rFonts w:ascii="Arial" w:hAnsi="Arial" w:eastAsia="黑体" w:cs="Arial"/>
      <w:sz w:val="20"/>
      <w:szCs w:val="20"/>
    </w:rPr>
  </w:style>
  <w:style w:type="character" w:customStyle="1" w:styleId="54">
    <w:name w:val="文档结构图 Char"/>
    <w:basedOn w:val="37"/>
    <w:link w:val="8"/>
    <w:autoRedefine/>
    <w:qFormat/>
    <w:uiPriority w:val="99"/>
    <w:rPr>
      <w:rFonts w:ascii="宋体" w:hAnsi="Times New Roman" w:eastAsia="宋体" w:cs="Times New Roman"/>
      <w:color w:val="000000"/>
      <w:sz w:val="18"/>
      <w:szCs w:val="18"/>
    </w:rPr>
  </w:style>
  <w:style w:type="character" w:customStyle="1" w:styleId="55">
    <w:name w:val="批注文字 Char"/>
    <w:basedOn w:val="37"/>
    <w:link w:val="9"/>
    <w:autoRedefine/>
    <w:semiHidden/>
    <w:qFormat/>
    <w:uiPriority w:val="99"/>
    <w:rPr>
      <w:rFonts w:ascii="Times New Roman" w:hAnsi="Times New Roman" w:eastAsia="宋体" w:cs="Times New Roman"/>
      <w:kern w:val="0"/>
      <w:sz w:val="24"/>
      <w:szCs w:val="20"/>
    </w:rPr>
  </w:style>
  <w:style w:type="character" w:customStyle="1" w:styleId="56">
    <w:name w:val="正文文本 3 Char"/>
    <w:basedOn w:val="37"/>
    <w:link w:val="10"/>
    <w:autoRedefine/>
    <w:qFormat/>
    <w:uiPriority w:val="99"/>
    <w:rPr>
      <w:rFonts w:ascii="Times New Roman" w:hAnsi="Times New Roman" w:eastAsia="宋体" w:cs="Times New Roman"/>
      <w:color w:val="000000"/>
      <w:sz w:val="16"/>
      <w:szCs w:val="16"/>
    </w:rPr>
  </w:style>
  <w:style w:type="character" w:customStyle="1" w:styleId="57">
    <w:name w:val="正文文本 Char"/>
    <w:basedOn w:val="37"/>
    <w:link w:val="11"/>
    <w:autoRedefine/>
    <w:qFormat/>
    <w:uiPriority w:val="99"/>
    <w:rPr>
      <w:rFonts w:ascii="Times New Roman" w:hAnsi="Times New Roman" w:eastAsia="宋体" w:cs="Times New Roman"/>
      <w:kern w:val="0"/>
      <w:sz w:val="18"/>
      <w:szCs w:val="20"/>
    </w:rPr>
  </w:style>
  <w:style w:type="character" w:customStyle="1" w:styleId="58">
    <w:name w:val="正文首行缩进 Char"/>
    <w:basedOn w:val="57"/>
    <w:link w:val="14"/>
    <w:autoRedefine/>
    <w:qFormat/>
    <w:uiPriority w:val="99"/>
    <w:rPr>
      <w:color w:val="000000"/>
      <w:sz w:val="24"/>
      <w:szCs w:val="24"/>
    </w:rPr>
  </w:style>
  <w:style w:type="character" w:customStyle="1" w:styleId="59">
    <w:name w:val="纯文本 Char"/>
    <w:basedOn w:val="37"/>
    <w:link w:val="16"/>
    <w:autoRedefine/>
    <w:qFormat/>
    <w:uiPriority w:val="0"/>
    <w:rPr>
      <w:rFonts w:ascii="宋体" w:hAnsi="Courier New" w:eastAsia="宋体" w:cs="Times New Roman"/>
      <w:szCs w:val="20"/>
    </w:rPr>
  </w:style>
  <w:style w:type="character" w:customStyle="1" w:styleId="60">
    <w:name w:val="日期 Char"/>
    <w:basedOn w:val="37"/>
    <w:link w:val="17"/>
    <w:autoRedefine/>
    <w:qFormat/>
    <w:uiPriority w:val="0"/>
    <w:rPr>
      <w:rFonts w:ascii="Times New Roman" w:hAnsi="Times New Roman" w:eastAsia="宋体" w:cs="Times New Roman"/>
      <w:kern w:val="0"/>
      <w:sz w:val="24"/>
      <w:szCs w:val="20"/>
    </w:rPr>
  </w:style>
  <w:style w:type="character" w:customStyle="1" w:styleId="61">
    <w:name w:val="正文文本缩进 2 Char"/>
    <w:basedOn w:val="37"/>
    <w:link w:val="18"/>
    <w:autoRedefine/>
    <w:qFormat/>
    <w:uiPriority w:val="99"/>
    <w:rPr>
      <w:rFonts w:ascii="Times New Roman" w:hAnsi="Times New Roman" w:eastAsia="宋体" w:cs="Times New Roman"/>
      <w:color w:val="000000"/>
      <w:sz w:val="24"/>
      <w:szCs w:val="21"/>
    </w:rPr>
  </w:style>
  <w:style w:type="character" w:customStyle="1" w:styleId="62">
    <w:name w:val="批注框文本 Char"/>
    <w:basedOn w:val="37"/>
    <w:link w:val="19"/>
    <w:autoRedefine/>
    <w:qFormat/>
    <w:uiPriority w:val="99"/>
    <w:rPr>
      <w:rFonts w:ascii="Times New Roman" w:hAnsi="Times New Roman" w:eastAsia="宋体" w:cs="Times New Roman"/>
      <w:kern w:val="0"/>
      <w:sz w:val="18"/>
      <w:szCs w:val="20"/>
    </w:rPr>
  </w:style>
  <w:style w:type="character" w:customStyle="1" w:styleId="63">
    <w:name w:val="正文文本缩进 3 Char"/>
    <w:basedOn w:val="37"/>
    <w:link w:val="25"/>
    <w:autoRedefine/>
    <w:qFormat/>
    <w:uiPriority w:val="99"/>
    <w:rPr>
      <w:rFonts w:ascii="Times New Roman" w:hAnsi="Times New Roman" w:eastAsia="宋体" w:cs="Times New Roman"/>
      <w:color w:val="000000"/>
      <w:sz w:val="16"/>
      <w:szCs w:val="16"/>
    </w:rPr>
  </w:style>
  <w:style w:type="character" w:customStyle="1" w:styleId="64">
    <w:name w:val="正文文本 2 Char"/>
    <w:basedOn w:val="37"/>
    <w:link w:val="28"/>
    <w:autoRedefine/>
    <w:qFormat/>
    <w:uiPriority w:val="99"/>
    <w:rPr>
      <w:rFonts w:ascii="Times New Roman" w:hAnsi="Times New Roman" w:eastAsia="宋体" w:cs="Times New Roman"/>
      <w:color w:val="000000"/>
      <w:sz w:val="24"/>
      <w:szCs w:val="21"/>
    </w:rPr>
  </w:style>
  <w:style w:type="character" w:customStyle="1" w:styleId="65">
    <w:name w:val="HTML 预设格式 Char"/>
    <w:basedOn w:val="37"/>
    <w:link w:val="29"/>
    <w:autoRedefine/>
    <w:qFormat/>
    <w:uiPriority w:val="99"/>
    <w:rPr>
      <w:rFonts w:ascii="宋体" w:hAnsi="宋体" w:eastAsia="宋体" w:cs="宋体"/>
      <w:kern w:val="0"/>
      <w:sz w:val="24"/>
      <w:szCs w:val="21"/>
    </w:rPr>
  </w:style>
  <w:style w:type="character" w:customStyle="1" w:styleId="66">
    <w:name w:val="普通(网站) Char"/>
    <w:link w:val="30"/>
    <w:autoRedefine/>
    <w:qFormat/>
    <w:locked/>
    <w:uiPriority w:val="0"/>
    <w:rPr>
      <w:rFonts w:ascii="宋体" w:hAnsi="宋体" w:eastAsia="宋体" w:cs="Times New Roman"/>
      <w:kern w:val="0"/>
      <w:sz w:val="24"/>
      <w:szCs w:val="20"/>
    </w:rPr>
  </w:style>
  <w:style w:type="character" w:customStyle="1" w:styleId="67">
    <w:name w:val="标题 Char"/>
    <w:basedOn w:val="37"/>
    <w:link w:val="32"/>
    <w:autoRedefine/>
    <w:qFormat/>
    <w:uiPriority w:val="10"/>
    <w:rPr>
      <w:rFonts w:ascii="Cambria" w:hAnsi="Cambria" w:eastAsia="宋体" w:cs="Times New Roman"/>
      <w:b/>
      <w:bCs/>
      <w:color w:val="000000"/>
      <w:sz w:val="32"/>
      <w:szCs w:val="32"/>
    </w:rPr>
  </w:style>
  <w:style w:type="character" w:customStyle="1" w:styleId="68">
    <w:name w:val="批注主题 Char"/>
    <w:basedOn w:val="55"/>
    <w:link w:val="33"/>
    <w:autoRedefine/>
    <w:semiHidden/>
    <w:qFormat/>
    <w:uiPriority w:val="0"/>
    <w:rPr>
      <w:b/>
    </w:rPr>
  </w:style>
  <w:style w:type="paragraph" w:customStyle="1" w:styleId="69">
    <w:name w:val="表格文字"/>
    <w:basedOn w:val="16"/>
    <w:next w:val="1"/>
    <w:link w:val="70"/>
    <w:autoRedefine/>
    <w:qFormat/>
    <w:uiPriority w:val="0"/>
    <w:pPr>
      <w:adjustRightInd w:val="0"/>
      <w:snapToGrid w:val="0"/>
      <w:jc w:val="center"/>
    </w:pPr>
    <w:rPr>
      <w:rFonts w:ascii="Arial" w:hAnsi="Arial" w:cs="Arial"/>
      <w:color w:val="000000"/>
      <w:spacing w:val="-20"/>
      <w:sz w:val="24"/>
    </w:rPr>
  </w:style>
  <w:style w:type="character" w:customStyle="1" w:styleId="70">
    <w:name w:val="表格文字 Char"/>
    <w:link w:val="69"/>
    <w:autoRedefine/>
    <w:qFormat/>
    <w:uiPriority w:val="0"/>
    <w:rPr>
      <w:rFonts w:ascii="Arial" w:hAnsi="Arial" w:eastAsia="宋体" w:cs="Arial"/>
      <w:color w:val="000000"/>
      <w:spacing w:val="-20"/>
      <w:sz w:val="24"/>
      <w:szCs w:val="20"/>
    </w:rPr>
  </w:style>
  <w:style w:type="character" w:customStyle="1" w:styleId="71">
    <w:name w:val="批注文字 字符1"/>
    <w:autoRedefine/>
    <w:semiHidden/>
    <w:qFormat/>
    <w:uiPriority w:val="0"/>
    <w:rPr>
      <w:rFonts w:ascii="Times New Roman" w:hAnsi="Times New Roman" w:eastAsia="宋体"/>
      <w:sz w:val="24"/>
    </w:rPr>
  </w:style>
  <w:style w:type="character" w:customStyle="1" w:styleId="72">
    <w:name w:val="日期 字符"/>
    <w:autoRedefine/>
    <w:qFormat/>
    <w:uiPriority w:val="0"/>
    <w:rPr>
      <w:rFonts w:ascii="Times New Roman" w:hAnsi="Times New Roman" w:eastAsia="宋体"/>
      <w:sz w:val="24"/>
    </w:rPr>
  </w:style>
  <w:style w:type="character" w:customStyle="1" w:styleId="73">
    <w:name w:val="页脚 字符"/>
    <w:basedOn w:val="37"/>
    <w:autoRedefine/>
    <w:qFormat/>
    <w:uiPriority w:val="99"/>
  </w:style>
  <w:style w:type="character" w:customStyle="1" w:styleId="74">
    <w:name w:val="表格 Char"/>
    <w:link w:val="75"/>
    <w:autoRedefine/>
    <w:qFormat/>
    <w:locked/>
    <w:uiPriority w:val="0"/>
    <w:rPr>
      <w:rFonts w:ascii="宋体"/>
    </w:rPr>
  </w:style>
  <w:style w:type="paragraph" w:customStyle="1" w:styleId="75">
    <w:name w:val="表格"/>
    <w:basedOn w:val="6"/>
    <w:next w:val="1"/>
    <w:link w:val="74"/>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76">
    <w:name w:val="正文文本 字符1"/>
    <w:autoRedefine/>
    <w:semiHidden/>
    <w:qFormat/>
    <w:uiPriority w:val="0"/>
    <w:rPr>
      <w:rFonts w:ascii="Times New Roman" w:hAnsi="Times New Roman" w:eastAsia="宋体"/>
      <w:sz w:val="24"/>
    </w:rPr>
  </w:style>
  <w:style w:type="paragraph" w:customStyle="1" w:styleId="7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9">
    <w:name w:val="Normal"/>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80">
    <w:name w:val="Body text (2)_"/>
    <w:link w:val="81"/>
    <w:autoRedefine/>
    <w:qFormat/>
    <w:uiPriority w:val="0"/>
    <w:rPr>
      <w:rFonts w:eastAsia="Times New Roman"/>
      <w:sz w:val="26"/>
      <w:szCs w:val="26"/>
      <w:shd w:val="clear" w:color="auto" w:fill="FFFFFF"/>
    </w:rPr>
  </w:style>
  <w:style w:type="paragraph" w:customStyle="1" w:styleId="81">
    <w:name w:val="Body text (2)"/>
    <w:basedOn w:val="1"/>
    <w:link w:val="80"/>
    <w:autoRedefine/>
    <w:qFormat/>
    <w:uiPriority w:val="0"/>
    <w:pPr>
      <w:shd w:val="clear" w:color="auto" w:fill="FFFFFF"/>
      <w:spacing w:line="503" w:lineRule="exact"/>
      <w:jc w:val="distribute"/>
    </w:pPr>
    <w:rPr>
      <w:rFonts w:eastAsia="Times New Roman" w:asciiTheme="minorHAnsi" w:hAnsiTheme="minorHAnsi" w:cstheme="minorBidi"/>
      <w:sz w:val="26"/>
      <w:szCs w:val="26"/>
    </w:rPr>
  </w:style>
  <w:style w:type="paragraph" w:customStyle="1" w:styleId="82">
    <w:name w:val="Body text (2)1"/>
    <w:basedOn w:val="1"/>
    <w:autoRedefine/>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83">
    <w:name w:val="样式 小四 行距: 1.5 倍行距 首行缩进:  2 字符"/>
    <w:basedOn w:val="1"/>
    <w:autoRedefine/>
    <w:qFormat/>
    <w:uiPriority w:val="0"/>
    <w:pPr>
      <w:spacing w:line="360" w:lineRule="auto"/>
      <w:ind w:firstLine="200" w:firstLineChars="200"/>
      <w:jc w:val="left"/>
    </w:pPr>
    <w:rPr>
      <w:rFonts w:cs="宋体"/>
      <w:sz w:val="24"/>
      <w:szCs w:val="20"/>
    </w:rPr>
  </w:style>
  <w:style w:type="character" w:customStyle="1" w:styleId="84">
    <w:name w:val="纯文本 Char2"/>
    <w:autoRedefine/>
    <w:qFormat/>
    <w:locked/>
    <w:uiPriority w:val="0"/>
    <w:rPr>
      <w:rFonts w:ascii="宋体" w:hAnsi="Courier New" w:eastAsia="宋体"/>
      <w:kern w:val="2"/>
      <w:sz w:val="21"/>
      <w:lang w:val="en-US" w:eastAsia="zh-CN" w:bidi="ar-SA"/>
    </w:rPr>
  </w:style>
  <w:style w:type="character" w:customStyle="1" w:styleId="85">
    <w:name w:val="正文01 Char"/>
    <w:link w:val="86"/>
    <w:autoRedefine/>
    <w:qFormat/>
    <w:uiPriority w:val="0"/>
    <w:rPr>
      <w:color w:val="000000"/>
      <w:sz w:val="24"/>
      <w:szCs w:val="24"/>
    </w:rPr>
  </w:style>
  <w:style w:type="paragraph" w:customStyle="1" w:styleId="86">
    <w:name w:val="正文01"/>
    <w:basedOn w:val="1"/>
    <w:link w:val="85"/>
    <w:autoRedefine/>
    <w:qFormat/>
    <w:uiPriority w:val="0"/>
    <w:pPr>
      <w:widowControl/>
      <w:spacing w:before="60" w:after="100" w:afterAutospacing="1" w:line="460" w:lineRule="exact"/>
      <w:ind w:firstLine="200"/>
      <w:jc w:val="left"/>
    </w:pPr>
    <w:rPr>
      <w:rFonts w:asciiTheme="minorHAnsi" w:hAnsiTheme="minorHAnsi" w:eastAsiaTheme="minorEastAsia" w:cstheme="minorBidi"/>
      <w:color w:val="000000"/>
      <w:sz w:val="24"/>
      <w:szCs w:val="24"/>
    </w:rPr>
  </w:style>
  <w:style w:type="character" w:customStyle="1" w:styleId="87">
    <w:name w:val="15"/>
    <w:autoRedefine/>
    <w:qFormat/>
    <w:uiPriority w:val="0"/>
    <w:rPr>
      <w:rFonts w:hint="default" w:ascii="Times New Roman" w:hAnsi="Times New Roman" w:cs="Times New Roman"/>
    </w:rPr>
  </w:style>
  <w:style w:type="character" w:customStyle="1" w:styleId="88">
    <w:name w:val="表格 Char Char"/>
    <w:autoRedefine/>
    <w:qFormat/>
    <w:uiPriority w:val="0"/>
    <w:rPr>
      <w:rFonts w:eastAsia="宋体"/>
      <w:sz w:val="21"/>
      <w:lang w:val="en-US" w:eastAsia="zh-CN" w:bidi="ar-SA"/>
    </w:rPr>
  </w:style>
  <w:style w:type="character" w:customStyle="1" w:styleId="89">
    <w:name w:val="10"/>
    <w:autoRedefine/>
    <w:qFormat/>
    <w:uiPriority w:val="0"/>
    <w:rPr>
      <w:rFonts w:hint="default" w:ascii="Times New Roman" w:hAnsi="Times New Roman" w:cs="Times New Roman"/>
    </w:rPr>
  </w:style>
  <w:style w:type="character" w:customStyle="1" w:styleId="90">
    <w:name w:val="批注文字 Char1"/>
    <w:autoRedefine/>
    <w:semiHidden/>
    <w:qFormat/>
    <w:uiPriority w:val="99"/>
    <w:rPr>
      <w:rFonts w:ascii="Times New Roman" w:hAnsi="Times New Roman"/>
      <w:color w:val="000000"/>
      <w:kern w:val="2"/>
      <w:sz w:val="24"/>
      <w:szCs w:val="24"/>
    </w:rPr>
  </w:style>
  <w:style w:type="character" w:customStyle="1" w:styleId="91">
    <w:name w:val="18"/>
    <w:autoRedefine/>
    <w:qFormat/>
    <w:uiPriority w:val="0"/>
    <w:rPr>
      <w:rFonts w:ascii="MingLiU" w:hAnsi="MingLiU" w:eastAsia="MingLiU" w:cs="Times New Roman"/>
      <w:spacing w:val="30"/>
      <w:sz w:val="26"/>
      <w:szCs w:val="26"/>
    </w:rPr>
  </w:style>
  <w:style w:type="character" w:customStyle="1" w:styleId="92">
    <w:name w:val="apple-converted-space"/>
    <w:autoRedefine/>
    <w:qFormat/>
    <w:uiPriority w:val="0"/>
  </w:style>
  <w:style w:type="character" w:customStyle="1" w:styleId="93">
    <w:name w:val="表格 32 Char"/>
    <w:link w:val="94"/>
    <w:autoRedefine/>
    <w:qFormat/>
    <w:uiPriority w:val="0"/>
    <w:rPr>
      <w:sz w:val="24"/>
      <w:lang w:val="en-US" w:eastAsia="zh-CN"/>
    </w:rPr>
  </w:style>
  <w:style w:type="paragraph" w:customStyle="1" w:styleId="94">
    <w:name w:val="表格 32"/>
    <w:basedOn w:val="1"/>
    <w:link w:val="93"/>
    <w:autoRedefine/>
    <w:qFormat/>
    <w:uiPriority w:val="0"/>
    <w:pPr>
      <w:autoSpaceDE w:val="0"/>
      <w:autoSpaceDN w:val="0"/>
      <w:adjustRightInd w:val="0"/>
      <w:spacing w:line="0" w:lineRule="atLeast"/>
      <w:ind w:firstLine="200" w:firstLineChars="200"/>
      <w:jc w:val="center"/>
      <w:textAlignment w:val="baseline"/>
    </w:pPr>
    <w:rPr>
      <w:rFonts w:asciiTheme="minorHAnsi" w:hAnsiTheme="minorHAnsi" w:eastAsiaTheme="minorEastAsia" w:cstheme="minorBidi"/>
      <w:sz w:val="24"/>
      <w:szCs w:val="22"/>
      <w:lang w:val="en-US" w:eastAsia="zh-CN"/>
    </w:rPr>
  </w:style>
  <w:style w:type="character" w:customStyle="1" w:styleId="95">
    <w:name w:val="纯文本 Char1"/>
    <w:autoRedefine/>
    <w:semiHidden/>
    <w:qFormat/>
    <w:uiPriority w:val="99"/>
    <w:rPr>
      <w:rFonts w:ascii="宋体" w:hAnsi="Courier New" w:cs="Courier New"/>
      <w:color w:val="000000"/>
      <w:kern w:val="2"/>
      <w:sz w:val="21"/>
      <w:szCs w:val="21"/>
    </w:rPr>
  </w:style>
  <w:style w:type="character" w:customStyle="1" w:styleId="96">
    <w:name w:val="【表中文字】 Char"/>
    <w:link w:val="97"/>
    <w:autoRedefine/>
    <w:qFormat/>
    <w:uiPriority w:val="0"/>
  </w:style>
  <w:style w:type="paragraph" w:customStyle="1" w:styleId="97">
    <w:name w:val="【表中文字】"/>
    <w:basedOn w:val="1"/>
    <w:link w:val="96"/>
    <w:autoRedefine/>
    <w:qFormat/>
    <w:uiPriority w:val="0"/>
    <w:pPr>
      <w:jc w:val="center"/>
    </w:pPr>
    <w:rPr>
      <w:rFonts w:asciiTheme="minorHAnsi" w:hAnsiTheme="minorHAnsi" w:eastAsiaTheme="minorEastAsia" w:cstheme="minorBidi"/>
      <w:szCs w:val="22"/>
    </w:rPr>
  </w:style>
  <w:style w:type="character" w:customStyle="1" w:styleId="98">
    <w:name w:val="表格数字 Char"/>
    <w:link w:val="99"/>
    <w:autoRedefine/>
    <w:qFormat/>
    <w:uiPriority w:val="0"/>
    <w:rPr>
      <w:rFonts w:ascii="Arial" w:hAnsi="Arial" w:cs="宋体"/>
    </w:rPr>
  </w:style>
  <w:style w:type="paragraph" w:customStyle="1" w:styleId="99">
    <w:name w:val="表格数字"/>
    <w:basedOn w:val="1"/>
    <w:link w:val="98"/>
    <w:autoRedefine/>
    <w:qFormat/>
    <w:uiPriority w:val="0"/>
    <w:pPr>
      <w:widowControl/>
      <w:spacing w:line="360" w:lineRule="exact"/>
      <w:jc w:val="center"/>
    </w:pPr>
    <w:rPr>
      <w:rFonts w:ascii="Arial" w:hAnsi="Arial" w:cs="宋体" w:eastAsiaTheme="minorEastAsia"/>
      <w:szCs w:val="22"/>
    </w:rPr>
  </w:style>
  <w:style w:type="character" w:customStyle="1" w:styleId="100">
    <w:name w:val="表格正文 Char"/>
    <w:link w:val="101"/>
    <w:autoRedefine/>
    <w:semiHidden/>
    <w:qFormat/>
    <w:uiPriority w:val="0"/>
    <w:rPr>
      <w:rFonts w:ascii="Arial" w:hAnsi="Arial"/>
      <w:color w:val="000000"/>
      <w:szCs w:val="21"/>
    </w:rPr>
  </w:style>
  <w:style w:type="paragraph" w:customStyle="1" w:styleId="101">
    <w:name w:val="表格正文"/>
    <w:basedOn w:val="1"/>
    <w:link w:val="100"/>
    <w:autoRedefine/>
    <w:semiHidden/>
    <w:qFormat/>
    <w:uiPriority w:val="0"/>
    <w:pPr>
      <w:widowControl/>
      <w:spacing w:line="360" w:lineRule="exact"/>
      <w:jc w:val="center"/>
    </w:pPr>
    <w:rPr>
      <w:rFonts w:ascii="Arial" w:hAnsi="Arial" w:eastAsiaTheme="minorEastAsia" w:cstheme="minorBidi"/>
      <w:color w:val="000000"/>
    </w:rPr>
  </w:style>
  <w:style w:type="paragraph" w:customStyle="1" w:styleId="102">
    <w:name w:val="表1表2"/>
    <w:basedOn w:val="1"/>
    <w:autoRedefine/>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3">
    <w:name w:val="正文格式"/>
    <w:basedOn w:val="1"/>
    <w:autoRedefine/>
    <w:qFormat/>
    <w:uiPriority w:val="0"/>
    <w:pPr>
      <w:spacing w:line="360" w:lineRule="auto"/>
      <w:ind w:firstLine="544" w:firstLineChars="200"/>
    </w:pPr>
    <w:rPr>
      <w:rFonts w:ascii="Calibri" w:hAnsi="Calibri"/>
      <w:sz w:val="24"/>
    </w:rPr>
  </w:style>
  <w:style w:type="character" w:customStyle="1" w:styleId="104">
    <w:name w:val="HTML 预设格式 字符1"/>
    <w:autoRedefine/>
    <w:qFormat/>
    <w:uiPriority w:val="0"/>
    <w:rPr>
      <w:rFonts w:ascii="Courier New" w:hAnsi="Courier New" w:cs="Courier New"/>
      <w:kern w:val="2"/>
    </w:rPr>
  </w:style>
  <w:style w:type="character" w:customStyle="1" w:styleId="105">
    <w:name w:val="正文文本首行缩进 字符1"/>
    <w:autoRedefine/>
    <w:qFormat/>
    <w:uiPriority w:val="0"/>
    <w:rPr>
      <w:kern w:val="2"/>
      <w:sz w:val="21"/>
      <w:szCs w:val="24"/>
    </w:rPr>
  </w:style>
  <w:style w:type="character" w:customStyle="1" w:styleId="106">
    <w:name w:val="正文文本 2 字符1"/>
    <w:autoRedefine/>
    <w:qFormat/>
    <w:uiPriority w:val="0"/>
    <w:rPr>
      <w:kern w:val="2"/>
      <w:sz w:val="21"/>
      <w:szCs w:val="24"/>
    </w:rPr>
  </w:style>
  <w:style w:type="character" w:customStyle="1" w:styleId="107">
    <w:name w:val="正文文本缩进 3 字符1"/>
    <w:autoRedefine/>
    <w:qFormat/>
    <w:uiPriority w:val="0"/>
    <w:rPr>
      <w:kern w:val="2"/>
      <w:sz w:val="16"/>
      <w:szCs w:val="16"/>
    </w:rPr>
  </w:style>
  <w:style w:type="character" w:customStyle="1" w:styleId="108">
    <w:name w:val="文档结构图 字符1"/>
    <w:autoRedefine/>
    <w:qFormat/>
    <w:uiPriority w:val="0"/>
    <w:rPr>
      <w:rFonts w:ascii="Microsoft YaHei UI" w:eastAsia="Microsoft YaHei UI"/>
      <w:kern w:val="2"/>
      <w:sz w:val="18"/>
      <w:szCs w:val="18"/>
    </w:rPr>
  </w:style>
  <w:style w:type="paragraph" w:customStyle="1" w:styleId="109">
    <w:name w:val="样式1"/>
    <w:basedOn w:val="1"/>
    <w:autoRedefine/>
    <w:qFormat/>
    <w:uiPriority w:val="0"/>
    <w:pPr>
      <w:spacing w:line="360" w:lineRule="auto"/>
    </w:pPr>
    <w:rPr>
      <w:b/>
      <w:bCs/>
      <w:sz w:val="28"/>
    </w:rPr>
  </w:style>
  <w:style w:type="character" w:customStyle="1" w:styleId="110">
    <w:name w:val="正文文本缩进 2 字符1"/>
    <w:autoRedefine/>
    <w:qFormat/>
    <w:uiPriority w:val="0"/>
    <w:rPr>
      <w:kern w:val="2"/>
      <w:sz w:val="21"/>
      <w:szCs w:val="24"/>
    </w:rPr>
  </w:style>
  <w:style w:type="character" w:customStyle="1" w:styleId="111">
    <w:name w:val="正文文本 3 字符1"/>
    <w:autoRedefine/>
    <w:qFormat/>
    <w:uiPriority w:val="0"/>
    <w:rPr>
      <w:kern w:val="2"/>
      <w:sz w:val="16"/>
      <w:szCs w:val="16"/>
    </w:rPr>
  </w:style>
  <w:style w:type="character" w:customStyle="1" w:styleId="112">
    <w:name w:val="标题 字符1"/>
    <w:autoRedefine/>
    <w:qFormat/>
    <w:uiPriority w:val="0"/>
    <w:rPr>
      <w:rFonts w:ascii="等线 Light" w:hAnsi="等线 Light" w:cs="Times New Roman"/>
      <w:b/>
      <w:bCs/>
      <w:kern w:val="2"/>
      <w:sz w:val="32"/>
      <w:szCs w:val="32"/>
    </w:rPr>
  </w:style>
  <w:style w:type="character" w:customStyle="1" w:styleId="113">
    <w:name w:val="纯文本 字符1"/>
    <w:autoRedefine/>
    <w:qFormat/>
    <w:uiPriority w:val="0"/>
    <w:rPr>
      <w:rFonts w:ascii="宋体" w:hAnsi="Courier New" w:cs="Courier New"/>
      <w:kern w:val="2"/>
      <w:sz w:val="21"/>
      <w:szCs w:val="21"/>
    </w:rPr>
  </w:style>
  <w:style w:type="paragraph" w:customStyle="1" w:styleId="114">
    <w:name w:val=" Char"/>
    <w:basedOn w:val="1"/>
    <w:autoRedefine/>
    <w:qFormat/>
    <w:uiPriority w:val="0"/>
    <w:rPr>
      <w:sz w:val="24"/>
    </w:rPr>
  </w:style>
  <w:style w:type="paragraph" w:customStyle="1" w:styleId="115">
    <w:name w:val="正文文本 (2)"/>
    <w:basedOn w:val="1"/>
    <w:autoRedefine/>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6">
    <w:name w:val="表 标题"/>
    <w:basedOn w:val="1"/>
    <w:autoRedefine/>
    <w:qFormat/>
    <w:uiPriority w:val="0"/>
    <w:pPr>
      <w:adjustRightInd w:val="0"/>
      <w:snapToGrid w:val="0"/>
      <w:spacing w:beforeLines="50"/>
      <w:jc w:val="center"/>
    </w:pPr>
    <w:rPr>
      <w:b/>
      <w:kern w:val="0"/>
      <w:sz w:val="20"/>
    </w:rPr>
  </w:style>
  <w:style w:type="paragraph" w:customStyle="1" w:styleId="117">
    <w:name w:val="正文000000"/>
    <w:basedOn w:val="1"/>
    <w:next w:val="1"/>
    <w:autoRedefine/>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8">
    <w:name w:val="中等深浅网格 2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9">
    <w:name w:val="正文2"/>
    <w:basedOn w:val="1"/>
    <w:link w:val="120"/>
    <w:autoRedefine/>
    <w:qFormat/>
    <w:uiPriority w:val="0"/>
    <w:pPr>
      <w:adjustRightInd w:val="0"/>
      <w:snapToGrid w:val="0"/>
      <w:spacing w:line="440" w:lineRule="atLeast"/>
      <w:ind w:firstLine="510"/>
    </w:pPr>
    <w:rPr>
      <w:szCs w:val="20"/>
    </w:rPr>
  </w:style>
  <w:style w:type="character" w:customStyle="1" w:styleId="120">
    <w:name w:val="正文2 Char"/>
    <w:link w:val="119"/>
    <w:autoRedefine/>
    <w:qFormat/>
    <w:uiPriority w:val="0"/>
    <w:rPr>
      <w:rFonts w:ascii="Times New Roman" w:hAnsi="Times New Roman" w:eastAsia="宋体" w:cs="Times New Roman"/>
      <w:szCs w:val="20"/>
    </w:rPr>
  </w:style>
  <w:style w:type="paragraph" w:customStyle="1" w:styleId="121">
    <w:name w:val="正文 + 首行缩进:  2 字符"/>
    <w:basedOn w:val="1"/>
    <w:autoRedefine/>
    <w:qFormat/>
    <w:uiPriority w:val="0"/>
    <w:pPr>
      <w:widowControl/>
      <w:spacing w:line="460" w:lineRule="atLeast"/>
      <w:ind w:firstLine="528" w:firstLineChars="200"/>
      <w:jc w:val="left"/>
    </w:pPr>
    <w:rPr>
      <w:color w:val="000000"/>
      <w:spacing w:val="12"/>
      <w:sz w:val="24"/>
      <w:szCs w:val="20"/>
    </w:rPr>
  </w:style>
  <w:style w:type="paragraph" w:customStyle="1" w:styleId="122">
    <w:name w:val="图表题"/>
    <w:basedOn w:val="1"/>
    <w:next w:val="1"/>
    <w:autoRedefine/>
    <w:qFormat/>
    <w:uiPriority w:val="0"/>
    <w:pPr>
      <w:widowControl/>
      <w:adjustRightInd w:val="0"/>
      <w:snapToGrid w:val="0"/>
      <w:spacing w:line="360" w:lineRule="auto"/>
      <w:jc w:val="center"/>
    </w:pPr>
    <w:rPr>
      <w:rFonts w:eastAsia="黑体"/>
      <w:color w:val="000000"/>
      <w:sz w:val="24"/>
      <w:szCs w:val="20"/>
    </w:rPr>
  </w:style>
  <w:style w:type="paragraph" w:customStyle="1" w:styleId="123">
    <w:name w:val="1级标题"/>
    <w:basedOn w:val="2"/>
    <w:autoRedefine/>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4">
    <w:name w:val="表格001"/>
    <w:basedOn w:val="1"/>
    <w:autoRedefine/>
    <w:qFormat/>
    <w:uiPriority w:val="0"/>
    <w:pPr>
      <w:widowControl/>
      <w:spacing w:line="360" w:lineRule="exact"/>
      <w:jc w:val="center"/>
    </w:pPr>
    <w:rPr>
      <w:color w:val="000000"/>
      <w:sz w:val="24"/>
    </w:rPr>
  </w:style>
  <w:style w:type="paragraph" w:customStyle="1" w:styleId="125">
    <w:name w:val="正文001"/>
    <w:basedOn w:val="1"/>
    <w:autoRedefine/>
    <w:qFormat/>
    <w:uiPriority w:val="0"/>
    <w:pPr>
      <w:widowControl/>
      <w:spacing w:before="60" w:after="100" w:afterAutospacing="1" w:line="420" w:lineRule="exact"/>
      <w:ind w:firstLine="482"/>
      <w:jc w:val="left"/>
    </w:pPr>
    <w:rPr>
      <w:color w:val="000000"/>
      <w:sz w:val="24"/>
    </w:rPr>
  </w:style>
  <w:style w:type="paragraph" w:customStyle="1" w:styleId="126">
    <w:name w:val="表格内容"/>
    <w:basedOn w:val="6"/>
    <w:autoRedefine/>
    <w:qFormat/>
    <w:uiPriority w:val="0"/>
    <w:pPr>
      <w:spacing w:line="312" w:lineRule="auto"/>
      <w:ind w:firstLine="0" w:firstLineChars="0"/>
      <w:jc w:val="center"/>
    </w:pPr>
    <w:rPr>
      <w:rFonts w:ascii="Calibri" w:hAnsi="Calibri"/>
      <w:sz w:val="24"/>
    </w:rPr>
  </w:style>
  <w:style w:type="paragraph" w:customStyle="1" w:styleId="127">
    <w:name w:val="民武正文"/>
    <w:basedOn w:val="16"/>
    <w:autoRedefine/>
    <w:qFormat/>
    <w:uiPriority w:val="0"/>
    <w:pPr>
      <w:spacing w:line="300" w:lineRule="auto"/>
      <w:ind w:firstLine="200" w:firstLineChars="200"/>
    </w:pPr>
    <w:rPr>
      <w:rFonts w:ascii="Times New Roman" w:hAnsi="Times New Roman"/>
      <w:kern w:val="0"/>
      <w:sz w:val="24"/>
      <w:szCs w:val="24"/>
      <w:lang w:bidi="en-US"/>
    </w:rPr>
  </w:style>
  <w:style w:type="paragraph" w:customStyle="1" w:styleId="128">
    <w:name w:val="Table Paragraph"/>
    <w:basedOn w:val="1"/>
    <w:autoRedefine/>
    <w:qFormat/>
    <w:uiPriority w:val="1"/>
    <w:pPr>
      <w:jc w:val="center"/>
    </w:pPr>
    <w:rPr>
      <w:rFonts w:ascii="宋体" w:hAnsi="宋体" w:cs="宋体"/>
      <w:kern w:val="0"/>
      <w:sz w:val="22"/>
      <w:szCs w:val="22"/>
      <w:lang w:eastAsia="en-US"/>
    </w:rPr>
  </w:style>
  <w:style w:type="paragraph" w:customStyle="1" w:styleId="129">
    <w:name w:val="正文缩近"/>
    <w:basedOn w:val="1"/>
    <w:autoRedefine/>
    <w:qFormat/>
    <w:uiPriority w:val="0"/>
    <w:pPr>
      <w:spacing w:line="360" w:lineRule="auto"/>
      <w:ind w:firstLine="560" w:firstLineChars="200"/>
    </w:pPr>
    <w:rPr>
      <w:sz w:val="28"/>
      <w:szCs w:val="28"/>
    </w:rPr>
  </w:style>
  <w:style w:type="paragraph" w:customStyle="1" w:styleId="130">
    <w:name w:val="bg正文首行缩进"/>
    <w:basedOn w:val="1"/>
    <w:autoRedefine/>
    <w:qFormat/>
    <w:uiPriority w:val="0"/>
    <w:pPr>
      <w:widowControl/>
      <w:spacing w:line="400" w:lineRule="exact"/>
      <w:ind w:firstLine="482"/>
      <w:jc w:val="left"/>
    </w:pPr>
    <w:rPr>
      <w:color w:val="000000"/>
      <w:sz w:val="24"/>
    </w:rPr>
  </w:style>
  <w:style w:type="paragraph" w:customStyle="1" w:styleId="131">
    <w:name w:val="正文3"/>
    <w:basedOn w:val="1"/>
    <w:autoRedefine/>
    <w:qFormat/>
    <w:uiPriority w:val="0"/>
    <w:pPr>
      <w:spacing w:line="360" w:lineRule="auto"/>
      <w:ind w:firstLine="454"/>
      <w:jc w:val="left"/>
    </w:pPr>
    <w:rPr>
      <w:rFonts w:ascii="宋体" w:hAnsi="宋体"/>
      <w:kern w:val="0"/>
      <w:sz w:val="24"/>
      <w:szCs w:val="20"/>
    </w:rPr>
  </w:style>
  <w:style w:type="paragraph" w:customStyle="1" w:styleId="132">
    <w:name w:val="p0"/>
    <w:basedOn w:val="1"/>
    <w:autoRedefine/>
    <w:qFormat/>
    <w:uiPriority w:val="0"/>
    <w:pPr>
      <w:widowControl/>
    </w:pPr>
    <w:rPr>
      <w:kern w:val="0"/>
    </w:rPr>
  </w:style>
  <w:style w:type="paragraph" w:customStyle="1" w:styleId="133">
    <w:name w:val="样式 正文首行缩进:  2 字符 + 首行缩进:  2 字符"/>
    <w:basedOn w:val="1"/>
    <w:autoRedefine/>
    <w:qFormat/>
    <w:uiPriority w:val="0"/>
    <w:pPr>
      <w:spacing w:line="360" w:lineRule="auto"/>
      <w:ind w:firstLine="480" w:firstLineChars="200"/>
    </w:pPr>
    <w:rPr>
      <w:rFonts w:cs="宋体"/>
      <w:sz w:val="24"/>
      <w:szCs w:val="20"/>
    </w:rPr>
  </w:style>
  <w:style w:type="paragraph" w:customStyle="1" w:styleId="134">
    <w:name w:val="【正文】"/>
    <w:basedOn w:val="1"/>
    <w:autoRedefine/>
    <w:qFormat/>
    <w:uiPriority w:val="0"/>
    <w:pPr>
      <w:widowControl/>
      <w:spacing w:line="440" w:lineRule="exact"/>
      <w:ind w:firstLine="544"/>
      <w:jc w:val="left"/>
    </w:pPr>
    <w:rPr>
      <w:rFonts w:cs="宋体"/>
      <w:color w:val="000000"/>
      <w:sz w:val="24"/>
    </w:rPr>
  </w:style>
  <w:style w:type="paragraph" w:customStyle="1" w:styleId="135">
    <w:name w:val="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136">
    <w:name w:val="正文+首行缩进"/>
    <w:basedOn w:val="1"/>
    <w:autoRedefine/>
    <w:qFormat/>
    <w:uiPriority w:val="0"/>
    <w:pPr>
      <w:widowControl/>
      <w:spacing w:line="360" w:lineRule="auto"/>
      <w:ind w:firstLine="480" w:firstLineChars="200"/>
      <w:jc w:val="left"/>
    </w:pPr>
    <w:rPr>
      <w:rFonts w:cs="宋体"/>
      <w:color w:val="000000"/>
      <w:sz w:val="24"/>
      <w:szCs w:val="20"/>
    </w:rPr>
  </w:style>
  <w:style w:type="paragraph" w:customStyle="1" w:styleId="137">
    <w:name w:val="Default"/>
    <w:basedOn w:val="138"/>
    <w:next w:val="139"/>
    <w:autoRedefine/>
    <w:qFormat/>
    <w:uiPriority w:val="0"/>
    <w:pPr>
      <w:widowControl/>
      <w:autoSpaceDE w:val="0"/>
      <w:autoSpaceDN w:val="0"/>
      <w:jc w:val="left"/>
    </w:pPr>
    <w:rPr>
      <w:rFonts w:cs="宋体"/>
      <w:color w:val="000000"/>
      <w:kern w:val="0"/>
      <w:sz w:val="24"/>
    </w:rPr>
  </w:style>
  <w:style w:type="paragraph" w:customStyle="1" w:styleId="138">
    <w:name w:val="纯文本1"/>
    <w:basedOn w:val="1"/>
    <w:autoRedefine/>
    <w:qFormat/>
    <w:uiPriority w:val="0"/>
    <w:pPr>
      <w:adjustRightInd w:val="0"/>
    </w:pPr>
    <w:rPr>
      <w:rFonts w:ascii="宋体" w:hAnsi="Courier New"/>
      <w:szCs w:val="20"/>
    </w:rPr>
  </w:style>
  <w:style w:type="paragraph" w:customStyle="1" w:styleId="139">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40">
    <w:name w:val="流程图文字"/>
    <w:basedOn w:val="1"/>
    <w:autoRedefine/>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41">
    <w:name w:val="xl2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42">
    <w:name w:val="Normal (Web)"/>
    <w:basedOn w:val="1"/>
    <w:autoRedefine/>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43">
    <w:name w:val="表格2"/>
    <w:basedOn w:val="1"/>
    <w:autoRedefine/>
    <w:qFormat/>
    <w:uiPriority w:val="0"/>
    <w:pPr>
      <w:widowControl/>
      <w:jc w:val="center"/>
    </w:pPr>
    <w:rPr>
      <w:rFonts w:cs="宋体"/>
      <w:color w:val="000000"/>
    </w:rPr>
  </w:style>
  <w:style w:type="paragraph" w:customStyle="1" w:styleId="144">
    <w:name w:val="_Style 44"/>
    <w:basedOn w:val="1"/>
    <w:autoRedefine/>
    <w:qFormat/>
    <w:uiPriority w:val="0"/>
    <w:pPr>
      <w:spacing w:line="360" w:lineRule="auto"/>
      <w:ind w:firstLine="200" w:firstLineChars="200"/>
    </w:pPr>
    <w:rPr>
      <w:rFonts w:ascii="宋体" w:hAnsi="宋体" w:cs="宋体"/>
      <w:sz w:val="24"/>
    </w:rPr>
  </w:style>
  <w:style w:type="paragraph" w:customStyle="1" w:styleId="145">
    <w:name w:val="表格1"/>
    <w:basedOn w:val="1"/>
    <w:autoRedefine/>
    <w:semiHidden/>
    <w:qFormat/>
    <w:uiPriority w:val="0"/>
    <w:pPr>
      <w:adjustRightInd w:val="0"/>
      <w:snapToGrid w:val="0"/>
      <w:spacing w:line="360" w:lineRule="auto"/>
      <w:jc w:val="center"/>
    </w:pPr>
    <w:rPr>
      <w:rFonts w:ascii="黑体" w:hAnsi="宋体" w:eastAsia="黑体"/>
    </w:rPr>
  </w:style>
  <w:style w:type="paragraph" w:customStyle="1" w:styleId="146">
    <w:name w:val="中文"/>
    <w:basedOn w:val="1"/>
    <w:autoRedefine/>
    <w:qFormat/>
    <w:uiPriority w:val="0"/>
    <w:pPr>
      <w:widowControl/>
      <w:spacing w:line="360" w:lineRule="auto"/>
      <w:ind w:firstLine="200" w:firstLineChars="200"/>
    </w:pPr>
    <w:rPr>
      <w:rFonts w:ascii="Calibri" w:hAnsi="Calibri"/>
      <w:lang w:eastAsia="en-US"/>
    </w:rPr>
  </w:style>
  <w:style w:type="paragraph" w:customStyle="1" w:styleId="147">
    <w:name w:val=" Char Char Char Char Char Char Char Char Char Char"/>
    <w:basedOn w:val="1"/>
    <w:autoRedefine/>
    <w:qFormat/>
    <w:uiPriority w:val="0"/>
    <w:pPr>
      <w:widowControl/>
      <w:spacing w:after="160" w:line="240" w:lineRule="exact"/>
      <w:jc w:val="left"/>
    </w:pPr>
  </w:style>
  <w:style w:type="paragraph" w:customStyle="1" w:styleId="148">
    <w:name w:val="表内容"/>
    <w:basedOn w:val="16"/>
    <w:autoRedefine/>
    <w:qFormat/>
    <w:uiPriority w:val="0"/>
    <w:pPr>
      <w:widowControl w:val="0"/>
      <w:jc w:val="both"/>
    </w:pPr>
    <w:rPr>
      <w:rFonts w:ascii="Times New Roman" w:hAnsi="Times New Roman"/>
    </w:rPr>
  </w:style>
  <w:style w:type="character" w:customStyle="1" w:styleId="149">
    <w:name w:val="正文文本 (2)_"/>
    <w:link w:val="150"/>
    <w:autoRedefine/>
    <w:qFormat/>
    <w:uiPriority w:val="0"/>
    <w:rPr>
      <w:rFonts w:ascii="宋体" w:hAnsi="宋体"/>
      <w:sz w:val="22"/>
      <w:shd w:val="clear" w:color="auto" w:fill="FFFFFF"/>
    </w:rPr>
  </w:style>
  <w:style w:type="paragraph" w:customStyle="1" w:styleId="150">
    <w:name w:val="正文文本 (2)1"/>
    <w:basedOn w:val="1"/>
    <w:link w:val="149"/>
    <w:autoRedefine/>
    <w:qFormat/>
    <w:uiPriority w:val="0"/>
    <w:pPr>
      <w:shd w:val="clear" w:color="auto" w:fill="FFFFFF"/>
      <w:spacing w:before="300" w:line="466" w:lineRule="exact"/>
      <w:ind w:hanging="600"/>
      <w:jc w:val="distribute"/>
    </w:pPr>
    <w:rPr>
      <w:rFonts w:ascii="宋体" w:hAnsi="宋体" w:eastAsiaTheme="minorEastAsia" w:cstheme="minorBidi"/>
      <w:sz w:val="22"/>
      <w:szCs w:val="22"/>
    </w:rPr>
  </w:style>
  <w:style w:type="character" w:customStyle="1" w:styleId="151">
    <w:name w:val="正文文本 (2) + 粗体"/>
    <w:autoRedefine/>
    <w:qFormat/>
    <w:uiPriority w:val="0"/>
    <w:rPr>
      <w:rFonts w:ascii="宋体" w:hAnsi="宋体" w:cs="宋体"/>
      <w:b/>
      <w:bCs/>
      <w:sz w:val="22"/>
      <w:szCs w:val="22"/>
      <w:u w:val="none"/>
      <w:shd w:val="clear" w:color="auto" w:fill="FFFFFF"/>
    </w:rPr>
  </w:style>
  <w:style w:type="character" w:customStyle="1" w:styleId="152">
    <w:name w:val="表内格式 Char"/>
    <w:link w:val="153"/>
    <w:autoRedefine/>
    <w:qFormat/>
    <w:locked/>
    <w:uiPriority w:val="0"/>
    <w:rPr>
      <w:rFonts w:eastAsia="楷体_GB2312"/>
      <w:sz w:val="18"/>
      <w:szCs w:val="18"/>
    </w:rPr>
  </w:style>
  <w:style w:type="paragraph" w:customStyle="1" w:styleId="153">
    <w:name w:val="表内格式"/>
    <w:basedOn w:val="1"/>
    <w:next w:val="1"/>
    <w:link w:val="152"/>
    <w:autoRedefine/>
    <w:qFormat/>
    <w:uiPriority w:val="0"/>
    <w:pPr>
      <w:spacing w:line="360" w:lineRule="auto"/>
      <w:ind w:firstLine="200" w:firstLineChars="200"/>
      <w:jc w:val="center"/>
    </w:pPr>
    <w:rPr>
      <w:rFonts w:eastAsia="楷体_GB2312" w:asciiTheme="minorHAnsi" w:hAnsiTheme="minorHAnsi" w:cstheme="minorBidi"/>
      <w:sz w:val="18"/>
      <w:szCs w:val="18"/>
    </w:rPr>
  </w:style>
  <w:style w:type="paragraph" w:customStyle="1" w:styleId="154">
    <w:name w:val="小编号"/>
    <w:basedOn w:val="1"/>
    <w:next w:val="1"/>
    <w:autoRedefine/>
    <w:qFormat/>
    <w:uiPriority w:val="0"/>
    <w:pPr>
      <w:spacing w:line="360" w:lineRule="auto"/>
      <w:ind w:firstLine="200" w:firstLineChars="200"/>
    </w:pPr>
    <w:rPr>
      <w:rFonts w:ascii="Calibri" w:hAnsi="Calibri"/>
      <w:b/>
      <w:sz w:val="24"/>
      <w:szCs w:val="20"/>
    </w:rPr>
  </w:style>
  <w:style w:type="paragraph" w:customStyle="1" w:styleId="155">
    <w:name w:val="列出段落2"/>
    <w:basedOn w:val="1"/>
    <w:autoRedefine/>
    <w:qFormat/>
    <w:uiPriority w:val="34"/>
    <w:pPr>
      <w:spacing w:line="360" w:lineRule="auto"/>
      <w:ind w:firstLine="420" w:firstLineChars="200"/>
    </w:pPr>
    <w:rPr>
      <w:sz w:val="24"/>
      <w:szCs w:val="20"/>
    </w:rPr>
  </w:style>
  <w:style w:type="paragraph" w:customStyle="1" w:styleId="156">
    <w:name w:val="表 内容"/>
    <w:basedOn w:val="1"/>
    <w:autoRedefine/>
    <w:qFormat/>
    <w:uiPriority w:val="0"/>
    <w:pPr>
      <w:adjustRightInd w:val="0"/>
      <w:snapToGrid w:val="0"/>
      <w:spacing w:beforeLines="15" w:afterLines="15"/>
      <w:jc w:val="center"/>
    </w:pPr>
    <w:rPr>
      <w:b/>
      <w:sz w:val="24"/>
    </w:rPr>
  </w:style>
  <w:style w:type="paragraph" w:customStyle="1" w:styleId="157">
    <w:name w:val="中文报告书样式"/>
    <w:basedOn w:val="1"/>
    <w:autoRedefine/>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8">
    <w:name w:val="文"/>
    <w:basedOn w:val="1"/>
    <w:autoRedefine/>
    <w:qFormat/>
    <w:uiPriority w:val="0"/>
    <w:pPr>
      <w:spacing w:line="360" w:lineRule="auto"/>
      <w:ind w:firstLine="200" w:firstLineChars="200"/>
      <w:jc w:val="left"/>
    </w:pPr>
    <w:rPr>
      <w:bCs/>
      <w:sz w:val="24"/>
    </w:rPr>
  </w:style>
  <w:style w:type="paragraph" w:customStyle="1" w:styleId="159">
    <w:name w:val="我表标题"/>
    <w:basedOn w:val="1"/>
    <w:autoRedefine/>
    <w:qFormat/>
    <w:uiPriority w:val="0"/>
    <w:pPr>
      <w:jc w:val="center"/>
      <w:textAlignment w:val="baseline"/>
    </w:pPr>
    <w:rPr>
      <w:b/>
      <w:kern w:val="24"/>
    </w:rPr>
  </w:style>
  <w:style w:type="paragraph" w:customStyle="1" w:styleId="160">
    <w:name w:val="环评表内容"/>
    <w:basedOn w:val="1"/>
    <w:autoRedefine/>
    <w:qFormat/>
    <w:uiPriority w:val="0"/>
    <w:pPr>
      <w:widowControl/>
      <w:spacing w:line="260" w:lineRule="exact"/>
      <w:jc w:val="center"/>
    </w:pPr>
    <w:rPr>
      <w:rFonts w:ascii="Tahoma" w:hAnsi="Tahoma" w:cs="Tahoma"/>
    </w:rPr>
  </w:style>
  <w:style w:type="paragraph" w:customStyle="1" w:styleId="161">
    <w:name w:val="正文首行缩进 2 + Times New Roman"/>
    <w:basedOn w:val="1"/>
    <w:autoRedefine/>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62">
    <w:name w:val="_Style 33"/>
    <w:basedOn w:val="1"/>
    <w:autoRedefine/>
    <w:qFormat/>
    <w:uiPriority w:val="0"/>
    <w:rPr>
      <w:sz w:val="24"/>
    </w:rPr>
  </w:style>
  <w:style w:type="paragraph" w:customStyle="1" w:styleId="163">
    <w:name w:val="正文1"/>
    <w:basedOn w:val="18"/>
    <w:autoRedefine/>
    <w:qFormat/>
    <w:uiPriority w:val="0"/>
    <w:pPr>
      <w:widowControl w:val="0"/>
      <w:spacing w:line="360" w:lineRule="auto"/>
      <w:ind w:firstLine="200"/>
      <w:jc w:val="both"/>
    </w:pPr>
    <w:rPr>
      <w:sz w:val="21"/>
    </w:rPr>
  </w:style>
  <w:style w:type="paragraph" w:customStyle="1" w:styleId="164">
    <w:name w:val="万瑞报告表1"/>
    <w:basedOn w:val="13"/>
    <w:next w:val="1"/>
    <w:autoRedefine/>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5">
    <w:name w:val="Body Text 22"/>
    <w:basedOn w:val="1"/>
    <w:autoRedefine/>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6">
    <w:name w:val=" Char3"/>
    <w:basedOn w:val="1"/>
    <w:autoRedefine/>
    <w:qFormat/>
    <w:uiPriority w:val="0"/>
    <w:rPr>
      <w:szCs w:val="20"/>
    </w:rPr>
  </w:style>
  <w:style w:type="paragraph" w:customStyle="1" w:styleId="167">
    <w:name w:val="报告表正文"/>
    <w:basedOn w:val="1"/>
    <w:autoRedefine/>
    <w:qFormat/>
    <w:uiPriority w:val="0"/>
    <w:pPr>
      <w:adjustRightInd w:val="0"/>
      <w:spacing w:line="312" w:lineRule="auto"/>
      <w:ind w:left="113" w:right="113" w:firstLine="482"/>
      <w:jc w:val="left"/>
    </w:pPr>
    <w:rPr>
      <w:kern w:val="0"/>
      <w:sz w:val="24"/>
      <w:szCs w:val="20"/>
    </w:rPr>
  </w:style>
  <w:style w:type="paragraph" w:customStyle="1" w:styleId="168">
    <w:name w:val="小标题"/>
    <w:basedOn w:val="1"/>
    <w:autoRedefine/>
    <w:qFormat/>
    <w:uiPriority w:val="0"/>
    <w:pPr>
      <w:widowControl/>
      <w:spacing w:line="360" w:lineRule="auto"/>
      <w:ind w:firstLine="562"/>
      <w:jc w:val="left"/>
    </w:pPr>
    <w:rPr>
      <w:rFonts w:ascii="宋体" w:hAnsi="宋体"/>
      <w:b/>
      <w:sz w:val="28"/>
    </w:rPr>
  </w:style>
  <w:style w:type="paragraph" w:customStyle="1" w:styleId="169">
    <w:name w:val="表 头"/>
    <w:basedOn w:val="1"/>
    <w:autoRedefine/>
    <w:qFormat/>
    <w:uiPriority w:val="0"/>
    <w:pPr>
      <w:widowControl/>
      <w:tabs>
        <w:tab w:val="left" w:pos="3750"/>
      </w:tabs>
      <w:snapToGrid w:val="0"/>
      <w:jc w:val="center"/>
    </w:pPr>
    <w:rPr>
      <w:rFonts w:ascii="Calibri" w:hAnsi="Calibri"/>
      <w:b/>
      <w:bCs/>
    </w:rPr>
  </w:style>
  <w:style w:type="paragraph" w:styleId="170">
    <w:name w:val="No Spacing"/>
    <w:basedOn w:val="171"/>
    <w:autoRedefine/>
    <w:qFormat/>
    <w:uiPriority w:val="1"/>
    <w:pPr>
      <w:adjustRightInd w:val="0"/>
      <w:snapToGrid w:val="0"/>
    </w:pPr>
    <w:rPr>
      <w:rFonts w:hAnsi="Calibri"/>
      <w:sz w:val="21"/>
      <w:szCs w:val="24"/>
    </w:rPr>
  </w:style>
  <w:style w:type="paragraph" w:customStyle="1" w:styleId="171">
    <w:name w:val="表格修改"/>
    <w:basedOn w:val="1"/>
    <w:autoRedefine/>
    <w:qFormat/>
    <w:uiPriority w:val="0"/>
    <w:pPr>
      <w:spacing w:before="40" w:after="40"/>
      <w:jc w:val="center"/>
    </w:pPr>
    <w:rPr>
      <w:rFonts w:ascii="Calibri" w:hAnsi="宋体"/>
      <w:sz w:val="20"/>
    </w:rPr>
  </w:style>
  <w:style w:type="paragraph" w:customStyle="1" w:styleId="172">
    <w:name w:val="列出段落1"/>
    <w:basedOn w:val="1"/>
    <w:autoRedefine/>
    <w:qFormat/>
    <w:uiPriority w:val="0"/>
    <w:pPr>
      <w:widowControl/>
      <w:spacing w:line="360" w:lineRule="auto"/>
      <w:ind w:firstLine="420"/>
      <w:jc w:val="left"/>
    </w:pPr>
    <w:rPr>
      <w:rFonts w:ascii="Calibri" w:hAnsi="Calibri"/>
    </w:rPr>
  </w:style>
  <w:style w:type="paragraph" w:customStyle="1" w:styleId="173">
    <w:name w:val="1表头"/>
    <w:autoRedefine/>
    <w:qFormat/>
    <w:uiPriority w:val="0"/>
    <w:pPr>
      <w:adjustRightInd w:val="0"/>
      <w:snapToGrid w:val="0"/>
      <w:spacing w:beforeLines="25" w:afterLines="25"/>
      <w:jc w:val="center"/>
    </w:pPr>
    <w:rPr>
      <w:rFonts w:ascii="Calibri" w:hAnsi="Calibri" w:eastAsia="宋体" w:cs="Times New Roman"/>
      <w:b/>
      <w:color w:val="0000CC"/>
      <w:kern w:val="0"/>
      <w:sz w:val="24"/>
      <w:szCs w:val="24"/>
      <w:lang w:val="en-US" w:eastAsia="zh-CN" w:bidi="ar-SA"/>
    </w:rPr>
  </w:style>
  <w:style w:type="paragraph" w:customStyle="1" w:styleId="174">
    <w:name w:val="安如夏花"/>
    <w:basedOn w:val="1"/>
    <w:autoRedefine/>
    <w:qFormat/>
    <w:uiPriority w:val="0"/>
    <w:pPr>
      <w:widowControl/>
      <w:spacing w:beforeLines="50" w:afterLines="50" w:line="360" w:lineRule="auto"/>
      <w:jc w:val="center"/>
    </w:pPr>
    <w:rPr>
      <w:rFonts w:ascii="Calibri" w:hAnsi="Calibri" w:eastAsia="黑体"/>
      <w:b/>
    </w:rPr>
  </w:style>
  <w:style w:type="character" w:customStyle="1" w:styleId="175">
    <w:name w:val="表   头 Char"/>
    <w:link w:val="176"/>
    <w:autoRedefine/>
    <w:qFormat/>
    <w:uiPriority w:val="0"/>
    <w:rPr>
      <w:b/>
    </w:rPr>
  </w:style>
  <w:style w:type="paragraph" w:customStyle="1" w:styleId="176">
    <w:name w:val="表   头"/>
    <w:basedOn w:val="1"/>
    <w:link w:val="175"/>
    <w:autoRedefine/>
    <w:qFormat/>
    <w:uiPriority w:val="0"/>
    <w:pPr>
      <w:snapToGrid w:val="0"/>
      <w:jc w:val="center"/>
    </w:pPr>
    <w:rPr>
      <w:rFonts w:asciiTheme="minorHAnsi" w:hAnsiTheme="minorHAnsi" w:eastAsiaTheme="minorEastAsia" w:cstheme="minorBidi"/>
      <w:b/>
      <w:szCs w:val="22"/>
    </w:rPr>
  </w:style>
  <w:style w:type="character" w:customStyle="1" w:styleId="177">
    <w:name w:val="无间隔表格内 Char"/>
    <w:link w:val="178"/>
    <w:autoRedefine/>
    <w:qFormat/>
    <w:uiPriority w:val="0"/>
  </w:style>
  <w:style w:type="paragraph" w:customStyle="1" w:styleId="178">
    <w:name w:val="无间隔表格内"/>
    <w:basedOn w:val="176"/>
    <w:link w:val="177"/>
    <w:autoRedefine/>
    <w:qFormat/>
    <w:uiPriority w:val="0"/>
    <w:rPr>
      <w:b w:val="0"/>
    </w:rPr>
  </w:style>
  <w:style w:type="paragraph" w:customStyle="1" w:styleId="179">
    <w:name w:val="正文-RED"/>
    <w:autoRedefine/>
    <w:qFormat/>
    <w:uiPriority w:val="0"/>
    <w:pPr>
      <w:spacing w:line="360" w:lineRule="auto"/>
      <w:ind w:firstLine="420"/>
      <w:jc w:val="both"/>
    </w:pPr>
    <w:rPr>
      <w:rFonts w:ascii="Times New Roman" w:hAnsi="Times New Roman" w:eastAsia="宋体" w:cs="Times New Roman"/>
      <w:kern w:val="0"/>
      <w:sz w:val="24"/>
      <w:szCs w:val="20"/>
      <w:lang w:val="en-US" w:eastAsia="zh-CN" w:bidi="ar-SA"/>
    </w:rPr>
  </w:style>
  <w:style w:type="paragraph" w:customStyle="1" w:styleId="180">
    <w:name w:val="大标题"/>
    <w:basedOn w:val="1"/>
    <w:autoRedefine/>
    <w:qFormat/>
    <w:uiPriority w:val="0"/>
    <w:pPr>
      <w:spacing w:line="360" w:lineRule="auto"/>
    </w:pPr>
    <w:rPr>
      <w:rFonts w:ascii="宋体" w:hAnsi="宋体"/>
      <w:b/>
      <w:sz w:val="28"/>
      <w:szCs w:val="28"/>
    </w:rPr>
  </w:style>
  <w:style w:type="paragraph" w:customStyle="1" w:styleId="181">
    <w:name w:val="无悬挂正文5号"/>
    <w:basedOn w:val="1"/>
    <w:autoRedefine/>
    <w:qFormat/>
    <w:uiPriority w:val="0"/>
    <w:pPr>
      <w:widowControl/>
      <w:spacing w:line="360" w:lineRule="auto"/>
      <w:jc w:val="center"/>
    </w:pPr>
    <w:rPr>
      <w:color w:val="000000"/>
      <w:kern w:val="0"/>
      <w:sz w:val="20"/>
      <w:szCs w:val="20"/>
    </w:rPr>
  </w:style>
  <w:style w:type="character" w:customStyle="1" w:styleId="182">
    <w:name w:val="正文文本 (2) + 10.5 pt9"/>
    <w:autoRedefine/>
    <w:qFormat/>
    <w:uiPriority w:val="0"/>
    <w:rPr>
      <w:rFonts w:ascii="宋体" w:hAnsi="宋体" w:cs="宋体"/>
      <w:sz w:val="21"/>
      <w:szCs w:val="21"/>
      <w:u w:val="none"/>
      <w:lang w:bidi="ar-SA"/>
    </w:rPr>
  </w:style>
  <w:style w:type="character" w:customStyle="1" w:styleId="183">
    <w:name w:val="未处理的提及"/>
    <w:autoRedefine/>
    <w:unhideWhenUsed/>
    <w:qFormat/>
    <w:uiPriority w:val="99"/>
    <w:rPr>
      <w:color w:val="605E5C"/>
      <w:shd w:val="clear" w:color="auto" w:fill="E1DFDD"/>
    </w:rPr>
  </w:style>
  <w:style w:type="paragraph" w:styleId="184">
    <w:name w:val="List Paragraph"/>
    <w:basedOn w:val="1"/>
    <w:autoRedefine/>
    <w:qFormat/>
    <w:uiPriority w:val="1"/>
    <w:pPr>
      <w:spacing w:before="132"/>
      <w:ind w:left="2440" w:hanging="602"/>
    </w:pPr>
    <w:rPr>
      <w:rFonts w:ascii="宋体" w:hAnsi="宋体" w:cs="宋体"/>
      <w:lang w:val="zh-CN" w:bidi="zh-CN"/>
    </w:rPr>
  </w:style>
  <w:style w:type="paragraph" w:customStyle="1" w:styleId="185">
    <w:name w:val="我正文"/>
    <w:basedOn w:val="1"/>
    <w:autoRedefine/>
    <w:qFormat/>
    <w:uiPriority w:val="0"/>
    <w:pPr>
      <w:spacing w:line="360" w:lineRule="auto"/>
      <w:ind w:firstLine="480" w:firstLineChars="200"/>
    </w:pPr>
    <w:rPr>
      <w:sz w:val="24"/>
      <w:szCs w:val="20"/>
    </w:rPr>
  </w:style>
  <w:style w:type="paragraph" w:customStyle="1" w:styleId="186">
    <w:name w:val="表头"/>
    <w:basedOn w:val="126"/>
    <w:autoRedefine/>
    <w:qFormat/>
    <w:uiPriority w:val="0"/>
    <w:pPr>
      <w:adjustRightInd w:val="0"/>
      <w:spacing w:line="320" w:lineRule="atLeast"/>
      <w:jc w:val="center"/>
      <w:textAlignment w:val="baseline"/>
    </w:pPr>
    <w:rPr>
      <w:rFonts w:eastAsia="黑体"/>
      <w:spacing w:val="-10"/>
    </w:rPr>
  </w:style>
  <w:style w:type="paragraph" w:customStyle="1" w:styleId="187">
    <w:name w:val="表格文字我要的"/>
    <w:basedOn w:val="1"/>
    <w:autoRedefine/>
    <w:qFormat/>
    <w:uiPriority w:val="0"/>
    <w:pPr>
      <w:jc w:val="center"/>
    </w:pPr>
    <w:rPr>
      <w:kern w:val="0"/>
    </w:rPr>
  </w:style>
  <w:style w:type="character" w:customStyle="1" w:styleId="188">
    <w:name w:val="Char Char11"/>
    <w:autoRedefine/>
    <w:qFormat/>
    <w:uiPriority w:val="0"/>
    <w:rPr>
      <w:rFonts w:hint="eastAsia" w:ascii="宋体" w:hAnsi="宋体" w:eastAsia="宋体"/>
      <w:b/>
      <w:bCs/>
      <w:kern w:val="44"/>
      <w:sz w:val="30"/>
      <w:szCs w:val="44"/>
      <w:lang w:val="en-US" w:eastAsia="zh-CN" w:bidi="ar-SA"/>
    </w:rPr>
  </w:style>
  <w:style w:type="table" w:customStyle="1" w:styleId="189">
    <w:name w:val="Table Normal"/>
    <w:autoRedefine/>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90">
    <w:name w:val="Char"/>
    <w:basedOn w:val="1"/>
    <w:autoRedefine/>
    <w:qFormat/>
    <w:uiPriority w:val="0"/>
  </w:style>
  <w:style w:type="paragraph" w:customStyle="1" w:styleId="191">
    <w:name w:val="惠泽正文"/>
    <w:basedOn w:val="1"/>
    <w:autoRedefine/>
    <w:qFormat/>
    <w:uiPriority w:val="0"/>
    <w:pPr>
      <w:spacing w:line="480" w:lineRule="exact"/>
      <w:ind w:firstLine="480" w:firstLineChars="200"/>
    </w:pPr>
    <w:rPr>
      <w:rFonts w:hAnsi="宋体" w:cs="宋体"/>
      <w:sz w:val="24"/>
      <w:szCs w:val="20"/>
    </w:rPr>
  </w:style>
  <w:style w:type="paragraph" w:customStyle="1" w:styleId="192">
    <w:name w:val="文章正文样式"/>
    <w:basedOn w:val="1"/>
    <w:autoRedefine/>
    <w:qFormat/>
    <w:uiPriority w:val="0"/>
    <w:pPr>
      <w:spacing w:line="520" w:lineRule="exact"/>
      <w:ind w:firstLine="480" w:firstLineChars="200"/>
      <w:jc w:val="left"/>
    </w:pPr>
    <w:rPr>
      <w:rFonts w:ascii="宋体" w:hAnsi="宋体" w:cs="宋体"/>
      <w:sz w:val="24"/>
      <w:szCs w:val="20"/>
    </w:rPr>
  </w:style>
  <w:style w:type="paragraph" w:customStyle="1" w:styleId="193">
    <w:name w:val="阿威表格1"/>
    <w:basedOn w:val="1"/>
    <w:autoRedefine/>
    <w:qFormat/>
    <w:uiPriority w:val="0"/>
    <w:pPr>
      <w:jc w:val="center"/>
      <w:textAlignment w:val="center"/>
    </w:pPr>
    <w:rPr>
      <w:snapToGrid w:val="0"/>
      <w:color w:val="000000"/>
      <w:kern w:val="0"/>
      <w:lang w:eastAsia="en-US"/>
    </w:rPr>
  </w:style>
  <w:style w:type="paragraph" w:customStyle="1" w:styleId="194">
    <w:name w:val="Char Char1 Char Char Char Char Char Char Char Char Char Char Char Char Char Char Char Char Char Char Char Char1 Char"/>
    <w:basedOn w:val="1"/>
    <w:autoRedefine/>
    <w:qFormat/>
    <w:uiPriority w:val="0"/>
    <w:pPr>
      <w:adjustRightInd w:val="0"/>
      <w:snapToGrid w:val="0"/>
      <w:spacing w:line="360" w:lineRule="auto"/>
      <w:ind w:firstLine="200" w:firstLineChars="200"/>
    </w:pPr>
    <w:rPr>
      <w:rFonts w:ascii="宋体" w:hAnsi="宋体" w:cs="宋体"/>
      <w:sz w:val="24"/>
    </w:rPr>
  </w:style>
  <w:style w:type="paragraph" w:customStyle="1" w:styleId="195">
    <w:name w:val="Table Text"/>
    <w:basedOn w:val="1"/>
    <w:autoRedefine/>
    <w:semiHidden/>
    <w:qFormat/>
    <w:uiPriority w:val="0"/>
    <w:rPr>
      <w:rFonts w:ascii="宋体" w:hAnsi="宋体" w:eastAsia="宋体" w:cs="宋体"/>
      <w:sz w:val="24"/>
      <w:szCs w:val="24"/>
      <w:lang w:val="en-US" w:eastAsia="en-US" w:bidi="ar-SA"/>
    </w:rPr>
  </w:style>
  <w:style w:type="character" w:customStyle="1" w:styleId="196">
    <w:name w:val="font21"/>
    <w:basedOn w:val="37"/>
    <w:autoRedefine/>
    <w:qFormat/>
    <w:uiPriority w:val="0"/>
    <w:rPr>
      <w:rFonts w:ascii="宋体" w:hAnsi="宋体" w:eastAsia="宋体" w:cs="宋体"/>
      <w:color w:val="000000"/>
      <w:sz w:val="14"/>
      <w:szCs w:val="14"/>
      <w:u w:val="none"/>
    </w:rPr>
  </w:style>
  <w:style w:type="character" w:customStyle="1" w:styleId="197">
    <w:name w:val="font11"/>
    <w:basedOn w:val="37"/>
    <w:autoRedefine/>
    <w:qFormat/>
    <w:uiPriority w:val="0"/>
    <w:rPr>
      <w:rFonts w:ascii="宋体" w:hAnsi="宋体" w:eastAsia="宋体" w:cs="宋体"/>
      <w:color w:val="000000"/>
      <w:sz w:val="14"/>
      <w:szCs w:val="14"/>
      <w:u w:val="none"/>
    </w:rPr>
  </w:style>
  <w:style w:type="character" w:customStyle="1" w:styleId="198">
    <w:name w:val="font31"/>
    <w:basedOn w:val="37"/>
    <w:autoRedefine/>
    <w:qFormat/>
    <w:uiPriority w:val="0"/>
    <w:rPr>
      <w:rFonts w:hint="default" w:ascii="Arial" w:hAnsi="Arial" w:cs="Arial"/>
      <w:color w:val="000000"/>
      <w:sz w:val="6"/>
      <w:szCs w:val="6"/>
      <w:u w:val="none"/>
    </w:rPr>
  </w:style>
  <w:style w:type="character" w:customStyle="1" w:styleId="199">
    <w:name w:val="font41"/>
    <w:basedOn w:val="37"/>
    <w:autoRedefine/>
    <w:qFormat/>
    <w:uiPriority w:val="0"/>
    <w:rPr>
      <w:rFonts w:hint="default" w:ascii="Arial" w:hAnsi="Arial" w:cs="Arial"/>
      <w:color w:val="000000"/>
      <w:sz w:val="6"/>
      <w:szCs w:val="6"/>
      <w:u w:val="none"/>
    </w:rPr>
  </w:style>
  <w:style w:type="paragraph" w:customStyle="1" w:styleId="200">
    <w:name w:val="报告正文"/>
    <w:basedOn w:val="1"/>
    <w:autoRedefine/>
    <w:qFormat/>
    <w:uiPriority w:val="0"/>
    <w:pPr>
      <w:autoSpaceDE w:val="0"/>
      <w:autoSpaceDN w:val="0"/>
      <w:spacing w:line="360" w:lineRule="auto"/>
      <w:ind w:firstLine="200" w:firstLineChars="200"/>
    </w:pPr>
    <w:rPr>
      <w:rFonts w:cs="宋体"/>
      <w:kern w:val="0"/>
      <w:sz w:val="24"/>
      <w:szCs w:val="21"/>
    </w:rPr>
  </w:style>
  <w:style w:type="paragraph" w:customStyle="1" w:styleId="201">
    <w:name w:val="表内"/>
    <w:autoRedefine/>
    <w:qFormat/>
    <w:uiPriority w:val="0"/>
    <w:pPr>
      <w:adjustRightInd w:val="0"/>
      <w:snapToGrid w:val="0"/>
      <w:spacing w:after="0" w:line="240" w:lineRule="auto"/>
      <w:jc w:val="center"/>
    </w:pPr>
    <w:rPr>
      <w:rFonts w:ascii="Times New Roman" w:hAnsi="Times New Roman" w:eastAsia="宋体" w:cs="Times New Roman"/>
      <w:color w:val="000000"/>
      <w:kern w:val="2"/>
      <w:sz w:val="21"/>
      <w:szCs w:val="24"/>
      <w:lang w:val="en-US" w:eastAsia="zh-CN" w:bidi="ar-SA"/>
    </w:rPr>
  </w:style>
  <w:style w:type="paragraph" w:customStyle="1" w:styleId="202">
    <w:name w:val="新正文样式"/>
    <w:basedOn w:val="1"/>
    <w:autoRedefine/>
    <w:qFormat/>
    <w:uiPriority w:val="0"/>
    <w:pPr>
      <w:tabs>
        <w:tab w:val="left" w:pos="567"/>
      </w:tabs>
      <w:spacing w:line="360" w:lineRule="auto"/>
      <w:ind w:firstLine="560" w:firstLineChars="200"/>
    </w:pPr>
    <w:rPr>
      <w:rFonts w:eastAsia="华文中宋"/>
      <w:spacing w:val="20"/>
      <w:sz w:val="24"/>
      <w:szCs w:val="20"/>
    </w:rPr>
  </w:style>
  <w:style w:type="paragraph" w:customStyle="1" w:styleId="203">
    <w:name w:val="WPSOffice手动目录 1"/>
    <w:autoRedefine/>
    <w:qFormat/>
    <w:uiPriority w:val="0"/>
    <w:pPr>
      <w:ind w:leftChars="0"/>
    </w:pPr>
    <w:rPr>
      <w:rFonts w:ascii="Times New Roman" w:hAnsi="Times New Roman" w:eastAsia="宋体" w:cs="Times New Roman"/>
      <w:sz w:val="20"/>
      <w:szCs w:val="20"/>
    </w:rPr>
  </w:style>
  <w:style w:type="paragraph" w:customStyle="1" w:styleId="204">
    <w:name w:val="WPSOffice手动目录 2"/>
    <w:qFormat/>
    <w:uiPriority w:val="0"/>
    <w:pPr>
      <w:ind w:leftChars="200"/>
    </w:pPr>
    <w:rPr>
      <w:rFonts w:ascii="Times New Roman" w:hAnsi="Times New Roman" w:eastAsia="宋体" w:cs="Times New Roman"/>
      <w:sz w:val="20"/>
      <w:szCs w:val="20"/>
    </w:rPr>
  </w:style>
  <w:style w:type="paragraph" w:customStyle="1" w:styleId="205">
    <w:name w:val="标准段落"/>
    <w:basedOn w:val="1"/>
    <w:next w:val="1"/>
    <w:qFormat/>
    <w:uiPriority w:val="0"/>
    <w:pPr>
      <w:spacing w:line="360" w:lineRule="auto"/>
      <w:ind w:firstLine="480" w:firstLineChars="200"/>
    </w:pPr>
    <w:rPr>
      <w:rFonts w:ascii="宋体" w:hAnsi="宋体"/>
      <w:color w:val="000000"/>
      <w:kern w:val="0"/>
      <w:sz w:val="24"/>
    </w:rPr>
  </w:style>
  <w:style w:type="table" w:customStyle="1" w:styleId="206">
    <w:name w:val="普通表格1"/>
    <w:semiHidden/>
    <w:qFormat/>
    <w:uiPriority w:val="0"/>
    <w:tblPr>
      <w:tblCellMar>
        <w:top w:w="0" w:type="dxa"/>
        <w:left w:w="108" w:type="dxa"/>
        <w:bottom w:w="0" w:type="dxa"/>
        <w:right w:w="108" w:type="dxa"/>
      </w:tblCellMar>
    </w:tblPr>
  </w:style>
  <w:style w:type="paragraph" w:customStyle="1" w:styleId="207">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08">
    <w:name w:val="标题 1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customStyle="1" w:styleId="209">
    <w:name w:val="要点1"/>
    <w:qFormat/>
    <w:locked/>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wmf"/><Relationship Id="rId23" Type="http://schemas.openxmlformats.org/officeDocument/2006/relationships/oleObject" Target="embeddings/oleObject6.bin"/><Relationship Id="rId22" Type="http://schemas.openxmlformats.org/officeDocument/2006/relationships/image" Target="media/image11.wmf"/><Relationship Id="rId21" Type="http://schemas.openxmlformats.org/officeDocument/2006/relationships/oleObject" Target="embeddings/oleObject5.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21342</Words>
  <Characters>22173</Characters>
  <Lines>193</Lines>
  <Paragraphs>54</Paragraphs>
  <TotalTime>51</TotalTime>
  <ScaleCrop>false</ScaleCrop>
  <LinksUpToDate>false</LinksUpToDate>
  <CharactersWithSpaces>22303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2024-03-12T09:29:00Z</dcterms:created>
  <dc:creator>NTKO</dc:creator>
  <cp:lastModifiedBy>宝妈</cp:lastModifiedBy>
  <dcterms:modified xsi:type="dcterms:W3CDTF">2025-10-09T07:28:41Z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6085536DB2E443CF949E1BF470F64998_13</vt:lpwstr>
  </property>
  <property fmtid="{D5CDD505-2E9C-101B-9397-08002B2CF9AE}" pid="4" name="KSOTemplateDocerSaveRecord">
    <vt:lpwstr>eyJoZGlkIjoiODViY2JkMjU3NGYzZTEwMzZmMGFkZWViYmNkYWU3NDIiLCJ1c2VySWQiOiI0MzUxOTk5NDUifQ==</vt:lpwstr>
  </property>
</Properties>
</file>