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line="600" w:lineRule="exact"/>
        <w:jc w:val="center"/>
        <w:outlineLvl w:val="0"/>
        <w:rPr>
          <w:rFonts w:ascii="方正小标宋简体" w:hAnsi="宋体" w:eastAsia="方正小标宋简体" w:cs="方正小标宋简体"/>
          <w:color w:val="000000"/>
          <w:kern w:val="0"/>
          <w:sz w:val="44"/>
          <w:szCs w:val="44"/>
        </w:rPr>
      </w:pPr>
    </w:p>
    <w:p>
      <w:pPr>
        <w:widowControl/>
        <w:spacing w:after="312" w:afterLines="100" w:line="600" w:lineRule="exact"/>
        <w:jc w:val="center"/>
        <w:outlineLvl w:val="0"/>
        <w:rPr>
          <w:rFonts w:ascii="方正小标宋简体" w:hAnsi="宋体" w:eastAsia="方正小标宋简体" w:cs="方正小标宋简体"/>
          <w:color w:val="000000"/>
          <w:kern w:val="0"/>
          <w:sz w:val="44"/>
          <w:szCs w:val="44"/>
        </w:rPr>
      </w:pPr>
      <w:r>
        <w:rPr>
          <w:rFonts w:hint="eastAsia" w:ascii="方正小标宋简体" w:hAnsi="宋体" w:eastAsia="方正小标宋简体" w:cs="方正小标宋简体"/>
          <w:color w:val="000000"/>
          <w:kern w:val="0"/>
          <w:sz w:val="44"/>
          <w:szCs w:val="44"/>
        </w:rPr>
        <w:t>宝鸡市凤翔区2021年国民经济和社会发展</w:t>
      </w:r>
    </w:p>
    <w:p>
      <w:pPr>
        <w:widowControl/>
        <w:spacing w:after="312" w:afterLines="100" w:line="600" w:lineRule="exact"/>
        <w:jc w:val="center"/>
        <w:outlineLvl w:val="0"/>
        <w:rPr>
          <w:rFonts w:ascii="方正小标宋简体" w:eastAsia="方正小标宋简体" w:cs="Times New Roman"/>
          <w:kern w:val="0"/>
          <w:sz w:val="44"/>
          <w:szCs w:val="44"/>
        </w:rPr>
      </w:pPr>
      <w:r>
        <w:rPr>
          <w:rFonts w:hint="eastAsia" w:ascii="方正小标宋简体" w:hAnsi="宋体" w:eastAsia="方正小标宋简体" w:cs="方正小标宋简体"/>
          <w:color w:val="000000"/>
          <w:kern w:val="0"/>
          <w:sz w:val="44"/>
          <w:szCs w:val="44"/>
        </w:rPr>
        <w:t>统计公报</w:t>
      </w:r>
    </w:p>
    <w:p>
      <w:pPr>
        <w:widowControl/>
        <w:spacing w:after="312" w:afterLines="100" w:line="520" w:lineRule="exact"/>
        <w:jc w:val="center"/>
        <w:rPr>
          <w:rFonts w:ascii="楷体" w:hAnsi="楷体" w:eastAsia="楷体" w:cs="Times New Roman"/>
          <w:b/>
          <w:kern w:val="0"/>
          <w:sz w:val="24"/>
          <w:szCs w:val="24"/>
        </w:rPr>
      </w:pPr>
      <w:r>
        <w:rPr>
          <w:rFonts w:hint="eastAsia" w:ascii="楷体" w:hAnsi="楷体" w:eastAsia="楷体" w:cs="方正书宋简体"/>
          <w:b/>
          <w:color w:val="000000"/>
          <w:kern w:val="0"/>
          <w:sz w:val="28"/>
          <w:szCs w:val="28"/>
        </w:rPr>
        <w:t>宝鸡市凤翔区统计局</w:t>
      </w:r>
    </w:p>
    <w:p>
      <w:pPr>
        <w:widowControl/>
        <w:spacing w:after="312" w:afterLines="100" w:line="520" w:lineRule="exact"/>
        <w:jc w:val="center"/>
        <w:rPr>
          <w:rFonts w:ascii="楷体" w:hAnsi="楷体" w:eastAsia="楷体" w:cs="方正书宋简体"/>
          <w:b/>
          <w:color w:val="000000"/>
          <w:kern w:val="0"/>
          <w:sz w:val="28"/>
          <w:szCs w:val="28"/>
        </w:rPr>
      </w:pPr>
      <w:r>
        <w:rPr>
          <w:rFonts w:hint="eastAsia" w:ascii="楷体" w:hAnsi="楷体" w:eastAsia="楷体" w:cs="方正书宋简体"/>
          <w:b/>
          <w:color w:val="000000"/>
          <w:kern w:val="0"/>
          <w:sz w:val="28"/>
          <w:szCs w:val="28"/>
        </w:rPr>
        <w:t>（2022年5月）</w:t>
      </w:r>
    </w:p>
    <w:p>
      <w:pPr>
        <w:widowControl/>
        <w:spacing w:after="312" w:afterLines="100" w:line="520" w:lineRule="exact"/>
        <w:jc w:val="center"/>
        <w:rPr>
          <w:rFonts w:ascii="楷体" w:hAnsi="楷体" w:eastAsia="楷体" w:cs="Times New Roman"/>
          <w:b/>
          <w:kern w:val="0"/>
          <w:sz w:val="24"/>
          <w:szCs w:val="24"/>
        </w:rPr>
      </w:pPr>
    </w:p>
    <w:p>
      <w:pPr>
        <w:spacing w:before="249" w:beforeLines="80" w:after="249" w:afterLines="80" w:line="620" w:lineRule="exact"/>
        <w:ind w:firstLine="640" w:firstLineChars="200"/>
        <w:rPr>
          <w:rFonts w:ascii="仿宋_GB2312" w:eastAsia="仿宋_GB2312"/>
          <w:sz w:val="32"/>
          <w:szCs w:val="32"/>
        </w:rPr>
      </w:pPr>
      <w:r>
        <w:rPr>
          <w:rFonts w:hint="eastAsia" w:ascii="仿宋_GB2312" w:hAnsi="宋体" w:eastAsia="仿宋_GB2312" w:cs="方正书宋简体"/>
          <w:color w:val="000000"/>
          <w:sz w:val="32"/>
          <w:szCs w:val="32"/>
        </w:rPr>
        <w:t>2021年，全区上下以习近平新时代中国特色社会主义思想为指导，全面贯彻落实党的十九大和十九届历次全会及习近平总书记来陕考察重要讲话重要指示精神，</w:t>
      </w:r>
      <w:r>
        <w:rPr>
          <w:rFonts w:hint="eastAsia" w:ascii="仿宋_GB2312" w:eastAsia="仿宋_GB2312"/>
          <w:sz w:val="32"/>
          <w:szCs w:val="32"/>
        </w:rPr>
        <w:t>坚持稳中求进工作总基调，把握新阶段，贯彻新理念，融入新格局，统筹推进疫情防控和经济社会发展，发展质量不断提升，打开了融入主城区的崭新局面，实现了“十四五”良好开局。</w:t>
      </w:r>
    </w:p>
    <w:p>
      <w:pPr>
        <w:widowControl/>
        <w:spacing w:before="249" w:beforeLines="80" w:after="249" w:afterLines="80" w:line="620" w:lineRule="exact"/>
        <w:ind w:firstLine="640" w:firstLineChars="200"/>
        <w:rPr>
          <w:rFonts w:ascii="黑体" w:hAnsi="黑体" w:eastAsia="黑体" w:cs="Times New Roman"/>
          <w:kern w:val="0"/>
          <w:sz w:val="32"/>
          <w:szCs w:val="32"/>
        </w:rPr>
      </w:pPr>
      <w:r>
        <w:rPr>
          <w:rFonts w:hint="eastAsia" w:ascii="黑体" w:hAnsi="黑体" w:eastAsia="黑体" w:cs="宋体"/>
          <w:color w:val="000000"/>
          <w:kern w:val="0"/>
          <w:sz w:val="32"/>
          <w:szCs w:val="32"/>
        </w:rPr>
        <w:t>一、</w:t>
      </w:r>
      <w:r>
        <w:rPr>
          <w:rFonts w:hint="eastAsia" w:ascii="黑体" w:hAnsi="黑体" w:eastAsia="黑体" w:cs="方正黑体简体"/>
          <w:color w:val="000000"/>
          <w:kern w:val="0"/>
          <w:sz w:val="32"/>
          <w:szCs w:val="32"/>
        </w:rPr>
        <w:t>综合</w:t>
      </w:r>
    </w:p>
    <w:p>
      <w:pPr>
        <w:widowControl/>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color w:val="000000"/>
          <w:kern w:val="0"/>
          <w:sz w:val="32"/>
          <w:szCs w:val="32"/>
        </w:rPr>
        <w:t>初步核算，全年实现地区生产总值264.30亿元，比上年增长6.5%，两年平均增长6.2%。其中，第一产业增加值29.62亿元，增长7.0%，两年平均增长5.3%；第二产业增加值147.28亿元，增长3.7%，两年平均增长5.5%；第三产业增加值87.40亿元，增长11.0%，两年平均增长7.4%。三次产业结构比为11.2：55.7：33.1。按常住人口算，人均地区生产总值69083元。全年非公有制经济增加值133.53亿元，占全区经济总量的比重为50.52%。</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全年实现区域财政总收入23.87亿元，比上年下降1.9%。其中，地方财政收入5.78亿元，增长9.4%。公共财政预算支出25.31亿元，增长1.2%。</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eastAsia="仿宋_GB2312" w:cs="Times New Roman"/>
          <w:kern w:val="0"/>
          <w:sz w:val="32"/>
          <w:szCs w:val="32"/>
        </w:rPr>
        <w:t>全社会用电量4.25亿千瓦时，比上年增长5.6%。其中，工业用电量1.47亿千瓦时，增长18.5%，居民生活用电量1.56亿千瓦时，下降0.9%。</w:t>
      </w:r>
    </w:p>
    <w:p>
      <w:pPr>
        <w:widowControl/>
        <w:spacing w:before="249" w:beforeLines="80" w:after="249" w:afterLines="80" w:line="620" w:lineRule="exact"/>
        <w:ind w:firstLine="640" w:firstLineChars="200"/>
        <w:rPr>
          <w:rFonts w:ascii="黑体" w:hAnsi="黑体" w:eastAsia="黑体" w:cs="Times New Roman"/>
          <w:kern w:val="0"/>
          <w:sz w:val="32"/>
          <w:szCs w:val="32"/>
        </w:rPr>
      </w:pPr>
      <w:r>
        <w:rPr>
          <w:rFonts w:hint="eastAsia" w:ascii="黑体" w:hAnsi="黑体" w:eastAsia="黑体" w:cs="方正黑体简体"/>
          <w:bCs/>
          <w:color w:val="000000"/>
          <w:kern w:val="0"/>
          <w:sz w:val="32"/>
          <w:szCs w:val="32"/>
        </w:rPr>
        <w:t>二、农业</w:t>
      </w:r>
    </w:p>
    <w:p>
      <w:pPr>
        <w:widowControl/>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color w:val="000000"/>
          <w:kern w:val="0"/>
          <w:sz w:val="32"/>
          <w:szCs w:val="32"/>
        </w:rPr>
        <w:t>全年农林牧渔及农林牧渔服务业完成总产值 53.35 亿元，比上年增长7.2%。其中，农业产值37.56亿元，增长9.0%；林业产值0.58亿元，增长25.9%；畜牧业产值13.49亿元，增长3.2%；渔业产值411万元，下降21.3%。</w:t>
      </w:r>
    </w:p>
    <w:p>
      <w:pPr>
        <w:ind w:left="210" w:hanging="210" w:hangingChars="100"/>
        <w:rPr>
          <w:rFonts w:ascii="仿宋_GB2312" w:hAnsi="宋体" w:eastAsia="仿宋_GB2312" w:cs="方正书宋简体"/>
          <w:color w:val="000000"/>
          <w:sz w:val="32"/>
          <w:szCs w:val="32"/>
        </w:rPr>
      </w:pPr>
      <w:r>
        <w:drawing>
          <wp:inline distT="0" distB="0" distL="0" distR="0">
            <wp:extent cx="5257800" cy="2886075"/>
            <wp:effectExtent l="0" t="0" r="1905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249" w:beforeLines="80" w:after="249" w:afterLines="80" w:line="620" w:lineRule="exact"/>
        <w:ind w:firstLine="640" w:firstLineChars="200"/>
        <w:rPr>
          <w:rFonts w:ascii="仿宋_GB2312" w:hAnsi="宋体" w:eastAsia="仿宋_GB2312" w:cs="方正书宋简体"/>
          <w:color w:val="000000"/>
          <w:sz w:val="32"/>
          <w:szCs w:val="32"/>
        </w:rPr>
      </w:pPr>
      <w:r>
        <w:rPr>
          <w:rFonts w:hint="eastAsia" w:ascii="仿宋_GB2312" w:hAnsi="宋体" w:eastAsia="仿宋_GB2312" w:cs="方正书宋简体"/>
          <w:color w:val="000000"/>
          <w:sz w:val="32"/>
          <w:szCs w:val="32"/>
        </w:rPr>
        <w:t>全年粮食播种面积83.2万亩，其中，小麦播种面积62.75万亩，玉米播种面积 17.90 万亩。粮食总产量29万吨，增长2.4%。其中，小麦产量21.52万吨，增长2.0%；玉米产量6.71万吨，下降0.3%。全年园林水果总产量</w:t>
      </w:r>
      <w:r>
        <w:rPr>
          <w:rFonts w:hint="eastAsia" w:ascii="仿宋_GB2312" w:hAnsi="仿宋_GB2312" w:eastAsia="仿宋_GB2312" w:cs="仿宋_GB2312"/>
          <w:color w:val="000000"/>
          <w:sz w:val="32"/>
          <w:szCs w:val="32"/>
        </w:rPr>
        <w:t>16.49万吨，增长4.4 %，其中，苹果产量15.67万吨，增长4.8 %。全年蔬菜产量17.76 万吨，增长3.8 %。</w:t>
      </w:r>
    </w:p>
    <w:p>
      <w:pPr>
        <w:spacing w:before="249" w:beforeLines="80" w:after="249" w:afterLines="80"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全年共完成黄土高原水土流失综合治理天然林保护与营造林工程人工造林0.18万亩，封山育林2.2万亩，退化林修复0.4万亩，飞播造林1.5万亩，中央财政森林抚育3.4万亩。完成平原绿化建设植树造林0.4万亩，植树66万株。</w:t>
      </w:r>
    </w:p>
    <w:p>
      <w:pPr>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color w:val="000000"/>
          <w:kern w:val="0"/>
          <w:sz w:val="32"/>
          <w:szCs w:val="32"/>
        </w:rPr>
        <w:t>全年主要畜牧产品产量如下表一。</w:t>
      </w:r>
    </w:p>
    <w:p>
      <w:pPr>
        <w:widowControl/>
        <w:tabs>
          <w:tab w:val="left" w:pos="706"/>
        </w:tabs>
        <w:spacing w:before="156" w:beforeLines="50" w:after="156" w:afterLines="50" w:line="620" w:lineRule="exact"/>
        <w:jc w:val="center"/>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表一  2021年全区畜牧业生产情况</w:t>
      </w:r>
    </w:p>
    <w:tbl>
      <w:tblPr>
        <w:tblStyle w:val="6"/>
        <w:tblW w:w="5000" w:type="pct"/>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0" w:type="dxa"/>
          <w:bottom w:w="0" w:type="dxa"/>
          <w:right w:w="0" w:type="dxa"/>
        </w:tblCellMar>
      </w:tblPr>
      <w:tblGrid>
        <w:gridCol w:w="2101"/>
        <w:gridCol w:w="1985"/>
        <w:gridCol w:w="2159"/>
        <w:gridCol w:w="2277"/>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1385" w:hRule="exact"/>
        </w:trPr>
        <w:tc>
          <w:tcPr>
            <w:tcW w:w="2101" w:type="dxa"/>
            <w:shd w:val="clear" w:color="auto" w:fill="auto"/>
            <w:tcMar>
              <w:top w:w="0" w:type="dxa"/>
              <w:left w:w="108" w:type="dxa"/>
              <w:bottom w:w="0" w:type="dxa"/>
              <w:right w:w="108" w:type="dxa"/>
            </w:tcMar>
            <w:vAlign w:val="center"/>
          </w:tcPr>
          <w:p>
            <w:pPr>
              <w:widowControl/>
              <w:spacing w:before="156" w:beforeLines="50" w:after="156" w:afterLines="50" w:line="620" w:lineRule="exact"/>
              <w:jc w:val="center"/>
              <w:rPr>
                <w:rFonts w:ascii="仿宋_GB2312" w:hAnsi="仿宋" w:eastAsia="仿宋_GB2312" w:cs="宋体"/>
                <w:b/>
                <w:color w:val="000000"/>
                <w:kern w:val="0"/>
                <w:sz w:val="30"/>
                <w:szCs w:val="30"/>
              </w:rPr>
            </w:pPr>
            <w:r>
              <w:rPr>
                <w:rFonts w:hint="eastAsia" w:ascii="仿宋_GB2312" w:hAnsi="仿宋" w:eastAsia="仿宋_GB2312" w:cs="宋体"/>
                <w:b/>
                <w:color w:val="000000"/>
                <w:kern w:val="0"/>
                <w:sz w:val="30"/>
                <w:szCs w:val="30"/>
              </w:rPr>
              <w:t>指  标</w:t>
            </w:r>
          </w:p>
        </w:tc>
        <w:tc>
          <w:tcPr>
            <w:tcW w:w="1985" w:type="dxa"/>
            <w:shd w:val="clear" w:color="auto" w:fill="auto"/>
            <w:tcMar>
              <w:top w:w="0" w:type="dxa"/>
              <w:left w:w="108" w:type="dxa"/>
              <w:bottom w:w="0" w:type="dxa"/>
              <w:right w:w="108" w:type="dxa"/>
            </w:tcMar>
            <w:vAlign w:val="center"/>
          </w:tcPr>
          <w:p>
            <w:pPr>
              <w:widowControl/>
              <w:spacing w:before="156" w:beforeLines="50" w:after="156" w:afterLines="50" w:line="620" w:lineRule="exact"/>
              <w:jc w:val="center"/>
              <w:rPr>
                <w:rFonts w:ascii="仿宋_GB2312" w:hAnsi="仿宋" w:eastAsia="仿宋_GB2312" w:cs="宋体"/>
                <w:b/>
                <w:color w:val="000000"/>
                <w:kern w:val="0"/>
                <w:sz w:val="30"/>
                <w:szCs w:val="30"/>
              </w:rPr>
            </w:pPr>
            <w:r>
              <w:rPr>
                <w:rFonts w:hint="eastAsia" w:ascii="仿宋_GB2312" w:hAnsi="仿宋" w:eastAsia="仿宋_GB2312" w:cs="宋体"/>
                <w:b/>
                <w:color w:val="000000"/>
                <w:kern w:val="0"/>
                <w:sz w:val="30"/>
                <w:szCs w:val="30"/>
              </w:rPr>
              <w:t>计量单位</w:t>
            </w:r>
          </w:p>
        </w:tc>
        <w:tc>
          <w:tcPr>
            <w:tcW w:w="2159" w:type="dxa"/>
            <w:shd w:val="clear" w:color="auto" w:fill="auto"/>
            <w:tcMar>
              <w:top w:w="0" w:type="dxa"/>
              <w:left w:w="108" w:type="dxa"/>
              <w:bottom w:w="0" w:type="dxa"/>
              <w:right w:w="108" w:type="dxa"/>
            </w:tcMar>
            <w:vAlign w:val="center"/>
          </w:tcPr>
          <w:p>
            <w:pPr>
              <w:widowControl/>
              <w:spacing w:before="156" w:beforeLines="50" w:after="156" w:afterLines="50" w:line="620" w:lineRule="exact"/>
              <w:jc w:val="center"/>
              <w:rPr>
                <w:rFonts w:ascii="仿宋_GB2312" w:hAnsi="仿宋" w:eastAsia="仿宋_GB2312" w:cs="宋体"/>
                <w:b/>
                <w:color w:val="000000"/>
                <w:kern w:val="0"/>
                <w:sz w:val="30"/>
                <w:szCs w:val="30"/>
              </w:rPr>
            </w:pPr>
            <w:r>
              <w:rPr>
                <w:rFonts w:hint="eastAsia" w:ascii="仿宋_GB2312" w:hAnsi="仿宋" w:eastAsia="仿宋_GB2312" w:cs="宋体"/>
                <w:b/>
                <w:color w:val="000000"/>
                <w:kern w:val="0"/>
                <w:sz w:val="30"/>
                <w:szCs w:val="30"/>
              </w:rPr>
              <w:t>总 量</w:t>
            </w:r>
          </w:p>
        </w:tc>
        <w:tc>
          <w:tcPr>
            <w:tcW w:w="2277" w:type="dxa"/>
            <w:shd w:val="clear" w:color="auto" w:fill="auto"/>
            <w:tcMar>
              <w:top w:w="0" w:type="dxa"/>
              <w:left w:w="108" w:type="dxa"/>
              <w:bottom w:w="0" w:type="dxa"/>
              <w:right w:w="108" w:type="dxa"/>
            </w:tcMar>
            <w:vAlign w:val="center"/>
          </w:tcPr>
          <w:p>
            <w:pPr>
              <w:widowControl/>
              <w:spacing w:before="156" w:beforeLines="50" w:after="156" w:afterLines="50" w:line="620" w:lineRule="exact"/>
              <w:jc w:val="center"/>
              <w:rPr>
                <w:rFonts w:ascii="仿宋_GB2312" w:hAnsi="仿宋" w:eastAsia="仿宋_GB2312" w:cs="宋体"/>
                <w:b/>
                <w:color w:val="000000"/>
                <w:kern w:val="0"/>
                <w:sz w:val="30"/>
                <w:szCs w:val="30"/>
              </w:rPr>
            </w:pPr>
            <w:r>
              <w:rPr>
                <w:rFonts w:hint="eastAsia" w:ascii="仿宋_GB2312" w:hAnsi="仿宋" w:eastAsia="仿宋_GB2312" w:cs="宋体"/>
                <w:b/>
                <w:color w:val="000000"/>
                <w:kern w:val="0"/>
                <w:sz w:val="30"/>
                <w:szCs w:val="30"/>
              </w:rPr>
              <w:t>比上年增长（</w:t>
            </w:r>
            <w:r>
              <w:rPr>
                <w:rFonts w:hint="eastAsia" w:ascii="仿宋_GB2312" w:hAnsi="仿宋_GB2312" w:eastAsia="仿宋_GB2312" w:cs="仿宋_GB2312"/>
                <w:b/>
                <w:color w:val="000000"/>
                <w:kern w:val="0"/>
                <w:sz w:val="30"/>
                <w:szCs w:val="30"/>
              </w:rPr>
              <w:t>±</w:t>
            </w:r>
            <w:r>
              <w:rPr>
                <w:rFonts w:hint="eastAsia" w:ascii="仿宋_GB2312" w:hAnsi="仿宋" w:eastAsia="仿宋_GB2312" w:cs="宋体"/>
                <w:b/>
                <w:color w:val="000000"/>
                <w:kern w:val="0"/>
                <w:sz w:val="30"/>
                <w:szCs w:val="30"/>
              </w:rPr>
              <w:t>%）</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生猪出栏</w:t>
            </w:r>
          </w:p>
        </w:tc>
        <w:tc>
          <w:tcPr>
            <w:tcW w:w="1985"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万头</w:t>
            </w:r>
          </w:p>
        </w:tc>
        <w:tc>
          <w:tcPr>
            <w:tcW w:w="2159"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6.90</w:t>
            </w:r>
          </w:p>
        </w:tc>
        <w:tc>
          <w:tcPr>
            <w:tcW w:w="2277"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39.0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牛出栏</w:t>
            </w:r>
          </w:p>
        </w:tc>
        <w:tc>
          <w:tcPr>
            <w:tcW w:w="1985"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万头</w:t>
            </w:r>
          </w:p>
        </w:tc>
        <w:tc>
          <w:tcPr>
            <w:tcW w:w="2159"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2.64</w:t>
            </w:r>
          </w:p>
        </w:tc>
        <w:tc>
          <w:tcPr>
            <w:tcW w:w="2277"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-3.5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羊出栏</w:t>
            </w:r>
          </w:p>
        </w:tc>
        <w:tc>
          <w:tcPr>
            <w:tcW w:w="1985"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万只</w:t>
            </w:r>
          </w:p>
        </w:tc>
        <w:tc>
          <w:tcPr>
            <w:tcW w:w="2159"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0.61</w:t>
            </w:r>
          </w:p>
        </w:tc>
        <w:tc>
          <w:tcPr>
            <w:tcW w:w="2277"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13.7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家禽出栏</w:t>
            </w:r>
          </w:p>
        </w:tc>
        <w:tc>
          <w:tcPr>
            <w:tcW w:w="1985"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万只</w:t>
            </w:r>
          </w:p>
        </w:tc>
        <w:tc>
          <w:tcPr>
            <w:tcW w:w="2159"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66.64</w:t>
            </w:r>
          </w:p>
        </w:tc>
        <w:tc>
          <w:tcPr>
            <w:tcW w:w="2277"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-22.0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肉类总产量</w:t>
            </w:r>
          </w:p>
        </w:tc>
        <w:tc>
          <w:tcPr>
            <w:tcW w:w="1985"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万吨</w:t>
            </w:r>
          </w:p>
        </w:tc>
        <w:tc>
          <w:tcPr>
            <w:tcW w:w="2159"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1.05</w:t>
            </w:r>
          </w:p>
        </w:tc>
        <w:tc>
          <w:tcPr>
            <w:tcW w:w="2277"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13.1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奶类产量</w:t>
            </w:r>
          </w:p>
        </w:tc>
        <w:tc>
          <w:tcPr>
            <w:tcW w:w="1985"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万吨</w:t>
            </w:r>
          </w:p>
        </w:tc>
        <w:tc>
          <w:tcPr>
            <w:tcW w:w="2159"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3.74</w:t>
            </w:r>
          </w:p>
        </w:tc>
        <w:tc>
          <w:tcPr>
            <w:tcW w:w="2277"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-25.6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其中：生牛奶</w:t>
            </w:r>
          </w:p>
        </w:tc>
        <w:tc>
          <w:tcPr>
            <w:tcW w:w="1985"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万吨</w:t>
            </w:r>
          </w:p>
        </w:tc>
        <w:tc>
          <w:tcPr>
            <w:tcW w:w="2159"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2.95</w:t>
            </w:r>
          </w:p>
        </w:tc>
        <w:tc>
          <w:tcPr>
            <w:tcW w:w="2277"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-29.1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禽蛋产量</w:t>
            </w:r>
          </w:p>
        </w:tc>
        <w:tc>
          <w:tcPr>
            <w:tcW w:w="1985"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万吨</w:t>
            </w:r>
          </w:p>
        </w:tc>
        <w:tc>
          <w:tcPr>
            <w:tcW w:w="2159"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0.63</w:t>
            </w:r>
          </w:p>
        </w:tc>
        <w:tc>
          <w:tcPr>
            <w:tcW w:w="2277" w:type="dxa"/>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-17.2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tcBorders>
              <w:top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生猪存栏</w:t>
            </w:r>
          </w:p>
        </w:tc>
        <w:tc>
          <w:tcPr>
            <w:tcW w:w="19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万头</w:t>
            </w:r>
          </w:p>
        </w:tc>
        <w:tc>
          <w:tcPr>
            <w:tcW w:w="21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6.41</w:t>
            </w:r>
          </w:p>
        </w:tc>
        <w:tc>
          <w:tcPr>
            <w:tcW w:w="2277" w:type="dxa"/>
            <w:tcBorders>
              <w:top w:val="single" w:color="auto" w:sz="8" w:space="0"/>
              <w:left w:val="single" w:color="auto" w:sz="8" w:space="0"/>
              <w:bottom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11.4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tcBorders>
              <w:top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牛存栏</w:t>
            </w:r>
          </w:p>
        </w:tc>
        <w:tc>
          <w:tcPr>
            <w:tcW w:w="19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万头</w:t>
            </w:r>
          </w:p>
        </w:tc>
        <w:tc>
          <w:tcPr>
            <w:tcW w:w="21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2.24</w:t>
            </w:r>
          </w:p>
        </w:tc>
        <w:tc>
          <w:tcPr>
            <w:tcW w:w="2277" w:type="dxa"/>
            <w:tcBorders>
              <w:top w:val="single" w:color="auto" w:sz="8" w:space="0"/>
              <w:left w:val="single" w:color="auto" w:sz="8" w:space="0"/>
              <w:bottom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-54.0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tcBorders>
              <w:top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其中：奶牛</w:t>
            </w:r>
          </w:p>
        </w:tc>
        <w:tc>
          <w:tcPr>
            <w:tcW w:w="19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万头</w:t>
            </w:r>
          </w:p>
        </w:tc>
        <w:tc>
          <w:tcPr>
            <w:tcW w:w="21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0.60</w:t>
            </w:r>
          </w:p>
        </w:tc>
        <w:tc>
          <w:tcPr>
            <w:tcW w:w="2277" w:type="dxa"/>
            <w:tcBorders>
              <w:top w:val="single" w:color="auto" w:sz="8" w:space="0"/>
              <w:left w:val="single" w:color="auto" w:sz="8" w:space="0"/>
              <w:bottom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-60.1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tcBorders>
              <w:top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羊存栏</w:t>
            </w:r>
          </w:p>
        </w:tc>
        <w:tc>
          <w:tcPr>
            <w:tcW w:w="19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万只</w:t>
            </w:r>
          </w:p>
        </w:tc>
        <w:tc>
          <w:tcPr>
            <w:tcW w:w="21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0.75</w:t>
            </w:r>
          </w:p>
        </w:tc>
        <w:tc>
          <w:tcPr>
            <w:tcW w:w="2277" w:type="dxa"/>
            <w:tcBorders>
              <w:top w:val="single" w:color="auto" w:sz="8" w:space="0"/>
              <w:left w:val="single" w:color="auto" w:sz="8" w:space="0"/>
              <w:bottom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-4.9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567" w:hRule="exact"/>
        </w:trPr>
        <w:tc>
          <w:tcPr>
            <w:tcW w:w="2101" w:type="dxa"/>
            <w:tcBorders>
              <w:top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家禽存栏</w:t>
            </w:r>
          </w:p>
        </w:tc>
        <w:tc>
          <w:tcPr>
            <w:tcW w:w="19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万只</w:t>
            </w:r>
          </w:p>
        </w:tc>
        <w:tc>
          <w:tcPr>
            <w:tcW w:w="21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54.79</w:t>
            </w:r>
          </w:p>
        </w:tc>
        <w:tc>
          <w:tcPr>
            <w:tcW w:w="2277" w:type="dxa"/>
            <w:tcBorders>
              <w:top w:val="single" w:color="auto" w:sz="8" w:space="0"/>
              <w:left w:val="single" w:color="auto" w:sz="8" w:space="0"/>
              <w:bottom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-27.8</w:t>
            </w:r>
          </w:p>
        </w:tc>
      </w:tr>
    </w:tbl>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渔业生产稳定发展，全年水产品产量520吨。</w:t>
      </w:r>
    </w:p>
    <w:p>
      <w:pPr>
        <w:widowControl/>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color w:val="000000"/>
          <w:kern w:val="0"/>
          <w:sz w:val="32"/>
          <w:szCs w:val="32"/>
        </w:rPr>
        <w:t>全区农用机械总动力39.4万千瓦，比上年增长2.2%。拥有大中型拖拉机3244台，小型拖拉机2074台。</w:t>
      </w:r>
    </w:p>
    <w:p>
      <w:pPr>
        <w:widowControl/>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color w:val="000000"/>
          <w:kern w:val="0"/>
          <w:sz w:val="32"/>
          <w:szCs w:val="32"/>
        </w:rPr>
        <w:t>全年全区化肥实物施用量15.7万吨，较上年略有下降。年末耕地灌溉面积42</w:t>
      </w:r>
      <w:r>
        <w:rPr>
          <w:rFonts w:hint="eastAsia" w:ascii="仿宋_GB2312" w:hAnsi="宋体" w:eastAsia="仿宋_GB2312" w:cs="方正书宋简体"/>
          <w:color w:val="000000"/>
          <w:kern w:val="0"/>
          <w:sz w:val="32"/>
          <w:szCs w:val="32"/>
          <w:lang w:val="en-US" w:eastAsia="zh-CN"/>
        </w:rPr>
        <w:t>.</w:t>
      </w:r>
      <w:r>
        <w:rPr>
          <w:rFonts w:hint="eastAsia" w:ascii="仿宋_GB2312" w:hAnsi="宋体" w:eastAsia="仿宋_GB2312" w:cs="方正书宋简体"/>
          <w:color w:val="000000"/>
          <w:kern w:val="0"/>
          <w:sz w:val="32"/>
          <w:szCs w:val="32"/>
        </w:rPr>
        <w:t>34万亩。</w:t>
      </w:r>
    </w:p>
    <w:p>
      <w:pPr>
        <w:widowControl/>
        <w:spacing w:before="249" w:beforeLines="80" w:after="249" w:afterLines="80" w:line="620" w:lineRule="exact"/>
        <w:ind w:firstLine="640" w:firstLineChars="200"/>
        <w:rPr>
          <w:rFonts w:ascii="黑体" w:hAnsi="黑体" w:eastAsia="黑体" w:cs="Times New Roman"/>
          <w:kern w:val="0"/>
          <w:sz w:val="32"/>
          <w:szCs w:val="32"/>
        </w:rPr>
      </w:pPr>
      <w:r>
        <w:rPr>
          <w:rFonts w:hint="eastAsia" w:ascii="黑体" w:hAnsi="黑体" w:eastAsia="黑体" w:cs="宋体"/>
          <w:color w:val="000000"/>
          <w:kern w:val="0"/>
          <w:sz w:val="32"/>
          <w:szCs w:val="32"/>
        </w:rPr>
        <w:t>三、</w:t>
      </w:r>
      <w:r>
        <w:rPr>
          <w:rFonts w:hint="eastAsia" w:ascii="黑体" w:hAnsi="黑体" w:eastAsia="黑体" w:cs="方正黑体简体"/>
          <w:bCs/>
          <w:color w:val="000000"/>
          <w:kern w:val="0"/>
          <w:sz w:val="32"/>
          <w:szCs w:val="32"/>
        </w:rPr>
        <w:t>工业和建筑业</w:t>
      </w:r>
      <w:r>
        <w:rPr>
          <w:rFonts w:hint="eastAsia" w:ascii="宋体" w:hAnsi="宋体" w:eastAsia="宋体" w:cs="宋体"/>
          <w:bCs/>
          <w:color w:val="000000"/>
          <w:kern w:val="0"/>
          <w:sz w:val="32"/>
          <w:szCs w:val="32"/>
        </w:rPr>
        <w:t> </w:t>
      </w:r>
    </w:p>
    <w:p>
      <w:pPr>
        <w:widowControl/>
        <w:spacing w:before="249" w:beforeLines="80" w:after="249" w:afterLines="80" w:line="62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全年规模以上工业总产值322.67亿元，同比增长8.0%。按轻重工业分，轻工业产值124.70亿元，增长6.0 %；重工业产值197.97亿元，增长9.4%。规模以上工业增加值122.24亿元，同比增长4.8%。工业企业产销衔接状况良好，全年规模以上工业企业营业收入284.59亿元，比上年增长12.5%，产销率89.26%，实现利润19.69亿元，同比下降11.76%。   </w:t>
      </w:r>
    </w:p>
    <w:p>
      <w:r>
        <w:drawing>
          <wp:inline distT="0" distB="0" distL="0" distR="0">
            <wp:extent cx="5286375" cy="3257550"/>
            <wp:effectExtent l="0" t="0" r="952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5"/>
        <w:widowControl/>
        <w:spacing w:before="249" w:beforeLines="80" w:beforeAutospacing="0" w:after="249" w:afterLines="80" w:afterAutospacing="0" w:line="620" w:lineRule="exact"/>
        <w:ind w:firstLine="640" w:firstLineChars="200"/>
        <w:jc w:val="both"/>
        <w:rPr>
          <w:rFonts w:ascii="仿宋_GB2312" w:hAnsi="宋体" w:eastAsia="仿宋_GB2312" w:cs="方正书宋简体"/>
          <w:color w:val="000000"/>
          <w:kern w:val="2"/>
          <w:sz w:val="32"/>
          <w:szCs w:val="32"/>
        </w:rPr>
      </w:pPr>
      <w:r>
        <w:rPr>
          <w:rFonts w:hint="eastAsia" w:ascii="仿宋_GB2312" w:hAnsi="宋体" w:eastAsia="仿宋_GB2312" w:cs="方正书宋简体"/>
          <w:color w:val="000000"/>
          <w:kern w:val="2"/>
          <w:sz w:val="32"/>
          <w:szCs w:val="32"/>
        </w:rPr>
        <w:t>全年建筑业增加值21.87亿元，比上年下降10.8%。年末全区有资质建筑企业14户。</w:t>
      </w:r>
    </w:p>
    <w:p>
      <w:pPr>
        <w:widowControl/>
        <w:spacing w:before="100" w:beforeAutospacing="1" w:after="100" w:afterAutospacing="1" w:line="360" w:lineRule="auto"/>
        <w:jc w:val="center"/>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表二 2021年主要工业产品产量表</w:t>
      </w:r>
    </w:p>
    <w:tbl>
      <w:tblPr>
        <w:tblStyle w:val="6"/>
        <w:tblW w:w="7635" w:type="dxa"/>
        <w:tblInd w:w="93" w:type="dxa"/>
        <w:tblLayout w:type="autofit"/>
        <w:tblCellMar>
          <w:top w:w="0" w:type="dxa"/>
          <w:left w:w="108" w:type="dxa"/>
          <w:bottom w:w="0" w:type="dxa"/>
          <w:right w:w="108" w:type="dxa"/>
        </w:tblCellMar>
      </w:tblPr>
      <w:tblGrid>
        <w:gridCol w:w="3375"/>
        <w:gridCol w:w="1467"/>
        <w:gridCol w:w="1467"/>
        <w:gridCol w:w="2120"/>
      </w:tblGrid>
      <w:tr>
        <w:tblPrEx>
          <w:tblCellMar>
            <w:top w:w="0" w:type="dxa"/>
            <w:left w:w="108" w:type="dxa"/>
            <w:bottom w:w="0" w:type="dxa"/>
            <w:right w:w="108" w:type="dxa"/>
          </w:tblCellMar>
        </w:tblPrEx>
        <w:trPr>
          <w:trHeight w:val="1385"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b/>
                <w:color w:val="000000"/>
                <w:sz w:val="30"/>
                <w:szCs w:val="30"/>
              </w:rPr>
            </w:pPr>
            <w:r>
              <w:rPr>
                <w:rFonts w:hint="eastAsia" w:ascii="仿宋_GB2312" w:hAnsi="宋体" w:eastAsia="仿宋_GB2312" w:cs="宋体"/>
                <w:b/>
                <w:color w:val="000000"/>
                <w:kern w:val="0"/>
                <w:sz w:val="30"/>
                <w:szCs w:val="30"/>
                <w:lang w:bidi="ar"/>
              </w:rPr>
              <w:t>产品名称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b/>
                <w:color w:val="000000"/>
                <w:sz w:val="30"/>
                <w:szCs w:val="30"/>
              </w:rPr>
            </w:pPr>
            <w:r>
              <w:rPr>
                <w:rFonts w:hint="eastAsia" w:ascii="仿宋_GB2312" w:hAnsi="宋体" w:eastAsia="仿宋_GB2312" w:cs="宋体"/>
                <w:b/>
                <w:color w:val="000000"/>
                <w:kern w:val="0"/>
                <w:sz w:val="30"/>
                <w:szCs w:val="30"/>
                <w:lang w:bidi="ar"/>
              </w:rPr>
              <w:t>计量单位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b/>
                <w:color w:val="000000"/>
                <w:sz w:val="30"/>
                <w:szCs w:val="30"/>
              </w:rPr>
            </w:pPr>
            <w:r>
              <w:rPr>
                <w:rFonts w:hint="eastAsia" w:ascii="仿宋_GB2312" w:hAnsi="宋体" w:eastAsia="仿宋_GB2312" w:cs="宋体"/>
                <w:b/>
                <w:color w:val="000000"/>
                <w:kern w:val="0"/>
                <w:sz w:val="30"/>
                <w:szCs w:val="30"/>
                <w:lang w:bidi="ar"/>
              </w:rPr>
              <w:t>产量</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b/>
                <w:color w:val="000000"/>
                <w:sz w:val="30"/>
                <w:szCs w:val="30"/>
              </w:rPr>
            </w:pPr>
            <w:r>
              <w:rPr>
                <w:rFonts w:hint="eastAsia" w:ascii="仿宋_GB2312" w:hAnsi="宋体" w:eastAsia="仿宋_GB2312" w:cs="宋体"/>
                <w:b/>
                <w:color w:val="000000"/>
                <w:kern w:val="0"/>
                <w:sz w:val="30"/>
                <w:szCs w:val="30"/>
                <w:lang w:bidi="ar"/>
              </w:rPr>
              <w:t>比上年增长（%）</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  白酒（折65度，商品量）</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千升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110325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11.1</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十种有色金属◆</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100662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1.3</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  ◆铅</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31450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-3.3</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  ◆锌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69211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3.6</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火力发电</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万千瓦时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806189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-12.6</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精甲醇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672545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-7.0 </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甲醛</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76396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-21.9</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水泥</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1594825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-5.9</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万块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20016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3.5</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电力电容器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千乏</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929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-90.2</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电子元件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万只</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19145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32.4</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单色印刷品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725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-92.1</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多色印刷品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对开色令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772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5.2</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纸制品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60931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65.5</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布</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万米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1149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57.4</w:t>
            </w:r>
          </w:p>
        </w:tc>
      </w:tr>
      <w:tr>
        <w:tblPrEx>
          <w:tblCellMar>
            <w:top w:w="0" w:type="dxa"/>
            <w:left w:w="108" w:type="dxa"/>
            <w:bottom w:w="0" w:type="dxa"/>
            <w:right w:w="108" w:type="dxa"/>
          </w:tblCellMar>
        </w:tblPrEx>
        <w:trPr>
          <w:trHeight w:val="624" w:hRule="exact"/>
        </w:trPr>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 运动服类服装</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万件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17 </w:t>
            </w:r>
          </w:p>
        </w:tc>
        <w:tc>
          <w:tcPr>
            <w:tcW w:w="0" w:type="auto"/>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lang w:bidi="ar"/>
              </w:rPr>
              <w:t xml:space="preserve">-44.0 </w:t>
            </w:r>
          </w:p>
        </w:tc>
      </w:tr>
    </w:tbl>
    <w:p/>
    <w:p>
      <w:pPr>
        <w:pStyle w:val="5"/>
        <w:widowControl/>
        <w:spacing w:before="249" w:beforeLines="80" w:beforeAutospacing="0" w:after="249" w:afterLines="80" w:afterAutospacing="0" w:line="620" w:lineRule="exact"/>
        <w:ind w:firstLine="640" w:firstLineChars="200"/>
        <w:jc w:val="both"/>
        <w:rPr>
          <w:rFonts w:ascii="黑体" w:hAnsi="黑体" w:eastAsia="黑体"/>
          <w:sz w:val="32"/>
          <w:szCs w:val="32"/>
        </w:rPr>
      </w:pPr>
      <w:r>
        <w:rPr>
          <w:rFonts w:hint="eastAsia" w:ascii="黑体" w:hAnsi="黑体" w:eastAsia="黑体" w:cs="方正黑体简体"/>
          <w:color w:val="000000"/>
          <w:sz w:val="32"/>
          <w:szCs w:val="32"/>
        </w:rPr>
        <w:t>四、固定资产投资</w:t>
      </w:r>
      <w:r>
        <w:rPr>
          <w:rFonts w:hint="eastAsia" w:ascii="宋体" w:hAnsi="宋体" w:eastAsia="宋体" w:cs="宋体"/>
          <w:color w:val="000000"/>
          <w:sz w:val="32"/>
          <w:szCs w:val="32"/>
        </w:rPr>
        <w:t> </w:t>
      </w:r>
    </w:p>
    <w:p>
      <w:pPr>
        <w:pStyle w:val="5"/>
        <w:widowControl/>
        <w:spacing w:before="249" w:beforeLines="80" w:beforeAutospacing="0" w:after="249" w:afterLines="80" w:afterAutospacing="0" w:line="620" w:lineRule="exact"/>
        <w:ind w:firstLine="640" w:firstLineChars="200"/>
        <w:jc w:val="both"/>
        <w:rPr>
          <w:rFonts w:ascii="仿宋_GB2312" w:eastAsia="仿宋_GB2312"/>
          <w:sz w:val="32"/>
          <w:szCs w:val="32"/>
        </w:rPr>
      </w:pPr>
      <w:r>
        <w:rPr>
          <w:rFonts w:hint="eastAsia" w:ascii="仿宋_GB2312" w:hAnsi="宋体" w:eastAsia="仿宋_GB2312" w:cs="方正书宋简体"/>
          <w:color w:val="000000"/>
          <w:kern w:val="2"/>
          <w:sz w:val="32"/>
          <w:szCs w:val="32"/>
        </w:rPr>
        <w:t>全年完成</w:t>
      </w:r>
      <w:r>
        <w:rPr>
          <w:rFonts w:hint="eastAsia" w:ascii="仿宋_GB2312" w:hAnsi="仿宋_GB2312" w:eastAsia="仿宋_GB2312" w:cs="仿宋_GB2312"/>
          <w:color w:val="000000"/>
          <w:kern w:val="2"/>
          <w:sz w:val="32"/>
          <w:szCs w:val="32"/>
        </w:rPr>
        <w:t>固定资产投资116.29亿元，比上年下降29.5%。其中，项目固定资产投资94.05亿元，同比下降40%。按产业分，第一产业投资20.29亿元，比上年增长1.5%；第二产业投资42.84亿元，比上年下降9%；第三产业投资44.26亿元，比上年下降54.8%。</w:t>
      </w:r>
    </w:p>
    <w:p>
      <w:pPr>
        <w:pStyle w:val="5"/>
        <w:widowControl/>
        <w:spacing w:before="249" w:beforeLines="80" w:beforeAutospacing="0" w:after="249" w:afterLines="80" w:afterAutospacing="0" w:line="620" w:lineRule="exact"/>
        <w:ind w:firstLine="640" w:firstLineChars="200"/>
        <w:jc w:val="both"/>
        <w:rPr>
          <w:rFonts w:ascii="仿宋_GB2312" w:eastAsia="仿宋_GB2312"/>
          <w:sz w:val="32"/>
          <w:szCs w:val="32"/>
        </w:rPr>
      </w:pPr>
      <w:r>
        <w:rPr>
          <w:rFonts w:hint="eastAsia" w:ascii="仿宋_GB2312" w:hAnsi="宋体" w:eastAsia="仿宋_GB2312" w:cs="方正书宋简体"/>
          <w:color w:val="000000"/>
          <w:kern w:val="2"/>
          <w:sz w:val="32"/>
          <w:szCs w:val="32"/>
        </w:rPr>
        <w:t>全年房地产开发企业完成投资13.34亿元，比上年增长63.5%。商品房施工面积83.74万平方米，增长58.3%，其中本年新开工面积34.52万平方米，增长29.2%。商品房竣工面积12.24万平方米，增长2.3倍。商品房销售面积13.98万平方米，增长3.8%。商品房待售面积2.47万平方米。</w:t>
      </w:r>
    </w:p>
    <w:p>
      <w:pPr>
        <w:pStyle w:val="5"/>
        <w:widowControl/>
        <w:spacing w:before="249" w:beforeLines="80" w:beforeAutospacing="0" w:after="249" w:afterLines="80" w:afterAutospacing="0" w:line="620" w:lineRule="exact"/>
        <w:ind w:firstLine="640" w:firstLineChars="200"/>
        <w:jc w:val="both"/>
        <w:rPr>
          <w:rFonts w:ascii="黑体" w:hAnsi="黑体" w:eastAsia="黑体" w:cs="方正黑体简体"/>
          <w:color w:val="000000"/>
          <w:sz w:val="32"/>
          <w:szCs w:val="32"/>
        </w:rPr>
      </w:pPr>
      <w:r>
        <w:rPr>
          <w:rFonts w:hint="eastAsia" w:ascii="黑体" w:hAnsi="黑体" w:eastAsia="黑体" w:cs="方正黑体简体"/>
          <w:color w:val="000000"/>
          <w:sz w:val="32"/>
          <w:szCs w:val="32"/>
        </w:rPr>
        <w:t>五、商贸和旅游</w:t>
      </w:r>
    </w:p>
    <w:p>
      <w:pPr>
        <w:pStyle w:val="5"/>
        <w:widowControl/>
        <w:spacing w:before="249" w:beforeLines="80" w:beforeAutospacing="0" w:after="249" w:afterLines="80" w:afterAutospacing="0" w:line="620" w:lineRule="exact"/>
        <w:ind w:firstLine="640" w:firstLineChars="200"/>
        <w:jc w:val="both"/>
        <w:rPr>
          <w:rFonts w:ascii="仿宋_GB2312" w:eastAsia="仿宋_GB2312"/>
          <w:sz w:val="32"/>
          <w:szCs w:val="32"/>
        </w:rPr>
      </w:pPr>
      <w:r>
        <w:rPr>
          <w:rFonts w:hint="eastAsia" w:ascii="仿宋_GB2312" w:hAnsi="宋体" w:eastAsia="仿宋_GB2312" w:cs="方正书宋简体"/>
          <w:color w:val="000000"/>
          <w:kern w:val="2"/>
          <w:sz w:val="32"/>
          <w:szCs w:val="32"/>
        </w:rPr>
        <w:t>全年</w:t>
      </w:r>
      <w:r>
        <w:rPr>
          <w:rFonts w:hint="eastAsia" w:ascii="仿宋_GB2312" w:hAnsi="仿宋_GB2312" w:eastAsia="仿宋_GB2312" w:cs="仿宋_GB2312"/>
          <w:color w:val="000000"/>
          <w:kern w:val="2"/>
          <w:sz w:val="32"/>
          <w:szCs w:val="32"/>
        </w:rPr>
        <w:t>社会消费品零售总额60.06亿元，比上年增长15.3 %。按销售单位所在地分，城镇消费品零售额51.25亿元，同比增长14.4 %；农村消费品零售额8.81亿元，增长</w:t>
      </w:r>
      <w:r>
        <w:rPr>
          <w:rFonts w:hint="eastAsia" w:ascii="仿宋_GB2312" w:hAnsi="仿宋_GB2312" w:eastAsia="仿宋_GB2312" w:cs="仿宋_GB2312"/>
          <w:color w:val="000000"/>
          <w:spacing w:val="6"/>
          <w:kern w:val="2"/>
          <w:sz w:val="32"/>
          <w:szCs w:val="32"/>
        </w:rPr>
        <w:t>20.6%。按消费形态分，商品零售额49.93亿元，增长15.2%；餐饮收入10.13亿元，增长15.6%。</w:t>
      </w:r>
      <w:r>
        <w:rPr>
          <w:rFonts w:hint="eastAsia" w:ascii="仿宋_GB2312" w:hAnsi="宋体" w:eastAsia="仿宋_GB2312" w:cs="方正书宋简体"/>
          <w:color w:val="000000"/>
          <w:kern w:val="2"/>
          <w:sz w:val="32"/>
          <w:szCs w:val="32"/>
        </w:rPr>
        <w:t>全年共接待国内外游客641万人次，比上年增长21.7%，实现旅游总收入36.8亿元，比上年增长22%。</w:t>
      </w:r>
    </w:p>
    <w:p>
      <w:pPr>
        <w:ind w:left="630" w:hanging="630" w:hangingChars="300"/>
        <w:rPr>
          <w:rFonts w:ascii="黑体" w:hAnsi="黑体" w:eastAsia="黑体" w:cs="方正黑体简体"/>
          <w:color w:val="000000"/>
          <w:kern w:val="0"/>
          <w:sz w:val="32"/>
          <w:szCs w:val="32"/>
        </w:rPr>
      </w:pPr>
      <w:r>
        <w:drawing>
          <wp:inline distT="0" distB="0" distL="0" distR="0">
            <wp:extent cx="5276850" cy="2714625"/>
            <wp:effectExtent l="0" t="0" r="1905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249" w:beforeLines="80" w:after="249" w:afterLines="80" w:line="620" w:lineRule="exact"/>
        <w:ind w:firstLine="640" w:firstLineChars="200"/>
        <w:rPr>
          <w:rFonts w:ascii="黑体" w:hAnsi="黑体" w:eastAsia="黑体"/>
        </w:rPr>
      </w:pPr>
      <w:r>
        <w:rPr>
          <w:rFonts w:hint="eastAsia" w:ascii="黑体" w:hAnsi="黑体" w:eastAsia="黑体" w:cs="方正黑体简体"/>
          <w:color w:val="000000"/>
          <w:kern w:val="0"/>
          <w:sz w:val="32"/>
          <w:szCs w:val="32"/>
        </w:rPr>
        <w:t>六、交通和邮电</w:t>
      </w:r>
    </w:p>
    <w:p>
      <w:pPr>
        <w:spacing w:before="249" w:beforeLines="80" w:after="249" w:afterLines="80" w:line="620" w:lineRule="exact"/>
        <w:ind w:firstLine="640" w:firstLineChars="200"/>
        <w:rPr>
          <w:rFonts w:ascii="仿宋_GB2312" w:eastAsia="仿宋_GB2312"/>
        </w:rPr>
      </w:pPr>
      <w:r>
        <w:rPr>
          <w:rFonts w:hint="eastAsia" w:ascii="仿宋_GB2312" w:hAnsi="宋体" w:eastAsia="仿宋_GB2312" w:cs="方正书宋简体"/>
          <w:color w:val="000000"/>
          <w:sz w:val="32"/>
          <w:szCs w:val="32"/>
        </w:rPr>
        <w:t>年末</w:t>
      </w:r>
      <w:r>
        <w:rPr>
          <w:rFonts w:hint="eastAsia" w:ascii="仿宋_GB2312" w:hAnsi="仿宋" w:eastAsia="仿宋_GB2312" w:cs="仿宋"/>
          <w:sz w:val="32"/>
          <w:szCs w:val="32"/>
        </w:rPr>
        <w:t>全区境内公路总里程1881.3公里，公路密度159.56公里/百平方公里（含村公路）。</w:t>
      </w:r>
    </w:p>
    <w:p>
      <w:pPr>
        <w:spacing w:before="249" w:beforeLines="80" w:after="249" w:afterLines="80" w:line="620" w:lineRule="exact"/>
        <w:ind w:firstLine="640" w:firstLineChars="200"/>
        <w:rPr>
          <w:rFonts w:ascii="仿宋_GB2312" w:eastAsia="仿宋_GB2312"/>
        </w:rPr>
      </w:pPr>
      <w:r>
        <w:rPr>
          <w:rFonts w:hint="eastAsia" w:ascii="仿宋_GB2312" w:hAnsi="仿宋" w:eastAsia="仿宋_GB2312" w:cs="仿宋"/>
          <w:kern w:val="0"/>
          <w:sz w:val="32"/>
          <w:szCs w:val="32"/>
        </w:rPr>
        <w:t>全年公路旅客运输量78万人次，货物运输量175万吨。年末拥有营运载货车辆587辆，营运客车431辆，其中出租汽车204 辆，公交车30辆。</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年末邮政业务收入5495万元，电信、移动、联通等通信业务总收入2.11亿元。年末全区固定电话拥有量1.59万户，其中农村固定电话拥有量8567户；年末移动电话35.84万户；互联网用户13.4万户。</w:t>
      </w:r>
    </w:p>
    <w:p>
      <w:pPr>
        <w:widowControl/>
        <w:spacing w:before="249" w:beforeLines="80" w:after="249" w:afterLines="80" w:line="620" w:lineRule="exact"/>
        <w:ind w:firstLine="640" w:firstLineChars="200"/>
        <w:rPr>
          <w:rFonts w:ascii="黑体" w:hAnsi="黑体" w:eastAsia="黑体" w:cs="方正黑体简体"/>
          <w:color w:val="000000"/>
          <w:kern w:val="0"/>
          <w:sz w:val="32"/>
          <w:szCs w:val="32"/>
        </w:rPr>
      </w:pPr>
      <w:r>
        <w:rPr>
          <w:rFonts w:hint="eastAsia" w:ascii="黑体" w:hAnsi="黑体" w:eastAsia="黑体" w:cs="方正黑体简体"/>
          <w:color w:val="000000"/>
          <w:kern w:val="0"/>
          <w:sz w:val="32"/>
          <w:szCs w:val="32"/>
        </w:rPr>
        <w:t>七、金融和保险</w:t>
      </w:r>
    </w:p>
    <w:p>
      <w:pPr>
        <w:widowControl/>
        <w:spacing w:before="249" w:beforeLines="80" w:after="249" w:afterLines="80" w:line="620" w:lineRule="exact"/>
        <w:ind w:firstLine="640" w:firstLineChars="200"/>
        <w:rPr>
          <w:rFonts w:ascii="黑体" w:hAnsi="黑体" w:eastAsia="黑体" w:cs="方正黑体简体"/>
          <w:color w:val="000000"/>
          <w:kern w:val="0"/>
          <w:sz w:val="32"/>
          <w:szCs w:val="32"/>
        </w:rPr>
      </w:pPr>
      <w:r>
        <w:rPr>
          <w:rFonts w:hint="eastAsia" w:ascii="仿宋_GB2312" w:hAnsi="宋体" w:eastAsia="仿宋_GB2312" w:cs="方正书宋简体"/>
          <w:color w:val="000000"/>
          <w:kern w:val="0"/>
          <w:sz w:val="32"/>
          <w:szCs w:val="32"/>
        </w:rPr>
        <w:t>年末全区金融机构各项存款余额237.57亿元，同比增长9.9%。其中住户存款余额189.78亿元，同比增长10.7%。金融机构各项贷款余额122.3亿元，同比增长12.4%。</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年末国有保险公司财产保险费收入4154万元，人身保险费收入1.06亿元。</w:t>
      </w:r>
    </w:p>
    <w:p>
      <w:pPr>
        <w:widowControl/>
        <w:spacing w:before="249" w:beforeLines="80" w:after="249" w:afterLines="80" w:line="620" w:lineRule="exact"/>
        <w:ind w:firstLine="640" w:firstLineChars="200"/>
        <w:rPr>
          <w:rFonts w:ascii="黑体" w:hAnsi="黑体" w:eastAsia="黑体" w:cs="Times New Roman"/>
          <w:kern w:val="0"/>
          <w:sz w:val="32"/>
          <w:szCs w:val="32"/>
        </w:rPr>
      </w:pPr>
      <w:r>
        <w:rPr>
          <w:rFonts w:hint="eastAsia" w:ascii="黑体" w:hAnsi="黑体" w:eastAsia="黑体" w:cs="方正黑体简体"/>
          <w:color w:val="000000"/>
          <w:kern w:val="0"/>
          <w:sz w:val="32"/>
          <w:szCs w:val="32"/>
        </w:rPr>
        <w:t>八、科技、教育和体育</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年末全区高新技术企业19户。规模以上工业企业研发投入0.13亿元（上年度）。技术合同交易额1.59亿元。全年专利授权量201件，其中发明专利3件，实用新型专利146件。</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年末全区共有普通高中6所，招生1623人，在校学生5160人；职业中学1所，招生808人；初中22所，招生3160人，在校学生9583人；小学49所，招生3026，在校学生20330人。特殊教育学校1所，招生2人，在校学生88人。共有幼儿园54所，在园幼儿10005人，其中普惠性幼儿园54所。</w:t>
      </w:r>
    </w:p>
    <w:p>
      <w:pPr>
        <w:widowControl/>
        <w:spacing w:before="249" w:beforeLines="80" w:after="249" w:afterLines="8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功举办“我要上全运”百场马拉松2021“中国银行杯”陕西宝鸡·凤翔迷你马拉松比赛、“一带一路”陕西·宝鸡2021“百合杯”乒乓球大奖赛暨第38届“百合杯”乒乓球联赛，高质量完成第八届特奥会羽毛球项目竞赛服务工作，组织开展“庆祝三八妇女节”健身气功展示交流活动，“互助保障杯”职工篮球赛、第三届群众广场舞大赛、健身气功百人展演等群众体育活动。</w:t>
      </w:r>
    </w:p>
    <w:p>
      <w:pPr>
        <w:widowControl/>
        <w:spacing w:before="249" w:beforeLines="80" w:after="249" w:afterLines="80"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年末全区有县级体育协会5个，乡镇体育辅导站12个，社区健身点5个，农村健身点165个，入网注册社会体育指导员1091人。</w:t>
      </w:r>
    </w:p>
    <w:p>
      <w:pPr>
        <w:widowControl/>
        <w:spacing w:before="249" w:beforeLines="80" w:after="249" w:afterLines="80" w:line="620" w:lineRule="exact"/>
        <w:ind w:firstLine="640" w:firstLineChars="200"/>
        <w:rPr>
          <w:rFonts w:ascii="黑体" w:hAnsi="黑体" w:eastAsia="黑体" w:cs="Times New Roman"/>
          <w:kern w:val="0"/>
          <w:sz w:val="32"/>
          <w:szCs w:val="32"/>
        </w:rPr>
      </w:pPr>
      <w:r>
        <w:rPr>
          <w:rFonts w:hint="eastAsia" w:ascii="黑体" w:hAnsi="黑体" w:eastAsia="黑体" w:cs="方正黑体简体"/>
          <w:color w:val="000000"/>
          <w:kern w:val="0"/>
          <w:sz w:val="32"/>
          <w:szCs w:val="32"/>
        </w:rPr>
        <w:t>九、文化、广播电视和卫生</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年末全区共有文艺团体332个，其中，专业文艺团体17个，业余演出队、自乐班3</w:t>
      </w:r>
      <w:r>
        <w:rPr>
          <w:rFonts w:hint="eastAsia" w:ascii="仿宋_GB2312" w:hAnsi="宋体" w:eastAsia="仿宋_GB2312" w:cs="方正书宋简体"/>
          <w:color w:val="000000"/>
          <w:kern w:val="0"/>
          <w:sz w:val="32"/>
          <w:szCs w:val="32"/>
          <w:lang w:val="en-US" w:eastAsia="zh-CN"/>
        </w:rPr>
        <w:t>32</w:t>
      </w:r>
      <w:r>
        <w:rPr>
          <w:rFonts w:hint="eastAsia" w:ascii="仿宋_GB2312" w:hAnsi="宋体" w:eastAsia="仿宋_GB2312" w:cs="方正书宋简体"/>
          <w:color w:val="000000"/>
          <w:kern w:val="0"/>
          <w:sz w:val="32"/>
          <w:szCs w:val="32"/>
        </w:rPr>
        <w:t>个。文化馆1个，乡镇综合文化站12个，公共图书馆1个，基层综合性文化服务中心166个，非物质文化遗产保护中心1个，艺术表演场所1座。省级文化产业示范基地1个。</w:t>
      </w:r>
      <w:bookmarkStart w:id="0" w:name="_GoBack"/>
      <w:bookmarkEnd w:id="0"/>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eastAsia="仿宋_GB2312" w:cs="Times New Roman"/>
          <w:bCs/>
          <w:kern w:val="10"/>
          <w:sz w:val="32"/>
          <w:szCs w:val="32"/>
        </w:rPr>
        <w:t>区剧团折子戏《取长沙》被省厅调演，完成</w:t>
      </w:r>
      <w:r>
        <w:rPr>
          <w:rFonts w:hint="eastAsia" w:ascii="仿宋_GB2312" w:hAnsi="微软雅黑" w:eastAsia="仿宋_GB2312" w:cs="仿宋_GB2312"/>
          <w:bCs/>
          <w:kern w:val="10"/>
          <w:sz w:val="32"/>
          <w:szCs w:val="32"/>
        </w:rPr>
        <w:t>惠民演出</w:t>
      </w:r>
      <w:r>
        <w:rPr>
          <w:rFonts w:hint="eastAsia" w:ascii="仿宋_GB2312" w:eastAsia="仿宋_GB2312" w:cs="Times New Roman"/>
          <w:bCs/>
          <w:kern w:val="10"/>
          <w:sz w:val="32"/>
          <w:szCs w:val="32"/>
        </w:rPr>
        <w:t>91场次</w:t>
      </w:r>
      <w:r>
        <w:rPr>
          <w:rFonts w:hint="eastAsia" w:ascii="仿宋_GB2312" w:hAnsi="微软雅黑" w:eastAsia="仿宋_GB2312" w:cs="仿宋_GB2312"/>
          <w:bCs/>
          <w:kern w:val="10"/>
          <w:sz w:val="32"/>
          <w:szCs w:val="32"/>
        </w:rPr>
        <w:t>。成功</w:t>
      </w:r>
      <w:r>
        <w:rPr>
          <w:rFonts w:hint="eastAsia" w:ascii="仿宋_GB2312" w:hAnsi="Calibri" w:eastAsia="仿宋_GB2312" w:cs="仿宋_GB2312"/>
          <w:bCs/>
          <w:kern w:val="10"/>
          <w:sz w:val="32"/>
          <w:szCs w:val="32"/>
        </w:rPr>
        <w:t>举办“永远跟党走”——中国教育电视台庆祝建党</w:t>
      </w:r>
      <w:r>
        <w:rPr>
          <w:rFonts w:hint="eastAsia" w:ascii="仿宋_GB2312" w:eastAsia="仿宋_GB2312" w:cs="Times New Roman"/>
          <w:bCs/>
          <w:kern w:val="10"/>
          <w:sz w:val="32"/>
          <w:szCs w:val="32"/>
        </w:rPr>
        <w:t>100</w:t>
      </w:r>
      <w:r>
        <w:rPr>
          <w:rFonts w:hint="eastAsia" w:ascii="仿宋_GB2312" w:hAnsi="Calibri" w:eastAsia="仿宋_GB2312" w:cs="仿宋_GB2312"/>
          <w:bCs/>
          <w:kern w:val="10"/>
          <w:sz w:val="32"/>
          <w:szCs w:val="32"/>
        </w:rPr>
        <w:t>周年在凤文艺演出、第三届群众广场舞大赛、</w:t>
      </w:r>
      <w:r>
        <w:rPr>
          <w:rFonts w:hint="eastAsia" w:ascii="仿宋_GB2312" w:hAnsi="仿宋" w:eastAsia="仿宋_GB2312" w:cs="宋体"/>
          <w:bCs/>
          <w:kern w:val="0"/>
          <w:sz w:val="32"/>
          <w:szCs w:val="32"/>
        </w:rPr>
        <w:t>书画摄影展、</w:t>
      </w:r>
      <w:r>
        <w:rPr>
          <w:rFonts w:hint="eastAsia" w:ascii="仿宋_GB2312" w:hAnsi="宋体" w:eastAsia="仿宋_GB2312" w:cs="宋体"/>
          <w:bCs/>
          <w:color w:val="000000"/>
          <w:kern w:val="0"/>
          <w:sz w:val="32"/>
          <w:szCs w:val="32"/>
        </w:rPr>
        <w:t>“全民悦读.最美三秦”第九届陕西省阅读文化节凤翔区分会场活动、第九届陕西省艺术节优秀书画作品暨凤翔区庆元旦书画作品展、</w:t>
      </w:r>
      <w:r>
        <w:rPr>
          <w:rFonts w:hint="eastAsia" w:ascii="仿宋_GB2312" w:hAnsi="楷体" w:eastAsia="仿宋_GB2312" w:cs="Times New Roman"/>
          <w:bCs/>
          <w:kern w:val="0"/>
          <w:sz w:val="32"/>
          <w:szCs w:val="32"/>
        </w:rPr>
        <w:t>紫荆村首届油菜花节和南指挥镇首届桃花节暨秦文化艺术节。“柳林醉酒”在中国旅游商品大赛中荣获银奖。紫荆山综合实践基地、宝鸡先秦陵园博物馆、宝鸡神农农业科技有限公司、凤翔蕙兰民俗文化有限公司荣获市级中小学研学旅行实践教育基地称号。</w:t>
      </w:r>
      <w:r>
        <w:rPr>
          <w:rFonts w:hint="eastAsia" w:ascii="仿宋_GB2312" w:hAnsi="Calibri" w:eastAsia="仿宋_GB2312" w:cs="仿宋_GB2312"/>
          <w:bCs/>
          <w:kern w:val="10"/>
          <w:sz w:val="32"/>
          <w:szCs w:val="32"/>
        </w:rPr>
        <w:t>西凤酒酿造技艺被国务院公布为第五批国家级非物质文化遗产代表性项目。“酒海制作技艺”等四个项目列入第三批区级非遗项目。田家庄镇成功命名为陕西省公共文化服务高质量发展示范镇。</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年末数字电视2.9万户，无线电视用户1083户。</w:t>
      </w:r>
    </w:p>
    <w:p>
      <w:pPr>
        <w:spacing w:before="249" w:beforeLines="80" w:after="249" w:afterLines="80" w:line="620" w:lineRule="exact"/>
        <w:ind w:firstLine="640" w:firstLineChars="200"/>
        <w:rPr>
          <w:rFonts w:ascii="仿宋_GB2312" w:hAnsi="仿宋_GB2312" w:eastAsia="仿宋_GB2312" w:cs="仿宋_GB2312"/>
          <w:sz w:val="32"/>
          <w:szCs w:val="32"/>
        </w:rPr>
      </w:pPr>
      <w:r>
        <w:rPr>
          <w:rFonts w:hint="eastAsia" w:ascii="仿宋_GB2312" w:hAnsi="宋体" w:eastAsia="仿宋_GB2312" w:cs="方正书宋简体"/>
          <w:color w:val="000000"/>
          <w:sz w:val="32"/>
          <w:szCs w:val="32"/>
        </w:rPr>
        <w:t>年末</w:t>
      </w:r>
      <w:r>
        <w:rPr>
          <w:rFonts w:hint="eastAsia" w:ascii="仿宋_GB2312" w:hAnsi="仿宋_GB2312" w:eastAsia="仿宋_GB2312" w:cs="仿宋_GB2312"/>
          <w:sz w:val="32"/>
          <w:szCs w:val="32"/>
        </w:rPr>
        <w:t>全区医疗卫生计生机构375个，其中，医院9个，乡镇卫生院19个，疾病控制机构和卫生监督机构2个，妇幼保健机构1个，村卫生室241个。卫生人员总数3385人，卫生技术人员2806人，其中，执业（助理）医师954人，执业护师护士1140人。全区医疗卫生机构床位数2097张，其中，医院1410张，妇幼保健机构104张，卫生院583张。</w:t>
      </w:r>
    </w:p>
    <w:p>
      <w:pPr>
        <w:widowControl/>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年末</w:t>
      </w:r>
      <w:r>
        <w:rPr>
          <w:rFonts w:ascii="Times New Roman" w:hAnsi="Times New Roman" w:eastAsia="仿宋_GB2312" w:cs="Times New Roman"/>
          <w:color w:val="000000" w:themeColor="text1"/>
          <w:sz w:val="32"/>
          <w:szCs w:val="32"/>
          <w14:textFill>
            <w14:solidFill>
              <w14:schemeClr w14:val="tx1"/>
            </w14:solidFill>
          </w14:textFill>
        </w:rPr>
        <w:t>全区共计接种新型冠状病毒疫苗</w:t>
      </w:r>
      <w:r>
        <w:rPr>
          <w:rFonts w:hint="eastAsia" w:ascii="Times New Roman" w:hAnsi="Times New Roman" w:eastAsia="仿宋_GB2312" w:cs="Times New Roman"/>
          <w:color w:val="000000" w:themeColor="text1"/>
          <w:sz w:val="32"/>
          <w:szCs w:val="32"/>
          <w14:textFill>
            <w14:solidFill>
              <w14:schemeClr w14:val="tx1"/>
            </w14:solidFill>
          </w14:textFill>
        </w:rPr>
        <w:t xml:space="preserve"> 679770</w:t>
      </w:r>
      <w:r>
        <w:rPr>
          <w:rFonts w:ascii="Times New Roman" w:hAnsi="Times New Roman" w:eastAsia="仿宋_GB2312" w:cs="Times New Roman"/>
          <w:color w:val="000000" w:themeColor="text1"/>
          <w:sz w:val="32"/>
          <w:szCs w:val="32"/>
          <w14:textFill>
            <w14:solidFill>
              <w14:schemeClr w14:val="tx1"/>
            </w14:solidFill>
          </w14:textFill>
        </w:rPr>
        <w:t>剂次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其中</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第一</w:t>
      </w:r>
      <w:r>
        <w:rPr>
          <w:rFonts w:hint="eastAsia" w:ascii="Times New Roman" w:hAnsi="Times New Roman" w:eastAsia="仿宋_GB2312" w:cs="Times New Roman"/>
          <w:color w:val="000000" w:themeColor="text1"/>
          <w:sz w:val="32"/>
          <w:szCs w:val="32"/>
          <w14:textFill>
            <w14:solidFill>
              <w14:schemeClr w14:val="tx1"/>
            </w14:solidFill>
          </w14:textFill>
        </w:rPr>
        <w:t>针</w:t>
      </w:r>
      <w:r>
        <w:rPr>
          <w:rFonts w:ascii="Times New Roman" w:hAnsi="Times New Roman" w:eastAsia="仿宋_GB2312" w:cs="Times New Roman"/>
          <w:color w:val="000000" w:themeColor="text1"/>
          <w:sz w:val="32"/>
          <w:szCs w:val="32"/>
          <w14:textFill>
            <w14:solidFill>
              <w14:schemeClr w14:val="tx1"/>
            </w14:solidFill>
          </w14:textFill>
        </w:rPr>
        <w:t>接种</w:t>
      </w:r>
      <w:r>
        <w:rPr>
          <w:rFonts w:hint="eastAsia" w:ascii="Times New Roman" w:hAnsi="Times New Roman" w:eastAsia="仿宋_GB2312" w:cs="Times New Roman"/>
          <w:color w:val="000000" w:themeColor="text1"/>
          <w:sz w:val="32"/>
          <w:szCs w:val="32"/>
          <w14:textFill>
            <w14:solidFill>
              <w14:schemeClr w14:val="tx1"/>
            </w14:solidFill>
          </w14:textFill>
        </w:rPr>
        <w:t>294392剂次，接种率76.24%；</w:t>
      </w:r>
      <w:r>
        <w:rPr>
          <w:rFonts w:ascii="Times New Roman" w:hAnsi="Times New Roman" w:eastAsia="仿宋_GB2312" w:cs="Times New Roman"/>
          <w:color w:val="000000" w:themeColor="text1"/>
          <w:sz w:val="32"/>
          <w:szCs w:val="32"/>
          <w14:textFill>
            <w14:solidFill>
              <w14:schemeClr w14:val="tx1"/>
            </w14:solidFill>
          </w14:textFill>
        </w:rPr>
        <w:t>第二</w:t>
      </w:r>
      <w:r>
        <w:rPr>
          <w:rFonts w:hint="eastAsia" w:ascii="Times New Roman" w:hAnsi="Times New Roman" w:eastAsia="仿宋_GB2312" w:cs="Times New Roman"/>
          <w:color w:val="000000" w:themeColor="text1"/>
          <w:sz w:val="32"/>
          <w:szCs w:val="32"/>
          <w14:textFill>
            <w14:solidFill>
              <w14:schemeClr w14:val="tx1"/>
            </w14:solidFill>
          </w14:textFill>
        </w:rPr>
        <w:t>针</w:t>
      </w:r>
      <w:r>
        <w:rPr>
          <w:rFonts w:ascii="Times New Roman" w:hAnsi="Times New Roman" w:eastAsia="仿宋_GB2312" w:cs="Times New Roman"/>
          <w:color w:val="000000" w:themeColor="text1"/>
          <w:sz w:val="32"/>
          <w:szCs w:val="32"/>
          <w14:textFill>
            <w14:solidFill>
              <w14:schemeClr w14:val="tx1"/>
            </w14:solidFill>
          </w14:textFill>
        </w:rPr>
        <w:t>接种</w:t>
      </w:r>
      <w:r>
        <w:rPr>
          <w:rFonts w:hint="eastAsia" w:ascii="Times New Roman" w:hAnsi="Times New Roman" w:eastAsia="仿宋_GB2312" w:cs="Times New Roman"/>
          <w:color w:val="000000" w:themeColor="text1"/>
          <w:sz w:val="32"/>
          <w:szCs w:val="32"/>
          <w14:textFill>
            <w14:solidFill>
              <w14:schemeClr w14:val="tx1"/>
            </w14:solidFill>
          </w14:textFill>
        </w:rPr>
        <w:t>283633剂次，接种率73.45%；第三针接种101745剂次，接种率</w:t>
      </w:r>
      <w:r>
        <w:rPr>
          <w:rFonts w:hint="eastAsia" w:ascii="仿宋_GB2312" w:hAnsi="宋体" w:eastAsia="仿宋_GB2312" w:cs="方正书宋简体"/>
          <w:color w:val="000000"/>
          <w:kern w:val="0"/>
          <w:sz w:val="32"/>
          <w:szCs w:val="32"/>
        </w:rPr>
        <w:t>26.35%。全年全区新型冠状病毒肺炎确诊0例。</w:t>
      </w:r>
    </w:p>
    <w:p>
      <w:pPr>
        <w:widowControl/>
        <w:spacing w:before="249" w:beforeLines="80" w:after="249" w:afterLines="80" w:line="620" w:lineRule="exact"/>
        <w:ind w:firstLine="640" w:firstLineChars="200"/>
        <w:rPr>
          <w:rFonts w:ascii="黑体" w:hAnsi="黑体" w:eastAsia="黑体" w:cs="方正书宋简体"/>
          <w:color w:val="000000"/>
          <w:kern w:val="0"/>
          <w:sz w:val="32"/>
          <w:szCs w:val="32"/>
        </w:rPr>
      </w:pPr>
      <w:r>
        <w:rPr>
          <w:rFonts w:hint="eastAsia" w:ascii="黑体" w:hAnsi="黑体" w:eastAsia="黑体" w:cs="方正书宋简体"/>
          <w:color w:val="000000"/>
          <w:kern w:val="0"/>
          <w:sz w:val="32"/>
          <w:szCs w:val="32"/>
        </w:rPr>
        <w:t>十、人口、人民生活和社会保障</w:t>
      </w:r>
    </w:p>
    <w:p>
      <w:pPr>
        <w:widowControl/>
        <w:spacing w:before="249" w:beforeLines="80" w:after="249" w:afterLines="80"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宋体" w:eastAsia="仿宋_GB2312" w:cs="方正书宋简体"/>
          <w:color w:val="000000"/>
          <w:kern w:val="0"/>
          <w:sz w:val="32"/>
          <w:szCs w:val="32"/>
        </w:rPr>
        <w:t>年末全区共有12个镇，160个行政村，6个城镇社区，1964个村民小组，户籍户数156403户，户籍人口512983人，其中男性265823人。年末常住人口37.9万人，城镇人口比</w:t>
      </w:r>
      <w:r>
        <w:rPr>
          <w:rFonts w:hint="eastAsia" w:ascii="仿宋_GB2312" w:hAnsi="宋体" w:eastAsia="仿宋_GB2312" w:cs="方正书宋简体"/>
          <w:color w:val="000000"/>
          <w:sz w:val="32"/>
          <w:szCs w:val="32"/>
        </w:rPr>
        <w:t>重45.57%。</w:t>
      </w:r>
      <w:r>
        <w:rPr>
          <w:rFonts w:hint="eastAsia" w:ascii="仿宋_GB2312" w:hAnsi="仿宋_GB2312" w:eastAsia="仿宋_GB2312" w:cs="仿宋_GB2312"/>
          <w:sz w:val="32"/>
          <w:szCs w:val="32"/>
        </w:rPr>
        <w:t>出生人口3274人，人口出生率8.48‰,死亡3161人，人口死亡率8.19‰，净增人口113人，人口自然增长率0.29‰。</w:t>
      </w:r>
    </w:p>
    <w:p>
      <w:pPr>
        <w:spacing w:before="249" w:beforeLines="80" w:after="249" w:afterLines="80" w:line="620" w:lineRule="exact"/>
        <w:ind w:firstLine="640" w:firstLineChars="200"/>
        <w:rPr>
          <w:rFonts w:ascii="仿宋_GB2312" w:hAnsi="仿宋_GB2312" w:eastAsia="仿宋_GB2312" w:cs="仿宋_GB2312"/>
          <w:sz w:val="32"/>
          <w:szCs w:val="32"/>
        </w:rPr>
      </w:pPr>
      <w:r>
        <w:rPr>
          <w:rFonts w:hint="eastAsia" w:ascii="仿宋_GB2312" w:hAnsi="宋体" w:eastAsia="仿宋_GB2312" w:cs="方正书宋简体"/>
          <w:color w:val="000000"/>
          <w:kern w:val="0"/>
          <w:sz w:val="32"/>
          <w:szCs w:val="32"/>
        </w:rPr>
        <w:t>全年城镇居民人均可支配收入38147元，同比增长7.0%；全年农村居民人均可支配收入15887元，同比增长10.3%；全区城乡居民收入比为2.4:1，比上年缩小0.08。</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年末城镇职工基本养老保险参保45868人，失业保险参保5986人，工伤保险参保23535人。年末城乡居民基本养老保险参保22.5万人。</w:t>
      </w:r>
    </w:p>
    <w:p>
      <w:pPr>
        <w:widowControl/>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color w:val="000000"/>
          <w:kern w:val="0"/>
          <w:sz w:val="32"/>
          <w:szCs w:val="32"/>
        </w:rPr>
        <w:t>全年全区基本医疗保险参保44.16万人，其中城乡居民基本医疗保险参保41.71万人，城镇职工医疗保险参保2.45万人。区域内城乡居民住院报销4.57万人次，共支出11255.23万元；门诊统筹报销1817.69万元；门诊特慢病报销1097.31万元；门诊两病报销49.24万元；零星结算1851人次，支出858.19万元；医疗救助1.28万人次，医疗救助资金支出944.58万元。</w:t>
      </w:r>
    </w:p>
    <w:p>
      <w:pPr>
        <w:widowControl/>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color w:val="000000"/>
          <w:kern w:val="0"/>
          <w:sz w:val="32"/>
          <w:szCs w:val="32"/>
        </w:rPr>
        <w:t>年末社会福利收养性单位3个，共有养老床位723张，收养304人。年末纳入城市低保148户215人，纳入农村低保4306户11631人。农村特困供养人员893户900人，其中集中供养207人，集中供养标准每人每年6396元；分散供养标准每人每年6396元。农村特困供养服务机构1所。纳入城市特困供养3户3人，城市特困供养标准每人每年9828元。全年累计临时救助3774人次。</w:t>
      </w:r>
    </w:p>
    <w:p>
      <w:pPr>
        <w:widowControl/>
        <w:spacing w:before="249" w:beforeLines="80" w:after="249" w:afterLines="80" w:line="620" w:lineRule="exact"/>
        <w:ind w:firstLine="640" w:firstLineChars="200"/>
        <w:rPr>
          <w:rFonts w:ascii="黑体" w:hAnsi="黑体" w:eastAsia="黑体" w:cs="Times New Roman"/>
          <w:kern w:val="0"/>
          <w:sz w:val="32"/>
          <w:szCs w:val="32"/>
        </w:rPr>
      </w:pPr>
      <w:r>
        <w:rPr>
          <w:rFonts w:hint="eastAsia" w:ascii="黑体" w:hAnsi="黑体" w:eastAsia="黑体" w:cs="方正黑体简体"/>
          <w:color w:val="000000"/>
          <w:kern w:val="0"/>
          <w:sz w:val="32"/>
          <w:szCs w:val="32"/>
        </w:rPr>
        <w:t>十一、环境、资源和安全生产</w:t>
      </w:r>
    </w:p>
    <w:p>
      <w:pPr>
        <w:spacing w:before="249" w:beforeLines="80" w:after="249" w:afterLines="80" w:line="620" w:lineRule="exact"/>
        <w:ind w:firstLine="640" w:firstLineChars="200"/>
        <w:rPr>
          <w:rFonts w:ascii="仿宋_GB2312" w:hAnsi="仿宋_GB2312" w:eastAsia="仿宋_GB2312" w:cs="仿宋_GB2312"/>
          <w:sz w:val="32"/>
          <w:szCs w:val="32"/>
        </w:rPr>
      </w:pPr>
      <w:r>
        <w:rPr>
          <w:rFonts w:hint="eastAsia" w:ascii="仿宋_GB2312" w:hAnsi="宋体" w:eastAsia="仿宋_GB2312" w:cs="方正书宋简体"/>
          <w:color w:val="000000"/>
          <w:sz w:val="32"/>
          <w:szCs w:val="32"/>
        </w:rPr>
        <w:t>全年</w:t>
      </w:r>
      <w:r>
        <w:rPr>
          <w:rFonts w:hint="eastAsia" w:ascii="仿宋_GB2312" w:hAnsi="仿宋_GB2312" w:eastAsia="仿宋_GB2312" w:cs="仿宋_GB2312"/>
          <w:sz w:val="32"/>
          <w:szCs w:val="32"/>
        </w:rPr>
        <w:t>空气质量优良天数311天，优良率85.2%，环境空气质量综合指数为3.67%。城市饮用水源地水质达标率100%。</w:t>
      </w:r>
      <w:r>
        <w:rPr>
          <w:rFonts w:hint="eastAsia" w:ascii="仿宋_GB2312" w:hAnsi="宋体" w:eastAsia="仿宋_GB2312" w:cs="方正书宋简体"/>
          <w:color w:val="000000"/>
          <w:sz w:val="32"/>
          <w:szCs w:val="32"/>
        </w:rPr>
        <w:t>2020年万元生产总值能耗0.938吨标准煤/万元，万元生产总值能耗降低率0.991%；2021年万元生产总值能耗0.869吨标准煤/万元，万元生产总值能耗降低率5.052%。污水处理率99.48%，生活垃圾无害化处理率99.92%。</w:t>
      </w:r>
    </w:p>
    <w:p>
      <w:pPr>
        <w:spacing w:before="249" w:beforeLines="80" w:after="249" w:afterLines="80" w:line="620" w:lineRule="exact"/>
        <w:ind w:firstLine="640" w:firstLineChars="200"/>
        <w:rPr>
          <w:rFonts w:ascii="仿宋_GB2312" w:eastAsia="仿宋_GB2312"/>
          <w:sz w:val="32"/>
          <w:szCs w:val="32"/>
        </w:rPr>
      </w:pPr>
      <w:r>
        <w:rPr>
          <w:rFonts w:hint="eastAsia" w:ascii="仿宋_GB2312" w:hAnsi="宋体" w:eastAsia="仿宋_GB2312" w:cs="方正书宋简体"/>
          <w:color w:val="000000"/>
          <w:sz w:val="32"/>
          <w:szCs w:val="32"/>
        </w:rPr>
        <w:t>全区</w:t>
      </w:r>
      <w:r>
        <w:rPr>
          <w:rFonts w:hint="eastAsia" w:ascii="仿宋_GB2312" w:eastAsia="仿宋_GB2312"/>
          <w:sz w:val="32"/>
          <w:szCs w:val="32"/>
        </w:rPr>
        <w:t>全年用水总量9570.7万立方米，比上年增长4.2%,其中，农业用水总量5657.6万立方米，占全年用水量的59.1%;工业用水总量1698.6万立方米，占全年用水量的17.7%；生活用水总量1916.3万立方米，占全年用水量的20.1%;生态环境补水量298.2万立方米，占全年用水量的3.1%。</w:t>
      </w:r>
    </w:p>
    <w:p>
      <w:pPr>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color w:val="000000"/>
          <w:kern w:val="0"/>
          <w:sz w:val="32"/>
          <w:szCs w:val="32"/>
        </w:rPr>
        <w:t>全年生产安全事故死亡人数0人，亿元生产总值生产安全事故死亡人数0人。</w:t>
      </w:r>
    </w:p>
    <w:p>
      <w:pPr>
        <w:spacing w:before="249" w:beforeLines="80" w:after="249" w:afterLines="80" w:line="620" w:lineRule="exact"/>
        <w:ind w:firstLine="640" w:firstLineChars="200"/>
        <w:rPr>
          <w:rFonts w:ascii="仿宋_GB2312" w:eastAsia="仿宋_GB2312"/>
          <w:sz w:val="32"/>
          <w:szCs w:val="32"/>
        </w:rPr>
      </w:pPr>
    </w:p>
    <w:p>
      <w:pPr>
        <w:widowControl/>
        <w:spacing w:before="249" w:beforeLines="80" w:after="249" w:afterLines="80" w:line="620" w:lineRule="exact"/>
        <w:ind w:firstLine="643" w:firstLineChars="200"/>
        <w:rPr>
          <w:rFonts w:ascii="仿宋_GB2312" w:eastAsia="仿宋_GB2312" w:cs="Times New Roman"/>
          <w:kern w:val="0"/>
          <w:sz w:val="32"/>
          <w:szCs w:val="32"/>
        </w:rPr>
      </w:pPr>
      <w:r>
        <w:rPr>
          <w:rFonts w:hint="eastAsia" w:ascii="仿宋_GB2312" w:hAnsi="宋体" w:eastAsia="仿宋_GB2312" w:cs="方正书宋简体"/>
          <w:b/>
          <w:bCs/>
          <w:color w:val="000000"/>
          <w:kern w:val="0"/>
          <w:sz w:val="32"/>
          <w:szCs w:val="32"/>
        </w:rPr>
        <w:t>注释：</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1、本公报数据为初步统计数据。</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2、地区生产总值、各行业增加值绝对数按现价计算，增长速度按可比价计算。根据国家统计局2012年制定的《三次产业划分规定》，第一产业增加值不含农林牧渔专业及辅助性活动增加值。</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3、电力数据出自电力局，仅指地方电力供电情况。</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4、大中小型拖拉机分类标准：14.7千瓦以上是大中型拖拉机，14.7千瓦以下是小型拖拉机。</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5、工业用水含国电、宝二电和长青能化用水。</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6、营运载货车辆是注册登记4.5吨以上车辆。</w:t>
      </w:r>
    </w:p>
    <w:p>
      <w:pPr>
        <w:widowControl/>
        <w:spacing w:before="249" w:beforeLines="80" w:after="249" w:afterLines="80" w:line="620" w:lineRule="exact"/>
        <w:ind w:firstLine="640"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color w:val="000000"/>
          <w:kern w:val="0"/>
          <w:sz w:val="32"/>
          <w:szCs w:val="32"/>
        </w:rPr>
        <w:t>7、门诊两病指高血压、糖尿病。</w:t>
      </w:r>
    </w:p>
    <w:p>
      <w:pPr>
        <w:widowControl/>
        <w:spacing w:before="249" w:beforeLines="80" w:after="249" w:afterLines="80" w:line="620" w:lineRule="exact"/>
        <w:ind w:firstLine="643" w:firstLineChars="200"/>
        <w:rPr>
          <w:rFonts w:ascii="仿宋_GB2312" w:hAnsi="宋体" w:eastAsia="仿宋_GB2312" w:cs="方正书宋简体"/>
          <w:color w:val="000000"/>
          <w:kern w:val="0"/>
          <w:sz w:val="32"/>
          <w:szCs w:val="32"/>
        </w:rPr>
      </w:pPr>
      <w:r>
        <w:rPr>
          <w:rFonts w:hint="eastAsia" w:ascii="仿宋_GB2312" w:hAnsi="宋体" w:eastAsia="仿宋_GB2312" w:cs="方正书宋简体"/>
          <w:b/>
          <w:color w:val="000000"/>
          <w:kern w:val="0"/>
          <w:sz w:val="32"/>
          <w:szCs w:val="32"/>
        </w:rPr>
        <w:t>资料来源</w:t>
      </w:r>
      <w:r>
        <w:rPr>
          <w:rFonts w:hint="eastAsia" w:ascii="仿宋_GB2312" w:hAnsi="宋体" w:eastAsia="仿宋_GB2312" w:cs="方正书宋简体"/>
          <w:color w:val="000000"/>
          <w:kern w:val="0"/>
          <w:sz w:val="32"/>
          <w:szCs w:val="32"/>
        </w:rPr>
        <w:t>：</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书宋简体"/>
          <w:color w:val="000000"/>
          <w:kern w:val="0"/>
          <w:sz w:val="32"/>
          <w:szCs w:val="32"/>
        </w:rPr>
        <w:t>本公报中，财政数据来自财政局；公路数据来自交通局；户籍数据来自公安局；通信业务收入、年末固定电话及移动电话用户数、互联网用户数、有线电视用户数据来自邮政管理局、电信局、移动公司、联通公司、广电</w:t>
      </w:r>
      <w:r>
        <w:fldChar w:fldCharType="begin"/>
      </w:r>
      <w:r>
        <w:instrText xml:space="preserve"> HYPERLINK "http://www.xait.net/" \t "http://10.61.96.10/tjgb/_blank" </w:instrText>
      </w:r>
      <w:r>
        <w:fldChar w:fldCharType="separate"/>
      </w:r>
      <w:r>
        <w:rPr>
          <w:rFonts w:hint="eastAsia" w:ascii="仿宋_GB2312" w:hAnsi="宋体" w:eastAsia="仿宋_GB2312" w:cs="方正书宋简体"/>
          <w:color w:val="151515"/>
          <w:kern w:val="0"/>
          <w:sz w:val="32"/>
          <w:szCs w:val="32"/>
        </w:rPr>
        <w:t>网络</w:t>
      </w:r>
      <w:r>
        <w:rPr>
          <w:rFonts w:hint="eastAsia" w:ascii="仿宋_GB2312" w:hAnsi="宋体" w:eastAsia="仿宋_GB2312" w:cs="方正书宋简体"/>
          <w:color w:val="151515"/>
          <w:kern w:val="0"/>
          <w:sz w:val="32"/>
          <w:szCs w:val="32"/>
        </w:rPr>
        <w:fldChar w:fldCharType="end"/>
      </w:r>
      <w:r>
        <w:rPr>
          <w:rFonts w:hint="eastAsia" w:ascii="仿宋_GB2312" w:hAnsi="宋体" w:eastAsia="仿宋_GB2312" w:cs="方正书宋简体"/>
          <w:color w:val="000000"/>
          <w:kern w:val="0"/>
          <w:sz w:val="32"/>
          <w:szCs w:val="32"/>
        </w:rPr>
        <w:t>公司；旅游、文化、广播电视数据来自文旅局；金融数据来自人民银行凤翔区支行；保险业数据来自人保财险公司和人寿保险公司；科技数据来自工信局；专利数据来自市场监管局；人口三率、卫生数据来自卫健局；养老保险、失业保险、工伤保险数据来自人社局；医保数据来自医保局；教育、体育数据来自教体局；林业数据来自林业局；低保和五保供养数据来自民政局；环境监测数据来自生态环境局和住建局；水资源数据来自水利局；安全生产数据来自应急管理局。</w:t>
      </w:r>
    </w:p>
    <w:p>
      <w:pPr>
        <w:widowControl/>
        <w:spacing w:before="249" w:beforeLines="80" w:after="249" w:afterLines="80" w:line="620" w:lineRule="exact"/>
        <w:ind w:firstLine="640" w:firstLineChars="200"/>
        <w:rPr>
          <w:rFonts w:ascii="仿宋_GB2312" w:eastAsia="仿宋_GB2312" w:cs="Times New Roman"/>
          <w:kern w:val="0"/>
          <w:sz w:val="32"/>
          <w:szCs w:val="32"/>
        </w:rPr>
      </w:pPr>
      <w:r>
        <w:rPr>
          <w:rFonts w:hint="eastAsia" w:ascii="仿宋_GB2312" w:hAnsi="宋体" w:eastAsia="仿宋_GB2312" w:cs="方正仿宋简体"/>
          <w:color w:val="000000"/>
          <w:kern w:val="0"/>
          <w:sz w:val="32"/>
          <w:szCs w:val="32"/>
        </w:rPr>
        <w:t> </w:t>
      </w:r>
    </w:p>
    <w:p>
      <w:pPr>
        <w:spacing w:before="249" w:beforeLines="80" w:after="249" w:afterLines="80" w:line="620" w:lineRule="exact"/>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449786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YTBlNDI5ZWYxYzMzNTg0ZmI0ZGNmNTQ5ZmIwMTQifQ=="/>
  </w:docVars>
  <w:rsids>
    <w:rsidRoot w:val="00B93AE2"/>
    <w:rsid w:val="00021700"/>
    <w:rsid w:val="000B189E"/>
    <w:rsid w:val="001147DC"/>
    <w:rsid w:val="00121F1A"/>
    <w:rsid w:val="001E14C8"/>
    <w:rsid w:val="002358CB"/>
    <w:rsid w:val="002570D9"/>
    <w:rsid w:val="00296BF1"/>
    <w:rsid w:val="002E37DD"/>
    <w:rsid w:val="00350080"/>
    <w:rsid w:val="003666E6"/>
    <w:rsid w:val="00374056"/>
    <w:rsid w:val="003E4C26"/>
    <w:rsid w:val="00441497"/>
    <w:rsid w:val="0051418F"/>
    <w:rsid w:val="005267C7"/>
    <w:rsid w:val="00541C93"/>
    <w:rsid w:val="00554061"/>
    <w:rsid w:val="00565046"/>
    <w:rsid w:val="005B51DE"/>
    <w:rsid w:val="006564D7"/>
    <w:rsid w:val="0069127C"/>
    <w:rsid w:val="00694591"/>
    <w:rsid w:val="006A0029"/>
    <w:rsid w:val="006A38D1"/>
    <w:rsid w:val="00747200"/>
    <w:rsid w:val="00751E27"/>
    <w:rsid w:val="00765D4F"/>
    <w:rsid w:val="00890337"/>
    <w:rsid w:val="00897F7A"/>
    <w:rsid w:val="008C15CB"/>
    <w:rsid w:val="008E346D"/>
    <w:rsid w:val="009513CB"/>
    <w:rsid w:val="00962BC4"/>
    <w:rsid w:val="00985887"/>
    <w:rsid w:val="009D3E3D"/>
    <w:rsid w:val="009D4E0A"/>
    <w:rsid w:val="009E07D8"/>
    <w:rsid w:val="00A07A64"/>
    <w:rsid w:val="00AD6FD2"/>
    <w:rsid w:val="00B21803"/>
    <w:rsid w:val="00B50BA5"/>
    <w:rsid w:val="00B6154E"/>
    <w:rsid w:val="00B93AE2"/>
    <w:rsid w:val="00BD0F61"/>
    <w:rsid w:val="00BF6C5D"/>
    <w:rsid w:val="00C40B58"/>
    <w:rsid w:val="00C77481"/>
    <w:rsid w:val="00CE0538"/>
    <w:rsid w:val="00D27FBB"/>
    <w:rsid w:val="00D32A66"/>
    <w:rsid w:val="00D9084A"/>
    <w:rsid w:val="00DD02BE"/>
    <w:rsid w:val="00DF4BE9"/>
    <w:rsid w:val="00E56502"/>
    <w:rsid w:val="00EE205C"/>
    <w:rsid w:val="00EE5032"/>
    <w:rsid w:val="00EF0432"/>
    <w:rsid w:val="00F55558"/>
    <w:rsid w:val="00F63052"/>
    <w:rsid w:val="00F856B4"/>
    <w:rsid w:val="00F95845"/>
    <w:rsid w:val="00FE3354"/>
    <w:rsid w:val="04C0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t" anchorCtr="1"/>
          <a:lstStyle/>
          <a:p>
            <a:pPr>
              <a:defRPr lang="zh-CN" sz="1400" b="1" i="0" u="none" strike="noStrike" kern="1200" baseline="0">
                <a:solidFill>
                  <a:schemeClr val="tx1"/>
                </a:solidFill>
                <a:latin typeface="+mn-lt"/>
                <a:ea typeface="+mn-ea"/>
                <a:cs typeface="+mn-cs"/>
              </a:defRPr>
            </a:pPr>
            <a:r>
              <a:rPr lang="zh-CN" altLang="en-US" sz="1400" baseline="0"/>
              <a:t>图</a:t>
            </a:r>
            <a:r>
              <a:rPr lang="en-US" altLang="zh-CN" sz="1400" baseline="0"/>
              <a:t>1         2017</a:t>
            </a:r>
            <a:r>
              <a:rPr lang="zh-CN" altLang="en-US" sz="1400" baseline="0"/>
              <a:t>年</a:t>
            </a:r>
            <a:r>
              <a:rPr lang="en-US" altLang="zh-CN" sz="1400" baseline="0"/>
              <a:t>-2021</a:t>
            </a:r>
            <a:r>
              <a:rPr lang="zh-CN" altLang="en-US" sz="1400" baseline="0"/>
              <a:t>年全区农林牧渔业总产值</a:t>
            </a:r>
            <a:endParaRPr lang="zh-CN" altLang="en-US" sz="1400" baseline="0"/>
          </a:p>
        </c:rich>
      </c:tx>
      <c:layout>
        <c:manualLayout>
          <c:xMode val="edge"/>
          <c:yMode val="edge"/>
          <c:x val="0.197746586024573"/>
          <c:y val="0.0138887684910946"/>
        </c:manualLayout>
      </c:layout>
      <c:overlay val="0"/>
    </c:title>
    <c:autoTitleDeleted val="0"/>
    <c:plotArea>
      <c:layout/>
      <c:barChart>
        <c:barDir val="col"/>
        <c:grouping val="clustered"/>
        <c:varyColors val="0"/>
        <c:ser>
          <c:idx val="0"/>
          <c:order val="0"/>
          <c:tx>
            <c:strRef>
              <c:f>Sheet1!$C$3</c:f>
              <c:strCache>
                <c:ptCount val="1"/>
                <c:pt idx="0">
                  <c:v>单位：亿元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Sheet1!$B$4:$B$8</c:f>
              <c:strCache>
                <c:ptCount val="5"/>
                <c:pt idx="0">
                  <c:v>2017年</c:v>
                </c:pt>
                <c:pt idx="1">
                  <c:v>2018年</c:v>
                </c:pt>
                <c:pt idx="2">
                  <c:v>2019年</c:v>
                </c:pt>
                <c:pt idx="3">
                  <c:v>2020年</c:v>
                </c:pt>
                <c:pt idx="4">
                  <c:v>2021年</c:v>
                </c:pt>
              </c:strCache>
            </c:strRef>
          </c:cat>
          <c:val>
            <c:numRef>
              <c:f>Sheet1!$C$4:$C$8</c:f>
              <c:numCache>
                <c:formatCode>General</c:formatCode>
                <c:ptCount val="5"/>
                <c:pt idx="0">
                  <c:v>43.22</c:v>
                </c:pt>
                <c:pt idx="1">
                  <c:v>40.24</c:v>
                </c:pt>
                <c:pt idx="2">
                  <c:v>43.88</c:v>
                </c:pt>
                <c:pt idx="3">
                  <c:v>50.37</c:v>
                </c:pt>
                <c:pt idx="4">
                  <c:v>53.35</c:v>
                </c:pt>
              </c:numCache>
            </c:numRef>
          </c:val>
        </c:ser>
        <c:dLbls>
          <c:showLegendKey val="0"/>
          <c:showVal val="0"/>
          <c:showCatName val="0"/>
          <c:showSerName val="0"/>
          <c:showPercent val="0"/>
          <c:showBubbleSize val="0"/>
        </c:dLbls>
        <c:gapWidth val="150"/>
        <c:axId val="303955968"/>
        <c:axId val="206437120"/>
      </c:barChart>
      <c:catAx>
        <c:axId val="303955968"/>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437120"/>
        <c:crosses val="autoZero"/>
        <c:auto val="1"/>
        <c:lblAlgn val="ctr"/>
        <c:lblOffset val="100"/>
        <c:noMultiLvlLbl val="0"/>
      </c:catAx>
      <c:valAx>
        <c:axId val="206437120"/>
        <c:scaling>
          <c:orientation val="minMax"/>
        </c:scaling>
        <c:delete val="0"/>
        <c:axPos val="l"/>
        <c:numFmt formatCode="General" sourceLinked="1"/>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955968"/>
        <c:crosses val="autoZero"/>
        <c:crossBetween val="between"/>
      </c:valAx>
      <c:spPr>
        <a:noFill/>
        <a:ln w="25400">
          <a:noFill/>
        </a:ln>
      </c:spPr>
    </c:plotArea>
    <c:legend>
      <c:legendPos val="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图</a:t>
            </a:r>
            <a:r>
              <a:rPr lang="en-US" altLang="zh-CN" sz="1400"/>
              <a:t>2        2017</a:t>
            </a:r>
            <a:r>
              <a:rPr lang="zh-CN" altLang="en-US" sz="1400"/>
              <a:t>年</a:t>
            </a:r>
            <a:r>
              <a:rPr lang="en-US" altLang="zh-CN" sz="1400"/>
              <a:t>-2021</a:t>
            </a:r>
            <a:r>
              <a:rPr lang="zh-CN" altLang="en-US" sz="1400"/>
              <a:t>年规模以上工业总产值</a:t>
            </a:r>
            <a:endParaRPr lang="en-US" altLang="zh-CN" sz="1400"/>
          </a:p>
          <a:p>
            <a:pPr>
              <a:defRPr lang="zh-CN" sz="1400" b="1" i="0" u="none" strike="noStrike" kern="1200" baseline="0">
                <a:solidFill>
                  <a:schemeClr val="tx1"/>
                </a:solidFill>
                <a:latin typeface="+mn-lt"/>
                <a:ea typeface="+mn-ea"/>
                <a:cs typeface="+mn-cs"/>
              </a:defRPr>
            </a:pPr>
            <a:r>
              <a:rPr lang="zh-CN" altLang="en-US" sz="1400"/>
              <a:t>增速（</a:t>
            </a:r>
            <a:r>
              <a:rPr lang="en-US" altLang="zh-CN" sz="1400"/>
              <a:t>%</a:t>
            </a:r>
            <a:r>
              <a:rPr lang="zh-CN" altLang="en-US" sz="1400"/>
              <a:t>）</a:t>
            </a:r>
            <a:endParaRPr lang="zh-CN" altLang="en-US" sz="1400"/>
          </a:p>
        </c:rich>
      </c:tx>
      <c:layout>
        <c:manualLayout>
          <c:xMode val="edge"/>
          <c:yMode val="edge"/>
          <c:x val="0.233753753753754"/>
          <c:y val="0.0857699805068226"/>
        </c:manualLayout>
      </c:layout>
      <c:overlay val="0"/>
    </c:title>
    <c:autoTitleDeleted val="0"/>
    <c:plotArea>
      <c:layout>
        <c:manualLayout>
          <c:layoutTarget val="inner"/>
          <c:xMode val="edge"/>
          <c:yMode val="edge"/>
          <c:x val="0.0504299620775251"/>
          <c:y val="0.197327661628503"/>
          <c:w val="0.9109925816235"/>
          <c:h val="0.684486077171388"/>
        </c:manualLayout>
      </c:layout>
      <c:lineChart>
        <c:grouping val="standard"/>
        <c:varyColors val="0"/>
        <c:ser>
          <c:idx val="0"/>
          <c:order val="0"/>
          <c:tx>
            <c:strRef>
              <c:f>Sheet1!$B$1</c:f>
              <c:strCache>
                <c:ptCount val="1"/>
                <c:pt idx="0">
                  <c:v>2017年-2021年规模以上工业总产值增速（%）</c:v>
                </c:pt>
              </c:strCache>
            </c:strRef>
          </c:tx>
          <c:spPr>
            <a:ln w="28575" cap="rnd" cmpd="sng" algn="ctr">
              <a:solidFill>
                <a:schemeClr val="accent1">
                  <a:alpha val="96000"/>
                </a:schemeClr>
              </a:solidFill>
              <a:prstDash val="solid"/>
              <a:bevel/>
              <a:headEnd type="oval" w="med" len="med"/>
              <a:tailEnd type="oval" w="med" len="med"/>
            </a:ln>
          </c:spPr>
          <c:marker>
            <c:symbol val="none"/>
          </c:marker>
          <c:dLbls>
            <c:dLbl>
              <c:idx val="0"/>
              <c:layout>
                <c:manualLayout>
                  <c:x val="-0.05"/>
                  <c:y val="-0.05092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4444444444445"/>
                  <c:y val="0.06018518518518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
                  <c:y val="-0.055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72222222222221"/>
                  <c:y val="0.055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2017年</c:v>
                </c:pt>
                <c:pt idx="1">
                  <c:v>2018年</c:v>
                </c:pt>
                <c:pt idx="2">
                  <c:v>2019年</c:v>
                </c:pt>
                <c:pt idx="3">
                  <c:v>2020年</c:v>
                </c:pt>
                <c:pt idx="4">
                  <c:v>2021年</c:v>
                </c:pt>
              </c:strCache>
            </c:strRef>
          </c:cat>
          <c:val>
            <c:numRef>
              <c:f>Sheet1!$B$2:$B$6</c:f>
              <c:numCache>
                <c:formatCode>General</c:formatCode>
                <c:ptCount val="5"/>
                <c:pt idx="0">
                  <c:v>19.2</c:v>
                </c:pt>
                <c:pt idx="1">
                  <c:v>10.6</c:v>
                </c:pt>
                <c:pt idx="2">
                  <c:v>14.3</c:v>
                </c:pt>
                <c:pt idx="3">
                  <c:v>5.2</c:v>
                </c:pt>
                <c:pt idx="4" c:formatCode="0.0_ ">
                  <c:v>8</c:v>
                </c:pt>
              </c:numCache>
            </c:numRef>
          </c:val>
          <c:smooth val="0"/>
        </c:ser>
        <c:dLbls>
          <c:showLegendKey val="0"/>
          <c:showVal val="0"/>
          <c:showCatName val="0"/>
          <c:showSerName val="0"/>
          <c:showPercent val="0"/>
          <c:showBubbleSize val="0"/>
        </c:dLbls>
        <c:marker val="0"/>
        <c:smooth val="0"/>
        <c:axId val="303654912"/>
        <c:axId val="251093568"/>
      </c:lineChart>
      <c:catAx>
        <c:axId val="303654912"/>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1093568"/>
        <c:crosses val="autoZero"/>
        <c:auto val="1"/>
        <c:lblAlgn val="ctr"/>
        <c:lblOffset val="100"/>
        <c:noMultiLvlLbl val="0"/>
      </c:catAx>
      <c:valAx>
        <c:axId val="251093568"/>
        <c:scaling>
          <c:orientation val="minMax"/>
        </c:scaling>
        <c:delete val="0"/>
        <c:axPos val="l"/>
        <c:numFmt formatCode="General" sourceLinked="1"/>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654912"/>
        <c:crosses val="autoZero"/>
        <c:crossBetween val="between"/>
      </c:valAx>
      <c:spPr>
        <a:noFill/>
        <a:ln w="25400">
          <a:noFill/>
        </a:ln>
      </c:spPr>
    </c:plotArea>
    <c:plotVisOnly val="1"/>
    <c:dispBlanksAs val="gap"/>
    <c:showDLblsOverMax val="0"/>
  </c:chart>
  <c:spPr>
    <a:ln w="9525" cap="flat" cmpd="sng" algn="ctr">
      <a:solidFill>
        <a:schemeClr val="bg1"/>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图</a:t>
            </a:r>
            <a:r>
              <a:rPr lang="en-US" altLang="zh-CN" sz="1400"/>
              <a:t>3        2017</a:t>
            </a:r>
            <a:r>
              <a:rPr lang="zh-CN" altLang="en-US" sz="1400"/>
              <a:t>年</a:t>
            </a:r>
            <a:r>
              <a:rPr lang="en-US" altLang="zh-CN" sz="1400"/>
              <a:t>-2021</a:t>
            </a:r>
            <a:r>
              <a:rPr lang="zh-CN" altLang="en-US" sz="1400"/>
              <a:t>年社会消费品零售总额</a:t>
            </a:r>
            <a:endParaRPr lang="en-US" altLang="zh-CN" sz="1400"/>
          </a:p>
          <a:p>
            <a:pPr>
              <a:defRPr lang="zh-CN" sz="1400" b="1" i="0" u="none" strike="noStrike" kern="1200" baseline="0">
                <a:solidFill>
                  <a:schemeClr val="tx1"/>
                </a:solidFill>
                <a:latin typeface="+mn-lt"/>
                <a:ea typeface="+mn-ea"/>
                <a:cs typeface="+mn-cs"/>
              </a:defRPr>
            </a:pPr>
            <a:r>
              <a:rPr lang="zh-CN" altLang="en-US" sz="1400"/>
              <a:t>增速（</a:t>
            </a:r>
            <a:r>
              <a:rPr lang="en-US" altLang="zh-CN" sz="1400"/>
              <a:t>%</a:t>
            </a:r>
            <a:r>
              <a:rPr lang="zh-CN" altLang="en-US" sz="1400"/>
              <a:t>）</a:t>
            </a:r>
            <a:endParaRPr lang="zh-CN" altLang="en-US" sz="1400"/>
          </a:p>
        </c:rich>
      </c:tx>
      <c:layout>
        <c:manualLayout>
          <c:xMode val="edge"/>
          <c:yMode val="edge"/>
          <c:x val="0.24771350332111"/>
          <c:y val="0.0253968253968254"/>
        </c:manualLayout>
      </c:layout>
      <c:overlay val="0"/>
    </c:title>
    <c:autoTitleDeleted val="0"/>
    <c:plotArea>
      <c:layout>
        <c:manualLayout>
          <c:layoutTarget val="inner"/>
          <c:xMode val="edge"/>
          <c:yMode val="edge"/>
          <c:x val="0.0623726276092745"/>
          <c:y val="0.215133204196121"/>
          <c:w val="0.911153244833566"/>
          <c:h val="0.674764073021224"/>
        </c:manualLayout>
      </c:layout>
      <c:lineChart>
        <c:grouping val="standard"/>
        <c:varyColors val="0"/>
        <c:ser>
          <c:idx val="0"/>
          <c:order val="0"/>
          <c:tx>
            <c:strRef>
              <c:f>Sheet1!$G$1</c:f>
              <c:strCache>
                <c:ptCount val="1"/>
                <c:pt idx="0">
                  <c:v>2017年-2021年社会消费品零售总额增速（%）</c:v>
                </c:pt>
              </c:strCache>
            </c:strRef>
          </c:tx>
          <c:spPr>
            <a:ln w="28575" cap="rnd" cmpd="sng" algn="ctr">
              <a:solidFill>
                <a:schemeClr val="tx2">
                  <a:lumMod val="60000"/>
                  <a:lumOff val="40000"/>
                  <a:alpha val="86000"/>
                </a:schemeClr>
              </a:solidFill>
              <a:prstDash val="solid"/>
              <a:round/>
            </a:ln>
          </c:spPr>
          <c:marker>
            <c:spPr>
              <a:ln w="28575" cap="rnd" cmpd="sng" algn="ctr">
                <a:solidFill>
                  <a:schemeClr val="tx2">
                    <a:lumMod val="60000"/>
                    <a:lumOff val="40000"/>
                    <a:alpha val="87000"/>
                  </a:schemeClr>
                </a:solidFill>
                <a:prstDash val="solid"/>
                <a:round/>
              </a:ln>
            </c:spPr>
          </c:marker>
          <c:dLbls>
            <c:dLbl>
              <c:idx val="0"/>
              <c:layout>
                <c:manualLayout>
                  <c:x val="-0.0527777777777778"/>
                  <c:y val="-0.06481481481481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16666666666667"/>
                  <c:y val="-0.060185185185185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16666666666667"/>
                  <c:y val="0.069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33333333333333"/>
                  <c:y val="0.0601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Sheet1!$F$2:$F$6</c:f>
              <c:strCache>
                <c:ptCount val="5"/>
                <c:pt idx="0">
                  <c:v>2017年</c:v>
                </c:pt>
                <c:pt idx="1">
                  <c:v>2018年</c:v>
                </c:pt>
                <c:pt idx="2">
                  <c:v>2019年</c:v>
                </c:pt>
                <c:pt idx="3">
                  <c:v>2020年</c:v>
                </c:pt>
                <c:pt idx="4">
                  <c:v>2021年</c:v>
                </c:pt>
              </c:strCache>
            </c:strRef>
          </c:cat>
          <c:val>
            <c:numRef>
              <c:f>Sheet1!$G$2:$G$6</c:f>
              <c:numCache>
                <c:formatCode>General</c:formatCode>
                <c:ptCount val="5"/>
                <c:pt idx="0">
                  <c:v>13.4</c:v>
                </c:pt>
                <c:pt idx="1">
                  <c:v>12.4</c:v>
                </c:pt>
                <c:pt idx="2">
                  <c:v>9.2</c:v>
                </c:pt>
                <c:pt idx="3">
                  <c:v>9.1</c:v>
                </c:pt>
                <c:pt idx="4" c:formatCode="0.0_ ">
                  <c:v>15.3</c:v>
                </c:pt>
              </c:numCache>
            </c:numRef>
          </c:val>
          <c:smooth val="0"/>
        </c:ser>
        <c:dLbls>
          <c:showLegendKey val="0"/>
          <c:showVal val="0"/>
          <c:showCatName val="0"/>
          <c:showSerName val="0"/>
          <c:showPercent val="0"/>
          <c:showBubbleSize val="0"/>
        </c:dLbls>
        <c:marker val="1"/>
        <c:smooth val="0"/>
        <c:axId val="303956992"/>
        <c:axId val="251095296"/>
      </c:lineChart>
      <c:catAx>
        <c:axId val="303956992"/>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1095296"/>
        <c:crosses val="autoZero"/>
        <c:auto val="1"/>
        <c:lblAlgn val="ctr"/>
        <c:lblOffset val="100"/>
        <c:noMultiLvlLbl val="0"/>
      </c:catAx>
      <c:valAx>
        <c:axId val="251095296"/>
        <c:scaling>
          <c:orientation val="minMax"/>
        </c:scaling>
        <c:delete val="0"/>
        <c:axPos val="l"/>
        <c:numFmt formatCode="General" sourceLinked="1"/>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956992"/>
        <c:crosses val="autoZero"/>
        <c:crossBetween val="between"/>
      </c:valAx>
      <c:spPr>
        <a:ln w="25400">
          <a:noFill/>
        </a:ln>
      </c:spPr>
    </c:plotArea>
    <c:plotVisOnly val="1"/>
    <c:dispBlanksAs val="gap"/>
    <c:showDLblsOverMax val="0"/>
  </c:chart>
  <c:spPr>
    <a:ln w="9525" cap="flat" cmpd="sng" algn="ctr">
      <a:solidFill>
        <a:schemeClr val="bg1"/>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A95C-B457-4F24-AD87-ACFC02807484}">
  <ds:schemaRefs/>
</ds:datastoreItem>
</file>

<file path=docProps/app.xml><?xml version="1.0" encoding="utf-8"?>
<Properties xmlns="http://schemas.openxmlformats.org/officeDocument/2006/extended-properties" xmlns:vt="http://schemas.openxmlformats.org/officeDocument/2006/docPropsVTypes">
  <Template>Normal</Template>
  <Pages>14</Pages>
  <Words>4443</Words>
  <Characters>5533</Characters>
  <Lines>41</Lines>
  <Paragraphs>11</Paragraphs>
  <TotalTime>1792</TotalTime>
  <ScaleCrop>false</ScaleCrop>
  <LinksUpToDate>false</LinksUpToDate>
  <CharactersWithSpaces>5583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2022-03-25T07:28:00Z</dcterms:created>
  <dc:creator>DELL</dc:creator>
  <cp:lastModifiedBy>烈火金刚</cp:lastModifiedBy>
  <cp:lastPrinted>2022-04-06T00:46:00Z</cp:lastPrinted>
  <dcterms:modified xsi:type="dcterms:W3CDTF">2023-04-14T03:31:06Z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8FD859AD651E489C9C4CBB98686C1EA0_12</vt:lpwstr>
  </property>
</Properties>
</file>