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1AC16">
      <w:pPr>
        <w:jc w:val="center"/>
        <w:rPr>
          <w:rFonts w:hint="eastAsia" w:ascii="黑体" w:hAnsi="黑体" w:eastAsia="黑体" w:cs="黑体"/>
          <w:sz w:val="36"/>
          <w:szCs w:val="36"/>
        </w:rPr>
      </w:pPr>
    </w:p>
    <w:p w14:paraId="65EB9D34">
      <w:pPr>
        <w:jc w:val="center"/>
        <w:rPr>
          <w:rFonts w:ascii="仿宋_GB2312" w:hAnsi="仿宋_GB2312" w:eastAsia="仿宋_GB2312" w:cs="仿宋_GB2312"/>
          <w:sz w:val="32"/>
          <w:szCs w:val="32"/>
        </w:rPr>
      </w:pPr>
      <w:r>
        <w:rPr>
          <w:rFonts w:hint="eastAsia" w:ascii="黑体" w:hAnsi="黑体" w:eastAsia="黑体" w:cs="黑体"/>
          <w:sz w:val="36"/>
          <w:szCs w:val="36"/>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年宝鸡市凤翔区国民经济和社会发展统计公报</w:t>
      </w:r>
    </w:p>
    <w:p w14:paraId="28D3B537">
      <w:pPr>
        <w:spacing w:line="300" w:lineRule="exact"/>
        <w:jc w:val="center"/>
        <w:rPr>
          <w:rFonts w:ascii="仿宋_GB2312" w:hAnsi="仿宋_GB2312" w:eastAsia="仿宋_GB2312" w:cs="仿宋_GB2312"/>
          <w:sz w:val="32"/>
          <w:szCs w:val="32"/>
        </w:rPr>
      </w:pPr>
    </w:p>
    <w:p w14:paraId="0A481165">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宝鸡市凤翔区统计局</w:t>
      </w:r>
    </w:p>
    <w:p w14:paraId="49EDCC8F">
      <w:pPr>
        <w:spacing w:line="300" w:lineRule="exact"/>
        <w:jc w:val="center"/>
        <w:rPr>
          <w:rFonts w:ascii="仿宋_GB2312" w:hAnsi="仿宋_GB2312" w:eastAsia="仿宋_GB2312" w:cs="仿宋_GB2312"/>
          <w:sz w:val="32"/>
          <w:szCs w:val="32"/>
        </w:rPr>
      </w:pPr>
    </w:p>
    <w:p w14:paraId="0A906D0B">
      <w:pPr>
        <w:spacing w:line="3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年3月）</w:t>
      </w:r>
    </w:p>
    <w:p w14:paraId="5C023400">
      <w:pPr>
        <w:spacing w:line="300" w:lineRule="exact"/>
        <w:jc w:val="center"/>
        <w:rPr>
          <w:rFonts w:ascii="仿宋_GB2312" w:hAnsi="仿宋_GB2312" w:eastAsia="仿宋_GB2312" w:cs="仿宋_GB2312"/>
          <w:sz w:val="32"/>
          <w:szCs w:val="32"/>
        </w:rPr>
      </w:pPr>
    </w:p>
    <w:p w14:paraId="4AAB3B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bdr w:val="none" w:color="auto" w:sz="0" w:space="0"/>
        </w:rPr>
        <w:t>2023年，</w:t>
      </w:r>
      <w:r>
        <w:rPr>
          <w:rFonts w:hint="eastAsia" w:ascii="仿宋_GB2312" w:hAnsi="微软雅黑" w:eastAsia="仿宋_GB2312" w:cs="仿宋_GB2312"/>
          <w:i w:val="0"/>
          <w:iCs w:val="0"/>
          <w:caps w:val="0"/>
          <w:color w:val="000000"/>
          <w:spacing w:val="0"/>
          <w:sz w:val="31"/>
          <w:szCs w:val="31"/>
          <w:bdr w:val="none" w:color="auto" w:sz="0" w:space="0"/>
        </w:rPr>
        <w:t>凤翔区坚持以习近平新时代中国特色社会主义思想为指导，深入贯彻落实党的二十大精神和习近平总书记历次来陕重要讲话重要指示，紧扣“一二五五”思路目标，完整准确全面贯彻新发展理念，扎实开展“三个年”活动，经济社会发展实现质的有效提升和量的合理增长。</w:t>
      </w:r>
    </w:p>
    <w:p w14:paraId="56CCCE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rPr>
        <w:t>一、</w:t>
      </w:r>
      <w:r>
        <w:rPr>
          <w:rFonts w:hint="eastAsia" w:ascii="黑体" w:hAnsi="宋体" w:eastAsia="黑体" w:cs="黑体"/>
          <w:i w:val="0"/>
          <w:iCs w:val="0"/>
          <w:caps w:val="0"/>
          <w:color w:val="000000"/>
          <w:spacing w:val="0"/>
          <w:sz w:val="31"/>
          <w:szCs w:val="31"/>
          <w:bdr w:val="none" w:color="auto" w:sz="0" w:space="0"/>
        </w:rPr>
        <w:t>综合</w:t>
      </w:r>
    </w:p>
    <w:p w14:paraId="114E9C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初步核算，全年地区生产总值同比增长4.2%。其中，第一产业增加值增长4.3%；第二产业增加值增长4.1%；第三产业增加值增长4.2%。非公有制经济增加值占地区生产总值比重50.02%。</w:t>
      </w:r>
    </w:p>
    <w:p w14:paraId="5A738189">
      <w:pPr>
        <w:ind w:firstLine="420" w:firstLineChars="200"/>
        <w:jc w:val="left"/>
        <w:rPr>
          <w:rFonts w:ascii="仿宋_GB2312" w:hAnsi="仿宋_GB2312" w:eastAsia="仿宋_GB2312" w:cs="仿宋_GB2312"/>
          <w:sz w:val="32"/>
          <w:szCs w:val="32"/>
        </w:rPr>
      </w:pPr>
      <w:r>
        <w:drawing>
          <wp:inline distT="0" distB="0" distL="114300" distR="114300">
            <wp:extent cx="4572000" cy="2743200"/>
            <wp:effectExtent l="4445" t="4445" r="1079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A18965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全年实现区域财政总收入</w:t>
      </w:r>
      <w:r>
        <w:rPr>
          <w:rFonts w:hint="eastAsia" w:ascii="仿宋_GB2312" w:hAnsi="仿宋_GB2312" w:eastAsia="仿宋_GB2312" w:cs="仿宋_GB2312"/>
          <w:sz w:val="32"/>
          <w:szCs w:val="32"/>
          <w:lang w:val="en-US" w:eastAsia="zh-CN"/>
        </w:rPr>
        <w:t>23.95</w:t>
      </w:r>
      <w:r>
        <w:rPr>
          <w:rFonts w:hint="eastAsia" w:ascii="仿宋_GB2312" w:hAnsi="仿宋_GB2312" w:eastAsia="仿宋_GB2312" w:cs="仿宋_GB2312"/>
          <w:sz w:val="32"/>
          <w:szCs w:val="32"/>
        </w:rPr>
        <w:t>亿元，比上年</w:t>
      </w:r>
      <w:r>
        <w:rPr>
          <w:rFonts w:hint="eastAsia" w:ascii="仿宋_GB2312" w:hAnsi="仿宋_GB2312" w:eastAsia="仿宋_GB2312" w:cs="仿宋_GB2312"/>
          <w:sz w:val="32"/>
          <w:szCs w:val="32"/>
          <w:lang w:val="en-US" w:eastAsia="zh-CN"/>
        </w:rPr>
        <w:t>增长2.1</w:t>
      </w:r>
      <w:r>
        <w:rPr>
          <w:rFonts w:hint="eastAsia" w:ascii="仿宋_GB2312" w:hAnsi="仿宋_GB2312" w:eastAsia="仿宋_GB2312" w:cs="仿宋_GB2312"/>
          <w:sz w:val="32"/>
          <w:szCs w:val="32"/>
        </w:rPr>
        <w:t>%。其中，地方财政收入6.</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sz w:val="32"/>
          <w:szCs w:val="32"/>
        </w:rPr>
        <w:t>%。公共财政预算支出完成</w:t>
      </w:r>
      <w:r>
        <w:rPr>
          <w:rFonts w:hint="eastAsia" w:ascii="仿宋_GB2312" w:hAnsi="仿宋_GB2312" w:eastAsia="仿宋_GB2312" w:cs="仿宋_GB2312"/>
          <w:sz w:val="32"/>
          <w:szCs w:val="32"/>
          <w:lang w:val="en-US" w:eastAsia="zh-CN"/>
        </w:rPr>
        <w:t>30.88</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w:t>
      </w:r>
    </w:p>
    <w:p w14:paraId="2E9CE355">
      <w:pPr>
        <w:ind w:firstLine="640" w:firstLineChars="200"/>
        <w:jc w:val="left"/>
        <w:rPr>
          <w:rFonts w:hint="default"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rPr>
        <w:t>全年全社会用电量5.</w:t>
      </w:r>
      <w:r>
        <w:rPr>
          <w:rFonts w:hint="eastAsia" w:ascii="仿宋_GB2312" w:hAnsi="仿宋_GB2312" w:eastAsia="仿宋_GB2312" w:cs="仿宋_GB2312"/>
          <w:strike w:val="0"/>
          <w:dstrike w:val="0"/>
          <w:sz w:val="32"/>
          <w:szCs w:val="32"/>
          <w:lang w:val="en-US" w:eastAsia="zh-CN"/>
        </w:rPr>
        <w:t>024</w:t>
      </w:r>
      <w:r>
        <w:rPr>
          <w:rFonts w:hint="eastAsia" w:ascii="仿宋_GB2312" w:hAnsi="仿宋_GB2312" w:eastAsia="仿宋_GB2312" w:cs="仿宋_GB2312"/>
          <w:strike w:val="0"/>
          <w:dstrike w:val="0"/>
          <w:sz w:val="32"/>
          <w:szCs w:val="32"/>
        </w:rPr>
        <w:t>亿千瓦时，其中，工业用电量</w:t>
      </w:r>
      <w:r>
        <w:rPr>
          <w:rFonts w:hint="eastAsia" w:ascii="仿宋_GB2312" w:hAnsi="仿宋_GB2312" w:eastAsia="仿宋_GB2312" w:cs="仿宋_GB2312"/>
          <w:strike w:val="0"/>
          <w:dstrike w:val="0"/>
          <w:sz w:val="32"/>
          <w:szCs w:val="32"/>
          <w:lang w:val="en-US" w:eastAsia="zh-CN"/>
        </w:rPr>
        <w:t>1.467</w:t>
      </w:r>
      <w:r>
        <w:rPr>
          <w:rFonts w:hint="eastAsia" w:ascii="仿宋_GB2312" w:hAnsi="仿宋_GB2312" w:eastAsia="仿宋_GB2312" w:cs="仿宋_GB2312"/>
          <w:strike w:val="0"/>
          <w:dstrike w:val="0"/>
          <w:sz w:val="32"/>
          <w:szCs w:val="32"/>
        </w:rPr>
        <w:t>亿千瓦时，居民生活用电量</w:t>
      </w:r>
      <w:r>
        <w:rPr>
          <w:rFonts w:hint="eastAsia" w:ascii="仿宋_GB2312" w:hAnsi="仿宋_GB2312" w:eastAsia="仿宋_GB2312" w:cs="仿宋_GB2312"/>
          <w:strike w:val="0"/>
          <w:dstrike w:val="0"/>
          <w:sz w:val="32"/>
          <w:szCs w:val="32"/>
          <w:lang w:val="en-US" w:eastAsia="zh-CN"/>
        </w:rPr>
        <w:t>1.881</w:t>
      </w:r>
      <w:r>
        <w:rPr>
          <w:rFonts w:hint="eastAsia" w:ascii="仿宋_GB2312" w:hAnsi="仿宋_GB2312" w:eastAsia="仿宋_GB2312" w:cs="仿宋_GB2312"/>
          <w:strike w:val="0"/>
          <w:dstrike w:val="0"/>
          <w:sz w:val="32"/>
          <w:szCs w:val="32"/>
        </w:rPr>
        <w:t>亿千瓦时。</w:t>
      </w:r>
    </w:p>
    <w:p w14:paraId="42EC76A5">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农业</w:t>
      </w:r>
    </w:p>
    <w:p w14:paraId="58BFC57E">
      <w:pPr>
        <w:pStyle w:val="6"/>
        <w:widowControl/>
        <w:spacing w:beforeAutospacing="0" w:afterAutospacing="0" w:line="252" w:lineRule="atLeast"/>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 </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sz w:val="32"/>
          <w:szCs w:val="32"/>
        </w:rPr>
        <w:t>全年农林牧渔及农林牧渔服务业完成总产值</w:t>
      </w:r>
      <w:r>
        <w:rPr>
          <w:rFonts w:hint="eastAsia" w:ascii="仿宋_GB2312" w:hAnsi="仿宋_GB2312" w:eastAsia="仿宋_GB2312" w:cs="仿宋_GB2312"/>
          <w:sz w:val="32"/>
          <w:szCs w:val="32"/>
          <w:lang w:val="en-US" w:eastAsia="zh-CN"/>
        </w:rPr>
        <w:t>60.53</w:t>
      </w:r>
      <w:r>
        <w:rPr>
          <w:rFonts w:hint="eastAsia" w:ascii="仿宋_GB2312" w:hAnsi="仿宋_GB2312" w:eastAsia="仿宋_GB2312" w:cs="仿宋_GB2312"/>
          <w:sz w:val="32"/>
          <w:szCs w:val="32"/>
        </w:rPr>
        <w:t>亿元，比上年增长4.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%。其中，农业产值4</w:t>
      </w:r>
      <w:r>
        <w:rPr>
          <w:rFonts w:hint="eastAsia" w:ascii="仿宋_GB2312" w:hAnsi="仿宋_GB2312" w:eastAsia="仿宋_GB2312" w:cs="仿宋_GB2312"/>
          <w:sz w:val="32"/>
          <w:szCs w:val="32"/>
          <w:lang w:val="en-US" w:eastAsia="zh-CN"/>
        </w:rPr>
        <w:t>5.88</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%；林业产值</w:t>
      </w:r>
      <w:r>
        <w:rPr>
          <w:rFonts w:hint="eastAsia" w:ascii="仿宋_GB2312" w:hAnsi="仿宋_GB2312" w:eastAsia="仿宋_GB2312" w:cs="仿宋_GB2312"/>
          <w:sz w:val="32"/>
          <w:szCs w:val="32"/>
          <w:lang w:val="en-US" w:eastAsia="zh-CN"/>
        </w:rPr>
        <w:t>5492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%；畜牧业产值12.</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增长4.0</w:t>
      </w:r>
      <w:r>
        <w:rPr>
          <w:rFonts w:hint="eastAsia" w:ascii="仿宋_GB2312" w:hAnsi="仿宋_GB2312" w:eastAsia="仿宋_GB2312" w:cs="仿宋_GB2312"/>
          <w:sz w:val="32"/>
          <w:szCs w:val="32"/>
        </w:rPr>
        <w:t>%；渔业产值</w:t>
      </w:r>
      <w:r>
        <w:rPr>
          <w:rFonts w:hint="eastAsia" w:ascii="仿宋_GB2312" w:hAnsi="仿宋_GB2312" w:eastAsia="仿宋_GB2312" w:cs="仿宋_GB2312"/>
          <w:sz w:val="32"/>
          <w:szCs w:val="32"/>
          <w:lang w:val="en-US" w:eastAsia="zh-CN"/>
        </w:rPr>
        <w:t>598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39.2</w:t>
      </w:r>
      <w:r>
        <w:rPr>
          <w:rFonts w:hint="eastAsia" w:ascii="仿宋_GB2312" w:hAnsi="仿宋_GB2312" w:eastAsia="仿宋_GB2312" w:cs="仿宋_GB2312"/>
          <w:sz w:val="32"/>
          <w:szCs w:val="32"/>
        </w:rPr>
        <w:t>%。</w:t>
      </w:r>
    </w:p>
    <w:p w14:paraId="05ED7E4C">
      <w:pPr>
        <w:pStyle w:val="6"/>
        <w:widowControl/>
        <w:spacing w:beforeAutospacing="0" w:afterAutospacing="0" w:line="252"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全年粮食播种面积</w:t>
      </w:r>
      <w:r>
        <w:rPr>
          <w:rFonts w:hint="eastAsia" w:ascii="仿宋_GB2312" w:hAnsi="仿宋_GB2312" w:eastAsia="仿宋_GB2312" w:cs="仿宋_GB2312"/>
          <w:sz w:val="32"/>
          <w:szCs w:val="32"/>
          <w:lang w:val="en-US" w:eastAsia="zh-CN"/>
        </w:rPr>
        <w:t>84.28</w:t>
      </w:r>
      <w:r>
        <w:rPr>
          <w:rFonts w:hint="eastAsia" w:ascii="仿宋_GB2312" w:hAnsi="仿宋_GB2312" w:eastAsia="仿宋_GB2312" w:cs="仿宋_GB2312"/>
          <w:sz w:val="32"/>
          <w:szCs w:val="32"/>
        </w:rPr>
        <w:t>万亩，其中，小麦播种面积</w:t>
      </w:r>
      <w:r>
        <w:rPr>
          <w:rFonts w:hint="eastAsia" w:ascii="仿宋_GB2312" w:hAnsi="仿宋_GB2312" w:eastAsia="仿宋_GB2312" w:cs="仿宋_GB2312"/>
          <w:sz w:val="32"/>
          <w:szCs w:val="32"/>
          <w:lang w:val="en-US" w:eastAsia="zh-CN"/>
        </w:rPr>
        <w:t>62.20</w:t>
      </w:r>
      <w:r>
        <w:rPr>
          <w:rFonts w:hint="eastAsia" w:ascii="仿宋_GB2312" w:hAnsi="仿宋_GB2312" w:eastAsia="仿宋_GB2312" w:cs="仿宋_GB2312"/>
          <w:sz w:val="32"/>
          <w:szCs w:val="32"/>
        </w:rPr>
        <w:t>万亩，玉米播种面积</w:t>
      </w:r>
      <w:r>
        <w:rPr>
          <w:rFonts w:hint="eastAsia" w:ascii="仿宋_GB2312" w:hAnsi="仿宋_GB2312" w:eastAsia="仿宋_GB2312" w:cs="仿宋_GB2312"/>
          <w:sz w:val="32"/>
          <w:szCs w:val="32"/>
          <w:lang w:val="en-US" w:eastAsia="zh-CN"/>
        </w:rPr>
        <w:t>18.12</w:t>
      </w:r>
      <w:r>
        <w:rPr>
          <w:rFonts w:hint="eastAsia" w:ascii="仿宋_GB2312" w:hAnsi="仿宋_GB2312" w:eastAsia="仿宋_GB2312" w:cs="仿宋_GB2312"/>
          <w:sz w:val="32"/>
          <w:szCs w:val="32"/>
        </w:rPr>
        <w:t>万亩。粮食总产量29.</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万吨，增长</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%。其中，小麦产量</w:t>
      </w:r>
      <w:r>
        <w:rPr>
          <w:rFonts w:hint="eastAsia" w:ascii="仿宋_GB2312" w:hAnsi="仿宋_GB2312" w:eastAsia="仿宋_GB2312" w:cs="仿宋_GB2312"/>
          <w:sz w:val="32"/>
          <w:szCs w:val="32"/>
          <w:lang w:val="en-US" w:eastAsia="zh-CN"/>
        </w:rPr>
        <w:t>21.71</w:t>
      </w:r>
      <w:r>
        <w:rPr>
          <w:rFonts w:hint="eastAsia" w:ascii="仿宋_GB2312" w:hAnsi="仿宋_GB2312" w:eastAsia="仿宋_GB2312" w:cs="仿宋_GB2312"/>
          <w:sz w:val="32"/>
          <w:szCs w:val="32"/>
        </w:rPr>
        <w:t>万吨，</w:t>
      </w:r>
      <w:r>
        <w:rPr>
          <w:rFonts w:hint="eastAsia" w:ascii="仿宋_GB2312" w:hAnsi="仿宋_GB2312" w:eastAsia="仿宋_GB2312" w:cs="仿宋_GB2312"/>
          <w:sz w:val="32"/>
          <w:szCs w:val="32"/>
          <w:lang w:val="en-US" w:eastAsia="zh-CN"/>
        </w:rPr>
        <w:t>下降0.2</w:t>
      </w:r>
      <w:r>
        <w:rPr>
          <w:rFonts w:hint="eastAsia" w:ascii="仿宋_GB2312" w:hAnsi="仿宋_GB2312" w:eastAsia="仿宋_GB2312" w:cs="仿宋_GB2312"/>
          <w:sz w:val="32"/>
          <w:szCs w:val="32"/>
        </w:rPr>
        <w:t>%；玉米产量</w:t>
      </w:r>
      <w:r>
        <w:rPr>
          <w:rFonts w:hint="eastAsia" w:ascii="仿宋_GB2312" w:hAnsi="仿宋_GB2312" w:eastAsia="仿宋_GB2312" w:cs="仿宋_GB2312"/>
          <w:sz w:val="32"/>
          <w:szCs w:val="32"/>
          <w:lang w:val="en-US" w:eastAsia="zh-CN"/>
        </w:rPr>
        <w:t>6.38</w:t>
      </w:r>
      <w:r>
        <w:rPr>
          <w:rFonts w:hint="eastAsia" w:ascii="仿宋_GB2312" w:hAnsi="仿宋_GB2312" w:eastAsia="仿宋_GB2312" w:cs="仿宋_GB2312"/>
          <w:sz w:val="32"/>
          <w:szCs w:val="32"/>
        </w:rPr>
        <w:t>万吨，</w:t>
      </w:r>
      <w:r>
        <w:rPr>
          <w:rFonts w:hint="eastAsia" w:ascii="仿宋_GB2312" w:hAnsi="仿宋_GB2312" w:eastAsia="仿宋_GB2312" w:cs="仿宋_GB2312"/>
          <w:sz w:val="32"/>
          <w:szCs w:val="32"/>
          <w:lang w:val="en-US" w:eastAsia="zh-CN"/>
        </w:rPr>
        <w:t>增长2.3</w:t>
      </w:r>
      <w:r>
        <w:rPr>
          <w:rFonts w:hint="eastAsia" w:ascii="仿宋_GB2312" w:hAnsi="仿宋_GB2312" w:eastAsia="仿宋_GB2312" w:cs="仿宋_GB2312"/>
          <w:sz w:val="32"/>
          <w:szCs w:val="32"/>
        </w:rPr>
        <w:t>%。全年园林水果总产量</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万吨，增长</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%，其中，苹果产量</w:t>
      </w: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万吨，增长</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%。全年蔬菜产量1</w:t>
      </w:r>
      <w:r>
        <w:rPr>
          <w:rFonts w:hint="eastAsia" w:ascii="仿宋_GB2312" w:hAnsi="仿宋_GB2312" w:eastAsia="仿宋_GB2312" w:cs="仿宋_GB2312"/>
          <w:sz w:val="32"/>
          <w:szCs w:val="32"/>
          <w:lang w:val="en-US" w:eastAsia="zh-CN"/>
        </w:rPr>
        <w:t>9.76</w:t>
      </w:r>
      <w:r>
        <w:rPr>
          <w:rFonts w:hint="eastAsia" w:ascii="仿宋_GB2312" w:hAnsi="仿宋_GB2312" w:eastAsia="仿宋_GB2312" w:cs="仿宋_GB2312"/>
          <w:sz w:val="32"/>
          <w:szCs w:val="32"/>
        </w:rPr>
        <w:t>万吨，增长5.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8EB69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全年主要畜牧产品产量如下表：</w:t>
      </w:r>
    </w:p>
    <w:p w14:paraId="47A9C41A">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年全区畜牧业生产情况</w:t>
      </w:r>
    </w:p>
    <w:tbl>
      <w:tblPr>
        <w:tblStyle w:val="7"/>
        <w:tblpPr w:leftFromText="180" w:rightFromText="180" w:vertAnchor="text" w:horzAnchor="page" w:tblpX="2277" w:tblpY="286"/>
        <w:tblOverlap w:val="never"/>
        <w:tblW w:w="8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05"/>
        <w:gridCol w:w="1755"/>
        <w:gridCol w:w="1755"/>
        <w:gridCol w:w="1905"/>
      </w:tblGrid>
      <w:tr w14:paraId="128E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60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40C9B3">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指标</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9CB4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计量单位</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3325C">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总量</w:t>
            </w:r>
          </w:p>
        </w:tc>
        <w:tc>
          <w:tcPr>
            <w:tcW w:w="1905"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AA45DA">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比上年增长（±%）</w:t>
            </w:r>
          </w:p>
        </w:tc>
      </w:tr>
      <w:tr w14:paraId="4ED5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2B45387">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生猪出栏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A272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万头</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462F6">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6.92</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494B3352">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0.9</w:t>
            </w:r>
          </w:p>
        </w:tc>
      </w:tr>
      <w:tr w14:paraId="4D1C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C552329">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牛出栏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AF82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万头</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362E5">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2.31</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3801EBF3">
            <w:pPr>
              <w:widowControl/>
              <w:jc w:val="right"/>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rPr>
              <w:t>-6.</w:t>
            </w:r>
            <w:r>
              <w:rPr>
                <w:rFonts w:hint="eastAsia" w:ascii="仿宋_GB2312" w:hAnsi="仿宋_GB2312" w:eastAsia="仿宋_GB2312" w:cs="仿宋_GB2312"/>
                <w:color w:val="000000"/>
                <w:sz w:val="22"/>
                <w:szCs w:val="22"/>
                <w:lang w:val="en-US" w:eastAsia="zh-CN"/>
              </w:rPr>
              <w:t>7</w:t>
            </w:r>
          </w:p>
        </w:tc>
      </w:tr>
      <w:tr w14:paraId="2FB1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1B17135">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羊出栏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AD699">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万只</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69ACF">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0.61</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5167092A">
            <w:pPr>
              <w:widowControl/>
              <w:jc w:val="right"/>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w:t>
            </w:r>
            <w:r>
              <w:rPr>
                <w:rFonts w:hint="eastAsia" w:ascii="仿宋_GB2312" w:hAnsi="仿宋_GB2312" w:eastAsia="仿宋_GB2312" w:cs="仿宋_GB2312"/>
                <w:color w:val="000000"/>
                <w:sz w:val="22"/>
                <w:szCs w:val="22"/>
              </w:rPr>
              <w:t>3.</w:t>
            </w:r>
            <w:r>
              <w:rPr>
                <w:rFonts w:hint="eastAsia" w:ascii="仿宋_GB2312" w:hAnsi="仿宋_GB2312" w:eastAsia="仿宋_GB2312" w:cs="仿宋_GB2312"/>
                <w:color w:val="000000"/>
                <w:sz w:val="22"/>
                <w:szCs w:val="22"/>
                <w:lang w:val="en-US" w:eastAsia="zh-CN"/>
              </w:rPr>
              <w:t>9</w:t>
            </w:r>
          </w:p>
        </w:tc>
      </w:tr>
      <w:tr w14:paraId="1265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92F0107">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家禽出栏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D498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万只</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87BEE">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74.68</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36A53CAD">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11.5</w:t>
            </w:r>
          </w:p>
        </w:tc>
      </w:tr>
      <w:tr w14:paraId="4125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314FA8D">
            <w:pPr>
              <w:widowControl/>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rPr>
              <w:t xml:space="preserve">    生牛奶</w:t>
            </w:r>
            <w:r>
              <w:rPr>
                <w:rFonts w:hint="eastAsia" w:ascii="仿宋_GB2312" w:hAnsi="仿宋_GB2312" w:eastAsia="仿宋_GB2312" w:cs="仿宋_GB2312"/>
                <w:color w:val="000000"/>
                <w:kern w:val="0"/>
                <w:sz w:val="22"/>
                <w:szCs w:val="22"/>
                <w:lang w:eastAsia="zh-CN"/>
              </w:rPr>
              <w:t>产量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606B0">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万吨</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70483">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2.37</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744AF8F1">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-20.1</w:t>
            </w:r>
          </w:p>
        </w:tc>
      </w:tr>
      <w:tr w14:paraId="69DC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9C15595">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禽蛋产量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660D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万吨</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FA115">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0.64</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4DB133FF">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4.0</w:t>
            </w:r>
          </w:p>
        </w:tc>
      </w:tr>
      <w:tr w14:paraId="31CF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F42F861">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生猪存栏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53302">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万头</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C74F7">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5.48</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3A431D47">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rPr>
              <w:t>-</w:t>
            </w:r>
            <w:r>
              <w:rPr>
                <w:rFonts w:hint="eastAsia" w:ascii="仿宋_GB2312" w:hAnsi="仿宋_GB2312" w:eastAsia="仿宋_GB2312" w:cs="仿宋_GB2312"/>
                <w:color w:val="000000"/>
                <w:sz w:val="22"/>
                <w:szCs w:val="22"/>
                <w:lang w:val="en-US" w:eastAsia="zh-CN"/>
              </w:rPr>
              <w:t>8.1</w:t>
            </w:r>
          </w:p>
        </w:tc>
      </w:tr>
      <w:tr w14:paraId="1FC6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F1001E4">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牛存栏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4AFDF">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万头</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F1FBE">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1.81</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0DAC2417">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0.2</w:t>
            </w:r>
          </w:p>
        </w:tc>
      </w:tr>
      <w:tr w14:paraId="5A3C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B2ED130">
            <w:pPr>
              <w:widowControl/>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      其中：奶牛</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AE1F1">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万头</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22C4B">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0.38</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02C0FEB3">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rPr>
              <w:t>-</w:t>
            </w:r>
            <w:r>
              <w:rPr>
                <w:rFonts w:hint="eastAsia" w:ascii="仿宋_GB2312" w:hAnsi="仿宋_GB2312" w:eastAsia="仿宋_GB2312" w:cs="仿宋_GB2312"/>
                <w:color w:val="000000"/>
                <w:sz w:val="22"/>
                <w:szCs w:val="22"/>
                <w:lang w:val="en-US" w:eastAsia="zh-CN"/>
              </w:rPr>
              <w:t>12.4</w:t>
            </w:r>
          </w:p>
        </w:tc>
      </w:tr>
      <w:tr w14:paraId="5BC4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D0998F5">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羊存栏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FC45E">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万只</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582C7">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0.78</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6D13E949">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3.5</w:t>
            </w:r>
          </w:p>
        </w:tc>
      </w:tr>
      <w:tr w14:paraId="08A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DA1B861">
            <w:pPr>
              <w:widowControl/>
              <w:ind w:firstLine="440" w:firstLineChars="200"/>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家禽存栏</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A4D1B">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万只</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FE168">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57.65</w:t>
            </w:r>
          </w:p>
        </w:tc>
        <w:tc>
          <w:tcPr>
            <w:tcW w:w="1905"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14:paraId="0453068C">
            <w:pPr>
              <w:widowControl/>
              <w:jc w:val="right"/>
              <w:textAlignment w:val="center"/>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4.3</w:t>
            </w:r>
          </w:p>
        </w:tc>
      </w:tr>
    </w:tbl>
    <w:p w14:paraId="0DC6D5B6">
      <w:pPr>
        <w:ind w:firstLine="640" w:firstLineChars="200"/>
        <w:jc w:val="center"/>
        <w:rPr>
          <w:rFonts w:hint="eastAsia" w:ascii="仿宋_GB2312" w:hAnsi="仿宋_GB2312" w:eastAsia="仿宋_GB2312" w:cs="仿宋_GB2312"/>
          <w:sz w:val="32"/>
          <w:szCs w:val="32"/>
        </w:rPr>
      </w:pPr>
    </w:p>
    <w:p w14:paraId="7DC4F3A6">
      <w:pPr>
        <w:ind w:firstLine="640" w:firstLineChars="200"/>
        <w:rPr>
          <w:rFonts w:ascii="仿宋_GB2312" w:hAnsi="仿宋_GB2312" w:eastAsia="仿宋_GB2312" w:cs="仿宋_GB2312"/>
          <w:b w:val="0"/>
          <w:bCs w:val="0"/>
          <w:strike w:val="0"/>
          <w:dstrike w:val="0"/>
          <w:sz w:val="32"/>
          <w:szCs w:val="32"/>
        </w:rPr>
      </w:pPr>
      <w:r>
        <w:rPr>
          <w:rFonts w:hint="eastAsia" w:ascii="仿宋_GB2312" w:hAnsi="仿宋_GB2312" w:eastAsia="仿宋_GB2312" w:cs="仿宋_GB2312"/>
          <w:b w:val="0"/>
          <w:bCs w:val="0"/>
          <w:strike w:val="0"/>
          <w:dstrike w:val="0"/>
          <w:sz w:val="32"/>
          <w:szCs w:val="32"/>
        </w:rPr>
        <w:t>渔业生产稳定发展，全年水产品产量</w:t>
      </w:r>
      <w:r>
        <w:rPr>
          <w:rFonts w:hint="eastAsia" w:ascii="仿宋_GB2312" w:hAnsi="仿宋_GB2312" w:eastAsia="仿宋_GB2312" w:cs="仿宋_GB2312"/>
          <w:b w:val="0"/>
          <w:bCs w:val="0"/>
          <w:strike w:val="0"/>
          <w:dstrike w:val="0"/>
          <w:sz w:val="32"/>
          <w:szCs w:val="32"/>
          <w:lang w:val="en-US" w:eastAsia="zh-CN"/>
        </w:rPr>
        <w:t>520</w:t>
      </w:r>
      <w:r>
        <w:rPr>
          <w:rFonts w:hint="eastAsia" w:ascii="仿宋_GB2312" w:hAnsi="仿宋_GB2312" w:eastAsia="仿宋_GB2312" w:cs="仿宋_GB2312"/>
          <w:b w:val="0"/>
          <w:bCs w:val="0"/>
          <w:strike w:val="0"/>
          <w:dstrike w:val="0"/>
          <w:sz w:val="32"/>
          <w:szCs w:val="32"/>
        </w:rPr>
        <w:t>吨。</w:t>
      </w:r>
    </w:p>
    <w:p w14:paraId="441742B2">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全区农用机械总动力</w:t>
      </w:r>
      <w:r>
        <w:rPr>
          <w:rFonts w:hint="eastAsia" w:ascii="仿宋_GB2312" w:hAnsi="仿宋_GB2312" w:eastAsia="仿宋_GB2312" w:cs="仿宋_GB2312"/>
          <w:b w:val="0"/>
          <w:bCs w:val="0"/>
          <w:sz w:val="32"/>
          <w:szCs w:val="32"/>
          <w:lang w:val="en-US" w:eastAsia="zh-CN"/>
        </w:rPr>
        <w:t>42.57</w:t>
      </w:r>
      <w:r>
        <w:rPr>
          <w:rFonts w:hint="eastAsia" w:ascii="仿宋_GB2312" w:hAnsi="仿宋_GB2312" w:eastAsia="仿宋_GB2312" w:cs="仿宋_GB2312"/>
          <w:b w:val="0"/>
          <w:bCs w:val="0"/>
          <w:sz w:val="32"/>
          <w:szCs w:val="32"/>
        </w:rPr>
        <w:t>万千瓦，比上年增长</w:t>
      </w:r>
      <w:r>
        <w:rPr>
          <w:rFonts w:hint="eastAsia" w:ascii="仿宋_GB2312" w:hAnsi="仿宋_GB2312" w:eastAsia="仿宋_GB2312" w:cs="仿宋_GB2312"/>
          <w:b w:val="0"/>
          <w:bCs w:val="0"/>
          <w:sz w:val="32"/>
          <w:szCs w:val="32"/>
          <w:lang w:val="en-US" w:eastAsia="zh-CN"/>
        </w:rPr>
        <w:t>5.22</w:t>
      </w:r>
      <w:r>
        <w:rPr>
          <w:rFonts w:hint="eastAsia" w:ascii="仿宋_GB2312" w:hAnsi="仿宋_GB2312" w:eastAsia="仿宋_GB2312" w:cs="仿宋_GB2312"/>
          <w:b w:val="0"/>
          <w:bCs w:val="0"/>
          <w:sz w:val="32"/>
          <w:szCs w:val="32"/>
        </w:rPr>
        <w:t>%。拥有大中型拖拉机</w:t>
      </w:r>
      <w:r>
        <w:rPr>
          <w:rFonts w:hint="eastAsia" w:ascii="仿宋_GB2312" w:hAnsi="仿宋_GB2312" w:eastAsia="仿宋_GB2312" w:cs="仿宋_GB2312"/>
          <w:b w:val="0"/>
          <w:bCs w:val="0"/>
          <w:sz w:val="32"/>
          <w:szCs w:val="32"/>
          <w:lang w:val="en-US" w:eastAsia="zh-CN"/>
        </w:rPr>
        <w:t>3463</w:t>
      </w:r>
      <w:r>
        <w:rPr>
          <w:rFonts w:hint="eastAsia" w:ascii="仿宋_GB2312" w:hAnsi="仿宋_GB2312" w:eastAsia="仿宋_GB2312" w:cs="仿宋_GB2312"/>
          <w:b w:val="0"/>
          <w:bCs w:val="0"/>
          <w:sz w:val="32"/>
          <w:szCs w:val="32"/>
        </w:rPr>
        <w:t>台，小型拖拉机</w:t>
      </w:r>
      <w:r>
        <w:rPr>
          <w:rFonts w:hint="eastAsia" w:ascii="仿宋_GB2312" w:hAnsi="仿宋_GB2312" w:eastAsia="仿宋_GB2312" w:cs="仿宋_GB2312"/>
          <w:b w:val="0"/>
          <w:bCs w:val="0"/>
          <w:sz w:val="32"/>
          <w:szCs w:val="32"/>
          <w:lang w:val="en-US" w:eastAsia="zh-CN"/>
        </w:rPr>
        <w:t>2074</w:t>
      </w:r>
      <w:r>
        <w:rPr>
          <w:rFonts w:hint="eastAsia" w:ascii="仿宋_GB2312" w:hAnsi="仿宋_GB2312" w:eastAsia="仿宋_GB2312" w:cs="仿宋_GB2312"/>
          <w:b w:val="0"/>
          <w:bCs w:val="0"/>
          <w:sz w:val="32"/>
          <w:szCs w:val="32"/>
        </w:rPr>
        <w:t>台。</w:t>
      </w:r>
    </w:p>
    <w:p w14:paraId="1AB6045A">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全年全区化肥实物施用量</w:t>
      </w:r>
      <w:r>
        <w:rPr>
          <w:rFonts w:hint="eastAsia" w:ascii="仿宋_GB2312" w:hAnsi="仿宋_GB2312" w:eastAsia="仿宋_GB2312" w:cs="仿宋_GB2312"/>
          <w:b w:val="0"/>
          <w:bCs w:val="0"/>
          <w:sz w:val="32"/>
          <w:szCs w:val="32"/>
          <w:lang w:val="en-US" w:eastAsia="zh-CN"/>
        </w:rPr>
        <w:t>13.17</w:t>
      </w:r>
      <w:r>
        <w:rPr>
          <w:rFonts w:hint="eastAsia" w:ascii="仿宋_GB2312" w:hAnsi="仿宋_GB2312" w:eastAsia="仿宋_GB2312" w:cs="仿宋_GB2312"/>
          <w:b w:val="0"/>
          <w:bCs w:val="0"/>
          <w:sz w:val="32"/>
          <w:szCs w:val="32"/>
        </w:rPr>
        <w:t>万吨，较上年下降</w:t>
      </w:r>
      <w:r>
        <w:rPr>
          <w:rFonts w:hint="eastAsia" w:ascii="仿宋_GB2312" w:hAnsi="仿宋_GB2312" w:eastAsia="仿宋_GB2312" w:cs="仿宋_GB2312"/>
          <w:b w:val="0"/>
          <w:bCs w:val="0"/>
          <w:sz w:val="32"/>
          <w:szCs w:val="32"/>
          <w:lang w:val="en-US" w:eastAsia="zh-CN"/>
        </w:rPr>
        <w:t>0.23</w:t>
      </w:r>
      <w:r>
        <w:rPr>
          <w:rFonts w:hint="eastAsia" w:ascii="仿宋_GB2312" w:hAnsi="仿宋_GB2312" w:eastAsia="仿宋_GB2312" w:cs="仿宋_GB2312"/>
          <w:b w:val="0"/>
          <w:bCs w:val="0"/>
          <w:sz w:val="32"/>
          <w:szCs w:val="32"/>
        </w:rPr>
        <w:t>%。年末耕地灌溉面积</w:t>
      </w:r>
      <w:r>
        <w:rPr>
          <w:rFonts w:hint="eastAsia" w:ascii="仿宋_GB2312" w:hAnsi="仿宋_GB2312" w:eastAsia="仿宋_GB2312" w:cs="仿宋_GB2312"/>
          <w:b w:val="0"/>
          <w:bCs w:val="0"/>
          <w:sz w:val="32"/>
          <w:szCs w:val="32"/>
          <w:lang w:val="en-US" w:eastAsia="zh-CN"/>
        </w:rPr>
        <w:t>42.6</w:t>
      </w:r>
      <w:r>
        <w:rPr>
          <w:rFonts w:hint="eastAsia" w:ascii="仿宋_GB2312" w:hAnsi="仿宋_GB2312" w:eastAsia="仿宋_GB2312" w:cs="仿宋_GB2312"/>
          <w:b w:val="0"/>
          <w:bCs w:val="0"/>
          <w:sz w:val="32"/>
          <w:szCs w:val="32"/>
        </w:rPr>
        <w:t>万亩。</w:t>
      </w:r>
    </w:p>
    <w:p w14:paraId="1E51B98A">
      <w:pPr>
        <w:ind w:firstLine="640" w:firstLineChars="200"/>
        <w:rPr>
          <w:rFonts w:ascii="黑体" w:hAnsi="黑体" w:eastAsia="黑体" w:cs="黑体"/>
          <w:sz w:val="32"/>
          <w:szCs w:val="32"/>
        </w:rPr>
      </w:pPr>
      <w:r>
        <w:rPr>
          <w:rFonts w:hint="eastAsia" w:ascii="黑体" w:hAnsi="黑体" w:eastAsia="黑体" w:cs="黑体"/>
          <w:sz w:val="32"/>
          <w:szCs w:val="32"/>
        </w:rPr>
        <w:t>三、工业和建筑业 </w:t>
      </w:r>
    </w:p>
    <w:p w14:paraId="6D13B9BC">
      <w:pPr>
        <w:pStyle w:val="2"/>
        <w:spacing w:after="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全年规模以上工业总产值同比</w:t>
      </w:r>
      <w:r>
        <w:rPr>
          <w:rFonts w:hint="eastAsia" w:ascii="仿宋_GB2312" w:hAnsi="仿宋_GB2312" w:eastAsia="仿宋_GB2312" w:cs="仿宋_GB2312"/>
          <w:sz w:val="32"/>
          <w:szCs w:val="32"/>
          <w:lang w:val="en-US" w:eastAsia="zh-CN"/>
        </w:rPr>
        <w:t>下降7</w:t>
      </w:r>
      <w:r>
        <w:rPr>
          <w:rFonts w:hint="eastAsia" w:ascii="仿宋_GB2312" w:hAnsi="仿宋_GB2312" w:eastAsia="仿宋_GB2312" w:cs="仿宋_GB2312"/>
          <w:sz w:val="32"/>
          <w:szCs w:val="32"/>
        </w:rPr>
        <w:t>.0％；实现增加值同比增长</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％。按门类分，制造业</w:t>
      </w:r>
      <w:r>
        <w:rPr>
          <w:rFonts w:hint="eastAsia" w:ascii="仿宋_GB2312" w:hAnsi="仿宋_GB2312" w:eastAsia="仿宋_GB2312" w:cs="仿宋_GB2312"/>
          <w:sz w:val="32"/>
          <w:szCs w:val="32"/>
          <w:lang w:val="en-US" w:eastAsia="zh-CN"/>
        </w:rPr>
        <w:t>增加值</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%；电力、热力、燃气和水的生产供应业</w:t>
      </w:r>
      <w:r>
        <w:rPr>
          <w:rFonts w:hint="eastAsia" w:ascii="仿宋_GB2312" w:hAnsi="仿宋_GB2312" w:eastAsia="仿宋_GB2312" w:cs="仿宋_GB2312"/>
          <w:sz w:val="32"/>
          <w:szCs w:val="32"/>
          <w:lang w:val="en-US" w:eastAsia="zh-CN"/>
        </w:rPr>
        <w:t>增加值下降0.4</w:t>
      </w:r>
      <w:r>
        <w:rPr>
          <w:rFonts w:hint="eastAsia" w:ascii="仿宋_GB2312" w:hAnsi="仿宋_GB2312" w:eastAsia="仿宋_GB2312" w:cs="仿宋_GB2312"/>
          <w:sz w:val="32"/>
          <w:szCs w:val="32"/>
        </w:rPr>
        <w:t>%。</w:t>
      </w:r>
      <w:r>
        <w:drawing>
          <wp:inline distT="0" distB="0" distL="114300" distR="114300">
            <wp:extent cx="4572000" cy="2743200"/>
            <wp:effectExtent l="4445" t="4445" r="10795" b="1079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3F0A7B">
      <w:pPr>
        <w:pStyle w:val="2"/>
        <w:keepNext w:val="0"/>
        <w:keepLines w:val="0"/>
        <w:pageBreakBefore w:val="0"/>
        <w:widowControl w:val="0"/>
        <w:kinsoku/>
        <w:wordWrap/>
        <w:overflowPunct/>
        <w:topLinePunct w:val="0"/>
        <w:autoSpaceDE/>
        <w:autoSpaceDN/>
        <w:bidi w:val="0"/>
        <w:adjustRightInd/>
        <w:snapToGrid/>
        <w:spacing w:after="0"/>
        <w:ind w:left="319" w:leftChars="152" w:firstLine="640" w:firstLineChars="200"/>
        <w:jc w:val="left"/>
        <w:textAlignment w:val="auto"/>
        <w:rPr>
          <w:rFonts w:hint="eastAsia" w:ascii="仿宋_GB2312" w:hAnsi="仿宋_GB2312" w:eastAsia="仿宋_GB2312" w:cs="仿宋_GB2312"/>
          <w:sz w:val="32"/>
          <w:szCs w:val="32"/>
        </w:rPr>
      </w:pPr>
    </w:p>
    <w:p w14:paraId="096F46DB">
      <w:pPr>
        <w:pStyle w:val="2"/>
        <w:keepNext w:val="0"/>
        <w:keepLines w:val="0"/>
        <w:pageBreakBefore w:val="0"/>
        <w:widowControl w:val="0"/>
        <w:kinsoku/>
        <w:wordWrap/>
        <w:overflowPunct/>
        <w:topLinePunct w:val="0"/>
        <w:autoSpaceDE/>
        <w:autoSpaceDN/>
        <w:bidi w:val="0"/>
        <w:adjustRightInd/>
        <w:snapToGrid/>
        <w:spacing w:after="0"/>
        <w:ind w:left="319" w:leftChars="152"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工业企业产销衔接状况良好，全年规模以上工业企业产销率</w:t>
      </w:r>
      <w:r>
        <w:rPr>
          <w:rFonts w:hint="eastAsia" w:ascii="仿宋_GB2312" w:hAnsi="仿宋_GB2312" w:eastAsia="仿宋_GB2312" w:cs="仿宋_GB2312"/>
          <w:sz w:val="32"/>
          <w:szCs w:val="32"/>
          <w:lang w:val="en-US" w:eastAsia="zh-CN"/>
        </w:rPr>
        <w:t>97.1</w:t>
      </w:r>
      <w:r>
        <w:rPr>
          <w:rFonts w:hint="eastAsia" w:ascii="仿宋_GB2312" w:hAnsi="仿宋_GB2312" w:eastAsia="仿宋_GB2312" w:cs="仿宋_GB2312"/>
          <w:sz w:val="32"/>
          <w:szCs w:val="32"/>
        </w:rPr>
        <w:t>%，营业收入同比下降</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%，利润总额同比下降</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w:t>
      </w:r>
    </w:p>
    <w:p w14:paraId="552C33F7">
      <w:pPr>
        <w:pStyle w:val="2"/>
        <w:keepNext w:val="0"/>
        <w:keepLines w:val="0"/>
        <w:pageBreakBefore w:val="0"/>
        <w:widowControl w:val="0"/>
        <w:kinsoku/>
        <w:wordWrap/>
        <w:overflowPunct/>
        <w:topLinePunct w:val="0"/>
        <w:autoSpaceDE/>
        <w:autoSpaceDN/>
        <w:bidi w:val="0"/>
        <w:adjustRightInd/>
        <w:snapToGrid/>
        <w:spacing w:after="0"/>
        <w:ind w:left="319" w:leftChars="152" w:firstLine="640" w:firstLineChars="200"/>
        <w:jc w:val="left"/>
        <w:textAlignment w:val="auto"/>
        <w:rPr>
          <w:rFonts w:hint="eastAsia" w:ascii="仿宋_GB2312" w:hAnsi="仿宋_GB2312" w:eastAsia="仿宋_GB2312" w:cs="仿宋_GB2312"/>
          <w:sz w:val="32"/>
          <w:szCs w:val="32"/>
        </w:rPr>
      </w:pPr>
    </w:p>
    <w:p w14:paraId="3E7E6E5F">
      <w:pPr>
        <w:pStyle w:val="2"/>
        <w:spacing w:after="0"/>
        <w:ind w:firstLine="643" w:firstLineChars="200"/>
        <w:jc w:val="center"/>
        <w:rPr>
          <w:rFonts w:hint="eastAsia" w:ascii="仿宋_GB2312" w:hAnsi="仿宋_GB2312" w:eastAsia="仿宋_GB2312" w:cs="仿宋_GB2312"/>
          <w:b/>
          <w:bCs/>
          <w:sz w:val="32"/>
          <w:szCs w:val="32"/>
        </w:rPr>
      </w:pPr>
    </w:p>
    <w:p w14:paraId="268DA0D5">
      <w:pPr>
        <w:pStyle w:val="2"/>
        <w:spacing w:after="0"/>
        <w:ind w:firstLine="643"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2023年主要工业产品产量</w:t>
      </w:r>
    </w:p>
    <w:tbl>
      <w:tblPr>
        <w:tblStyle w:val="7"/>
        <w:tblpPr w:leftFromText="180" w:rightFromText="180" w:vertAnchor="text" w:horzAnchor="page" w:tblpX="1960" w:tblpY="442"/>
        <w:tblOverlap w:val="never"/>
        <w:tblW w:w="9030" w:type="dxa"/>
        <w:tblInd w:w="0" w:type="dxa"/>
        <w:tblLayout w:type="fixed"/>
        <w:tblCellMar>
          <w:top w:w="0" w:type="dxa"/>
          <w:left w:w="108" w:type="dxa"/>
          <w:bottom w:w="0" w:type="dxa"/>
          <w:right w:w="108" w:type="dxa"/>
        </w:tblCellMar>
      </w:tblPr>
      <w:tblGrid>
        <w:gridCol w:w="3675"/>
        <w:gridCol w:w="1365"/>
        <w:gridCol w:w="1740"/>
        <w:gridCol w:w="2250"/>
      </w:tblGrid>
      <w:tr w14:paraId="15678D9E">
        <w:tblPrEx>
          <w:tblCellMar>
            <w:top w:w="0" w:type="dxa"/>
            <w:left w:w="108" w:type="dxa"/>
            <w:bottom w:w="0" w:type="dxa"/>
            <w:right w:w="108" w:type="dxa"/>
          </w:tblCellMar>
        </w:tblPrEx>
        <w:trPr>
          <w:trHeight w:val="829" w:hRule="atLeast"/>
        </w:trPr>
        <w:tc>
          <w:tcPr>
            <w:tcW w:w="3675" w:type="dxa"/>
            <w:tcBorders>
              <w:top w:val="single" w:color="auto" w:sz="8" w:space="0"/>
              <w:left w:val="nil"/>
              <w:bottom w:val="single" w:color="auto" w:sz="8" w:space="0"/>
              <w:right w:val="single" w:color="auto" w:sz="8" w:space="0"/>
            </w:tcBorders>
            <w:noWrap/>
            <w:vAlign w:val="center"/>
          </w:tcPr>
          <w:p w14:paraId="7FE1CBED">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产品名称</w:t>
            </w:r>
          </w:p>
        </w:tc>
        <w:tc>
          <w:tcPr>
            <w:tcW w:w="1365" w:type="dxa"/>
            <w:tcBorders>
              <w:top w:val="single" w:color="auto" w:sz="8" w:space="0"/>
              <w:left w:val="nil"/>
              <w:bottom w:val="single" w:color="auto" w:sz="8" w:space="0"/>
              <w:right w:val="single" w:color="auto" w:sz="8" w:space="0"/>
            </w:tcBorders>
            <w:noWrap/>
            <w:vAlign w:val="center"/>
          </w:tcPr>
          <w:p w14:paraId="12C28CEE">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计量单位</w:t>
            </w:r>
          </w:p>
        </w:tc>
        <w:tc>
          <w:tcPr>
            <w:tcW w:w="1740" w:type="dxa"/>
            <w:tcBorders>
              <w:top w:val="single" w:color="auto" w:sz="8" w:space="0"/>
              <w:left w:val="nil"/>
              <w:bottom w:val="single" w:color="auto" w:sz="8" w:space="0"/>
              <w:right w:val="single" w:color="auto" w:sz="8" w:space="0"/>
            </w:tcBorders>
            <w:noWrap/>
            <w:vAlign w:val="center"/>
          </w:tcPr>
          <w:p w14:paraId="19479353">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产量</w:t>
            </w:r>
          </w:p>
        </w:tc>
        <w:tc>
          <w:tcPr>
            <w:tcW w:w="2250" w:type="dxa"/>
            <w:tcBorders>
              <w:top w:val="single" w:color="auto" w:sz="8" w:space="0"/>
              <w:left w:val="nil"/>
              <w:bottom w:val="single" w:color="auto" w:sz="8" w:space="0"/>
              <w:right w:val="nil"/>
            </w:tcBorders>
            <w:noWrap/>
            <w:vAlign w:val="center"/>
          </w:tcPr>
          <w:p w14:paraId="2240D54A">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比上年增长（%）</w:t>
            </w:r>
          </w:p>
        </w:tc>
      </w:tr>
      <w:tr w14:paraId="5438ADF3">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59CDE4E5">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白酒（折65度，商品量）</w:t>
            </w:r>
          </w:p>
        </w:tc>
        <w:tc>
          <w:tcPr>
            <w:tcW w:w="1365" w:type="dxa"/>
            <w:tcBorders>
              <w:top w:val="nil"/>
              <w:left w:val="nil"/>
              <w:bottom w:val="single" w:color="auto" w:sz="8" w:space="0"/>
              <w:right w:val="single" w:color="auto" w:sz="8" w:space="0"/>
            </w:tcBorders>
            <w:noWrap/>
            <w:vAlign w:val="center"/>
          </w:tcPr>
          <w:p w14:paraId="60D7413B">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千升</w:t>
            </w:r>
          </w:p>
        </w:tc>
        <w:tc>
          <w:tcPr>
            <w:tcW w:w="1740" w:type="dxa"/>
            <w:tcBorders>
              <w:top w:val="nil"/>
              <w:left w:val="nil"/>
              <w:bottom w:val="single" w:color="auto" w:sz="8" w:space="0"/>
              <w:right w:val="single" w:color="auto" w:sz="8" w:space="0"/>
            </w:tcBorders>
            <w:noWrap/>
            <w:vAlign w:val="center"/>
          </w:tcPr>
          <w:p w14:paraId="739A25F2">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63006.86</w:t>
            </w:r>
          </w:p>
        </w:tc>
        <w:tc>
          <w:tcPr>
            <w:tcW w:w="2250" w:type="dxa"/>
            <w:tcBorders>
              <w:top w:val="nil"/>
              <w:left w:val="nil"/>
              <w:bottom w:val="single" w:color="auto" w:sz="8" w:space="0"/>
              <w:right w:val="nil"/>
            </w:tcBorders>
            <w:noWrap/>
            <w:vAlign w:val="center"/>
          </w:tcPr>
          <w:p w14:paraId="6F212F29">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w:t>
            </w:r>
          </w:p>
        </w:tc>
      </w:tr>
      <w:tr w14:paraId="3F58A960">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54D36C06">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十种有色金属◆</w:t>
            </w:r>
          </w:p>
        </w:tc>
        <w:tc>
          <w:tcPr>
            <w:tcW w:w="1365" w:type="dxa"/>
            <w:tcBorders>
              <w:top w:val="nil"/>
              <w:left w:val="nil"/>
              <w:bottom w:val="single" w:color="auto" w:sz="8" w:space="0"/>
              <w:right w:val="single" w:color="auto" w:sz="8" w:space="0"/>
            </w:tcBorders>
            <w:noWrap/>
            <w:vAlign w:val="center"/>
          </w:tcPr>
          <w:p w14:paraId="25C4311B">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吨</w:t>
            </w:r>
          </w:p>
        </w:tc>
        <w:tc>
          <w:tcPr>
            <w:tcW w:w="1740" w:type="dxa"/>
            <w:tcBorders>
              <w:top w:val="nil"/>
              <w:left w:val="nil"/>
              <w:bottom w:val="single" w:color="auto" w:sz="8" w:space="0"/>
              <w:right w:val="single" w:color="auto" w:sz="8" w:space="0"/>
            </w:tcBorders>
            <w:noWrap/>
            <w:vAlign w:val="center"/>
          </w:tcPr>
          <w:p w14:paraId="53266D1C">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96664.69</w:t>
            </w:r>
          </w:p>
        </w:tc>
        <w:tc>
          <w:tcPr>
            <w:tcW w:w="2250" w:type="dxa"/>
            <w:tcBorders>
              <w:top w:val="nil"/>
              <w:left w:val="nil"/>
              <w:bottom w:val="single" w:color="auto" w:sz="8" w:space="0"/>
              <w:right w:val="nil"/>
            </w:tcBorders>
            <w:noWrap/>
            <w:vAlign w:val="center"/>
          </w:tcPr>
          <w:p w14:paraId="72AF7350">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-10.6</w:t>
            </w:r>
          </w:p>
        </w:tc>
      </w:tr>
      <w:tr w14:paraId="0923BCEF">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7E415012">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◆铅</w:t>
            </w:r>
          </w:p>
        </w:tc>
        <w:tc>
          <w:tcPr>
            <w:tcW w:w="1365" w:type="dxa"/>
            <w:tcBorders>
              <w:top w:val="nil"/>
              <w:left w:val="nil"/>
              <w:bottom w:val="single" w:color="auto" w:sz="8" w:space="0"/>
              <w:right w:val="single" w:color="auto" w:sz="8" w:space="0"/>
            </w:tcBorders>
            <w:noWrap/>
            <w:vAlign w:val="center"/>
          </w:tcPr>
          <w:p w14:paraId="58D0E881">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吨</w:t>
            </w:r>
          </w:p>
        </w:tc>
        <w:tc>
          <w:tcPr>
            <w:tcW w:w="1740" w:type="dxa"/>
            <w:tcBorders>
              <w:top w:val="nil"/>
              <w:left w:val="nil"/>
              <w:bottom w:val="single" w:color="auto" w:sz="8" w:space="0"/>
              <w:right w:val="single" w:color="auto" w:sz="8" w:space="0"/>
            </w:tcBorders>
            <w:noWrap/>
            <w:vAlign w:val="center"/>
          </w:tcPr>
          <w:p w14:paraId="0EC588C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29426.66</w:t>
            </w:r>
          </w:p>
        </w:tc>
        <w:tc>
          <w:tcPr>
            <w:tcW w:w="2250" w:type="dxa"/>
            <w:tcBorders>
              <w:top w:val="nil"/>
              <w:left w:val="nil"/>
              <w:bottom w:val="single" w:color="auto" w:sz="8" w:space="0"/>
              <w:right w:val="nil"/>
            </w:tcBorders>
            <w:noWrap/>
            <w:vAlign w:val="center"/>
          </w:tcPr>
          <w:p w14:paraId="1CDE7463">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-8.4</w:t>
            </w:r>
          </w:p>
        </w:tc>
      </w:tr>
      <w:tr w14:paraId="4CD9B2F5">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2F3C76CE">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◆锌</w:t>
            </w:r>
          </w:p>
        </w:tc>
        <w:tc>
          <w:tcPr>
            <w:tcW w:w="1365" w:type="dxa"/>
            <w:tcBorders>
              <w:top w:val="nil"/>
              <w:left w:val="nil"/>
              <w:bottom w:val="single" w:color="auto" w:sz="8" w:space="0"/>
              <w:right w:val="single" w:color="auto" w:sz="8" w:space="0"/>
            </w:tcBorders>
            <w:noWrap/>
            <w:vAlign w:val="center"/>
          </w:tcPr>
          <w:p w14:paraId="4F2F6438">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吨</w:t>
            </w:r>
          </w:p>
        </w:tc>
        <w:tc>
          <w:tcPr>
            <w:tcW w:w="1740" w:type="dxa"/>
            <w:tcBorders>
              <w:top w:val="nil"/>
              <w:left w:val="nil"/>
              <w:bottom w:val="single" w:color="auto" w:sz="8" w:space="0"/>
              <w:right w:val="single" w:color="auto" w:sz="8" w:space="0"/>
            </w:tcBorders>
            <w:noWrap/>
            <w:vAlign w:val="center"/>
          </w:tcPr>
          <w:p w14:paraId="79BFF555">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67238.03</w:t>
            </w:r>
          </w:p>
        </w:tc>
        <w:tc>
          <w:tcPr>
            <w:tcW w:w="2250" w:type="dxa"/>
            <w:tcBorders>
              <w:top w:val="nil"/>
              <w:left w:val="nil"/>
              <w:bottom w:val="single" w:color="auto" w:sz="8" w:space="0"/>
              <w:right w:val="nil"/>
            </w:tcBorders>
            <w:noWrap/>
            <w:vAlign w:val="center"/>
          </w:tcPr>
          <w:p w14:paraId="67783AC3">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-11.5</w:t>
            </w:r>
          </w:p>
        </w:tc>
      </w:tr>
      <w:tr w14:paraId="2EADEA76">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4C77BF15">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火力发电</w:t>
            </w:r>
          </w:p>
        </w:tc>
        <w:tc>
          <w:tcPr>
            <w:tcW w:w="1365" w:type="dxa"/>
            <w:tcBorders>
              <w:top w:val="nil"/>
              <w:left w:val="nil"/>
              <w:bottom w:val="single" w:color="auto" w:sz="8" w:space="0"/>
              <w:right w:val="single" w:color="auto" w:sz="8" w:space="0"/>
            </w:tcBorders>
            <w:noWrap/>
            <w:vAlign w:val="center"/>
          </w:tcPr>
          <w:p w14:paraId="6446B63B">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万千瓦时</w:t>
            </w:r>
          </w:p>
        </w:tc>
        <w:tc>
          <w:tcPr>
            <w:tcW w:w="1740" w:type="dxa"/>
            <w:tcBorders>
              <w:top w:val="nil"/>
              <w:left w:val="nil"/>
              <w:bottom w:val="single" w:color="auto" w:sz="8" w:space="0"/>
              <w:right w:val="single" w:color="auto" w:sz="8" w:space="0"/>
            </w:tcBorders>
            <w:noWrap/>
            <w:vAlign w:val="center"/>
          </w:tcPr>
          <w:p w14:paraId="6A18DCC5">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895731.22</w:t>
            </w:r>
          </w:p>
        </w:tc>
        <w:tc>
          <w:tcPr>
            <w:tcW w:w="2250" w:type="dxa"/>
            <w:tcBorders>
              <w:top w:val="nil"/>
              <w:left w:val="nil"/>
              <w:bottom w:val="single" w:color="auto" w:sz="8" w:space="0"/>
              <w:right w:val="nil"/>
            </w:tcBorders>
            <w:noWrap/>
            <w:vAlign w:val="center"/>
          </w:tcPr>
          <w:p w14:paraId="30D1FFC6">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-1.99</w:t>
            </w:r>
          </w:p>
        </w:tc>
      </w:tr>
      <w:tr w14:paraId="6A31B556">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7D5C1BF8">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精甲醇</w:t>
            </w:r>
          </w:p>
        </w:tc>
        <w:tc>
          <w:tcPr>
            <w:tcW w:w="1365" w:type="dxa"/>
            <w:tcBorders>
              <w:top w:val="nil"/>
              <w:left w:val="nil"/>
              <w:bottom w:val="single" w:color="auto" w:sz="8" w:space="0"/>
              <w:right w:val="single" w:color="auto" w:sz="8" w:space="0"/>
            </w:tcBorders>
            <w:noWrap/>
            <w:vAlign w:val="center"/>
          </w:tcPr>
          <w:p w14:paraId="1D62524A">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吨</w:t>
            </w:r>
          </w:p>
        </w:tc>
        <w:tc>
          <w:tcPr>
            <w:tcW w:w="1740" w:type="dxa"/>
            <w:tcBorders>
              <w:top w:val="nil"/>
              <w:left w:val="nil"/>
              <w:bottom w:val="single" w:color="auto" w:sz="8" w:space="0"/>
              <w:right w:val="single" w:color="auto" w:sz="8" w:space="0"/>
            </w:tcBorders>
            <w:noWrap/>
            <w:vAlign w:val="center"/>
          </w:tcPr>
          <w:p w14:paraId="4AC0E36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677074.65</w:t>
            </w:r>
          </w:p>
        </w:tc>
        <w:tc>
          <w:tcPr>
            <w:tcW w:w="2250" w:type="dxa"/>
            <w:tcBorders>
              <w:top w:val="nil"/>
              <w:left w:val="nil"/>
              <w:bottom w:val="single" w:color="auto" w:sz="8" w:space="0"/>
              <w:right w:val="nil"/>
            </w:tcBorders>
            <w:noWrap/>
            <w:vAlign w:val="center"/>
          </w:tcPr>
          <w:p w14:paraId="158C5AA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15.2</w:t>
            </w:r>
          </w:p>
        </w:tc>
      </w:tr>
      <w:tr w14:paraId="12A058DB">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113C9935">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甲醛</w:t>
            </w:r>
          </w:p>
        </w:tc>
        <w:tc>
          <w:tcPr>
            <w:tcW w:w="1365" w:type="dxa"/>
            <w:tcBorders>
              <w:top w:val="nil"/>
              <w:left w:val="nil"/>
              <w:bottom w:val="single" w:color="auto" w:sz="8" w:space="0"/>
              <w:right w:val="single" w:color="auto" w:sz="8" w:space="0"/>
            </w:tcBorders>
            <w:noWrap/>
            <w:vAlign w:val="center"/>
          </w:tcPr>
          <w:p w14:paraId="43C1ED98">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吨</w:t>
            </w:r>
          </w:p>
        </w:tc>
        <w:tc>
          <w:tcPr>
            <w:tcW w:w="1740" w:type="dxa"/>
            <w:tcBorders>
              <w:top w:val="nil"/>
              <w:left w:val="nil"/>
              <w:bottom w:val="single" w:color="auto" w:sz="8" w:space="0"/>
              <w:right w:val="single" w:color="auto" w:sz="8" w:space="0"/>
            </w:tcBorders>
            <w:noWrap/>
            <w:vAlign w:val="center"/>
          </w:tcPr>
          <w:p w14:paraId="0CEF23D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34784.65</w:t>
            </w:r>
          </w:p>
        </w:tc>
        <w:tc>
          <w:tcPr>
            <w:tcW w:w="2250" w:type="dxa"/>
            <w:tcBorders>
              <w:top w:val="nil"/>
              <w:left w:val="nil"/>
              <w:bottom w:val="single" w:color="auto" w:sz="8" w:space="0"/>
              <w:right w:val="nil"/>
            </w:tcBorders>
            <w:noWrap/>
            <w:vAlign w:val="center"/>
          </w:tcPr>
          <w:p w14:paraId="5A142358">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w:t>
            </w:r>
          </w:p>
        </w:tc>
      </w:tr>
      <w:tr w14:paraId="60B15427">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6A1061B4">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水泥</w:t>
            </w:r>
          </w:p>
        </w:tc>
        <w:tc>
          <w:tcPr>
            <w:tcW w:w="1365" w:type="dxa"/>
            <w:tcBorders>
              <w:top w:val="nil"/>
              <w:left w:val="nil"/>
              <w:bottom w:val="single" w:color="auto" w:sz="8" w:space="0"/>
              <w:right w:val="single" w:color="auto" w:sz="8" w:space="0"/>
            </w:tcBorders>
            <w:noWrap/>
            <w:vAlign w:val="center"/>
          </w:tcPr>
          <w:p w14:paraId="7CEADEC9">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吨</w:t>
            </w:r>
          </w:p>
        </w:tc>
        <w:tc>
          <w:tcPr>
            <w:tcW w:w="1740" w:type="dxa"/>
            <w:tcBorders>
              <w:top w:val="nil"/>
              <w:left w:val="nil"/>
              <w:bottom w:val="single" w:color="auto" w:sz="8" w:space="0"/>
              <w:right w:val="single" w:color="auto" w:sz="8" w:space="0"/>
            </w:tcBorders>
            <w:noWrap/>
            <w:vAlign w:val="center"/>
          </w:tcPr>
          <w:p w14:paraId="4E80EF2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1381143.05</w:t>
            </w:r>
          </w:p>
        </w:tc>
        <w:tc>
          <w:tcPr>
            <w:tcW w:w="2250" w:type="dxa"/>
            <w:tcBorders>
              <w:top w:val="nil"/>
              <w:left w:val="nil"/>
              <w:bottom w:val="single" w:color="auto" w:sz="8" w:space="0"/>
              <w:right w:val="nil"/>
            </w:tcBorders>
            <w:noWrap/>
            <w:vAlign w:val="center"/>
          </w:tcPr>
          <w:p w14:paraId="430BA9F4">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-7.3</w:t>
            </w:r>
          </w:p>
        </w:tc>
      </w:tr>
      <w:tr w14:paraId="32EC4A02">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12BBF6D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砖</w:t>
            </w:r>
          </w:p>
        </w:tc>
        <w:tc>
          <w:tcPr>
            <w:tcW w:w="1365" w:type="dxa"/>
            <w:tcBorders>
              <w:top w:val="nil"/>
              <w:left w:val="nil"/>
              <w:bottom w:val="single" w:color="auto" w:sz="8" w:space="0"/>
              <w:right w:val="single" w:color="auto" w:sz="8" w:space="0"/>
            </w:tcBorders>
            <w:noWrap/>
            <w:vAlign w:val="center"/>
          </w:tcPr>
          <w:p w14:paraId="609E3640">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万块</w:t>
            </w:r>
          </w:p>
        </w:tc>
        <w:tc>
          <w:tcPr>
            <w:tcW w:w="1740" w:type="dxa"/>
            <w:tcBorders>
              <w:top w:val="nil"/>
              <w:left w:val="nil"/>
              <w:bottom w:val="single" w:color="auto" w:sz="8" w:space="0"/>
              <w:right w:val="single" w:color="auto" w:sz="8" w:space="0"/>
            </w:tcBorders>
            <w:noWrap/>
            <w:vAlign w:val="center"/>
          </w:tcPr>
          <w:p w14:paraId="0E19BC78">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4772.00</w:t>
            </w:r>
          </w:p>
        </w:tc>
        <w:tc>
          <w:tcPr>
            <w:tcW w:w="2250" w:type="dxa"/>
            <w:tcBorders>
              <w:top w:val="nil"/>
              <w:left w:val="nil"/>
              <w:bottom w:val="single" w:color="auto" w:sz="8" w:space="0"/>
              <w:right w:val="nil"/>
            </w:tcBorders>
            <w:noWrap/>
            <w:vAlign w:val="center"/>
          </w:tcPr>
          <w:p w14:paraId="2872963C">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-13.7</w:t>
            </w:r>
          </w:p>
        </w:tc>
      </w:tr>
      <w:tr w14:paraId="501339B1">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6ABC37C4">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电力电容器</w:t>
            </w:r>
          </w:p>
        </w:tc>
        <w:tc>
          <w:tcPr>
            <w:tcW w:w="1365" w:type="dxa"/>
            <w:tcBorders>
              <w:top w:val="nil"/>
              <w:left w:val="nil"/>
              <w:bottom w:val="single" w:color="auto" w:sz="8" w:space="0"/>
              <w:right w:val="single" w:color="auto" w:sz="8" w:space="0"/>
            </w:tcBorders>
            <w:noWrap/>
            <w:vAlign w:val="center"/>
          </w:tcPr>
          <w:p w14:paraId="04F5E201">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千乏</w:t>
            </w:r>
          </w:p>
        </w:tc>
        <w:tc>
          <w:tcPr>
            <w:tcW w:w="1740" w:type="dxa"/>
            <w:tcBorders>
              <w:top w:val="nil"/>
              <w:left w:val="nil"/>
              <w:bottom w:val="single" w:color="auto" w:sz="8" w:space="0"/>
              <w:right w:val="single" w:color="auto" w:sz="8" w:space="0"/>
            </w:tcBorders>
            <w:noWrap/>
            <w:vAlign w:val="center"/>
          </w:tcPr>
          <w:p w14:paraId="6969022B">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37.37</w:t>
            </w:r>
          </w:p>
        </w:tc>
        <w:tc>
          <w:tcPr>
            <w:tcW w:w="2250" w:type="dxa"/>
            <w:tcBorders>
              <w:top w:val="nil"/>
              <w:left w:val="nil"/>
              <w:bottom w:val="single" w:color="auto" w:sz="8" w:space="0"/>
              <w:right w:val="nil"/>
            </w:tcBorders>
            <w:noWrap/>
            <w:vAlign w:val="center"/>
          </w:tcPr>
          <w:p w14:paraId="1F8376A2">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-93.7</w:t>
            </w:r>
          </w:p>
        </w:tc>
      </w:tr>
      <w:tr w14:paraId="66248214">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52F9095C">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电子元件</w:t>
            </w:r>
          </w:p>
        </w:tc>
        <w:tc>
          <w:tcPr>
            <w:tcW w:w="1365" w:type="dxa"/>
            <w:tcBorders>
              <w:top w:val="nil"/>
              <w:left w:val="nil"/>
              <w:bottom w:val="single" w:color="auto" w:sz="8" w:space="0"/>
              <w:right w:val="single" w:color="auto" w:sz="8" w:space="0"/>
            </w:tcBorders>
            <w:noWrap/>
            <w:vAlign w:val="center"/>
          </w:tcPr>
          <w:p w14:paraId="6D91B4CE">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万只</w:t>
            </w:r>
          </w:p>
        </w:tc>
        <w:tc>
          <w:tcPr>
            <w:tcW w:w="1740" w:type="dxa"/>
            <w:tcBorders>
              <w:top w:val="nil"/>
              <w:left w:val="nil"/>
              <w:bottom w:val="single" w:color="auto" w:sz="8" w:space="0"/>
              <w:right w:val="single" w:color="auto" w:sz="8" w:space="0"/>
            </w:tcBorders>
            <w:noWrap/>
            <w:vAlign w:val="center"/>
          </w:tcPr>
          <w:p w14:paraId="010EF77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78.44</w:t>
            </w:r>
          </w:p>
        </w:tc>
        <w:tc>
          <w:tcPr>
            <w:tcW w:w="2250" w:type="dxa"/>
            <w:tcBorders>
              <w:top w:val="nil"/>
              <w:left w:val="nil"/>
              <w:bottom w:val="single" w:color="auto" w:sz="8" w:space="0"/>
              <w:right w:val="nil"/>
            </w:tcBorders>
            <w:noWrap/>
            <w:vAlign w:val="center"/>
          </w:tcPr>
          <w:p w14:paraId="0E658EB7">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-90.1</w:t>
            </w:r>
          </w:p>
        </w:tc>
      </w:tr>
      <w:tr w14:paraId="645D3DF6">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475DAB8A">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单色印刷品</w:t>
            </w:r>
          </w:p>
        </w:tc>
        <w:tc>
          <w:tcPr>
            <w:tcW w:w="1365" w:type="dxa"/>
            <w:tcBorders>
              <w:top w:val="nil"/>
              <w:left w:val="nil"/>
              <w:bottom w:val="single" w:color="auto" w:sz="8" w:space="0"/>
              <w:right w:val="single" w:color="auto" w:sz="8" w:space="0"/>
            </w:tcBorders>
            <w:noWrap/>
            <w:vAlign w:val="center"/>
          </w:tcPr>
          <w:p w14:paraId="214895D5">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令</w:t>
            </w:r>
          </w:p>
        </w:tc>
        <w:tc>
          <w:tcPr>
            <w:tcW w:w="1740" w:type="dxa"/>
            <w:tcBorders>
              <w:top w:val="nil"/>
              <w:left w:val="nil"/>
              <w:bottom w:val="single" w:color="auto" w:sz="8" w:space="0"/>
              <w:right w:val="single" w:color="auto" w:sz="8" w:space="0"/>
            </w:tcBorders>
            <w:noWrap/>
            <w:vAlign w:val="center"/>
          </w:tcPr>
          <w:p w14:paraId="39FD948F">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1466.60</w:t>
            </w:r>
          </w:p>
        </w:tc>
        <w:tc>
          <w:tcPr>
            <w:tcW w:w="2250" w:type="dxa"/>
            <w:tcBorders>
              <w:top w:val="nil"/>
              <w:left w:val="nil"/>
              <w:bottom w:val="single" w:color="auto" w:sz="8" w:space="0"/>
              <w:right w:val="nil"/>
            </w:tcBorders>
            <w:noWrap/>
            <w:vAlign w:val="center"/>
          </w:tcPr>
          <w:p w14:paraId="00674573">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-73.4</w:t>
            </w:r>
          </w:p>
        </w:tc>
      </w:tr>
      <w:tr w14:paraId="40D96CED">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1419B81C">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多色印刷品</w:t>
            </w:r>
          </w:p>
        </w:tc>
        <w:tc>
          <w:tcPr>
            <w:tcW w:w="1365" w:type="dxa"/>
            <w:tcBorders>
              <w:top w:val="nil"/>
              <w:left w:val="nil"/>
              <w:bottom w:val="single" w:color="auto" w:sz="8" w:space="0"/>
              <w:right w:val="single" w:color="auto" w:sz="8" w:space="0"/>
            </w:tcBorders>
            <w:noWrap/>
            <w:vAlign w:val="center"/>
          </w:tcPr>
          <w:p w14:paraId="0F1B6B62">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对开色令</w:t>
            </w:r>
          </w:p>
        </w:tc>
        <w:tc>
          <w:tcPr>
            <w:tcW w:w="1740" w:type="dxa"/>
            <w:tcBorders>
              <w:top w:val="nil"/>
              <w:left w:val="nil"/>
              <w:bottom w:val="single" w:color="auto" w:sz="8" w:space="0"/>
              <w:right w:val="single" w:color="auto" w:sz="8" w:space="0"/>
            </w:tcBorders>
            <w:noWrap/>
            <w:vAlign w:val="center"/>
          </w:tcPr>
          <w:p w14:paraId="38F55B79">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109.80</w:t>
            </w:r>
          </w:p>
        </w:tc>
        <w:tc>
          <w:tcPr>
            <w:tcW w:w="2250" w:type="dxa"/>
            <w:tcBorders>
              <w:top w:val="nil"/>
              <w:left w:val="nil"/>
              <w:bottom w:val="single" w:color="auto" w:sz="8" w:space="0"/>
              <w:right w:val="nil"/>
            </w:tcBorders>
            <w:noWrap/>
            <w:vAlign w:val="center"/>
          </w:tcPr>
          <w:p w14:paraId="438788A9">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-77.2</w:t>
            </w:r>
          </w:p>
        </w:tc>
      </w:tr>
      <w:tr w14:paraId="06647A9F">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3A16E6B4">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纸制品</w:t>
            </w:r>
          </w:p>
        </w:tc>
        <w:tc>
          <w:tcPr>
            <w:tcW w:w="1365" w:type="dxa"/>
            <w:tcBorders>
              <w:top w:val="nil"/>
              <w:left w:val="nil"/>
              <w:bottom w:val="single" w:color="auto" w:sz="8" w:space="0"/>
              <w:right w:val="single" w:color="auto" w:sz="8" w:space="0"/>
            </w:tcBorders>
            <w:noWrap/>
            <w:vAlign w:val="center"/>
          </w:tcPr>
          <w:p w14:paraId="6524440D">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吨</w:t>
            </w:r>
          </w:p>
        </w:tc>
        <w:tc>
          <w:tcPr>
            <w:tcW w:w="1740" w:type="dxa"/>
            <w:tcBorders>
              <w:top w:val="nil"/>
              <w:left w:val="nil"/>
              <w:bottom w:val="single" w:color="auto" w:sz="8" w:space="0"/>
              <w:right w:val="single" w:color="auto" w:sz="8" w:space="0"/>
            </w:tcBorders>
            <w:noWrap/>
            <w:vAlign w:val="center"/>
          </w:tcPr>
          <w:p w14:paraId="769BDBE1">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34286.95</w:t>
            </w:r>
          </w:p>
        </w:tc>
        <w:tc>
          <w:tcPr>
            <w:tcW w:w="2250" w:type="dxa"/>
            <w:tcBorders>
              <w:top w:val="nil"/>
              <w:left w:val="nil"/>
              <w:bottom w:val="single" w:color="auto" w:sz="8" w:space="0"/>
              <w:right w:val="nil"/>
            </w:tcBorders>
            <w:noWrap/>
            <w:vAlign w:val="center"/>
          </w:tcPr>
          <w:p w14:paraId="0543D145">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-16.8</w:t>
            </w:r>
          </w:p>
        </w:tc>
      </w:tr>
      <w:tr w14:paraId="7A08206B">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68B6F143">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布</w:t>
            </w:r>
          </w:p>
        </w:tc>
        <w:tc>
          <w:tcPr>
            <w:tcW w:w="1365" w:type="dxa"/>
            <w:tcBorders>
              <w:top w:val="nil"/>
              <w:left w:val="nil"/>
              <w:bottom w:val="single" w:color="auto" w:sz="8" w:space="0"/>
              <w:right w:val="single" w:color="auto" w:sz="8" w:space="0"/>
            </w:tcBorders>
            <w:noWrap/>
            <w:vAlign w:val="center"/>
          </w:tcPr>
          <w:p w14:paraId="76349F4F">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万米</w:t>
            </w:r>
          </w:p>
        </w:tc>
        <w:tc>
          <w:tcPr>
            <w:tcW w:w="1740" w:type="dxa"/>
            <w:tcBorders>
              <w:top w:val="nil"/>
              <w:left w:val="nil"/>
              <w:bottom w:val="single" w:color="auto" w:sz="8" w:space="0"/>
              <w:right w:val="single" w:color="auto" w:sz="8" w:space="0"/>
            </w:tcBorders>
            <w:noWrap/>
            <w:vAlign w:val="center"/>
          </w:tcPr>
          <w:p w14:paraId="09EADC88">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669.60</w:t>
            </w:r>
          </w:p>
        </w:tc>
        <w:tc>
          <w:tcPr>
            <w:tcW w:w="2250" w:type="dxa"/>
            <w:tcBorders>
              <w:top w:val="nil"/>
              <w:left w:val="nil"/>
              <w:bottom w:val="single" w:color="auto" w:sz="8" w:space="0"/>
              <w:right w:val="nil"/>
            </w:tcBorders>
            <w:noWrap/>
            <w:vAlign w:val="center"/>
          </w:tcPr>
          <w:p w14:paraId="42FEDD6B">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-6.9</w:t>
            </w:r>
          </w:p>
        </w:tc>
      </w:tr>
      <w:tr w14:paraId="1FB08FE6">
        <w:tblPrEx>
          <w:tblCellMar>
            <w:top w:w="0" w:type="dxa"/>
            <w:left w:w="108" w:type="dxa"/>
            <w:bottom w:w="0" w:type="dxa"/>
            <w:right w:w="108" w:type="dxa"/>
          </w:tblCellMar>
        </w:tblPrEx>
        <w:trPr>
          <w:trHeight w:val="285" w:hRule="atLeast"/>
        </w:trPr>
        <w:tc>
          <w:tcPr>
            <w:tcW w:w="3675" w:type="dxa"/>
            <w:tcBorders>
              <w:top w:val="nil"/>
              <w:left w:val="nil"/>
              <w:bottom w:val="single" w:color="auto" w:sz="8" w:space="0"/>
              <w:right w:val="single" w:color="auto" w:sz="8" w:space="0"/>
            </w:tcBorders>
            <w:noWrap/>
            <w:vAlign w:val="center"/>
          </w:tcPr>
          <w:p w14:paraId="5A67AFA9">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运动服类服装</w:t>
            </w:r>
          </w:p>
        </w:tc>
        <w:tc>
          <w:tcPr>
            <w:tcW w:w="1365" w:type="dxa"/>
            <w:tcBorders>
              <w:top w:val="nil"/>
              <w:left w:val="nil"/>
              <w:bottom w:val="single" w:color="auto" w:sz="8" w:space="0"/>
              <w:right w:val="single" w:color="auto" w:sz="8" w:space="0"/>
            </w:tcBorders>
            <w:noWrap/>
            <w:vAlign w:val="center"/>
          </w:tcPr>
          <w:p w14:paraId="1A63FAD3">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万件</w:t>
            </w:r>
          </w:p>
        </w:tc>
        <w:tc>
          <w:tcPr>
            <w:tcW w:w="1740" w:type="dxa"/>
            <w:tcBorders>
              <w:top w:val="nil"/>
              <w:left w:val="nil"/>
              <w:bottom w:val="single" w:color="auto" w:sz="8" w:space="0"/>
              <w:right w:val="single" w:color="auto" w:sz="8" w:space="0"/>
            </w:tcBorders>
            <w:noWrap/>
            <w:vAlign w:val="center"/>
          </w:tcPr>
          <w:p w14:paraId="52F04EF2">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3.50</w:t>
            </w:r>
          </w:p>
        </w:tc>
        <w:tc>
          <w:tcPr>
            <w:tcW w:w="2250" w:type="dxa"/>
            <w:tcBorders>
              <w:top w:val="nil"/>
              <w:left w:val="nil"/>
              <w:bottom w:val="single" w:color="auto" w:sz="8" w:space="0"/>
              <w:right w:val="nil"/>
            </w:tcBorders>
            <w:noWrap/>
            <w:vAlign w:val="center"/>
          </w:tcPr>
          <w:p w14:paraId="3C59918A">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-81.9</w:t>
            </w:r>
          </w:p>
        </w:tc>
      </w:tr>
    </w:tbl>
    <w:p w14:paraId="694650AD">
      <w:pPr>
        <w:pStyle w:val="6"/>
        <w:widowControl/>
        <w:spacing w:beforeAutospacing="0" w:afterAutospacing="0"/>
        <w:ind w:firstLine="640" w:firstLineChars="200"/>
        <w:rPr>
          <w:rFonts w:ascii="仿宋_GB2312" w:hAnsi="仿宋_GB2312" w:eastAsia="仿宋_GB2312" w:cs="仿宋_GB2312"/>
          <w:kern w:val="2"/>
          <w:sz w:val="32"/>
          <w:szCs w:val="32"/>
        </w:rPr>
      </w:pPr>
    </w:p>
    <w:p w14:paraId="525EB78D"/>
    <w:p w14:paraId="3EAC4EB8">
      <w:pPr>
        <w:pStyle w:val="6"/>
        <w:widowControl/>
        <w:spacing w:beforeAutospacing="0" w:afterAutospacing="0"/>
        <w:ind w:firstLine="640" w:firstLineChars="200"/>
        <w:rPr>
          <w:rFonts w:hint="eastAsia" w:ascii="仿宋_GB2312" w:hAnsi="仿宋_GB2312" w:eastAsia="仿宋_GB2312" w:cs="仿宋_GB2312"/>
          <w:kern w:val="2"/>
          <w:sz w:val="32"/>
          <w:szCs w:val="32"/>
        </w:rPr>
      </w:pPr>
    </w:p>
    <w:p w14:paraId="6BCB9F71">
      <w:pPr>
        <w:pStyle w:val="6"/>
        <w:widowControl/>
        <w:spacing w:beforeAutospacing="0" w:afterAutospacing="0"/>
        <w:ind w:firstLine="640" w:firstLineChars="200"/>
        <w:rPr>
          <w:rFonts w:ascii="仿宋_GB2312" w:hAnsi="仿宋_GB2312" w:eastAsia="仿宋_GB2312" w:cs="仿宋_GB2312"/>
          <w:b/>
          <w:bCs/>
          <w:kern w:val="2"/>
          <w:sz w:val="32"/>
          <w:szCs w:val="32"/>
        </w:rPr>
      </w:pPr>
      <w:r>
        <w:rPr>
          <w:rFonts w:hint="eastAsia" w:ascii="仿宋_GB2312" w:hAnsi="仿宋_GB2312" w:eastAsia="仿宋_GB2312" w:cs="仿宋_GB2312"/>
          <w:kern w:val="2"/>
          <w:sz w:val="32"/>
          <w:szCs w:val="32"/>
        </w:rPr>
        <w:t>全年建筑业增加值2</w:t>
      </w:r>
      <w:r>
        <w:rPr>
          <w:rFonts w:hint="eastAsia" w:ascii="仿宋_GB2312" w:hAnsi="仿宋_GB2312" w:eastAsia="仿宋_GB2312" w:cs="仿宋_GB2312"/>
          <w:kern w:val="2"/>
          <w:sz w:val="32"/>
          <w:szCs w:val="32"/>
          <w:lang w:val="en-US" w:eastAsia="zh-CN"/>
        </w:rPr>
        <w:t>2.26</w:t>
      </w:r>
      <w:r>
        <w:rPr>
          <w:rFonts w:hint="eastAsia" w:ascii="仿宋_GB2312" w:hAnsi="仿宋_GB2312" w:eastAsia="仿宋_GB2312" w:cs="仿宋_GB2312"/>
          <w:kern w:val="2"/>
          <w:sz w:val="32"/>
          <w:szCs w:val="32"/>
        </w:rPr>
        <w:t>亿元，比上年</w:t>
      </w:r>
      <w:r>
        <w:rPr>
          <w:rFonts w:hint="eastAsia" w:ascii="仿宋_GB2312" w:hAnsi="仿宋_GB2312" w:eastAsia="仿宋_GB2312" w:cs="仿宋_GB2312"/>
          <w:kern w:val="2"/>
          <w:sz w:val="32"/>
          <w:szCs w:val="32"/>
          <w:lang w:val="en-US" w:eastAsia="zh-CN"/>
        </w:rPr>
        <w:t>下降</w:t>
      </w:r>
      <w:r>
        <w:rPr>
          <w:rFonts w:hint="eastAsia" w:ascii="仿宋_GB2312" w:hAnsi="仿宋_GB2312" w:eastAsia="仿宋_GB2312" w:cs="仿宋_GB2312"/>
          <w:kern w:val="2"/>
          <w:sz w:val="32"/>
          <w:szCs w:val="32"/>
        </w:rPr>
        <w:t>5.</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%。年末</w:t>
      </w:r>
      <w:r>
        <w:rPr>
          <w:rFonts w:hint="eastAsia" w:ascii="仿宋_GB2312" w:hAnsi="仿宋_GB2312" w:eastAsia="仿宋_GB2312" w:cs="仿宋_GB2312"/>
          <w:b w:val="0"/>
          <w:bCs w:val="0"/>
          <w:kern w:val="2"/>
          <w:sz w:val="32"/>
          <w:szCs w:val="32"/>
        </w:rPr>
        <w:t>全区有资质建筑企业</w:t>
      </w:r>
      <w:r>
        <w:rPr>
          <w:rFonts w:hint="eastAsia" w:ascii="仿宋_GB2312" w:hAnsi="仿宋_GB2312" w:eastAsia="仿宋_GB2312" w:cs="仿宋_GB2312"/>
          <w:b w:val="0"/>
          <w:bCs w:val="0"/>
          <w:kern w:val="2"/>
          <w:sz w:val="32"/>
          <w:szCs w:val="32"/>
          <w:lang w:val="en-US" w:eastAsia="zh-CN"/>
        </w:rPr>
        <w:t>14</w:t>
      </w:r>
      <w:r>
        <w:rPr>
          <w:rFonts w:hint="eastAsia" w:ascii="仿宋_GB2312" w:hAnsi="仿宋_GB2312" w:eastAsia="仿宋_GB2312" w:cs="仿宋_GB2312"/>
          <w:b w:val="0"/>
          <w:bCs w:val="0"/>
          <w:kern w:val="2"/>
          <w:sz w:val="32"/>
          <w:szCs w:val="32"/>
        </w:rPr>
        <w:t>户。</w:t>
      </w:r>
    </w:p>
    <w:p w14:paraId="50328966">
      <w:pPr>
        <w:ind w:firstLine="640" w:firstLineChars="200"/>
        <w:rPr>
          <w:rFonts w:ascii="黑体" w:hAnsi="黑体" w:eastAsia="黑体" w:cs="黑体"/>
          <w:sz w:val="32"/>
          <w:szCs w:val="32"/>
        </w:rPr>
      </w:pPr>
      <w:r>
        <w:rPr>
          <w:rFonts w:hint="eastAsia" w:ascii="黑体" w:hAnsi="黑体" w:eastAsia="黑体" w:cs="黑体"/>
          <w:sz w:val="32"/>
          <w:szCs w:val="32"/>
        </w:rPr>
        <w:t>　四、固定资产投资 </w:t>
      </w:r>
    </w:p>
    <w:p w14:paraId="2E99D2F9">
      <w:pPr>
        <w:pStyle w:val="6"/>
        <w:widowControl/>
        <w:spacing w:beforeAutospacing="0" w:afterAutospacing="0"/>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全年固定资产投资</w:t>
      </w:r>
      <w:r>
        <w:rPr>
          <w:rFonts w:hint="eastAsia" w:ascii="仿宋_GB2312" w:hAnsi="仿宋_GB2312" w:eastAsia="仿宋_GB2312" w:cs="仿宋_GB2312"/>
          <w:kern w:val="2"/>
          <w:sz w:val="32"/>
          <w:szCs w:val="32"/>
          <w:lang w:val="en-US" w:eastAsia="zh-CN"/>
        </w:rPr>
        <w:t>完成额同比下降2.6</w:t>
      </w:r>
      <w:r>
        <w:rPr>
          <w:rFonts w:hint="eastAsia" w:ascii="仿宋_GB2312" w:hAnsi="仿宋_GB2312" w:eastAsia="仿宋_GB2312" w:cs="仿宋_GB2312"/>
          <w:kern w:val="2"/>
          <w:sz w:val="32"/>
          <w:szCs w:val="32"/>
        </w:rPr>
        <w:t>%。其中，项目固定资产投资</w:t>
      </w:r>
      <w:r>
        <w:rPr>
          <w:rFonts w:hint="eastAsia" w:ascii="仿宋_GB2312" w:hAnsi="仿宋_GB2312" w:eastAsia="仿宋_GB2312" w:cs="仿宋_GB2312"/>
          <w:kern w:val="2"/>
          <w:sz w:val="32"/>
          <w:szCs w:val="32"/>
          <w:lang w:val="en-US" w:eastAsia="zh-CN"/>
        </w:rPr>
        <w:t>下降3.0</w:t>
      </w:r>
      <w:r>
        <w:rPr>
          <w:rFonts w:hint="eastAsia" w:ascii="仿宋_GB2312" w:hAnsi="仿宋_GB2312" w:eastAsia="仿宋_GB2312" w:cs="仿宋_GB2312"/>
          <w:kern w:val="2"/>
          <w:sz w:val="32"/>
          <w:szCs w:val="32"/>
        </w:rPr>
        <w:t>%。按产业分，第一产业投资下降75.4%；第二产业投资增长6.7%；第三产业投资增长6.7%</w:t>
      </w:r>
      <w:r>
        <w:rPr>
          <w:rFonts w:hint="eastAsia" w:ascii="仿宋_GB2312" w:hAnsi="仿宋_GB2312" w:eastAsia="仿宋_GB2312" w:cs="仿宋_GB2312"/>
          <w:kern w:val="2"/>
          <w:sz w:val="32"/>
          <w:szCs w:val="32"/>
          <w:lang w:eastAsia="zh-CN"/>
        </w:rPr>
        <w:t>。</w:t>
      </w:r>
    </w:p>
    <w:p w14:paraId="0DF8B9EE">
      <w:pPr>
        <w:pStyle w:val="6"/>
        <w:keepNext w:val="0"/>
        <w:keepLines w:val="0"/>
        <w:pageBreakBefore w:val="0"/>
        <w:widowControl/>
        <w:kinsoku/>
        <w:wordWrap/>
        <w:overflowPunct/>
        <w:topLinePunct w:val="0"/>
        <w:autoSpaceDE/>
        <w:autoSpaceDN/>
        <w:bidi w:val="0"/>
        <w:adjustRightInd/>
        <w:snapToGrid/>
        <w:spacing w:beforeAutospacing="0" w:afterAutospacing="0"/>
        <w:ind w:firstLine="641"/>
        <w:textAlignment w:val="auto"/>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全年房地产开发投资同比下降2.1%</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商品房施工面积11</w:t>
      </w:r>
      <w:r>
        <w:rPr>
          <w:rFonts w:hint="eastAsia" w:ascii="仿宋_GB2312" w:hAnsi="仿宋_GB2312" w:eastAsia="仿宋_GB2312" w:cs="仿宋_GB2312"/>
          <w:b w:val="0"/>
          <w:bCs w:val="0"/>
          <w:kern w:val="2"/>
          <w:sz w:val="32"/>
          <w:szCs w:val="32"/>
          <w:lang w:val="en-US" w:eastAsia="zh-CN"/>
        </w:rPr>
        <w:t>8.73</w:t>
      </w:r>
      <w:r>
        <w:rPr>
          <w:rFonts w:hint="eastAsia" w:ascii="仿宋_GB2312" w:hAnsi="仿宋_GB2312" w:eastAsia="仿宋_GB2312" w:cs="仿宋_GB2312"/>
          <w:b w:val="0"/>
          <w:bCs w:val="0"/>
          <w:kern w:val="2"/>
          <w:sz w:val="32"/>
          <w:szCs w:val="32"/>
        </w:rPr>
        <w:t>万平方米，增长</w:t>
      </w:r>
      <w:r>
        <w:rPr>
          <w:rFonts w:hint="eastAsia" w:ascii="仿宋_GB2312" w:hAnsi="仿宋_GB2312" w:eastAsia="仿宋_GB2312" w:cs="仿宋_GB2312"/>
          <w:b w:val="0"/>
          <w:bCs w:val="0"/>
          <w:kern w:val="2"/>
          <w:sz w:val="32"/>
          <w:szCs w:val="32"/>
          <w:lang w:val="en-US" w:eastAsia="zh-CN"/>
        </w:rPr>
        <w:t>2.8</w:t>
      </w:r>
      <w:r>
        <w:rPr>
          <w:rFonts w:hint="eastAsia" w:ascii="仿宋_GB2312" w:hAnsi="仿宋_GB2312" w:eastAsia="仿宋_GB2312" w:cs="仿宋_GB2312"/>
          <w:b w:val="0"/>
          <w:bCs w:val="0"/>
          <w:kern w:val="2"/>
          <w:sz w:val="32"/>
          <w:szCs w:val="32"/>
        </w:rPr>
        <w:t>%，其中本年新开工面积</w:t>
      </w:r>
      <w:r>
        <w:rPr>
          <w:rFonts w:hint="eastAsia" w:ascii="仿宋_GB2312" w:hAnsi="仿宋_GB2312" w:eastAsia="仿宋_GB2312" w:cs="仿宋_GB2312"/>
          <w:b w:val="0"/>
          <w:bCs w:val="0"/>
          <w:kern w:val="2"/>
          <w:sz w:val="32"/>
          <w:szCs w:val="32"/>
          <w:lang w:val="en-US" w:eastAsia="zh-CN"/>
        </w:rPr>
        <w:t>31.83</w:t>
      </w:r>
      <w:r>
        <w:rPr>
          <w:rFonts w:hint="eastAsia" w:ascii="仿宋_GB2312" w:hAnsi="仿宋_GB2312" w:eastAsia="仿宋_GB2312" w:cs="仿宋_GB2312"/>
          <w:b w:val="0"/>
          <w:bCs w:val="0"/>
          <w:kern w:val="2"/>
          <w:sz w:val="32"/>
          <w:szCs w:val="32"/>
        </w:rPr>
        <w:t>万平方米，</w:t>
      </w:r>
      <w:r>
        <w:rPr>
          <w:rFonts w:hint="eastAsia" w:ascii="仿宋_GB2312" w:hAnsi="仿宋_GB2312" w:eastAsia="仿宋_GB2312" w:cs="仿宋_GB2312"/>
          <w:b w:val="0"/>
          <w:bCs w:val="0"/>
          <w:kern w:val="2"/>
          <w:sz w:val="32"/>
          <w:szCs w:val="32"/>
          <w:lang w:val="en-US" w:eastAsia="zh-CN"/>
        </w:rPr>
        <w:t>下降2.8%</w:t>
      </w:r>
      <w:r>
        <w:rPr>
          <w:rFonts w:hint="eastAsia" w:ascii="仿宋_GB2312" w:hAnsi="仿宋_GB2312" w:eastAsia="仿宋_GB2312" w:cs="仿宋_GB2312"/>
          <w:b w:val="0"/>
          <w:bCs w:val="0"/>
          <w:kern w:val="2"/>
          <w:sz w:val="32"/>
          <w:szCs w:val="32"/>
        </w:rPr>
        <w:t>。商品房竣工面积</w:t>
      </w:r>
      <w:r>
        <w:rPr>
          <w:rFonts w:hint="eastAsia" w:ascii="仿宋_GB2312" w:hAnsi="仿宋_GB2312" w:eastAsia="仿宋_GB2312" w:cs="仿宋_GB2312"/>
          <w:b w:val="0"/>
          <w:bCs w:val="0"/>
          <w:kern w:val="2"/>
          <w:sz w:val="32"/>
          <w:szCs w:val="32"/>
          <w:lang w:val="en-US" w:eastAsia="zh-CN"/>
        </w:rPr>
        <w:t>39.23</w:t>
      </w:r>
      <w:r>
        <w:rPr>
          <w:rFonts w:hint="eastAsia" w:ascii="仿宋_GB2312" w:hAnsi="仿宋_GB2312" w:eastAsia="仿宋_GB2312" w:cs="仿宋_GB2312"/>
          <w:b w:val="0"/>
          <w:bCs w:val="0"/>
          <w:kern w:val="2"/>
          <w:sz w:val="32"/>
          <w:szCs w:val="32"/>
        </w:rPr>
        <w:t>万平方米，增长</w:t>
      </w:r>
      <w:r>
        <w:rPr>
          <w:rFonts w:hint="eastAsia" w:ascii="仿宋_GB2312" w:hAnsi="仿宋_GB2312" w:eastAsia="仿宋_GB2312" w:cs="仿宋_GB2312"/>
          <w:b w:val="0"/>
          <w:bCs w:val="0"/>
          <w:kern w:val="2"/>
          <w:sz w:val="32"/>
          <w:szCs w:val="32"/>
          <w:lang w:val="en-US" w:eastAsia="zh-CN"/>
        </w:rPr>
        <w:t>36.9</w:t>
      </w:r>
      <w:r>
        <w:rPr>
          <w:rFonts w:hint="eastAsia" w:ascii="仿宋_GB2312" w:hAnsi="仿宋_GB2312" w:eastAsia="仿宋_GB2312" w:cs="仿宋_GB2312"/>
          <w:b w:val="0"/>
          <w:bCs w:val="0"/>
          <w:kern w:val="2"/>
          <w:sz w:val="32"/>
          <w:szCs w:val="32"/>
        </w:rPr>
        <w:t>%。商品房销售面积1</w:t>
      </w:r>
      <w:r>
        <w:rPr>
          <w:rFonts w:hint="eastAsia" w:ascii="仿宋_GB2312" w:hAnsi="仿宋_GB2312" w:eastAsia="仿宋_GB2312" w:cs="仿宋_GB2312"/>
          <w:b w:val="0"/>
          <w:bCs w:val="0"/>
          <w:kern w:val="2"/>
          <w:sz w:val="32"/>
          <w:szCs w:val="32"/>
          <w:lang w:val="en-US" w:eastAsia="zh-CN"/>
        </w:rPr>
        <w:t>1.99</w:t>
      </w:r>
      <w:r>
        <w:rPr>
          <w:rFonts w:hint="eastAsia" w:ascii="仿宋_GB2312" w:hAnsi="仿宋_GB2312" w:eastAsia="仿宋_GB2312" w:cs="仿宋_GB2312"/>
          <w:b w:val="0"/>
          <w:bCs w:val="0"/>
          <w:kern w:val="2"/>
          <w:sz w:val="32"/>
          <w:szCs w:val="32"/>
        </w:rPr>
        <w:t>万平方米，</w:t>
      </w:r>
      <w:r>
        <w:rPr>
          <w:rFonts w:hint="eastAsia" w:ascii="仿宋_GB2312" w:hAnsi="仿宋_GB2312" w:eastAsia="仿宋_GB2312" w:cs="仿宋_GB2312"/>
          <w:b w:val="0"/>
          <w:bCs w:val="0"/>
          <w:kern w:val="2"/>
          <w:sz w:val="32"/>
          <w:szCs w:val="32"/>
          <w:lang w:val="en-US" w:eastAsia="zh-CN"/>
        </w:rPr>
        <w:t>下降3.0</w:t>
      </w:r>
      <w:r>
        <w:rPr>
          <w:rFonts w:hint="eastAsia" w:ascii="仿宋_GB2312" w:hAnsi="仿宋_GB2312" w:eastAsia="仿宋_GB2312" w:cs="仿宋_GB2312"/>
          <w:b w:val="0"/>
          <w:bCs w:val="0"/>
          <w:kern w:val="2"/>
          <w:sz w:val="32"/>
          <w:szCs w:val="32"/>
        </w:rPr>
        <w:t>%。商品房待售面积</w:t>
      </w:r>
      <w:r>
        <w:rPr>
          <w:rFonts w:hint="eastAsia" w:ascii="仿宋_GB2312" w:hAnsi="仿宋_GB2312" w:eastAsia="仿宋_GB2312" w:cs="仿宋_GB2312"/>
          <w:b w:val="0"/>
          <w:bCs w:val="0"/>
          <w:kern w:val="2"/>
          <w:sz w:val="32"/>
          <w:szCs w:val="32"/>
          <w:lang w:val="en-US" w:eastAsia="zh-CN"/>
        </w:rPr>
        <w:t>27.93</w:t>
      </w:r>
      <w:r>
        <w:rPr>
          <w:rFonts w:hint="eastAsia" w:ascii="仿宋_GB2312" w:hAnsi="仿宋_GB2312" w:eastAsia="仿宋_GB2312" w:cs="仿宋_GB2312"/>
          <w:b w:val="0"/>
          <w:bCs w:val="0"/>
          <w:kern w:val="2"/>
          <w:sz w:val="32"/>
          <w:szCs w:val="32"/>
        </w:rPr>
        <w:t>万平方米。</w:t>
      </w:r>
    </w:p>
    <w:p w14:paraId="2392B5C0">
      <w:pPr>
        <w:ind w:firstLine="640" w:firstLineChars="200"/>
        <w:rPr>
          <w:rFonts w:ascii="黑体" w:hAnsi="黑体" w:eastAsia="黑体" w:cs="黑体"/>
          <w:sz w:val="32"/>
          <w:szCs w:val="32"/>
        </w:rPr>
      </w:pPr>
      <w:r>
        <w:rPr>
          <w:rFonts w:hint="eastAsia" w:ascii="黑体" w:hAnsi="黑体" w:eastAsia="黑体" w:cs="黑体"/>
          <w:sz w:val="32"/>
          <w:szCs w:val="32"/>
        </w:rPr>
        <w:t>五、商贸和旅游</w:t>
      </w:r>
    </w:p>
    <w:p w14:paraId="6FBBD274">
      <w:pPr>
        <w:pStyle w:val="6"/>
        <w:widowControl/>
        <w:spacing w:beforeAutospacing="0" w:afterAutospacing="0"/>
        <w:ind w:firstLine="64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全年社会消费品零售总额比上年增长</w:t>
      </w:r>
      <w:r>
        <w:rPr>
          <w:rFonts w:hint="eastAsia" w:ascii="仿宋_GB2312" w:hAnsi="仿宋_GB2312" w:eastAsia="仿宋_GB2312" w:cs="仿宋_GB2312"/>
          <w:kern w:val="2"/>
          <w:sz w:val="32"/>
          <w:szCs w:val="32"/>
          <w:lang w:val="en-US" w:eastAsia="zh-CN"/>
        </w:rPr>
        <w:t>3.3</w:t>
      </w:r>
      <w:r>
        <w:rPr>
          <w:rFonts w:hint="eastAsia" w:ascii="仿宋_GB2312" w:hAnsi="仿宋_GB2312" w:eastAsia="仿宋_GB2312" w:cs="仿宋_GB2312"/>
          <w:kern w:val="2"/>
          <w:sz w:val="32"/>
          <w:szCs w:val="32"/>
        </w:rPr>
        <w:t>%。按销售单位所在地分，城镇消费品零售额增长</w:t>
      </w:r>
      <w:r>
        <w:rPr>
          <w:rFonts w:hint="eastAsia" w:ascii="仿宋_GB2312" w:hAnsi="仿宋_GB2312" w:eastAsia="仿宋_GB2312" w:cs="仿宋_GB2312"/>
          <w:kern w:val="2"/>
          <w:sz w:val="32"/>
          <w:szCs w:val="32"/>
          <w:lang w:val="en-US" w:eastAsia="zh-CN"/>
        </w:rPr>
        <w:t>2.9</w:t>
      </w:r>
      <w:r>
        <w:rPr>
          <w:rFonts w:hint="eastAsia" w:ascii="仿宋_GB2312" w:hAnsi="仿宋_GB2312" w:eastAsia="仿宋_GB2312" w:cs="仿宋_GB2312"/>
          <w:kern w:val="2"/>
          <w:sz w:val="32"/>
          <w:szCs w:val="32"/>
        </w:rPr>
        <w:t>%；农村消费品零售额，增长</w:t>
      </w:r>
      <w:r>
        <w:rPr>
          <w:rFonts w:hint="eastAsia" w:ascii="仿宋_GB2312" w:hAnsi="仿宋_GB2312" w:eastAsia="仿宋_GB2312" w:cs="仿宋_GB2312"/>
          <w:kern w:val="2"/>
          <w:sz w:val="32"/>
          <w:szCs w:val="32"/>
          <w:lang w:val="en-US" w:eastAsia="zh-CN"/>
        </w:rPr>
        <w:t>5.6</w:t>
      </w:r>
      <w:r>
        <w:rPr>
          <w:rFonts w:hint="eastAsia" w:ascii="仿宋_GB2312" w:hAnsi="仿宋_GB2312" w:eastAsia="仿宋_GB2312" w:cs="仿宋_GB2312"/>
          <w:kern w:val="2"/>
          <w:sz w:val="32"/>
          <w:szCs w:val="32"/>
        </w:rPr>
        <w:t>%。</w:t>
      </w:r>
      <w:r>
        <w:rPr>
          <w:rFonts w:hint="eastAsia" w:ascii="仿宋_GB2312" w:hAnsi="仿宋_GB2312" w:eastAsia="仿宋_GB2312" w:cs="仿宋_GB2312"/>
          <w:strike w:val="0"/>
          <w:dstrike w:val="0"/>
          <w:kern w:val="2"/>
          <w:sz w:val="32"/>
          <w:szCs w:val="32"/>
        </w:rPr>
        <w:t>按消费形态分，商品零售额增长</w:t>
      </w:r>
      <w:r>
        <w:rPr>
          <w:rFonts w:hint="eastAsia" w:ascii="仿宋_GB2312" w:hAnsi="仿宋_GB2312" w:eastAsia="仿宋_GB2312" w:cs="仿宋_GB2312"/>
          <w:strike w:val="0"/>
          <w:dstrike w:val="0"/>
          <w:kern w:val="2"/>
          <w:sz w:val="32"/>
          <w:szCs w:val="32"/>
          <w:lang w:val="en-US" w:eastAsia="zh-CN"/>
        </w:rPr>
        <w:t>2.1</w:t>
      </w:r>
      <w:r>
        <w:rPr>
          <w:rFonts w:hint="eastAsia" w:ascii="仿宋_GB2312" w:hAnsi="仿宋_GB2312" w:eastAsia="仿宋_GB2312" w:cs="仿宋_GB2312"/>
          <w:strike w:val="0"/>
          <w:dstrike w:val="0"/>
          <w:kern w:val="2"/>
          <w:sz w:val="32"/>
          <w:szCs w:val="32"/>
        </w:rPr>
        <w:t>%；餐饮收入增长</w:t>
      </w:r>
      <w:r>
        <w:rPr>
          <w:rFonts w:hint="eastAsia" w:ascii="仿宋_GB2312" w:hAnsi="仿宋_GB2312" w:eastAsia="仿宋_GB2312" w:cs="仿宋_GB2312"/>
          <w:strike w:val="0"/>
          <w:dstrike w:val="0"/>
          <w:kern w:val="2"/>
          <w:sz w:val="32"/>
          <w:szCs w:val="32"/>
          <w:lang w:val="en-US" w:eastAsia="zh-CN"/>
        </w:rPr>
        <w:t>9.0</w:t>
      </w:r>
      <w:r>
        <w:rPr>
          <w:rFonts w:hint="eastAsia" w:ascii="仿宋_GB2312" w:hAnsi="仿宋_GB2312" w:eastAsia="仿宋_GB2312" w:cs="仿宋_GB2312"/>
          <w:strike w:val="0"/>
          <w:dstrike w:val="0"/>
          <w:kern w:val="2"/>
          <w:sz w:val="32"/>
          <w:szCs w:val="32"/>
        </w:rPr>
        <w:t>%。</w:t>
      </w:r>
      <w:r>
        <w:drawing>
          <wp:inline distT="0" distB="0" distL="114300" distR="114300">
            <wp:extent cx="4572000" cy="2743200"/>
            <wp:effectExtent l="4445" t="4445" r="10795" b="412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E8F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bdr w:val="none" w:color="auto" w:sz="0" w:space="0"/>
        </w:rPr>
        <w:t>全年共接待国内外游客</w:t>
      </w:r>
      <w:r>
        <w:rPr>
          <w:rFonts w:hint="eastAsia" w:ascii="仿宋_GB2312" w:hAnsi="微软雅黑" w:eastAsia="仿宋_GB2312" w:cs="仿宋_GB2312"/>
          <w:i w:val="0"/>
          <w:iCs w:val="0"/>
          <w:caps w:val="0"/>
          <w:color w:val="000000"/>
          <w:spacing w:val="0"/>
          <w:sz w:val="31"/>
          <w:szCs w:val="31"/>
          <w:bdr w:val="none" w:color="auto" w:sz="0" w:space="0"/>
        </w:rPr>
        <w:t>747万人次，比上年增长52.1%，实现旅游综合收入45.687亿元，增长78.7%。全区现有各类旅游景区（点）6个，其中，人文景区6个；4A级旅游景区1个，3A级旅游景区4个，2A级旅游景区1个，城关镇旅游特色名镇1个，西凤文旅公司工业旅游示范点1个。</w:t>
      </w:r>
    </w:p>
    <w:p w14:paraId="20826A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rPr>
        <w:t>六、交通和邮电</w:t>
      </w:r>
    </w:p>
    <w:p w14:paraId="728E55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31"/>
          <w:szCs w:val="31"/>
          <w:bdr w:val="none" w:color="auto" w:sz="0" w:space="0"/>
        </w:rPr>
        <w:t>年末全区境内公路总里程</w:t>
      </w:r>
      <w:r>
        <w:rPr>
          <w:rFonts w:hint="eastAsia" w:ascii="仿宋" w:hAnsi="仿宋" w:eastAsia="仿宋" w:cs="仿宋"/>
          <w:i w:val="0"/>
          <w:iCs w:val="0"/>
          <w:caps w:val="0"/>
          <w:color w:val="000000"/>
          <w:spacing w:val="0"/>
          <w:sz w:val="31"/>
          <w:szCs w:val="31"/>
          <w:bdr w:val="none" w:color="auto" w:sz="0" w:space="0"/>
        </w:rPr>
        <w:t>1886公里，公路密度159.97公里/百平方公里（含村公路）。</w:t>
      </w:r>
    </w:p>
    <w:p w14:paraId="030D4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全年公路旅客运输量79万人次，货物运输量175万吨。年末拥有营运载货车辆702辆，营运客车404辆，全区共有3个出租车公司，1个公共汽车公司，有出租汽车203辆，公交车30辆。</w:t>
      </w:r>
    </w:p>
    <w:p w14:paraId="495038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邮政业务收入6223万元，邮政业完成邮政函件业务4325件，快递包裹业务170万件，特快专递业务量13.34万件。电信、移动、联通等通信业务总收入2.37亿元。年末全区固定及移动电话用户总数39.71万户，其中，固定电话2.70万户，移动电话37.01万户。</w:t>
      </w:r>
      <w:r>
        <w:rPr>
          <w:rFonts w:hint="eastAsia" w:ascii="仿宋" w:hAnsi="仿宋" w:eastAsia="仿宋" w:cs="仿宋"/>
          <w:i w:val="0"/>
          <w:iCs w:val="0"/>
          <w:caps w:val="0"/>
          <w:color w:val="000000"/>
          <w:spacing w:val="0"/>
          <w:sz w:val="31"/>
          <w:szCs w:val="31"/>
          <w:bdr w:val="none" w:color="auto" w:sz="0" w:space="0"/>
        </w:rPr>
        <w:t>互联网用户14.89万户。</w:t>
      </w:r>
    </w:p>
    <w:p w14:paraId="4268DC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七、金融和保险</w:t>
      </w:r>
    </w:p>
    <w:p w14:paraId="12FC49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年末全区金融机构各项存款余额284.21亿元，同比增长8.5%。其中住户存款余额245.61亿元，同比增长13.9%。金融机构各项贷款余额149.49亿元，同比增长9.8%。</w:t>
      </w:r>
    </w:p>
    <w:p w14:paraId="7F0E93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年末国有保险公司财产保险费收入5677万元，人身保险费收入1.02亿元。</w:t>
      </w:r>
    </w:p>
    <w:p w14:paraId="7C9E22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八、科技、教育和体育</w:t>
      </w:r>
    </w:p>
    <w:p w14:paraId="2CA0DF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年末全区高新技术企业39户。规模以上工业企业研究与试验发展经费支出0.17亿元（上年度）。技术合同交易额1.94亿元。全年专利授权量175件，其中发明专利5件，实用新型专利130件。</w:t>
      </w:r>
    </w:p>
    <w:p w14:paraId="3DC83A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全区共有普通高中2所，招生1700人，在校学生5070人；职业高中学校1所，招生786人，在校学生2407人;普通初中13所，招生3302人，在校学生9752人；普通小学36所，招生2923人，在校学生18639人。共有幼儿园50所，在园幼儿7624人，其中普惠性幼儿园50所。特殊教育学校1所，招生16人，在校学生99人，本年毕业学生16人。</w:t>
      </w:r>
    </w:p>
    <w:p w14:paraId="59D85A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年末全区有县级体育协会5个，乡镇体育辅导站12个，社区健身点9个，农村健身点160个，入网注册社会体育指导员1404人。</w:t>
      </w:r>
    </w:p>
    <w:p w14:paraId="554717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全年举办了凤翔区第二届老年人体育健身大会暨首届社区运动会、凤翔区“庆三八”健身项目展演等26项区级全民健身活动。4月份，组队参加了陕西省首届“延长石油杯”三人篮球联赛市级决赛，凤翔中学荣获高中女子组冠军，凤翔师范附属中学荣获男子组第四名。参加了2023年宝鸡市学生（青少年）运动会，我区代表队荣获跆拳道全市第一名、男子古典跤全市第一名。7月份，成功承办陕西省第四届全民健身运动会社会组武术、桥牌等项目比赛。10月份，参加了2023年宝鸡市“奥运争光”选才运动会。田径获2金14银7铜，专项素质获15金23银16铜。</w:t>
      </w:r>
    </w:p>
    <w:p w14:paraId="4FBD24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九、文化、广播电视和卫生</w:t>
      </w:r>
    </w:p>
    <w:p w14:paraId="289831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全区共有文艺团体341个，其中，专业文艺团体17个，业余演出队、自乐班324个。文化馆1个，乡镇综合文化站12个，公共图书馆1个，基层综合性文化服务中心166个，非物质文化遗产保护中心1个，艺术表演场所1座，省级文化产业示范基地1个。</w:t>
      </w:r>
    </w:p>
    <w:p w14:paraId="4F0CFE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组织举办2023年“年画重回春节”、“非遗进景区·欢乐过大年”优秀传统文化展示、福兔贺春“赏花灯·打灯谜”元宵节等春节文化活动15项。举办第五届丝路朗诵大赛暨宝鸡市凤翔区首届朗读大赛启动仪式、2023年“文化和自然遗产日”宣传暨文旅商体融合发展集中展示推介活动。完成“戏曲进乡村”文化惠民演出170场次。六营村中国泥塑文化园获批首届陕西省“文艺两新”集聚区实践基地。凤翔木版年画成功入选全国“一县一品”特色文化艺术典型案例。槐原正月二十六古庙会、凤翔陶罐制作技艺被列入陕西省第七批非物质文化遗产名录。凤翔土布织染技艺、酒海制作技艺、竹园打铁花被列入宝鸡市第七批非物质文化遗产名录。《宝鸡市凤翔区非遗名录及代表性传承人名录图典》及配套电子书正式出版发行。</w:t>
      </w:r>
    </w:p>
    <w:p w14:paraId="3CFF36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年末数字电视用户2.34万户，无线电视用户2100多户。</w:t>
      </w:r>
    </w:p>
    <w:p w14:paraId="27C9FD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全区医疗卫生机构378个，其中，医院11个，乡镇卫生院19个，疾病控制机构和卫生监督机构2个，妇幼保健机构1个，村卫生室239个。卫生人员总数3407人，卫生技术人员2714人，其中，执业（助理）医师977人，注册护士1157人。全区医疗卫生机构床位数2357张，其中，医院1687张，妇幼保健机构145张，卫生院769张。</w:t>
      </w:r>
    </w:p>
    <w:p w14:paraId="50CC72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全区儿童12种免疫规划疫苗报告接种率99.98%，乙肝疫苗首针及时接种率100%，甲类传染病报告发病0例，乙类传染病报告发病率307.65/10万，丙类传染病报告发病率506.79/10万。</w:t>
      </w:r>
    </w:p>
    <w:p w14:paraId="27AD38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十、人口、人民生活和社会保障</w:t>
      </w:r>
    </w:p>
    <w:p w14:paraId="5F99D6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2023年末全区共有12个镇，160个行政村，9个城镇社区，1964个村民小组，年末常住人口37.48万人，常住人口城镇化率47.75%。出生人口2393人，出生率6.21‰，死亡人口3911人，死亡率10.21‰，人口自然增长率-4‰。</w:t>
      </w:r>
    </w:p>
    <w:p w14:paraId="4B3A81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全年城镇居民人均可支配收入41982元，同比增长5.7%。全年农村居民人均可支配收入18473元，同比增长8.9%。全区城乡居民收入比值为2.27，比上年缩小0.07。</w:t>
      </w:r>
    </w:p>
    <w:p w14:paraId="79B672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年末城镇职工基本养老保险参保49476人，失业保险参保6268人，工伤保险参保23915人。年末城乡居民基本养老保险参保220165人。</w:t>
      </w:r>
    </w:p>
    <w:p w14:paraId="77B3DF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全年创业就业培训1444人，城镇新增就业5141人，城镇登记失业率控制在2.24%以内。</w:t>
      </w:r>
    </w:p>
    <w:p w14:paraId="101FC3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2023年全区基本医疗保险参保411292人，其中城乡居民基本医疗保险参保385408人，城镇职工医疗保险参保25884人。区域内城乡居民报销14316.56万元，其中，住院报销11320.20万元，门诊统筹报销852.59万元，门诊特慢病报销1594.66万元，门诊两病报销517.51万元，医疗救助资金支出31.60万元。</w:t>
      </w:r>
    </w:p>
    <w:p w14:paraId="3368C4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年末社会福利收养性单位3个，共有养老床位686张，收养309人。年末纳入城市低保139户201人，纳入农村低保4096户10584人。农村特困供养人员1055户1063人，其中集中供养205人，集中供养标准每人每年7764元；分散供养标准每人每年7764元。农村特困供养服务机构1所。纳入城市特困供养5户5人，城市特困供养标准每人每年10332元。全年累计临时救助627人次。</w:t>
      </w:r>
    </w:p>
    <w:p w14:paraId="652156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十一、环境、资源和应急管理</w:t>
      </w:r>
    </w:p>
    <w:p w14:paraId="7128B8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全年空气质量优良天数达到298天，空气质量综合指数达到3.65。城市饮用水源地水质达标率100%。全年万元生产总值能耗增长0.026%（上年度）。污水处理率99.89%，生活垃圾无害化处理率99.8%。</w:t>
      </w:r>
    </w:p>
    <w:p w14:paraId="301EF6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全区全年用水总量10174万立方米，比上年下降2.1%。其中：农业用水总量6773万立方米，占全年用水量的66.6%；工业用水总量1560万立方米，占全年用水量的15.3%；生活用水总量1602万立方米，占全年用水量的15.8%；生态环境补水量238万立方米，占全年用水量的2.3%。</w:t>
      </w:r>
    </w:p>
    <w:p w14:paraId="39AFB3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全年共完成国土绿化示范试点项目新造防护林1万亩，退化林修复5.2万亩；中央财政造林补助项目低效林改造0.5万亩。完成平原绿化建设植树造林0.15万亩，植树71.5万株。</w:t>
      </w:r>
    </w:p>
    <w:p w14:paraId="33B167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全年共发生生产安全事故1起，死亡2人。</w:t>
      </w:r>
    </w:p>
    <w:p w14:paraId="5E260B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66E46F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 注释：</w:t>
      </w:r>
    </w:p>
    <w:p w14:paraId="6743CD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1、本公报数据为初步统计数据。</w:t>
      </w:r>
    </w:p>
    <w:p w14:paraId="52DF2B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2、地区生产总值、各行业增加值绝对数按现价计算，增长速度按可比价计算。根据国家统计局2012年制定的《三次产业划分规定》，第一产业增加值不含农林牧渔服务业增加值。</w:t>
      </w:r>
    </w:p>
    <w:p w14:paraId="3F900D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3、电力数据出自电力局，仅指地方电力供电情况。</w:t>
      </w:r>
    </w:p>
    <w:p w14:paraId="5ABBFD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4、大中小型拖拉机分类标准：14.7千瓦以上是大中型拖拉机，14.7千瓦以下是小型拖拉机。</w:t>
      </w:r>
    </w:p>
    <w:p w14:paraId="0C03D6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5、工业用水含大唐国电、二电和长青能化用水。</w:t>
      </w:r>
    </w:p>
    <w:p w14:paraId="4AC6B9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6、营运载货车辆是注册登记4.5吨以上车辆。</w:t>
      </w:r>
    </w:p>
    <w:p w14:paraId="2923CE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7、门诊两病指高血压、糖尿病。</w:t>
      </w:r>
    </w:p>
    <w:p w14:paraId="1456E3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8、部分数据总项和分项合计不等是四舍五入的原因。</w:t>
      </w:r>
    </w:p>
    <w:p w14:paraId="0F8051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 </w:t>
      </w:r>
    </w:p>
    <w:p w14:paraId="3A09EC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资料来源：</w:t>
      </w:r>
    </w:p>
    <w:p w14:paraId="14F077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000000"/>
          <w:spacing w:val="0"/>
          <w:sz w:val="31"/>
          <w:szCs w:val="31"/>
          <w:bdr w:val="none" w:color="auto" w:sz="0" w:space="0"/>
        </w:rPr>
        <w:t>本公报中，财政数据来自财政局；公路数据来自交通局；通信业务收入、年末固定电话及移动电话用户数、互联网用户数、有线电视用户数据来自邮政管理局、电信局、移动公司、联通公司、广电网络公司；旅游、文化数据来自文旅局；金融数据来自人民银行凤翔区支行；保险业数据来自人保财险公司和人寿保险公司；科技数据来自工信局；卫生数据来自卫健局；养老保险、失业保险、工伤保险数据来自人社局；医保数据来自医保局；教育、体育数据来自教体局；林业数据来自林业局；低保和五保供养数据来自民政局；环境监测数据来自生态环境局；水资源数据来自水利局；安全生产数据来自应急管理局。</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B96B">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62596A3">
                <w:pPr>
                  <w:pStyle w:val="4"/>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3D209"/>
    <w:multiLevelType w:val="singleLevel"/>
    <w:tmpl w:val="FFF3D2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FhZDQ0MGJlYTg5MTNmNjIwOThmMDZmMDNmNTA2OTAifQ=="/>
  </w:docVars>
  <w:rsids>
    <w:rsidRoot w:val="3FC3333B"/>
    <w:rsid w:val="00143ACD"/>
    <w:rsid w:val="0015101D"/>
    <w:rsid w:val="00282315"/>
    <w:rsid w:val="00526DEF"/>
    <w:rsid w:val="006036F7"/>
    <w:rsid w:val="00645CF9"/>
    <w:rsid w:val="00682E43"/>
    <w:rsid w:val="006B5657"/>
    <w:rsid w:val="00820C2F"/>
    <w:rsid w:val="00825506"/>
    <w:rsid w:val="00917DF6"/>
    <w:rsid w:val="00AE337B"/>
    <w:rsid w:val="00D01544"/>
    <w:rsid w:val="00DD44ED"/>
    <w:rsid w:val="00E05DED"/>
    <w:rsid w:val="00E25BA5"/>
    <w:rsid w:val="00E51BFA"/>
    <w:rsid w:val="00E74CE6"/>
    <w:rsid w:val="00ED5327"/>
    <w:rsid w:val="00F03130"/>
    <w:rsid w:val="00F74A57"/>
    <w:rsid w:val="00FB457D"/>
    <w:rsid w:val="01F42D45"/>
    <w:rsid w:val="0224362A"/>
    <w:rsid w:val="04A02AF0"/>
    <w:rsid w:val="051B3C7D"/>
    <w:rsid w:val="06D532FF"/>
    <w:rsid w:val="08FA59A4"/>
    <w:rsid w:val="0C3628D7"/>
    <w:rsid w:val="0C662A91"/>
    <w:rsid w:val="0FFD410C"/>
    <w:rsid w:val="12097951"/>
    <w:rsid w:val="12BF00C7"/>
    <w:rsid w:val="13A20852"/>
    <w:rsid w:val="13A60F79"/>
    <w:rsid w:val="13BC6F59"/>
    <w:rsid w:val="15EE2BAF"/>
    <w:rsid w:val="19524AC9"/>
    <w:rsid w:val="19A04522"/>
    <w:rsid w:val="1C024B2F"/>
    <w:rsid w:val="1EA5403D"/>
    <w:rsid w:val="223E0067"/>
    <w:rsid w:val="261C4494"/>
    <w:rsid w:val="262275D1"/>
    <w:rsid w:val="29C257C8"/>
    <w:rsid w:val="2B964CE9"/>
    <w:rsid w:val="2C2456CA"/>
    <w:rsid w:val="2C472960"/>
    <w:rsid w:val="2D7E1F5C"/>
    <w:rsid w:val="325837F4"/>
    <w:rsid w:val="327F624A"/>
    <w:rsid w:val="3417273F"/>
    <w:rsid w:val="34A83397"/>
    <w:rsid w:val="35C30488"/>
    <w:rsid w:val="366B6059"/>
    <w:rsid w:val="370B36F2"/>
    <w:rsid w:val="379C7AB2"/>
    <w:rsid w:val="3A8A47B8"/>
    <w:rsid w:val="3B451940"/>
    <w:rsid w:val="3E1F552D"/>
    <w:rsid w:val="3EA03B28"/>
    <w:rsid w:val="3FC3333B"/>
    <w:rsid w:val="43014CE6"/>
    <w:rsid w:val="47E80223"/>
    <w:rsid w:val="49B07B96"/>
    <w:rsid w:val="4AA64288"/>
    <w:rsid w:val="4D6504C2"/>
    <w:rsid w:val="4FA113E3"/>
    <w:rsid w:val="4FD317B8"/>
    <w:rsid w:val="524C090A"/>
    <w:rsid w:val="585A6F86"/>
    <w:rsid w:val="5B120984"/>
    <w:rsid w:val="5BE22438"/>
    <w:rsid w:val="5FDA624B"/>
    <w:rsid w:val="607E307A"/>
    <w:rsid w:val="608576E9"/>
    <w:rsid w:val="633B34A5"/>
    <w:rsid w:val="63D62A9D"/>
    <w:rsid w:val="64CF0348"/>
    <w:rsid w:val="665054B9"/>
    <w:rsid w:val="666514DB"/>
    <w:rsid w:val="6BBF57F1"/>
    <w:rsid w:val="71C9040C"/>
    <w:rsid w:val="71CD6690"/>
    <w:rsid w:val="727371AD"/>
    <w:rsid w:val="73307CF3"/>
    <w:rsid w:val="743B50B2"/>
    <w:rsid w:val="75736ACE"/>
    <w:rsid w:val="771C08F6"/>
    <w:rsid w:val="78D763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EPAN&#25968;&#25454;&#25991;&#26723;12022.3.26\&#32508;&#21512;&#19987;&#19994;\&#32479;&#35745;&#20844;&#25253;\&#20844;&#25253;&#32479;&#35745;&#22270;&#34920;\2024a.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EPAN&#25968;&#25454;&#25991;&#26723;12022.3.26\&#32508;&#21512;&#19987;&#19994;\&#32479;&#35745;&#20844;&#25253;\&#20844;&#25253;&#32479;&#35745;&#22270;&#34920;\2024a.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EPAN&#25968;&#25454;&#25991;&#26723;12022.3.26\&#32508;&#21512;&#19987;&#19994;\&#32479;&#35745;&#20844;&#25253;\&#20844;&#25253;&#32479;&#35745;&#22270;&#34920;\2024a.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I:\EPAN&#25968;&#25454;&#25991;&#26723;12022.3.26\&#32508;&#21512;&#19987;&#19994;\&#32479;&#35745;&#20844;&#25253;\&#20844;&#25253;&#32479;&#35745;&#22270;&#34920;\2024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2019-2023</a:t>
            </a:r>
            <a:r>
              <a:rPr altLang="en-US"/>
              <a:t>年全区地区生产总值和增长速度</a:t>
            </a:r>
            <a:endParaRPr lang="en-US" altLang="zh-CN"/>
          </a:p>
        </c:rich>
      </c:tx>
      <c:layout/>
      <c:overlay val="0"/>
      <c:spPr>
        <a:noFill/>
        <a:ln>
          <a:noFill/>
        </a:ln>
        <a:effectLst/>
      </c:spPr>
    </c:title>
    <c:autoTitleDeleted val="0"/>
    <c:plotArea>
      <c:layout/>
      <c:barChart>
        <c:barDir val="col"/>
        <c:grouping val="clustered"/>
        <c:varyColors val="0"/>
        <c:ser>
          <c:idx val="0"/>
          <c:order val="0"/>
          <c:tx>
            <c:strRef>
              <c:f>[2024a.xlsx]Sheet9!$B$2</c:f>
              <c:strCache>
                <c:ptCount val="1"/>
                <c:pt idx="0">
                  <c:v>地区生产总值（亿元）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[2024a.xlsx]Sheet9!$A$3:$A$7</c:f>
              <c:strCache>
                <c:ptCount val="5"/>
                <c:pt idx="0">
                  <c:v>2019年</c:v>
                </c:pt>
                <c:pt idx="1">
                  <c:v>2020年</c:v>
                </c:pt>
                <c:pt idx="2">
                  <c:v>2021年</c:v>
                </c:pt>
                <c:pt idx="3">
                  <c:v>2022年</c:v>
                </c:pt>
                <c:pt idx="4">
                  <c:v>2023年</c:v>
                </c:pt>
              </c:strCache>
            </c:strRef>
          </c:cat>
          <c:val>
            <c:numRef>
              <c:f>[2024a.xlsx]Sheet9!$B$3:$B$7</c:f>
              <c:numCache>
                <c:formatCode>0.00_ </c:formatCode>
                <c:ptCount val="5"/>
                <c:pt idx="0">
                  <c:v>223.66</c:v>
                </c:pt>
                <c:pt idx="1">
                  <c:v>239.77</c:v>
                </c:pt>
                <c:pt idx="2">
                  <c:v>264.3</c:v>
                </c:pt>
                <c:pt idx="3">
                  <c:v>285.29</c:v>
                </c:pt>
                <c:pt idx="4" c:formatCode="General">
                  <c:v>290.83</c:v>
                </c:pt>
              </c:numCache>
            </c:numRef>
          </c:val>
        </c:ser>
        <c:dLbls>
          <c:showLegendKey val="0"/>
          <c:showVal val="1"/>
          <c:showCatName val="0"/>
          <c:showSerName val="0"/>
          <c:showPercent val="0"/>
          <c:showBubbleSize val="0"/>
        </c:dLbls>
        <c:gapWidth val="219"/>
        <c:overlap val="-27"/>
        <c:axId val="121761534"/>
        <c:axId val="946761152"/>
      </c:barChart>
      <c:lineChart>
        <c:grouping val="standard"/>
        <c:varyColors val="0"/>
        <c:ser>
          <c:idx val="1"/>
          <c:order val="1"/>
          <c:tx>
            <c:strRef>
              <c:f>[2024a.xlsx]Sheet9!$C$2</c:f>
              <c:strCache>
                <c:ptCount val="1"/>
                <c:pt idx="0">
                  <c:v>增速（%）</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[2024a.xlsx]Sheet9!$A$3:$A$7</c:f>
              <c:strCache>
                <c:ptCount val="5"/>
                <c:pt idx="0">
                  <c:v>2019年</c:v>
                </c:pt>
                <c:pt idx="1">
                  <c:v>2020年</c:v>
                </c:pt>
                <c:pt idx="2">
                  <c:v>2021年</c:v>
                </c:pt>
                <c:pt idx="3">
                  <c:v>2022年</c:v>
                </c:pt>
                <c:pt idx="4">
                  <c:v>2023年</c:v>
                </c:pt>
              </c:strCache>
            </c:strRef>
          </c:cat>
          <c:val>
            <c:numRef>
              <c:f>[2024a.xlsx]Sheet9!$C$3:$C$7</c:f>
              <c:numCache>
                <c:formatCode>0.0_ </c:formatCode>
                <c:ptCount val="5"/>
                <c:pt idx="0">
                  <c:v>10</c:v>
                </c:pt>
                <c:pt idx="1">
                  <c:v>6</c:v>
                </c:pt>
                <c:pt idx="2">
                  <c:v>6.5</c:v>
                </c:pt>
                <c:pt idx="3">
                  <c:v>4.8</c:v>
                </c:pt>
                <c:pt idx="4" c:formatCode="General">
                  <c:v>4.2</c:v>
                </c:pt>
              </c:numCache>
            </c:numRef>
          </c:val>
          <c:smooth val="0"/>
        </c:ser>
        <c:dLbls>
          <c:showLegendKey val="0"/>
          <c:showVal val="1"/>
          <c:showCatName val="0"/>
          <c:showSerName val="0"/>
          <c:showPercent val="0"/>
          <c:showBubbleSize val="0"/>
        </c:dLbls>
        <c:marker val="0"/>
        <c:smooth val="0"/>
        <c:axId val="780618289"/>
        <c:axId val="777871079"/>
      </c:lineChart>
      <c:catAx>
        <c:axId val="1217615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761152"/>
        <c:crosses val="autoZero"/>
        <c:auto val="1"/>
        <c:lblAlgn val="ctr"/>
        <c:lblOffset val="100"/>
        <c:noMultiLvlLbl val="0"/>
      </c:catAx>
      <c:valAx>
        <c:axId val="946761152"/>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761534"/>
        <c:crosses val="autoZero"/>
        <c:crossBetween val="between"/>
      </c:valAx>
      <c:catAx>
        <c:axId val="78061828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871079"/>
        <c:crosses val="autoZero"/>
        <c:auto val="1"/>
        <c:lblAlgn val="ctr"/>
        <c:lblOffset val="100"/>
        <c:noMultiLvlLbl val="0"/>
      </c:catAx>
      <c:valAx>
        <c:axId val="777871079"/>
        <c:scaling>
          <c:orientation val="minMax"/>
        </c:scaling>
        <c:delete val="0"/>
        <c:axPos val="r"/>
        <c:numFmt formatCode="0.0_ "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618289"/>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[2024a.xlsx]Sheet12!$B$2</c:f>
              <c:strCache>
                <c:ptCount val="1"/>
                <c:pt idx="0">
                  <c:v>粮食产量（万吨）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[2024a.xlsx]Sheet12!$A$4:$A$8</c:f>
              <c:strCache>
                <c:ptCount val="5"/>
                <c:pt idx="0">
                  <c:v>2019年</c:v>
                </c:pt>
                <c:pt idx="1">
                  <c:v>2020年</c:v>
                </c:pt>
                <c:pt idx="2">
                  <c:v>2021年</c:v>
                </c:pt>
                <c:pt idx="3">
                  <c:v>2022年</c:v>
                </c:pt>
                <c:pt idx="4">
                  <c:v>2023年</c:v>
                </c:pt>
              </c:strCache>
            </c:strRef>
          </c:cat>
          <c:val>
            <c:numRef>
              <c:f>[2024a.xlsx]Sheet12!$B$4:$B$8</c:f>
              <c:numCache>
                <c:formatCode>0.00_ </c:formatCode>
                <c:ptCount val="5"/>
                <c:pt idx="0">
                  <c:v>25.5</c:v>
                </c:pt>
                <c:pt idx="1">
                  <c:v>28.33</c:v>
                </c:pt>
                <c:pt idx="2">
                  <c:v>29</c:v>
                </c:pt>
                <c:pt idx="3">
                  <c:v>29.29</c:v>
                </c:pt>
                <c:pt idx="4" c:formatCode="General">
                  <c:v>29.35</c:v>
                </c:pt>
              </c:numCache>
            </c:numRef>
          </c:val>
        </c:ser>
        <c:dLbls>
          <c:showLegendKey val="0"/>
          <c:showVal val="1"/>
          <c:showCatName val="0"/>
          <c:showSerName val="0"/>
          <c:showPercent val="0"/>
          <c:showBubbleSize val="0"/>
        </c:dLbls>
        <c:gapWidth val="219"/>
        <c:overlap val="-27"/>
        <c:axId val="655649838"/>
        <c:axId val="40058705"/>
      </c:barChart>
      <c:catAx>
        <c:axId val="6556498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58705"/>
        <c:crosses val="autoZero"/>
        <c:auto val="1"/>
        <c:lblAlgn val="ctr"/>
        <c:lblOffset val="100"/>
        <c:noMultiLvlLbl val="0"/>
      </c:catAx>
      <c:valAx>
        <c:axId val="40058705"/>
        <c:scaling>
          <c:orientation val="minMax"/>
          <c:max val="30"/>
          <c:min val="20"/>
        </c:scaling>
        <c:delete val="0"/>
        <c:axPos val="l"/>
        <c:majorGridlines>
          <c:spPr>
            <a:ln w="9525" cap="flat" cmpd="sng" algn="ctr">
              <a:solidFill>
                <a:schemeClr val="tx1">
                  <a:lumMod val="15000"/>
                  <a:lumOff val="85000"/>
                </a:schemeClr>
              </a:solidFill>
              <a:round/>
            </a:ln>
            <a:effectLst/>
          </c:spPr>
        </c:majorGridlines>
        <c:numFmt formatCode="0.00_ "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6498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[2024a.xlsx]Sheet13!$B$2</c:f>
              <c:strCache>
                <c:ptCount val="1"/>
                <c:pt idx="0">
                  <c:v>规模以上工业增加值增速（%）</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[2024a.xlsx]Sheet13!$A$4:$A$8</c:f>
              <c:strCache>
                <c:ptCount val="5"/>
                <c:pt idx="0">
                  <c:v>2019年</c:v>
                </c:pt>
                <c:pt idx="1">
                  <c:v>2020年</c:v>
                </c:pt>
                <c:pt idx="2">
                  <c:v>2021年</c:v>
                </c:pt>
                <c:pt idx="3">
                  <c:v>2022年</c:v>
                </c:pt>
                <c:pt idx="4">
                  <c:v>2023年</c:v>
                </c:pt>
              </c:strCache>
            </c:strRef>
          </c:cat>
          <c:val>
            <c:numRef>
              <c:f>[2024a.xlsx]Sheet13!$B$4:$B$8</c:f>
              <c:numCache>
                <c:formatCode>0.0_ </c:formatCode>
                <c:ptCount val="5"/>
                <c:pt idx="0">
                  <c:v>15.5</c:v>
                </c:pt>
                <c:pt idx="1">
                  <c:v>8.4</c:v>
                </c:pt>
                <c:pt idx="2" c:formatCode="General">
                  <c:v>4.8</c:v>
                </c:pt>
                <c:pt idx="3" c:formatCode="General">
                  <c:v>7.7</c:v>
                </c:pt>
                <c:pt idx="4" c:formatCode="General">
                  <c:v>6.9</c:v>
                </c:pt>
              </c:numCache>
            </c:numRef>
          </c:val>
          <c:smooth val="0"/>
        </c:ser>
        <c:dLbls>
          <c:showLegendKey val="0"/>
          <c:showVal val="1"/>
          <c:showCatName val="0"/>
          <c:showSerName val="0"/>
          <c:showPercent val="0"/>
          <c:showBubbleSize val="0"/>
        </c:dLbls>
        <c:marker val="0"/>
        <c:smooth val="0"/>
        <c:axId val="322453880"/>
        <c:axId val="686830574"/>
      </c:lineChart>
      <c:catAx>
        <c:axId val="3224538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30574"/>
        <c:crosses val="autoZero"/>
        <c:auto val="1"/>
        <c:lblAlgn val="ctr"/>
        <c:lblOffset val="100"/>
        <c:noMultiLvlLbl val="0"/>
      </c:catAx>
      <c:valAx>
        <c:axId val="686830574"/>
        <c:scaling>
          <c:orientation val="minMax"/>
        </c:scaling>
        <c:delete val="0"/>
        <c:axPos val="l"/>
        <c:majorGridlines>
          <c:spPr>
            <a:ln w="9525" cap="flat" cmpd="sng" algn="ctr">
              <a:solidFill>
                <a:schemeClr val="tx1">
                  <a:lumMod val="15000"/>
                  <a:lumOff val="85000"/>
                </a:schemeClr>
              </a:solidFill>
              <a:round/>
            </a:ln>
            <a:effectLst/>
          </c:spPr>
        </c:majorGridlines>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453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201</a:t>
            </a:r>
            <a:r>
              <a:rPr lang="en-US" altLang="zh-CN"/>
              <a:t>9</a:t>
            </a:r>
            <a:r>
              <a:t>-202</a:t>
            </a:r>
            <a:r>
              <a:rPr lang="en-US" altLang="zh-CN"/>
              <a:t>3</a:t>
            </a:r>
            <a:r>
              <a:t>社会消费品零售总额</a:t>
            </a:r>
          </a:p>
        </c:rich>
      </c:tx>
      <c:layout/>
      <c:overlay val="0"/>
      <c:spPr>
        <a:noFill/>
        <a:ln>
          <a:noFill/>
        </a:ln>
        <a:effectLst/>
      </c:spPr>
    </c:title>
    <c:autoTitleDeleted val="0"/>
    <c:plotArea>
      <c:layout/>
      <c:barChart>
        <c:barDir val="col"/>
        <c:grouping val="clustered"/>
        <c:varyColors val="0"/>
        <c:ser>
          <c:idx val="0"/>
          <c:order val="0"/>
          <c:tx>
            <c:strRef>
              <c:f>[2024a.xlsx]Sheet1!$B$2</c:f>
              <c:strCache>
                <c:ptCount val="1"/>
                <c:pt idx="0">
                  <c:v>总额（亿元）</c:v>
                </c:pt>
              </c:strCache>
            </c:strRef>
          </c:tx>
          <c:spPr>
            <a:solidFill>
              <a:schemeClr val="accent1"/>
            </a:solidFill>
            <a:ln w="28575" cap="flat" cmpd="sng">
              <a:solidFill>
                <a:schemeClr val="accent1"/>
              </a:solidFill>
              <a:prstDash val="solid"/>
              <a:miter lim="800000"/>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[2024a.xlsx]Sheet1!$A$3:$A$7</c:f>
              <c:strCache>
                <c:ptCount val="5"/>
                <c:pt idx="0">
                  <c:v>2019年</c:v>
                </c:pt>
                <c:pt idx="1">
                  <c:v>2020年</c:v>
                </c:pt>
                <c:pt idx="2">
                  <c:v>2021年</c:v>
                </c:pt>
                <c:pt idx="3">
                  <c:v>2022年</c:v>
                </c:pt>
                <c:pt idx="4">
                  <c:v>2023年</c:v>
                </c:pt>
              </c:strCache>
            </c:strRef>
          </c:cat>
          <c:val>
            <c:numRef>
              <c:f>[2024a.xlsx]Sheet1!$B$3:$B$7</c:f>
              <c:numCache>
                <c:formatCode>General</c:formatCode>
                <c:ptCount val="5"/>
                <c:pt idx="0">
                  <c:v>47.8</c:v>
                </c:pt>
                <c:pt idx="1">
                  <c:v>52.09</c:v>
                </c:pt>
                <c:pt idx="2">
                  <c:v>59.9</c:v>
                </c:pt>
                <c:pt idx="3">
                  <c:v>66.18</c:v>
                </c:pt>
                <c:pt idx="4">
                  <c:v>68.36</c:v>
                </c:pt>
              </c:numCache>
            </c:numRef>
          </c:val>
        </c:ser>
        <c:dLbls>
          <c:showLegendKey val="0"/>
          <c:showVal val="1"/>
          <c:showCatName val="0"/>
          <c:showSerName val="0"/>
          <c:showPercent val="0"/>
          <c:showBubbleSize val="0"/>
        </c:dLbls>
        <c:gapWidth val="150"/>
        <c:overlap val="0"/>
        <c:axId val="652694498"/>
        <c:axId val="956251093"/>
      </c:barChart>
      <c:catAx>
        <c:axId val="652694498"/>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crossAx val="956251093"/>
        <c:crosses val="autoZero"/>
        <c:auto val="1"/>
        <c:lblAlgn val="ctr"/>
        <c:lblOffset val="100"/>
        <c:noMultiLvlLbl val="0"/>
      </c:catAx>
      <c:valAx>
        <c:axId val="956251093"/>
        <c:scaling>
          <c:orientation val="minMax"/>
        </c:scaling>
        <c:delete val="0"/>
        <c:axPos val="l"/>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crossAx val="65269449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8】">
    <a:dk1>
      <a:srgbClr val="000000"/>
    </a:dk1>
    <a:lt1>
      <a:srgbClr val="FFFFFF"/>
    </a:lt1>
    <a:dk2>
      <a:srgbClr val="0C0E1F"/>
    </a:dk2>
    <a:lt2>
      <a:srgbClr val="FEFFFF"/>
    </a:lt2>
    <a:accent1>
      <a:srgbClr val="3875FF"/>
    </a:accent1>
    <a:accent2>
      <a:srgbClr val="FCBE00"/>
    </a:accent2>
    <a:accent3>
      <a:srgbClr val="73A1FF"/>
    </a:accent3>
    <a:accent4>
      <a:srgbClr val="83D8FF"/>
    </a:accent4>
    <a:accent5>
      <a:srgbClr val="FC9400"/>
    </a:accent5>
    <a:accent6>
      <a:srgbClr val="0093F0"/>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4297</Words>
  <Characters>5267</Characters>
  <Lines>44</Lines>
  <Paragraphs>12</Paragraphs>
  <TotalTime>4360</TotalTime>
  <ScaleCrop>false</ScaleCrop>
  <LinksUpToDate>false</LinksUpToDate>
  <CharactersWithSpaces>5289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2023-02-17T02:28:00Z</dcterms:created>
  <dc:creator>烈火金刚</dc:creator>
  <cp:lastModifiedBy>饶指青丝</cp:lastModifiedBy>
  <cp:lastPrinted>2024-05-16T08:42:00Z</cp:lastPrinted>
  <dcterms:modified xsi:type="dcterms:W3CDTF">2024-09-14T09:07:35Z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B324A5FFDE574DA2B5ADA32784CA309D</vt:lpwstr>
  </property>
</Properties>
</file>